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10.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1.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ACA7CD" w14:textId="5DAB8324" w:rsidR="006070CB" w:rsidRPr="00DA741D" w:rsidRDefault="006F1F1A" w:rsidP="006070CB">
      <w:pPr>
        <w:tabs>
          <w:tab w:val="left" w:pos="2127"/>
        </w:tabs>
        <w:spacing w:before="0" w:after="200" w:line="276" w:lineRule="auto"/>
        <w:rPr>
          <w:rFonts w:asciiTheme="minorHAnsi" w:eastAsiaTheme="minorHAnsi" w:hAnsiTheme="minorHAnsi" w:cstheme="minorBidi"/>
          <w:noProof/>
          <w:szCs w:val="22"/>
          <w:lang w:eastAsia="en-AU"/>
        </w:rPr>
        <w:sectPr w:rsidR="006070CB" w:rsidRPr="00DA741D" w:rsidSect="00D10D59">
          <w:headerReference w:type="even" r:id="rId12"/>
          <w:headerReference w:type="default" r:id="rId13"/>
          <w:footerReference w:type="even" r:id="rId14"/>
          <w:footerReference w:type="default" r:id="rId15"/>
          <w:headerReference w:type="first" r:id="rId16"/>
          <w:footerReference w:type="first" r:id="rId17"/>
          <w:pgSz w:w="11906" w:h="16838"/>
          <w:pgMar w:top="261" w:right="249" w:bottom="261" w:left="142" w:header="709" w:footer="709" w:gutter="0"/>
          <w:cols w:space="708"/>
          <w:docGrid w:linePitch="360"/>
        </w:sectPr>
      </w:pPr>
      <w:r w:rsidRPr="006F1F1A">
        <w:rPr>
          <w:rFonts w:asciiTheme="minorHAnsi" w:eastAsiaTheme="minorHAnsi" w:hAnsiTheme="minorHAnsi" w:cstheme="minorBidi"/>
          <w:noProof/>
          <w:szCs w:val="22"/>
          <w:lang w:val="en-US"/>
        </w:rPr>
        <w:drawing>
          <wp:anchor distT="0" distB="0" distL="114300" distR="114300" simplePos="0" relativeHeight="251658240" behindDoc="0" locked="0" layoutInCell="1" allowOverlap="1" wp14:anchorId="599D4F65" wp14:editId="4A16FC31">
            <wp:simplePos x="0" y="0"/>
            <wp:positionH relativeFrom="margin">
              <wp:align>center</wp:align>
            </wp:positionH>
            <wp:positionV relativeFrom="paragraph">
              <wp:posOffset>249</wp:posOffset>
            </wp:positionV>
            <wp:extent cx="7045244" cy="9974083"/>
            <wp:effectExtent l="0" t="0" r="3810" b="8255"/>
            <wp:wrapSquare wrapText="bothSides"/>
            <wp:docPr id="17" name="Picture 17" descr="Cover page photo of Green Island, which is a Wet Tropics monitoring site.  Photo is copyright Great Barrier Reef Marine Park Authority 2018." title="Annual Report for Inshore Seagrass Monitoring 201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brmpa.gov.au\SHARES\Publications\2018-0311 MMP Report Covers\Covers JPG\MMP InshoreSeagrass Cover_2017-18.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045244" cy="997408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6E1A0F" w14:textId="38B8A069" w:rsidR="00CF2E2A" w:rsidRPr="00CB093C" w:rsidRDefault="00CF2E2A" w:rsidP="00CF2E2A">
      <w:pPr>
        <w:spacing w:line="276" w:lineRule="auto"/>
        <w:ind w:left="284" w:hanging="284"/>
        <w:rPr>
          <w:rFonts w:ascii="Arial" w:hAnsi="Arial" w:cs="Arial"/>
          <w:sz w:val="20"/>
          <w:szCs w:val="20"/>
        </w:rPr>
      </w:pPr>
      <w:r w:rsidRPr="00CB093C">
        <w:rPr>
          <w:rFonts w:ascii="Arial" w:hAnsi="Arial" w:cs="Arial"/>
          <w:sz w:val="20"/>
          <w:szCs w:val="20"/>
        </w:rPr>
        <w:lastRenderedPageBreak/>
        <w:t>© James Cook University (TropWATER), 201</w:t>
      </w:r>
      <w:r w:rsidR="001E57DF" w:rsidRPr="00CB093C">
        <w:rPr>
          <w:rFonts w:ascii="Arial" w:hAnsi="Arial" w:cs="Arial"/>
          <w:sz w:val="20"/>
          <w:szCs w:val="20"/>
        </w:rPr>
        <w:t>9</w:t>
      </w:r>
    </w:p>
    <w:p w14:paraId="69EA6F0A" w14:textId="77777777" w:rsidR="00CF2E2A" w:rsidRPr="00CB093C" w:rsidRDefault="00CF2E2A" w:rsidP="00CF2E2A">
      <w:pPr>
        <w:spacing w:line="276" w:lineRule="auto"/>
        <w:ind w:left="284" w:hanging="284"/>
        <w:rPr>
          <w:rFonts w:ascii="Arial" w:hAnsi="Arial" w:cs="Arial"/>
          <w:sz w:val="20"/>
          <w:szCs w:val="20"/>
        </w:rPr>
      </w:pPr>
      <w:r w:rsidRPr="00CB093C">
        <w:rPr>
          <w:rFonts w:ascii="Arial" w:hAnsi="Arial" w:cs="Arial"/>
          <w:sz w:val="20"/>
          <w:szCs w:val="20"/>
        </w:rPr>
        <w:t>Published by the Great Barrier Reef Marine Park Authority</w:t>
      </w:r>
    </w:p>
    <w:p w14:paraId="777ACC40" w14:textId="77777777" w:rsidR="005959D0" w:rsidRDefault="005959D0" w:rsidP="00CF2E2A">
      <w:pPr>
        <w:spacing w:line="276" w:lineRule="auto"/>
        <w:rPr>
          <w:rFonts w:ascii="Arial" w:hAnsi="Arial" w:cs="Arial"/>
          <w:sz w:val="20"/>
          <w:szCs w:val="20"/>
        </w:rPr>
      </w:pPr>
    </w:p>
    <w:p w14:paraId="61B2B84F" w14:textId="319B7F94" w:rsidR="00CF2E2A" w:rsidRPr="00CB093C" w:rsidRDefault="00CF2E2A" w:rsidP="00CF2E2A">
      <w:pPr>
        <w:spacing w:line="276" w:lineRule="auto"/>
        <w:rPr>
          <w:rFonts w:ascii="Arial" w:hAnsi="Arial" w:cs="Arial"/>
          <w:sz w:val="20"/>
          <w:szCs w:val="20"/>
          <w:lang w:eastAsia="en-AU"/>
        </w:rPr>
      </w:pPr>
      <w:r w:rsidRPr="00CB093C">
        <w:rPr>
          <w:rFonts w:ascii="Arial" w:hAnsi="Arial" w:cs="Arial"/>
          <w:sz w:val="20"/>
          <w:szCs w:val="20"/>
        </w:rPr>
        <w:t>IS</w:t>
      </w:r>
      <w:r w:rsidR="00542340" w:rsidRPr="00CB093C">
        <w:rPr>
          <w:rFonts w:ascii="Arial" w:hAnsi="Arial" w:cs="Arial"/>
          <w:sz w:val="20"/>
          <w:szCs w:val="20"/>
        </w:rPr>
        <w:t>SN</w:t>
      </w:r>
      <w:r w:rsidRPr="00CB093C">
        <w:rPr>
          <w:rFonts w:ascii="Arial" w:hAnsi="Arial" w:cs="Arial"/>
          <w:sz w:val="20"/>
          <w:szCs w:val="20"/>
        </w:rPr>
        <w:t xml:space="preserve">: </w:t>
      </w:r>
      <w:r w:rsidR="00542340" w:rsidRPr="00CB093C">
        <w:rPr>
          <w:rFonts w:ascii="Arial" w:hAnsi="Arial" w:cs="Arial"/>
          <w:sz w:val="20"/>
          <w:szCs w:val="20"/>
        </w:rPr>
        <w:t>2208-4037</w:t>
      </w:r>
    </w:p>
    <w:p w14:paraId="61EACAAF" w14:textId="77777777" w:rsidR="005959D0" w:rsidRPr="00CB093C" w:rsidRDefault="005959D0" w:rsidP="005959D0">
      <w:pPr>
        <w:ind w:left="284" w:hanging="284"/>
        <w:rPr>
          <w:rFonts w:ascii="Arial" w:hAnsi="Arial" w:cs="Arial"/>
          <w:b/>
          <w:sz w:val="20"/>
          <w:szCs w:val="20"/>
        </w:rPr>
      </w:pPr>
      <w:r w:rsidRPr="00CB093C">
        <w:rPr>
          <w:rFonts w:ascii="Arial" w:hAnsi="Arial" w:cs="Arial"/>
          <w:b/>
          <w:sz w:val="20"/>
          <w:szCs w:val="20"/>
        </w:rPr>
        <w:t>A catalogue record for this publication is available from the National Library of Australia</w:t>
      </w:r>
    </w:p>
    <w:p w14:paraId="20559B33" w14:textId="77777777" w:rsidR="00CF2E2A" w:rsidRPr="00CB093C" w:rsidRDefault="00CF2E2A" w:rsidP="00CF2E2A">
      <w:pPr>
        <w:ind w:left="284" w:hanging="284"/>
        <w:rPr>
          <w:rFonts w:ascii="Arial" w:hAnsi="Arial" w:cs="Arial"/>
          <w:sz w:val="20"/>
          <w:szCs w:val="20"/>
        </w:rPr>
      </w:pPr>
    </w:p>
    <w:p w14:paraId="0F2FA79B" w14:textId="7BBDFBEB" w:rsidR="00CF2E2A" w:rsidRPr="00CB093C" w:rsidRDefault="005959D0" w:rsidP="00CF2E2A">
      <w:pPr>
        <w:spacing w:after="0"/>
        <w:rPr>
          <w:rFonts w:ascii="Arial" w:hAnsi="Arial" w:cs="Arial"/>
          <w:sz w:val="20"/>
          <w:szCs w:val="20"/>
        </w:rPr>
      </w:pPr>
      <w:r w:rsidRPr="005959D0">
        <w:rPr>
          <w:rFonts w:ascii="Arial" w:hAnsi="Arial" w:cs="Arial"/>
          <w:color w:val="000000"/>
          <w:sz w:val="20"/>
          <w:szCs w:val="20"/>
          <w:lang w:val="en-US"/>
        </w:rPr>
        <w:t>This document</w:t>
      </w:r>
      <w:r w:rsidR="00CF2E2A" w:rsidRPr="005959D0">
        <w:rPr>
          <w:rFonts w:ascii="Arial" w:hAnsi="Arial" w:cs="Arial"/>
          <w:color w:val="000000"/>
          <w:sz w:val="20"/>
          <w:szCs w:val="20"/>
          <w:lang w:val="en-US"/>
        </w:rPr>
        <w:t xml:space="preserve"> </w:t>
      </w:r>
      <w:r w:rsidR="00CF2E2A" w:rsidRPr="005959D0">
        <w:rPr>
          <w:rFonts w:ascii="Arial" w:hAnsi="Arial" w:cs="Arial"/>
          <w:sz w:val="20"/>
          <w:szCs w:val="20"/>
        </w:rPr>
        <w:t>is</w:t>
      </w:r>
      <w:r w:rsidR="00CF2E2A" w:rsidRPr="00CB093C">
        <w:rPr>
          <w:rFonts w:ascii="Arial" w:hAnsi="Arial" w:cs="Arial"/>
          <w:sz w:val="20"/>
          <w:szCs w:val="20"/>
        </w:rPr>
        <w:t xml:space="preserve"> licensed for use under a Creative Commons By Attribution 4.0 International licence with the exception of the Coat of Arms of the Commonwealth of Australia, the logos of the Great Barrier Reef Marine Park Authority, James Cook University and TropWATER, any other material protected by a trademark, content supplied by third parties and any photographs. For licence conditions see: </w:t>
      </w:r>
      <w:hyperlink r:id="rId19" w:history="1">
        <w:r w:rsidR="00CF2E2A" w:rsidRPr="00CB093C">
          <w:rPr>
            <w:rStyle w:val="Hyperlink"/>
            <w:rFonts w:ascii="Arial" w:hAnsi="Arial" w:cs="Arial"/>
            <w:sz w:val="20"/>
            <w:szCs w:val="20"/>
          </w:rPr>
          <w:t>http://creativecommons.org/licences/by/4.0</w:t>
        </w:r>
      </w:hyperlink>
      <w:r w:rsidR="00CF2E2A" w:rsidRPr="00CB093C">
        <w:rPr>
          <w:rFonts w:ascii="Arial" w:hAnsi="Arial" w:cs="Arial"/>
          <w:sz w:val="20"/>
          <w:szCs w:val="20"/>
        </w:rPr>
        <w:t xml:space="preserve"> </w:t>
      </w:r>
    </w:p>
    <w:p w14:paraId="323DA200" w14:textId="77777777" w:rsidR="00CF2E2A" w:rsidRPr="00CB093C" w:rsidRDefault="00CF2E2A" w:rsidP="00CF2E2A">
      <w:pPr>
        <w:ind w:left="284" w:hanging="284"/>
        <w:rPr>
          <w:rFonts w:ascii="Arial" w:hAnsi="Arial" w:cs="Arial"/>
          <w:sz w:val="20"/>
          <w:szCs w:val="20"/>
        </w:rPr>
      </w:pPr>
      <w:r w:rsidRPr="00CB093C">
        <w:rPr>
          <w:rFonts w:ascii="Arial" w:eastAsiaTheme="minorEastAsia" w:hAnsi="Arial" w:cs="Arial"/>
          <w:noProof/>
          <w:sz w:val="20"/>
          <w:szCs w:val="20"/>
          <w:lang w:val="en-US"/>
        </w:rPr>
        <w:drawing>
          <wp:inline distT="0" distB="0" distL="0" distR="0" wp14:anchorId="1777FEAD" wp14:editId="7171E0ED">
            <wp:extent cx="1228725" cy="428625"/>
            <wp:effectExtent l="0" t="0" r="0" b="9525"/>
            <wp:docPr id="545" name="Picture 54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0"/>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0"/>
                    </pic:cNvPr>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017CB8CA" w14:textId="77777777" w:rsidR="00CF2E2A" w:rsidRPr="00CB093C" w:rsidRDefault="00CF2E2A" w:rsidP="00CF2E2A">
      <w:pPr>
        <w:ind w:left="284" w:hanging="284"/>
        <w:rPr>
          <w:rFonts w:ascii="Arial" w:hAnsi="Arial" w:cs="Arial"/>
          <w:sz w:val="20"/>
          <w:szCs w:val="20"/>
        </w:rPr>
      </w:pPr>
    </w:p>
    <w:p w14:paraId="28C9C83E" w14:textId="77777777" w:rsidR="00CF2E2A" w:rsidRPr="00CB093C" w:rsidRDefault="00CF2E2A" w:rsidP="00223B18">
      <w:pPr>
        <w:ind w:left="284" w:hanging="284"/>
        <w:rPr>
          <w:rFonts w:ascii="Arial" w:hAnsi="Arial" w:cs="Arial"/>
          <w:b/>
          <w:sz w:val="20"/>
          <w:szCs w:val="20"/>
        </w:rPr>
      </w:pPr>
      <w:r w:rsidRPr="00CB093C">
        <w:rPr>
          <w:rFonts w:ascii="Arial" w:hAnsi="Arial" w:cs="Arial"/>
          <w:b/>
          <w:sz w:val="20"/>
          <w:szCs w:val="20"/>
        </w:rPr>
        <w:t xml:space="preserve">This publication should be cited as: </w:t>
      </w:r>
    </w:p>
    <w:p w14:paraId="6013C877" w14:textId="57AE91C9" w:rsidR="00CF2E2A" w:rsidRPr="00CB093C" w:rsidRDefault="00CF2E2A" w:rsidP="00CF2E2A">
      <w:pPr>
        <w:pStyle w:val="Infopage"/>
        <w:rPr>
          <w:rFonts w:ascii="Arial" w:hAnsi="Arial" w:cs="Arial"/>
          <w:sz w:val="20"/>
          <w:szCs w:val="20"/>
          <w:lang w:val="en-AU"/>
        </w:rPr>
      </w:pPr>
      <w:r w:rsidRPr="00CB093C">
        <w:rPr>
          <w:rFonts w:ascii="Arial" w:hAnsi="Arial" w:cs="Arial"/>
          <w:sz w:val="20"/>
          <w:szCs w:val="20"/>
          <w:lang w:val="en-AU"/>
        </w:rPr>
        <w:t xml:space="preserve">McKenzie, L.J., Collier, C.J, Langlois, L.A., Yoshida, R.L., </w:t>
      </w:r>
      <w:r w:rsidR="00CC37A2" w:rsidRPr="00CB093C">
        <w:rPr>
          <w:rFonts w:ascii="Arial" w:hAnsi="Arial" w:cs="Arial"/>
          <w:sz w:val="20"/>
          <w:szCs w:val="20"/>
          <w:lang w:val="en-AU"/>
        </w:rPr>
        <w:t xml:space="preserve">Uusitalo, </w:t>
      </w:r>
      <w:r w:rsidR="00E70F6B" w:rsidRPr="00CB093C">
        <w:rPr>
          <w:rFonts w:ascii="Arial" w:hAnsi="Arial" w:cs="Arial"/>
          <w:sz w:val="20"/>
          <w:szCs w:val="20"/>
          <w:lang w:val="en-AU"/>
        </w:rPr>
        <w:t xml:space="preserve">J., </w:t>
      </w:r>
      <w:r w:rsidRPr="00CB093C">
        <w:rPr>
          <w:rFonts w:ascii="Arial" w:hAnsi="Arial" w:cs="Arial"/>
          <w:sz w:val="20"/>
          <w:szCs w:val="20"/>
          <w:lang w:val="en-AU"/>
        </w:rPr>
        <w:t xml:space="preserve">Smith, N. and Waycott, M. </w:t>
      </w:r>
      <w:r w:rsidRPr="00CB093C">
        <w:rPr>
          <w:rFonts w:ascii="Arial" w:hAnsi="Arial" w:cs="Arial"/>
          <w:sz w:val="20"/>
          <w:szCs w:val="20"/>
        </w:rPr>
        <w:t>201</w:t>
      </w:r>
      <w:r w:rsidR="001E57DF" w:rsidRPr="00CB093C">
        <w:rPr>
          <w:rFonts w:ascii="Arial" w:hAnsi="Arial" w:cs="Arial"/>
          <w:sz w:val="20"/>
          <w:szCs w:val="20"/>
        </w:rPr>
        <w:t>9</w:t>
      </w:r>
      <w:r w:rsidRPr="00CB093C">
        <w:rPr>
          <w:rFonts w:ascii="Arial" w:hAnsi="Arial" w:cs="Arial"/>
          <w:sz w:val="20"/>
          <w:szCs w:val="20"/>
        </w:rPr>
        <w:t xml:space="preserve">, </w:t>
      </w:r>
      <w:r w:rsidRPr="00CB093C">
        <w:rPr>
          <w:rFonts w:ascii="Arial" w:hAnsi="Arial" w:cs="Arial"/>
          <w:i/>
          <w:sz w:val="20"/>
          <w:szCs w:val="20"/>
        </w:rPr>
        <w:t>Marine Monitoring Program</w:t>
      </w:r>
      <w:r w:rsidR="008F265A" w:rsidRPr="00CB093C">
        <w:rPr>
          <w:rFonts w:ascii="Arial" w:hAnsi="Arial" w:cs="Arial"/>
          <w:i/>
          <w:sz w:val="20"/>
          <w:szCs w:val="20"/>
        </w:rPr>
        <w:t>:</w:t>
      </w:r>
      <w:r w:rsidRPr="00CB093C">
        <w:rPr>
          <w:rFonts w:ascii="Arial" w:hAnsi="Arial" w:cs="Arial"/>
          <w:i/>
          <w:sz w:val="20"/>
          <w:szCs w:val="20"/>
        </w:rPr>
        <w:t xml:space="preserve"> Annual Report for </w:t>
      </w:r>
      <w:r w:rsidR="00A10F54">
        <w:rPr>
          <w:rFonts w:ascii="Arial" w:hAnsi="Arial" w:cs="Arial"/>
          <w:i/>
          <w:sz w:val="20"/>
          <w:szCs w:val="20"/>
        </w:rPr>
        <w:t>I</w:t>
      </w:r>
      <w:r w:rsidRPr="00CB093C">
        <w:rPr>
          <w:rFonts w:ascii="Arial" w:hAnsi="Arial" w:cs="Arial"/>
          <w:i/>
          <w:sz w:val="20"/>
          <w:szCs w:val="20"/>
        </w:rPr>
        <w:t xml:space="preserve">nshore </w:t>
      </w:r>
      <w:r w:rsidR="00A10F54">
        <w:rPr>
          <w:rFonts w:ascii="Arial" w:hAnsi="Arial" w:cs="Arial"/>
          <w:i/>
          <w:sz w:val="20"/>
          <w:szCs w:val="20"/>
        </w:rPr>
        <w:t>S</w:t>
      </w:r>
      <w:r w:rsidRPr="00CB093C">
        <w:rPr>
          <w:rFonts w:ascii="Arial" w:hAnsi="Arial" w:cs="Arial"/>
          <w:i/>
          <w:sz w:val="20"/>
          <w:szCs w:val="20"/>
        </w:rPr>
        <w:t xml:space="preserve">eagrass </w:t>
      </w:r>
      <w:r w:rsidR="00A10F54">
        <w:rPr>
          <w:rFonts w:ascii="Arial" w:hAnsi="Arial" w:cs="Arial"/>
          <w:i/>
          <w:sz w:val="20"/>
          <w:szCs w:val="20"/>
        </w:rPr>
        <w:t>M</w:t>
      </w:r>
      <w:r w:rsidRPr="00CB093C">
        <w:rPr>
          <w:rFonts w:ascii="Arial" w:hAnsi="Arial" w:cs="Arial"/>
          <w:i/>
          <w:sz w:val="20"/>
          <w:szCs w:val="20"/>
        </w:rPr>
        <w:t>onitoring</w:t>
      </w:r>
      <w:r w:rsidRPr="00CB093C">
        <w:rPr>
          <w:rFonts w:ascii="Arial" w:hAnsi="Arial" w:cs="Arial"/>
          <w:i/>
          <w:color w:val="000000"/>
          <w:sz w:val="20"/>
          <w:szCs w:val="20"/>
        </w:rPr>
        <w:t xml:space="preserve"> </w:t>
      </w:r>
      <w:r w:rsidR="008C0E45">
        <w:rPr>
          <w:rFonts w:ascii="Arial" w:hAnsi="Arial" w:cs="Arial"/>
          <w:i/>
          <w:color w:val="000000"/>
          <w:sz w:val="20"/>
          <w:szCs w:val="20"/>
        </w:rPr>
        <w:t>2017–18</w:t>
      </w:r>
      <w:r w:rsidRPr="00CB093C">
        <w:rPr>
          <w:rFonts w:ascii="Arial" w:hAnsi="Arial" w:cs="Arial"/>
          <w:i/>
          <w:color w:val="000000"/>
          <w:sz w:val="20"/>
          <w:szCs w:val="20"/>
        </w:rPr>
        <w:t xml:space="preserve">. Report </w:t>
      </w:r>
      <w:r w:rsidRPr="00CB093C">
        <w:rPr>
          <w:rFonts w:ascii="Arial" w:hAnsi="Arial" w:cs="Arial"/>
          <w:i/>
          <w:sz w:val="20"/>
          <w:szCs w:val="20"/>
        </w:rPr>
        <w:t>for the Great Barrier Reef Marine Park Authority</w:t>
      </w:r>
      <w:r w:rsidRPr="00CB093C">
        <w:rPr>
          <w:rFonts w:ascii="Arial" w:hAnsi="Arial" w:cs="Arial"/>
          <w:sz w:val="20"/>
          <w:szCs w:val="20"/>
          <w:lang w:val="en-AU"/>
        </w:rPr>
        <w:t xml:space="preserve">, </w:t>
      </w:r>
      <w:r w:rsidRPr="00CB093C">
        <w:rPr>
          <w:rFonts w:ascii="Arial" w:hAnsi="Arial" w:cs="Arial"/>
          <w:sz w:val="20"/>
          <w:szCs w:val="20"/>
        </w:rPr>
        <w:t xml:space="preserve">Great Barrier Reef Marine Park Authority, Townsville, </w:t>
      </w:r>
      <w:r w:rsidR="00A44D62" w:rsidRPr="00CB093C">
        <w:rPr>
          <w:rFonts w:ascii="Arial" w:hAnsi="Arial" w:cs="Arial"/>
          <w:sz w:val="20"/>
          <w:szCs w:val="20"/>
        </w:rPr>
        <w:t>1</w:t>
      </w:r>
      <w:r w:rsidR="006F6DAA" w:rsidRPr="00CB093C">
        <w:rPr>
          <w:rFonts w:ascii="Arial" w:hAnsi="Arial" w:cs="Arial"/>
          <w:sz w:val="20"/>
          <w:szCs w:val="20"/>
        </w:rPr>
        <w:t>80</w:t>
      </w:r>
      <w:r w:rsidRPr="00CB093C">
        <w:rPr>
          <w:rFonts w:ascii="Arial" w:hAnsi="Arial" w:cs="Arial"/>
          <w:sz w:val="20"/>
          <w:szCs w:val="20"/>
        </w:rPr>
        <w:t>pp.</w:t>
      </w:r>
    </w:p>
    <w:p w14:paraId="71FE6FAE" w14:textId="77777777" w:rsidR="00CF2E2A" w:rsidRPr="00CB093C" w:rsidRDefault="00CF2E2A" w:rsidP="00CF2E2A">
      <w:pPr>
        <w:ind w:left="284" w:hanging="284"/>
        <w:rPr>
          <w:rFonts w:ascii="Arial" w:hAnsi="Arial" w:cs="Arial"/>
          <w:sz w:val="20"/>
          <w:szCs w:val="20"/>
        </w:rPr>
      </w:pPr>
    </w:p>
    <w:p w14:paraId="244AB49E" w14:textId="26B34242" w:rsidR="00CF2E2A" w:rsidRPr="00CB093C" w:rsidRDefault="00CF2E2A" w:rsidP="00CF2E2A">
      <w:pPr>
        <w:rPr>
          <w:rFonts w:ascii="Arial" w:eastAsia="MS Mincho" w:hAnsi="Arial" w:cs="Arial"/>
          <w:sz w:val="20"/>
          <w:szCs w:val="20"/>
          <w:lang w:eastAsia="ja-JP"/>
        </w:rPr>
      </w:pPr>
      <w:r w:rsidRPr="008C0E45">
        <w:rPr>
          <w:rFonts w:ascii="Arial" w:eastAsia="MS Mincho" w:hAnsi="Arial" w:cs="Arial"/>
          <w:sz w:val="20"/>
          <w:szCs w:val="20"/>
          <w:lang w:eastAsia="ja-JP"/>
        </w:rPr>
        <w:t xml:space="preserve">Front cover </w:t>
      </w:r>
      <w:r w:rsidR="005959D0">
        <w:rPr>
          <w:rFonts w:ascii="Arial" w:eastAsia="MS Mincho" w:hAnsi="Arial" w:cs="Arial"/>
          <w:sz w:val="20"/>
          <w:szCs w:val="20"/>
          <w:lang w:eastAsia="ja-JP"/>
        </w:rPr>
        <w:t>photo</w:t>
      </w:r>
      <w:r w:rsidRPr="008C0E45">
        <w:rPr>
          <w:rFonts w:ascii="Arial" w:eastAsia="MS Mincho" w:hAnsi="Arial" w:cs="Arial"/>
          <w:sz w:val="20"/>
          <w:szCs w:val="20"/>
          <w:lang w:eastAsia="ja-JP"/>
        </w:rPr>
        <w:t xml:space="preserve">: </w:t>
      </w:r>
      <w:r w:rsidR="008C0E45" w:rsidRPr="008C0E45">
        <w:rPr>
          <w:rFonts w:ascii="Arial" w:hAnsi="Arial" w:cs="Arial"/>
          <w:sz w:val="20"/>
          <w:szCs w:val="20"/>
        </w:rPr>
        <w:t>Green Island</w:t>
      </w:r>
      <w:r w:rsidR="00D27790" w:rsidRPr="008C0E45">
        <w:rPr>
          <w:rFonts w:ascii="Arial" w:hAnsi="Arial" w:cs="Arial"/>
          <w:sz w:val="20"/>
          <w:szCs w:val="20"/>
        </w:rPr>
        <w:t>, Wet Tropics monitoring site</w:t>
      </w:r>
      <w:r w:rsidRPr="008C0E45">
        <w:rPr>
          <w:rFonts w:ascii="Arial" w:hAnsi="Arial" w:cs="Arial"/>
          <w:sz w:val="20"/>
          <w:szCs w:val="20"/>
        </w:rPr>
        <w:t xml:space="preserve">. </w:t>
      </w:r>
      <w:r w:rsidRPr="008C0E45">
        <w:rPr>
          <w:rFonts w:ascii="Arial" w:hAnsi="Arial" w:cs="Arial"/>
          <w:sz w:val="20"/>
          <w:szCs w:val="20"/>
        </w:rPr>
        <w:sym w:font="Symbol" w:char="F0E3"/>
      </w:r>
      <w:r w:rsidR="00D27790" w:rsidRPr="008C0E45">
        <w:rPr>
          <w:rFonts w:ascii="Arial" w:hAnsi="Arial" w:cs="Arial"/>
          <w:sz w:val="20"/>
          <w:szCs w:val="20"/>
        </w:rPr>
        <w:t xml:space="preserve"> GBRMPA 2018</w:t>
      </w:r>
    </w:p>
    <w:p w14:paraId="60FFD728" w14:textId="77777777" w:rsidR="00CF2E2A" w:rsidRPr="00CB093C" w:rsidRDefault="00CF2E2A" w:rsidP="00CF2E2A">
      <w:pPr>
        <w:rPr>
          <w:rFonts w:ascii="Arial" w:eastAsia="MS Mincho" w:hAnsi="Arial" w:cs="Arial"/>
          <w:b/>
          <w:sz w:val="20"/>
          <w:szCs w:val="20"/>
          <w:lang w:eastAsia="ja-JP"/>
        </w:rPr>
      </w:pPr>
    </w:p>
    <w:p w14:paraId="51EDF77E" w14:textId="77777777" w:rsidR="00CF2E2A" w:rsidRPr="00CB093C" w:rsidRDefault="00CF2E2A" w:rsidP="009F09A4">
      <w:pPr>
        <w:ind w:left="284" w:hanging="284"/>
        <w:rPr>
          <w:rFonts w:ascii="Arial" w:hAnsi="Arial" w:cs="Arial"/>
          <w:b/>
          <w:sz w:val="20"/>
          <w:szCs w:val="20"/>
        </w:rPr>
      </w:pPr>
      <w:r w:rsidRPr="00CB093C">
        <w:rPr>
          <w:rFonts w:ascii="Arial" w:hAnsi="Arial" w:cs="Arial"/>
          <w:b/>
          <w:sz w:val="20"/>
          <w:szCs w:val="20"/>
        </w:rPr>
        <w:t>DISCLAIMER</w:t>
      </w:r>
    </w:p>
    <w:p w14:paraId="313C6E12" w14:textId="3712AECB" w:rsidR="00CF2E2A" w:rsidRPr="00CB093C" w:rsidRDefault="00CF2E2A" w:rsidP="00CF2E2A">
      <w:pPr>
        <w:rPr>
          <w:rFonts w:ascii="Arial" w:eastAsia="MS Mincho" w:hAnsi="Arial" w:cs="Arial"/>
          <w:sz w:val="20"/>
          <w:szCs w:val="20"/>
          <w:lang w:eastAsia="ja-JP"/>
        </w:rPr>
      </w:pPr>
      <w:r w:rsidRPr="00CB093C">
        <w:rPr>
          <w:rFonts w:ascii="Arial" w:eastAsia="MS Mincho" w:hAnsi="Arial" w:cs="Arial"/>
          <w:sz w:val="20"/>
          <w:szCs w:val="20"/>
          <w:lang w:eastAsia="ja-JP"/>
        </w:rPr>
        <w:t xml:space="preserve">While reasonable efforts have been made to ensure that the contents of this document are factually correct, JCU and </w:t>
      </w:r>
      <w:r w:rsidR="009E0200" w:rsidRPr="00CB093C">
        <w:rPr>
          <w:rFonts w:ascii="Arial" w:eastAsia="MS Mincho" w:hAnsi="Arial" w:cs="Arial"/>
          <w:sz w:val="20"/>
          <w:szCs w:val="20"/>
          <w:lang w:eastAsia="ja-JP"/>
        </w:rPr>
        <w:t>TropWATER</w:t>
      </w:r>
      <w:r w:rsidRPr="00CB093C">
        <w:rPr>
          <w:rFonts w:ascii="Arial" w:eastAsia="MS Mincho" w:hAnsi="Arial" w:cs="Arial"/>
          <w:sz w:val="20"/>
          <w:szCs w:val="20"/>
          <w:lang w:eastAsia="ja-JP"/>
        </w:rPr>
        <w:t xml:space="preserve"> do not make any representation or give any warranty regarding the accuracy, completeness, currency or suitability for any particular purpose of the information or statements contained in this document. To the extent permitted by law JCU and </w:t>
      </w:r>
      <w:r w:rsidR="009E0200" w:rsidRPr="00CB093C">
        <w:rPr>
          <w:rFonts w:ascii="Arial" w:eastAsia="MS Mincho" w:hAnsi="Arial" w:cs="Arial"/>
          <w:sz w:val="20"/>
          <w:szCs w:val="20"/>
          <w:lang w:eastAsia="ja-JP"/>
        </w:rPr>
        <w:t>TropWATER</w:t>
      </w:r>
      <w:r w:rsidRPr="00CB093C">
        <w:rPr>
          <w:rFonts w:ascii="Arial" w:eastAsia="MS Mincho" w:hAnsi="Arial" w:cs="Arial"/>
          <w:sz w:val="20"/>
          <w:szCs w:val="20"/>
          <w:lang w:eastAsia="ja-JP"/>
        </w:rPr>
        <w:t xml:space="preserve"> shall not be liable for any loss, damage, cost or expense that may be occasioned directly or indirectly through the use of or reliance on the contents of this document.</w:t>
      </w:r>
    </w:p>
    <w:p w14:paraId="76578572" w14:textId="77777777" w:rsidR="00CF2E2A" w:rsidRPr="00CB093C" w:rsidRDefault="00CF2E2A" w:rsidP="00CF2E2A">
      <w:pPr>
        <w:ind w:left="284" w:hanging="284"/>
        <w:rPr>
          <w:rFonts w:ascii="Arial" w:hAnsi="Arial" w:cs="Arial"/>
          <w:sz w:val="20"/>
          <w:szCs w:val="20"/>
        </w:rPr>
      </w:pPr>
    </w:p>
    <w:p w14:paraId="16A76F9C" w14:textId="77777777" w:rsidR="00CF2E2A" w:rsidRPr="00CB093C" w:rsidRDefault="00CF2E2A" w:rsidP="00CF2E2A">
      <w:pPr>
        <w:rPr>
          <w:rFonts w:ascii="Arial" w:hAnsi="Arial" w:cs="Arial"/>
          <w:sz w:val="20"/>
          <w:szCs w:val="20"/>
        </w:rPr>
      </w:pPr>
      <w:r w:rsidRPr="00CB093C">
        <w:rPr>
          <w:rFonts w:ascii="Arial" w:hAnsi="Arial" w:cs="Arial"/>
          <w:sz w:val="20"/>
          <w:szCs w:val="20"/>
        </w:rPr>
        <w:t>Comments and questions regarding this document are welcome and should be addressed to:</w:t>
      </w:r>
    </w:p>
    <w:p w14:paraId="0CED47AF" w14:textId="77777777" w:rsidR="00CF2E2A" w:rsidRPr="00CB093C" w:rsidRDefault="00CF2E2A" w:rsidP="00CF2E2A">
      <w:pPr>
        <w:pStyle w:val="Infopage"/>
        <w:tabs>
          <w:tab w:val="left" w:pos="2700"/>
          <w:tab w:val="left" w:pos="5040"/>
        </w:tabs>
        <w:spacing w:after="0"/>
        <w:jc w:val="left"/>
        <w:rPr>
          <w:rFonts w:ascii="Arial" w:hAnsi="Arial" w:cs="Arial"/>
          <w:color w:val="000000"/>
          <w:sz w:val="20"/>
          <w:szCs w:val="20"/>
          <w:lang w:val="en-AU" w:eastAsia="en-GB"/>
        </w:rPr>
      </w:pPr>
    </w:p>
    <w:p w14:paraId="05E3AEEA" w14:textId="77777777" w:rsidR="00CF2E2A" w:rsidRPr="00CB093C" w:rsidRDefault="00CF2E2A" w:rsidP="009F09A4">
      <w:pPr>
        <w:pStyle w:val="Infopage"/>
        <w:tabs>
          <w:tab w:val="left" w:pos="2700"/>
          <w:tab w:val="left" w:pos="5040"/>
        </w:tabs>
        <w:spacing w:after="0"/>
        <w:jc w:val="left"/>
        <w:rPr>
          <w:rFonts w:ascii="Arial" w:hAnsi="Arial" w:cs="Arial"/>
          <w:color w:val="000000"/>
          <w:sz w:val="20"/>
          <w:szCs w:val="20"/>
          <w:lang w:val="en-AU" w:eastAsia="en-GB"/>
        </w:rPr>
      </w:pPr>
      <w:r w:rsidRPr="00CB093C">
        <w:rPr>
          <w:rFonts w:ascii="Arial" w:hAnsi="Arial" w:cs="Arial"/>
          <w:color w:val="000000"/>
          <w:sz w:val="20"/>
          <w:szCs w:val="20"/>
          <w:lang w:val="en-AU" w:eastAsia="en-GB"/>
        </w:rPr>
        <w:t>TropWATER- Centre for Tropical Water and Aquatic Ecosystem Research</w:t>
      </w:r>
    </w:p>
    <w:p w14:paraId="0AB9EC2D" w14:textId="77777777" w:rsidR="00CF2E2A" w:rsidRPr="00CB093C" w:rsidRDefault="00CF2E2A" w:rsidP="00CF2E2A">
      <w:pPr>
        <w:pStyle w:val="Infopage"/>
        <w:tabs>
          <w:tab w:val="left" w:pos="2700"/>
          <w:tab w:val="left" w:pos="5040"/>
        </w:tabs>
        <w:spacing w:after="0"/>
        <w:jc w:val="left"/>
        <w:rPr>
          <w:rFonts w:ascii="Arial" w:hAnsi="Arial" w:cs="Arial"/>
          <w:color w:val="000000"/>
          <w:sz w:val="20"/>
          <w:szCs w:val="20"/>
          <w:lang w:val="en-AU" w:eastAsia="en-GB"/>
        </w:rPr>
      </w:pPr>
      <w:r w:rsidRPr="00CB093C">
        <w:rPr>
          <w:rFonts w:ascii="Arial" w:hAnsi="Arial" w:cs="Arial"/>
          <w:color w:val="000000"/>
          <w:sz w:val="20"/>
          <w:szCs w:val="20"/>
          <w:lang w:val="en-AU" w:eastAsia="en-GB"/>
        </w:rPr>
        <w:lastRenderedPageBreak/>
        <w:t>James Cook University</w:t>
      </w:r>
    </w:p>
    <w:p w14:paraId="19A6316C" w14:textId="77777777" w:rsidR="00CF2E2A" w:rsidRPr="00CB093C" w:rsidRDefault="00CF2E2A" w:rsidP="00CF2E2A">
      <w:pPr>
        <w:pStyle w:val="Infopage"/>
        <w:tabs>
          <w:tab w:val="left" w:pos="2700"/>
          <w:tab w:val="left" w:pos="5040"/>
        </w:tabs>
        <w:spacing w:after="0"/>
        <w:jc w:val="left"/>
        <w:rPr>
          <w:rFonts w:ascii="Arial" w:hAnsi="Arial" w:cs="Arial"/>
          <w:color w:val="000000"/>
          <w:sz w:val="20"/>
          <w:szCs w:val="20"/>
          <w:lang w:val="en-AU" w:eastAsia="en-GB"/>
        </w:rPr>
      </w:pPr>
      <w:r w:rsidRPr="00CB093C">
        <w:rPr>
          <w:rFonts w:ascii="Arial" w:hAnsi="Arial" w:cs="Arial"/>
          <w:color w:val="000000"/>
          <w:sz w:val="20"/>
          <w:szCs w:val="20"/>
          <w:lang w:val="en-AU" w:eastAsia="en-GB"/>
        </w:rPr>
        <w:t>Townsville, Qld 4811</w:t>
      </w:r>
    </w:p>
    <w:p w14:paraId="17C2C31F" w14:textId="37DA97BA" w:rsidR="00CF2E2A" w:rsidRPr="00CB093C" w:rsidRDefault="00C911E4" w:rsidP="009F09A4">
      <w:pPr>
        <w:pStyle w:val="Infopage"/>
        <w:tabs>
          <w:tab w:val="left" w:pos="2700"/>
          <w:tab w:val="left" w:pos="5040"/>
        </w:tabs>
        <w:spacing w:after="0"/>
        <w:jc w:val="left"/>
        <w:rPr>
          <w:rFonts w:ascii="Arial" w:hAnsi="Arial" w:cs="Arial"/>
          <w:color w:val="0563C1"/>
          <w:sz w:val="20"/>
          <w:szCs w:val="20"/>
          <w:u w:val="single"/>
          <w:lang w:val="en-AU" w:eastAsia="en-GB"/>
        </w:rPr>
      </w:pPr>
      <w:hyperlink r:id="rId22" w:history="1">
        <w:r w:rsidR="00CF2E2A" w:rsidRPr="00CB093C">
          <w:rPr>
            <w:rFonts w:ascii="Arial" w:hAnsi="Arial" w:cs="Arial"/>
            <w:color w:val="0563C1"/>
            <w:sz w:val="20"/>
            <w:szCs w:val="20"/>
            <w:u w:val="single"/>
            <w:lang w:eastAsia="en-GB"/>
          </w:rPr>
          <w:t>Tropwater@jcu.edu.au</w:t>
        </w:r>
      </w:hyperlink>
    </w:p>
    <w:p w14:paraId="25C4294C" w14:textId="77777777" w:rsidR="00CF2E2A" w:rsidRPr="00CB093C" w:rsidRDefault="00CF2E2A" w:rsidP="00CF2E2A">
      <w:pPr>
        <w:pStyle w:val="Infopage"/>
        <w:rPr>
          <w:rFonts w:ascii="Arial" w:hAnsi="Arial" w:cs="Arial"/>
          <w:sz w:val="20"/>
          <w:szCs w:val="20"/>
          <w:lang w:val="en-AU"/>
        </w:rPr>
      </w:pPr>
    </w:p>
    <w:p w14:paraId="71710274" w14:textId="1141FE0B" w:rsidR="00CF2E2A" w:rsidRPr="00CB093C" w:rsidRDefault="00CF2E2A" w:rsidP="00CF2E2A">
      <w:pPr>
        <w:spacing w:before="100" w:beforeAutospacing="1" w:after="100" w:afterAutospacing="1"/>
        <w:rPr>
          <w:rFonts w:ascii="Arial" w:hAnsi="Arial" w:cs="Arial"/>
          <w:i/>
          <w:iCs/>
          <w:sz w:val="20"/>
          <w:szCs w:val="20"/>
          <w:lang w:val="en-US"/>
        </w:rPr>
      </w:pPr>
      <w:r w:rsidRPr="00CB093C">
        <w:rPr>
          <w:rFonts w:ascii="Arial" w:hAnsi="Arial" w:cs="Arial"/>
          <w:i/>
          <w:iCs/>
          <w:sz w:val="20"/>
          <w:szCs w:val="20"/>
          <w:lang w:val="en-US"/>
        </w:rPr>
        <w:t xml:space="preserve">This project is supported by the Great Barrier Reef Marine Park Authority through funding from the Australian Government Reef Program, the </w:t>
      </w:r>
      <w:r w:rsidR="00DB39B2">
        <w:rPr>
          <w:rFonts w:ascii="Arial" w:hAnsi="Arial" w:cs="Arial"/>
          <w:i/>
          <w:iCs/>
          <w:sz w:val="20"/>
          <w:szCs w:val="20"/>
          <w:lang w:val="en-US"/>
        </w:rPr>
        <w:t xml:space="preserve">Australian and Queensland governments </w:t>
      </w:r>
      <w:r w:rsidRPr="00CB093C">
        <w:rPr>
          <w:rFonts w:ascii="Arial" w:hAnsi="Arial" w:cs="Arial"/>
          <w:i/>
          <w:iCs/>
          <w:sz w:val="20"/>
          <w:szCs w:val="20"/>
        </w:rPr>
        <w:t xml:space="preserve">Reef 2050 Integrated Monitoring and Reporting Program, </w:t>
      </w:r>
      <w:r w:rsidR="005D79A9" w:rsidRPr="00CB093C">
        <w:rPr>
          <w:rFonts w:ascii="Arial" w:hAnsi="Arial" w:cs="Arial"/>
          <w:i/>
          <w:iCs/>
          <w:sz w:val="20"/>
          <w:szCs w:val="20"/>
        </w:rPr>
        <w:t xml:space="preserve">Australian Institute of Marine Science </w:t>
      </w:r>
      <w:r w:rsidRPr="00CB093C">
        <w:rPr>
          <w:rFonts w:ascii="Arial" w:hAnsi="Arial" w:cs="Arial"/>
          <w:i/>
          <w:iCs/>
          <w:sz w:val="20"/>
          <w:szCs w:val="20"/>
        </w:rPr>
        <w:t>and J</w:t>
      </w:r>
      <w:r w:rsidR="005D79A9" w:rsidRPr="00CB093C">
        <w:rPr>
          <w:rFonts w:ascii="Arial" w:hAnsi="Arial" w:cs="Arial"/>
          <w:i/>
          <w:iCs/>
          <w:sz w:val="20"/>
          <w:szCs w:val="20"/>
        </w:rPr>
        <w:t xml:space="preserve">ames </w:t>
      </w:r>
      <w:r w:rsidRPr="00CB093C">
        <w:rPr>
          <w:rFonts w:ascii="Arial" w:hAnsi="Arial" w:cs="Arial"/>
          <w:i/>
          <w:iCs/>
          <w:sz w:val="20"/>
          <w:szCs w:val="20"/>
        </w:rPr>
        <w:t>C</w:t>
      </w:r>
      <w:r w:rsidR="005D79A9" w:rsidRPr="00CB093C">
        <w:rPr>
          <w:rFonts w:ascii="Arial" w:hAnsi="Arial" w:cs="Arial"/>
          <w:i/>
          <w:iCs/>
          <w:sz w:val="20"/>
          <w:szCs w:val="20"/>
        </w:rPr>
        <w:t xml:space="preserve">ook </w:t>
      </w:r>
      <w:r w:rsidRPr="00CB093C">
        <w:rPr>
          <w:rFonts w:ascii="Arial" w:hAnsi="Arial" w:cs="Arial"/>
          <w:i/>
          <w:iCs/>
          <w:sz w:val="20"/>
          <w:szCs w:val="20"/>
        </w:rPr>
        <w:t>U</w:t>
      </w:r>
      <w:r w:rsidR="005D79A9" w:rsidRPr="00CB093C">
        <w:rPr>
          <w:rFonts w:ascii="Arial" w:hAnsi="Arial" w:cs="Arial"/>
          <w:i/>
          <w:iCs/>
          <w:sz w:val="20"/>
          <w:szCs w:val="20"/>
        </w:rPr>
        <w:t>niversity</w:t>
      </w:r>
      <w:r w:rsidRPr="00CB093C">
        <w:rPr>
          <w:rFonts w:ascii="Arial" w:hAnsi="Arial" w:cs="Arial"/>
          <w:i/>
          <w:iCs/>
          <w:sz w:val="20"/>
          <w:szCs w:val="20"/>
        </w:rPr>
        <w:t>.</w:t>
      </w:r>
    </w:p>
    <w:p w14:paraId="04AE30E1" w14:textId="77777777" w:rsidR="006070CB" w:rsidRPr="00DA741D" w:rsidRDefault="006070CB" w:rsidP="006070CB">
      <w:pPr>
        <w:pStyle w:val="Infopage"/>
        <w:spacing w:before="120"/>
      </w:pPr>
    </w:p>
    <w:p w14:paraId="57674619" w14:textId="77777777" w:rsidR="006070CB" w:rsidRPr="00DA741D" w:rsidRDefault="006070CB" w:rsidP="006070CB">
      <w:pPr>
        <w:tabs>
          <w:tab w:val="left" w:pos="2127"/>
        </w:tabs>
        <w:rPr>
          <w:rFonts w:ascii="Arial Narrow" w:eastAsia="MS Mincho" w:hAnsi="Arial Narrow" w:cs="Arial"/>
          <w:szCs w:val="22"/>
          <w:lang w:eastAsia="ja-JP"/>
        </w:rPr>
      </w:pPr>
    </w:p>
    <w:p w14:paraId="2FF91A8E" w14:textId="77777777" w:rsidR="006070CB" w:rsidRPr="00DA741D" w:rsidRDefault="006070CB" w:rsidP="006070CB">
      <w:pPr>
        <w:tabs>
          <w:tab w:val="left" w:pos="2127"/>
        </w:tabs>
        <w:rPr>
          <w:rFonts w:ascii="Arial Narrow" w:eastAsia="MS Mincho" w:hAnsi="Arial Narrow" w:cs="Arial"/>
          <w:szCs w:val="22"/>
          <w:lang w:eastAsia="ja-JP"/>
        </w:rPr>
      </w:pPr>
    </w:p>
    <w:p w14:paraId="027C7B87" w14:textId="77777777" w:rsidR="006070CB" w:rsidRPr="00DA741D" w:rsidRDefault="006070CB" w:rsidP="006070CB">
      <w:pPr>
        <w:tabs>
          <w:tab w:val="left" w:pos="2127"/>
        </w:tabs>
        <w:rPr>
          <w:rFonts w:ascii="Arial Narrow" w:eastAsia="MS Mincho" w:hAnsi="Arial Narrow" w:cs="Arial"/>
          <w:szCs w:val="22"/>
          <w:lang w:eastAsia="ja-JP"/>
        </w:rPr>
        <w:sectPr w:rsidR="006070CB" w:rsidRPr="00DA741D" w:rsidSect="001F5FE0">
          <w:headerReference w:type="even" r:id="rId23"/>
          <w:headerReference w:type="default" r:id="rId24"/>
          <w:footerReference w:type="even" r:id="rId25"/>
          <w:headerReference w:type="first" r:id="rId26"/>
          <w:pgSz w:w="11906" w:h="16838" w:code="9"/>
          <w:pgMar w:top="1418" w:right="1418" w:bottom="1418" w:left="1418" w:header="709" w:footer="709" w:gutter="0"/>
          <w:pgNumType w:fmt="lowerRoman" w:start="2"/>
          <w:cols w:space="720"/>
          <w:docGrid w:linePitch="299"/>
        </w:sectPr>
      </w:pPr>
    </w:p>
    <w:p w14:paraId="7C9B9785" w14:textId="77777777" w:rsidR="001F4593" w:rsidRPr="005959D0" w:rsidRDefault="001F4593" w:rsidP="00DD3BAE">
      <w:pPr>
        <w:spacing w:after="0"/>
        <w:rPr>
          <w:rFonts w:ascii="Arial" w:hAnsi="Arial" w:cs="Arial"/>
          <w:b/>
          <w:color w:val="000000"/>
          <w:sz w:val="32"/>
          <w:szCs w:val="32"/>
        </w:rPr>
      </w:pPr>
      <w:r w:rsidRPr="005959D0">
        <w:rPr>
          <w:rFonts w:ascii="Arial" w:hAnsi="Arial" w:cs="Arial"/>
          <w:b/>
          <w:color w:val="000000"/>
          <w:sz w:val="32"/>
          <w:szCs w:val="32"/>
        </w:rPr>
        <w:lastRenderedPageBreak/>
        <w:t>Contents</w:t>
      </w:r>
    </w:p>
    <w:p w14:paraId="7810D355" w14:textId="77777777" w:rsidR="00A719AF" w:rsidRPr="00DA741D" w:rsidRDefault="00A719AF" w:rsidP="00217DA1">
      <w:pPr>
        <w:pStyle w:val="TOC1"/>
      </w:pPr>
    </w:p>
    <w:p w14:paraId="5DD5D251" w14:textId="283FC144" w:rsidR="00693D54" w:rsidRDefault="00693D54">
      <w:pPr>
        <w:pStyle w:val="TOC1"/>
        <w:rPr>
          <w:rFonts w:asciiTheme="minorHAnsi" w:eastAsiaTheme="minorEastAsia" w:hAnsiTheme="minorHAnsi" w:cstheme="minorBidi"/>
          <w:b w:val="0"/>
          <w:bCs w:val="0"/>
          <w:noProof/>
          <w:szCs w:val="22"/>
          <w:lang w:eastAsia="en-AU"/>
        </w:rPr>
      </w:pPr>
      <w:r>
        <w:rPr>
          <w:rFonts w:cs="Arial"/>
          <w:color w:val="000000"/>
        </w:rPr>
        <w:fldChar w:fldCharType="begin"/>
      </w:r>
      <w:r>
        <w:rPr>
          <w:rFonts w:cs="Arial"/>
          <w:color w:val="000000"/>
        </w:rPr>
        <w:instrText xml:space="preserve"> TOC \o "1-4" \h \z \u </w:instrText>
      </w:r>
      <w:r>
        <w:rPr>
          <w:rFonts w:cs="Arial"/>
          <w:color w:val="000000"/>
        </w:rPr>
        <w:fldChar w:fldCharType="separate"/>
      </w:r>
      <w:hyperlink w:anchor="_Toc11394683" w:history="1">
        <w:r w:rsidRPr="002269E6">
          <w:rPr>
            <w:rStyle w:val="Hyperlink"/>
            <w:noProof/>
          </w:rPr>
          <w:t xml:space="preserve">List of </w:t>
        </w:r>
        <w:r w:rsidR="00BE4012">
          <w:rPr>
            <w:rStyle w:val="Hyperlink"/>
            <w:noProof/>
          </w:rPr>
          <w:t>f</w:t>
        </w:r>
        <w:r w:rsidRPr="002269E6">
          <w:rPr>
            <w:rStyle w:val="Hyperlink"/>
            <w:noProof/>
          </w:rPr>
          <w:t>igures</w:t>
        </w:r>
        <w:r>
          <w:rPr>
            <w:noProof/>
            <w:webHidden/>
          </w:rPr>
          <w:tab/>
        </w:r>
        <w:r>
          <w:rPr>
            <w:noProof/>
            <w:webHidden/>
          </w:rPr>
          <w:fldChar w:fldCharType="begin"/>
        </w:r>
        <w:r>
          <w:rPr>
            <w:noProof/>
            <w:webHidden/>
          </w:rPr>
          <w:instrText xml:space="preserve"> PAGEREF _Toc11394683 \h </w:instrText>
        </w:r>
        <w:r>
          <w:rPr>
            <w:noProof/>
            <w:webHidden/>
          </w:rPr>
        </w:r>
        <w:r>
          <w:rPr>
            <w:noProof/>
            <w:webHidden/>
          </w:rPr>
          <w:fldChar w:fldCharType="separate"/>
        </w:r>
        <w:r w:rsidR="005F00D4">
          <w:rPr>
            <w:noProof/>
            <w:webHidden/>
          </w:rPr>
          <w:t>iv</w:t>
        </w:r>
        <w:r>
          <w:rPr>
            <w:noProof/>
            <w:webHidden/>
          </w:rPr>
          <w:fldChar w:fldCharType="end"/>
        </w:r>
      </w:hyperlink>
    </w:p>
    <w:p w14:paraId="6EF24371" w14:textId="60F0B795" w:rsidR="00693D54" w:rsidRDefault="00C911E4">
      <w:pPr>
        <w:pStyle w:val="TOC1"/>
        <w:rPr>
          <w:rFonts w:asciiTheme="minorHAnsi" w:eastAsiaTheme="minorEastAsia" w:hAnsiTheme="minorHAnsi" w:cstheme="minorBidi"/>
          <w:b w:val="0"/>
          <w:bCs w:val="0"/>
          <w:noProof/>
          <w:szCs w:val="22"/>
          <w:lang w:eastAsia="en-AU"/>
        </w:rPr>
      </w:pPr>
      <w:hyperlink w:anchor="_Toc11394684" w:history="1">
        <w:r w:rsidR="00693D54" w:rsidRPr="002269E6">
          <w:rPr>
            <w:rStyle w:val="Hyperlink"/>
            <w:noProof/>
          </w:rPr>
          <w:t xml:space="preserve">List of </w:t>
        </w:r>
        <w:r w:rsidR="00BE4012">
          <w:rPr>
            <w:rStyle w:val="Hyperlink"/>
            <w:noProof/>
          </w:rPr>
          <w:t>t</w:t>
        </w:r>
        <w:r w:rsidR="00693D54" w:rsidRPr="002269E6">
          <w:rPr>
            <w:rStyle w:val="Hyperlink"/>
            <w:noProof/>
          </w:rPr>
          <w:t>ables</w:t>
        </w:r>
        <w:r w:rsidR="00693D54">
          <w:rPr>
            <w:noProof/>
            <w:webHidden/>
          </w:rPr>
          <w:tab/>
        </w:r>
        <w:r w:rsidR="00693D54">
          <w:rPr>
            <w:noProof/>
            <w:webHidden/>
          </w:rPr>
          <w:fldChar w:fldCharType="begin"/>
        </w:r>
        <w:r w:rsidR="00693D54">
          <w:rPr>
            <w:noProof/>
            <w:webHidden/>
          </w:rPr>
          <w:instrText xml:space="preserve"> PAGEREF _Toc11394684 \h </w:instrText>
        </w:r>
        <w:r w:rsidR="00693D54">
          <w:rPr>
            <w:noProof/>
            <w:webHidden/>
          </w:rPr>
        </w:r>
        <w:r w:rsidR="00693D54">
          <w:rPr>
            <w:noProof/>
            <w:webHidden/>
          </w:rPr>
          <w:fldChar w:fldCharType="separate"/>
        </w:r>
        <w:r w:rsidR="005F00D4">
          <w:rPr>
            <w:noProof/>
            <w:webHidden/>
          </w:rPr>
          <w:t>xi</w:t>
        </w:r>
        <w:r w:rsidR="00693D54">
          <w:rPr>
            <w:noProof/>
            <w:webHidden/>
          </w:rPr>
          <w:fldChar w:fldCharType="end"/>
        </w:r>
      </w:hyperlink>
    </w:p>
    <w:p w14:paraId="5F1233F8" w14:textId="77777777" w:rsidR="00693D54" w:rsidRDefault="00C911E4">
      <w:pPr>
        <w:pStyle w:val="TOC1"/>
        <w:rPr>
          <w:rFonts w:asciiTheme="minorHAnsi" w:eastAsiaTheme="minorEastAsia" w:hAnsiTheme="minorHAnsi" w:cstheme="minorBidi"/>
          <w:b w:val="0"/>
          <w:bCs w:val="0"/>
          <w:noProof/>
          <w:szCs w:val="22"/>
          <w:lang w:eastAsia="en-AU"/>
        </w:rPr>
      </w:pPr>
      <w:hyperlink w:anchor="_Toc11394685" w:history="1">
        <w:r w:rsidR="00693D54" w:rsidRPr="002269E6">
          <w:rPr>
            <w:rStyle w:val="Hyperlink"/>
            <w:noProof/>
          </w:rPr>
          <w:t>Acronyms, abbreviations and units used in this report</w:t>
        </w:r>
        <w:r w:rsidR="00693D54">
          <w:rPr>
            <w:noProof/>
            <w:webHidden/>
          </w:rPr>
          <w:tab/>
        </w:r>
        <w:r w:rsidR="00693D54">
          <w:rPr>
            <w:noProof/>
            <w:webHidden/>
          </w:rPr>
          <w:fldChar w:fldCharType="begin"/>
        </w:r>
        <w:r w:rsidR="00693D54">
          <w:rPr>
            <w:noProof/>
            <w:webHidden/>
          </w:rPr>
          <w:instrText xml:space="preserve"> PAGEREF _Toc11394685 \h </w:instrText>
        </w:r>
        <w:r w:rsidR="00693D54">
          <w:rPr>
            <w:noProof/>
            <w:webHidden/>
          </w:rPr>
        </w:r>
        <w:r w:rsidR="00693D54">
          <w:rPr>
            <w:noProof/>
            <w:webHidden/>
          </w:rPr>
          <w:fldChar w:fldCharType="separate"/>
        </w:r>
        <w:r w:rsidR="005F00D4">
          <w:rPr>
            <w:noProof/>
            <w:webHidden/>
          </w:rPr>
          <w:t>xiii</w:t>
        </w:r>
        <w:r w:rsidR="00693D54">
          <w:rPr>
            <w:noProof/>
            <w:webHidden/>
          </w:rPr>
          <w:fldChar w:fldCharType="end"/>
        </w:r>
      </w:hyperlink>
    </w:p>
    <w:p w14:paraId="58609CEA" w14:textId="77777777" w:rsidR="00693D54" w:rsidRDefault="00C911E4">
      <w:pPr>
        <w:pStyle w:val="TOC1"/>
        <w:rPr>
          <w:rFonts w:asciiTheme="minorHAnsi" w:eastAsiaTheme="minorEastAsia" w:hAnsiTheme="minorHAnsi" w:cstheme="minorBidi"/>
          <w:b w:val="0"/>
          <w:bCs w:val="0"/>
          <w:noProof/>
          <w:szCs w:val="22"/>
          <w:lang w:eastAsia="en-AU"/>
        </w:rPr>
      </w:pPr>
      <w:hyperlink w:anchor="_Toc11394686" w:history="1">
        <w:r w:rsidR="00693D54" w:rsidRPr="002269E6">
          <w:rPr>
            <w:rStyle w:val="Hyperlink"/>
            <w:noProof/>
          </w:rPr>
          <w:t>Acknowledgements</w:t>
        </w:r>
        <w:r w:rsidR="00693D54">
          <w:rPr>
            <w:noProof/>
            <w:webHidden/>
          </w:rPr>
          <w:tab/>
        </w:r>
        <w:r w:rsidR="00693D54">
          <w:rPr>
            <w:noProof/>
            <w:webHidden/>
          </w:rPr>
          <w:fldChar w:fldCharType="begin"/>
        </w:r>
        <w:r w:rsidR="00693D54">
          <w:rPr>
            <w:noProof/>
            <w:webHidden/>
          </w:rPr>
          <w:instrText xml:space="preserve"> PAGEREF _Toc11394686 \h </w:instrText>
        </w:r>
        <w:r w:rsidR="00693D54">
          <w:rPr>
            <w:noProof/>
            <w:webHidden/>
          </w:rPr>
        </w:r>
        <w:r w:rsidR="00693D54">
          <w:rPr>
            <w:noProof/>
            <w:webHidden/>
          </w:rPr>
          <w:fldChar w:fldCharType="separate"/>
        </w:r>
        <w:r w:rsidR="005F00D4">
          <w:rPr>
            <w:noProof/>
            <w:webHidden/>
          </w:rPr>
          <w:t>xiv</w:t>
        </w:r>
        <w:r w:rsidR="00693D54">
          <w:rPr>
            <w:noProof/>
            <w:webHidden/>
          </w:rPr>
          <w:fldChar w:fldCharType="end"/>
        </w:r>
      </w:hyperlink>
    </w:p>
    <w:p w14:paraId="0D70A576" w14:textId="77777777" w:rsidR="00693D54" w:rsidRDefault="00C911E4">
      <w:pPr>
        <w:pStyle w:val="TOC1"/>
        <w:rPr>
          <w:rFonts w:asciiTheme="minorHAnsi" w:eastAsiaTheme="minorEastAsia" w:hAnsiTheme="minorHAnsi" w:cstheme="minorBidi"/>
          <w:b w:val="0"/>
          <w:bCs w:val="0"/>
          <w:noProof/>
          <w:szCs w:val="22"/>
          <w:lang w:eastAsia="en-AU"/>
        </w:rPr>
      </w:pPr>
      <w:hyperlink w:anchor="_Toc11394687" w:history="1">
        <w:r w:rsidR="00693D54" w:rsidRPr="002269E6">
          <w:rPr>
            <w:rStyle w:val="Hyperlink"/>
            <w:noProof/>
          </w:rPr>
          <w:t>Executive summary</w:t>
        </w:r>
        <w:r w:rsidR="00693D54">
          <w:rPr>
            <w:noProof/>
            <w:webHidden/>
          </w:rPr>
          <w:tab/>
        </w:r>
        <w:r w:rsidR="00693D54">
          <w:rPr>
            <w:noProof/>
            <w:webHidden/>
          </w:rPr>
          <w:fldChar w:fldCharType="begin"/>
        </w:r>
        <w:r w:rsidR="00693D54">
          <w:rPr>
            <w:noProof/>
            <w:webHidden/>
          </w:rPr>
          <w:instrText xml:space="preserve"> PAGEREF _Toc11394687 \h </w:instrText>
        </w:r>
        <w:r w:rsidR="00693D54">
          <w:rPr>
            <w:noProof/>
            <w:webHidden/>
          </w:rPr>
        </w:r>
        <w:r w:rsidR="00693D54">
          <w:rPr>
            <w:noProof/>
            <w:webHidden/>
          </w:rPr>
          <w:fldChar w:fldCharType="separate"/>
        </w:r>
        <w:r w:rsidR="005F00D4">
          <w:rPr>
            <w:noProof/>
            <w:webHidden/>
          </w:rPr>
          <w:t>1</w:t>
        </w:r>
        <w:r w:rsidR="00693D54">
          <w:rPr>
            <w:noProof/>
            <w:webHidden/>
          </w:rPr>
          <w:fldChar w:fldCharType="end"/>
        </w:r>
      </w:hyperlink>
    </w:p>
    <w:p w14:paraId="35885B49" w14:textId="77777777" w:rsidR="00693D54" w:rsidRDefault="00C911E4">
      <w:pPr>
        <w:pStyle w:val="TOC1"/>
        <w:tabs>
          <w:tab w:val="left" w:pos="442"/>
        </w:tabs>
        <w:rPr>
          <w:rFonts w:asciiTheme="minorHAnsi" w:eastAsiaTheme="minorEastAsia" w:hAnsiTheme="minorHAnsi" w:cstheme="minorBidi"/>
          <w:b w:val="0"/>
          <w:bCs w:val="0"/>
          <w:noProof/>
          <w:szCs w:val="22"/>
          <w:lang w:eastAsia="en-AU"/>
        </w:rPr>
      </w:pPr>
      <w:hyperlink w:anchor="_Toc11394688" w:history="1">
        <w:r w:rsidR="00693D54" w:rsidRPr="002269E6">
          <w:rPr>
            <w:rStyle w:val="Hyperlink"/>
            <w:noProof/>
          </w:rPr>
          <w:t>1</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Introduction</w:t>
        </w:r>
        <w:r w:rsidR="00693D54">
          <w:rPr>
            <w:noProof/>
            <w:webHidden/>
          </w:rPr>
          <w:tab/>
        </w:r>
        <w:r w:rsidR="00693D54">
          <w:rPr>
            <w:noProof/>
            <w:webHidden/>
          </w:rPr>
          <w:fldChar w:fldCharType="begin"/>
        </w:r>
        <w:r w:rsidR="00693D54">
          <w:rPr>
            <w:noProof/>
            <w:webHidden/>
          </w:rPr>
          <w:instrText xml:space="preserve"> PAGEREF _Toc11394688 \h </w:instrText>
        </w:r>
        <w:r w:rsidR="00693D54">
          <w:rPr>
            <w:noProof/>
            <w:webHidden/>
          </w:rPr>
        </w:r>
        <w:r w:rsidR="00693D54">
          <w:rPr>
            <w:noProof/>
            <w:webHidden/>
          </w:rPr>
          <w:fldChar w:fldCharType="separate"/>
        </w:r>
        <w:r w:rsidR="005F00D4">
          <w:rPr>
            <w:noProof/>
            <w:webHidden/>
          </w:rPr>
          <w:t>4</w:t>
        </w:r>
        <w:r w:rsidR="00693D54">
          <w:rPr>
            <w:noProof/>
            <w:webHidden/>
          </w:rPr>
          <w:fldChar w:fldCharType="end"/>
        </w:r>
      </w:hyperlink>
    </w:p>
    <w:p w14:paraId="4B22DAEF"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689" w:history="1">
        <w:r w:rsidR="00693D54" w:rsidRPr="002269E6">
          <w:rPr>
            <w:rStyle w:val="Hyperlink"/>
            <w:noProof/>
          </w:rPr>
          <w:t>1.1</w:t>
        </w:r>
        <w:r w:rsidR="00693D54">
          <w:rPr>
            <w:rFonts w:asciiTheme="minorHAnsi" w:eastAsiaTheme="minorEastAsia" w:hAnsiTheme="minorHAnsi" w:cstheme="minorBidi"/>
            <w:noProof/>
            <w:sz w:val="22"/>
            <w:szCs w:val="22"/>
            <w:lang w:eastAsia="en-AU"/>
          </w:rPr>
          <w:tab/>
        </w:r>
        <w:r w:rsidR="00693D54" w:rsidRPr="002269E6">
          <w:rPr>
            <w:rStyle w:val="Hyperlink"/>
            <w:noProof/>
          </w:rPr>
          <w:t>Seagrass monitoring in the Marine Monitoring Program</w:t>
        </w:r>
        <w:r w:rsidR="00693D54">
          <w:rPr>
            <w:noProof/>
            <w:webHidden/>
          </w:rPr>
          <w:tab/>
        </w:r>
        <w:r w:rsidR="00693D54">
          <w:rPr>
            <w:noProof/>
            <w:webHidden/>
          </w:rPr>
          <w:fldChar w:fldCharType="begin"/>
        </w:r>
        <w:r w:rsidR="00693D54">
          <w:rPr>
            <w:noProof/>
            <w:webHidden/>
          </w:rPr>
          <w:instrText xml:space="preserve"> PAGEREF _Toc11394689 \h </w:instrText>
        </w:r>
        <w:r w:rsidR="00693D54">
          <w:rPr>
            <w:noProof/>
            <w:webHidden/>
          </w:rPr>
        </w:r>
        <w:r w:rsidR="00693D54">
          <w:rPr>
            <w:noProof/>
            <w:webHidden/>
          </w:rPr>
          <w:fldChar w:fldCharType="separate"/>
        </w:r>
        <w:r w:rsidR="005F00D4">
          <w:rPr>
            <w:noProof/>
            <w:webHidden/>
          </w:rPr>
          <w:t>4</w:t>
        </w:r>
        <w:r w:rsidR="00693D54">
          <w:rPr>
            <w:noProof/>
            <w:webHidden/>
          </w:rPr>
          <w:fldChar w:fldCharType="end"/>
        </w:r>
      </w:hyperlink>
    </w:p>
    <w:p w14:paraId="1335CD62"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690" w:history="1">
        <w:r w:rsidR="00693D54" w:rsidRPr="002269E6">
          <w:rPr>
            <w:rStyle w:val="Hyperlink"/>
            <w:noProof/>
          </w:rPr>
          <w:t>1.2</w:t>
        </w:r>
        <w:r w:rsidR="00693D54">
          <w:rPr>
            <w:rFonts w:asciiTheme="minorHAnsi" w:eastAsiaTheme="minorEastAsia" w:hAnsiTheme="minorHAnsi" w:cstheme="minorBidi"/>
            <w:noProof/>
            <w:sz w:val="22"/>
            <w:szCs w:val="22"/>
            <w:lang w:eastAsia="en-AU"/>
          </w:rPr>
          <w:tab/>
        </w:r>
        <w:r w:rsidR="00693D54" w:rsidRPr="002269E6">
          <w:rPr>
            <w:rStyle w:val="Hyperlink"/>
            <w:noProof/>
          </w:rPr>
          <w:t>Conceptual basis for indicator selection</w:t>
        </w:r>
        <w:r w:rsidR="00693D54">
          <w:rPr>
            <w:noProof/>
            <w:webHidden/>
          </w:rPr>
          <w:tab/>
        </w:r>
        <w:r w:rsidR="00693D54">
          <w:rPr>
            <w:noProof/>
            <w:webHidden/>
          </w:rPr>
          <w:fldChar w:fldCharType="begin"/>
        </w:r>
        <w:r w:rsidR="00693D54">
          <w:rPr>
            <w:noProof/>
            <w:webHidden/>
          </w:rPr>
          <w:instrText xml:space="preserve"> PAGEREF _Toc11394690 \h </w:instrText>
        </w:r>
        <w:r w:rsidR="00693D54">
          <w:rPr>
            <w:noProof/>
            <w:webHidden/>
          </w:rPr>
        </w:r>
        <w:r w:rsidR="00693D54">
          <w:rPr>
            <w:noProof/>
            <w:webHidden/>
          </w:rPr>
          <w:fldChar w:fldCharType="separate"/>
        </w:r>
        <w:r w:rsidR="005F00D4">
          <w:rPr>
            <w:noProof/>
            <w:webHidden/>
          </w:rPr>
          <w:t>6</w:t>
        </w:r>
        <w:r w:rsidR="00693D54">
          <w:rPr>
            <w:noProof/>
            <w:webHidden/>
          </w:rPr>
          <w:fldChar w:fldCharType="end"/>
        </w:r>
      </w:hyperlink>
    </w:p>
    <w:p w14:paraId="1214D1D1"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691" w:history="1">
        <w:r w:rsidR="00693D54" w:rsidRPr="002269E6">
          <w:rPr>
            <w:rStyle w:val="Hyperlink"/>
            <w:noProof/>
          </w:rPr>
          <w:t>1.3</w:t>
        </w:r>
        <w:r w:rsidR="00693D54">
          <w:rPr>
            <w:rFonts w:asciiTheme="minorHAnsi" w:eastAsiaTheme="minorEastAsia" w:hAnsiTheme="minorHAnsi" w:cstheme="minorBidi"/>
            <w:noProof/>
            <w:sz w:val="22"/>
            <w:szCs w:val="22"/>
            <w:lang w:eastAsia="en-AU"/>
          </w:rPr>
          <w:tab/>
        </w:r>
        <w:r w:rsidR="00693D54" w:rsidRPr="002269E6">
          <w:rPr>
            <w:rStyle w:val="Hyperlink"/>
            <w:noProof/>
          </w:rPr>
          <w:t>Structure of the Report</w:t>
        </w:r>
        <w:r w:rsidR="00693D54">
          <w:rPr>
            <w:noProof/>
            <w:webHidden/>
          </w:rPr>
          <w:tab/>
        </w:r>
        <w:r w:rsidR="00693D54">
          <w:rPr>
            <w:noProof/>
            <w:webHidden/>
          </w:rPr>
          <w:fldChar w:fldCharType="begin"/>
        </w:r>
        <w:r w:rsidR="00693D54">
          <w:rPr>
            <w:noProof/>
            <w:webHidden/>
          </w:rPr>
          <w:instrText xml:space="preserve"> PAGEREF _Toc11394691 \h </w:instrText>
        </w:r>
        <w:r w:rsidR="00693D54">
          <w:rPr>
            <w:noProof/>
            <w:webHidden/>
          </w:rPr>
        </w:r>
        <w:r w:rsidR="00693D54">
          <w:rPr>
            <w:noProof/>
            <w:webHidden/>
          </w:rPr>
          <w:fldChar w:fldCharType="separate"/>
        </w:r>
        <w:r w:rsidR="005F00D4">
          <w:rPr>
            <w:noProof/>
            <w:webHidden/>
          </w:rPr>
          <w:t>10</w:t>
        </w:r>
        <w:r w:rsidR="00693D54">
          <w:rPr>
            <w:noProof/>
            <w:webHidden/>
          </w:rPr>
          <w:fldChar w:fldCharType="end"/>
        </w:r>
      </w:hyperlink>
    </w:p>
    <w:p w14:paraId="43C1EEA8" w14:textId="77777777" w:rsidR="00693D54" w:rsidRDefault="00C911E4">
      <w:pPr>
        <w:pStyle w:val="TOC1"/>
        <w:tabs>
          <w:tab w:val="left" w:pos="442"/>
        </w:tabs>
        <w:rPr>
          <w:rFonts w:asciiTheme="minorHAnsi" w:eastAsiaTheme="minorEastAsia" w:hAnsiTheme="minorHAnsi" w:cstheme="minorBidi"/>
          <w:b w:val="0"/>
          <w:bCs w:val="0"/>
          <w:noProof/>
          <w:szCs w:val="22"/>
          <w:lang w:eastAsia="en-AU"/>
        </w:rPr>
      </w:pPr>
      <w:hyperlink w:anchor="_Toc11394692" w:history="1">
        <w:r w:rsidR="00693D54" w:rsidRPr="002269E6">
          <w:rPr>
            <w:rStyle w:val="Hyperlink"/>
            <w:noProof/>
          </w:rPr>
          <w:t>2</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Methods summary</w:t>
        </w:r>
        <w:r w:rsidR="00693D54">
          <w:rPr>
            <w:noProof/>
            <w:webHidden/>
          </w:rPr>
          <w:tab/>
        </w:r>
        <w:r w:rsidR="00693D54">
          <w:rPr>
            <w:noProof/>
            <w:webHidden/>
          </w:rPr>
          <w:fldChar w:fldCharType="begin"/>
        </w:r>
        <w:r w:rsidR="00693D54">
          <w:rPr>
            <w:noProof/>
            <w:webHidden/>
          </w:rPr>
          <w:instrText xml:space="preserve"> PAGEREF _Toc11394692 \h </w:instrText>
        </w:r>
        <w:r w:rsidR="00693D54">
          <w:rPr>
            <w:noProof/>
            <w:webHidden/>
          </w:rPr>
        </w:r>
        <w:r w:rsidR="00693D54">
          <w:rPr>
            <w:noProof/>
            <w:webHidden/>
          </w:rPr>
          <w:fldChar w:fldCharType="separate"/>
        </w:r>
        <w:r w:rsidR="005F00D4">
          <w:rPr>
            <w:noProof/>
            <w:webHidden/>
          </w:rPr>
          <w:t>11</w:t>
        </w:r>
        <w:r w:rsidR="00693D54">
          <w:rPr>
            <w:noProof/>
            <w:webHidden/>
          </w:rPr>
          <w:fldChar w:fldCharType="end"/>
        </w:r>
      </w:hyperlink>
    </w:p>
    <w:p w14:paraId="01ED718F"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693" w:history="1">
        <w:r w:rsidR="00693D54" w:rsidRPr="002269E6">
          <w:rPr>
            <w:rStyle w:val="Hyperlink"/>
            <w:noProof/>
          </w:rPr>
          <w:t>2.1</w:t>
        </w:r>
        <w:r w:rsidR="00693D54">
          <w:rPr>
            <w:rFonts w:asciiTheme="minorHAnsi" w:eastAsiaTheme="minorEastAsia" w:hAnsiTheme="minorHAnsi" w:cstheme="minorBidi"/>
            <w:noProof/>
            <w:sz w:val="22"/>
            <w:szCs w:val="22"/>
            <w:lang w:eastAsia="en-AU"/>
          </w:rPr>
          <w:tab/>
        </w:r>
        <w:r w:rsidR="00693D54" w:rsidRPr="002269E6">
          <w:rPr>
            <w:rStyle w:val="Hyperlink"/>
            <w:noProof/>
          </w:rPr>
          <w:t>Climate and environmental pressures</w:t>
        </w:r>
        <w:r w:rsidR="00693D54">
          <w:rPr>
            <w:noProof/>
            <w:webHidden/>
          </w:rPr>
          <w:tab/>
        </w:r>
        <w:r w:rsidR="00693D54">
          <w:rPr>
            <w:noProof/>
            <w:webHidden/>
          </w:rPr>
          <w:fldChar w:fldCharType="begin"/>
        </w:r>
        <w:r w:rsidR="00693D54">
          <w:rPr>
            <w:noProof/>
            <w:webHidden/>
          </w:rPr>
          <w:instrText xml:space="preserve"> PAGEREF _Toc11394693 \h </w:instrText>
        </w:r>
        <w:r w:rsidR="00693D54">
          <w:rPr>
            <w:noProof/>
            <w:webHidden/>
          </w:rPr>
        </w:r>
        <w:r w:rsidR="00693D54">
          <w:rPr>
            <w:noProof/>
            <w:webHidden/>
          </w:rPr>
          <w:fldChar w:fldCharType="separate"/>
        </w:r>
        <w:r w:rsidR="005F00D4">
          <w:rPr>
            <w:noProof/>
            <w:webHidden/>
          </w:rPr>
          <w:t>11</w:t>
        </w:r>
        <w:r w:rsidR="00693D54">
          <w:rPr>
            <w:noProof/>
            <w:webHidden/>
          </w:rPr>
          <w:fldChar w:fldCharType="end"/>
        </w:r>
      </w:hyperlink>
    </w:p>
    <w:p w14:paraId="0D2A3C37"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694" w:history="1">
        <w:r w:rsidR="00693D54" w:rsidRPr="002269E6">
          <w:rPr>
            <w:rStyle w:val="Hyperlink"/>
            <w:noProof/>
          </w:rPr>
          <w:t>2.2</w:t>
        </w:r>
        <w:r w:rsidR="00693D54">
          <w:rPr>
            <w:rFonts w:asciiTheme="minorHAnsi" w:eastAsiaTheme="minorEastAsia" w:hAnsiTheme="minorHAnsi" w:cstheme="minorBidi"/>
            <w:noProof/>
            <w:sz w:val="22"/>
            <w:szCs w:val="22"/>
            <w:lang w:eastAsia="en-AU"/>
          </w:rPr>
          <w:tab/>
        </w:r>
        <w:r w:rsidR="00693D54" w:rsidRPr="002269E6">
          <w:rPr>
            <w:rStyle w:val="Hyperlink"/>
            <w:noProof/>
          </w:rPr>
          <w:t>Inshore seagrass and habitat condition</w:t>
        </w:r>
        <w:r w:rsidR="00693D54">
          <w:rPr>
            <w:noProof/>
            <w:webHidden/>
          </w:rPr>
          <w:tab/>
        </w:r>
        <w:r w:rsidR="00693D54">
          <w:rPr>
            <w:noProof/>
            <w:webHidden/>
          </w:rPr>
          <w:fldChar w:fldCharType="begin"/>
        </w:r>
        <w:r w:rsidR="00693D54">
          <w:rPr>
            <w:noProof/>
            <w:webHidden/>
          </w:rPr>
          <w:instrText xml:space="preserve"> PAGEREF _Toc11394694 \h </w:instrText>
        </w:r>
        <w:r w:rsidR="00693D54">
          <w:rPr>
            <w:noProof/>
            <w:webHidden/>
          </w:rPr>
        </w:r>
        <w:r w:rsidR="00693D54">
          <w:rPr>
            <w:noProof/>
            <w:webHidden/>
          </w:rPr>
          <w:fldChar w:fldCharType="separate"/>
        </w:r>
        <w:r w:rsidR="005F00D4">
          <w:rPr>
            <w:noProof/>
            <w:webHidden/>
          </w:rPr>
          <w:t>14</w:t>
        </w:r>
        <w:r w:rsidR="00693D54">
          <w:rPr>
            <w:noProof/>
            <w:webHidden/>
          </w:rPr>
          <w:fldChar w:fldCharType="end"/>
        </w:r>
      </w:hyperlink>
    </w:p>
    <w:p w14:paraId="2854C57A"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695" w:history="1">
        <w:r w:rsidR="00693D54" w:rsidRPr="002269E6">
          <w:rPr>
            <w:rStyle w:val="Hyperlink"/>
            <w:rFonts w:cs="Arial"/>
            <w:noProof/>
          </w:rPr>
          <w:t>2.2.1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Sampling design &amp; site selection</w:t>
        </w:r>
        <w:r w:rsidR="00693D54">
          <w:rPr>
            <w:noProof/>
            <w:webHidden/>
          </w:rPr>
          <w:tab/>
        </w:r>
        <w:r w:rsidR="00693D54">
          <w:rPr>
            <w:noProof/>
            <w:webHidden/>
          </w:rPr>
          <w:fldChar w:fldCharType="begin"/>
        </w:r>
        <w:r w:rsidR="00693D54">
          <w:rPr>
            <w:noProof/>
            <w:webHidden/>
          </w:rPr>
          <w:instrText xml:space="preserve"> PAGEREF _Toc11394695 \h </w:instrText>
        </w:r>
        <w:r w:rsidR="00693D54">
          <w:rPr>
            <w:noProof/>
            <w:webHidden/>
          </w:rPr>
        </w:r>
        <w:r w:rsidR="00693D54">
          <w:rPr>
            <w:noProof/>
            <w:webHidden/>
          </w:rPr>
          <w:fldChar w:fldCharType="separate"/>
        </w:r>
        <w:r w:rsidR="005F00D4">
          <w:rPr>
            <w:noProof/>
            <w:webHidden/>
          </w:rPr>
          <w:t>14</w:t>
        </w:r>
        <w:r w:rsidR="00693D54">
          <w:rPr>
            <w:noProof/>
            <w:webHidden/>
          </w:rPr>
          <w:fldChar w:fldCharType="end"/>
        </w:r>
      </w:hyperlink>
    </w:p>
    <w:p w14:paraId="5728AC55"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696" w:history="1">
        <w:r w:rsidR="00693D54" w:rsidRPr="002269E6">
          <w:rPr>
            <w:rStyle w:val="Hyperlink"/>
            <w:rFonts w:cs="Arial"/>
            <w:noProof/>
          </w:rPr>
          <w:t>2.2.2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abundance, composition and extent</w:t>
        </w:r>
        <w:r w:rsidR="00693D54">
          <w:rPr>
            <w:noProof/>
            <w:webHidden/>
          </w:rPr>
          <w:tab/>
        </w:r>
        <w:r w:rsidR="00693D54">
          <w:rPr>
            <w:noProof/>
            <w:webHidden/>
          </w:rPr>
          <w:fldChar w:fldCharType="begin"/>
        </w:r>
        <w:r w:rsidR="00693D54">
          <w:rPr>
            <w:noProof/>
            <w:webHidden/>
          </w:rPr>
          <w:instrText xml:space="preserve"> PAGEREF _Toc11394696 \h </w:instrText>
        </w:r>
        <w:r w:rsidR="00693D54">
          <w:rPr>
            <w:noProof/>
            <w:webHidden/>
          </w:rPr>
        </w:r>
        <w:r w:rsidR="00693D54">
          <w:rPr>
            <w:noProof/>
            <w:webHidden/>
          </w:rPr>
          <w:fldChar w:fldCharType="separate"/>
        </w:r>
        <w:r w:rsidR="005F00D4">
          <w:rPr>
            <w:noProof/>
            <w:webHidden/>
          </w:rPr>
          <w:t>21</w:t>
        </w:r>
        <w:r w:rsidR="00693D54">
          <w:rPr>
            <w:noProof/>
            <w:webHidden/>
          </w:rPr>
          <w:fldChar w:fldCharType="end"/>
        </w:r>
      </w:hyperlink>
    </w:p>
    <w:p w14:paraId="4E680D5C"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697" w:history="1">
        <w:r w:rsidR="00693D54" w:rsidRPr="002269E6">
          <w:rPr>
            <w:rStyle w:val="Hyperlink"/>
            <w:rFonts w:cs="Arial"/>
            <w:noProof/>
          </w:rPr>
          <w:t>2.2.3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reproductive status</w:t>
        </w:r>
        <w:r w:rsidR="00693D54">
          <w:rPr>
            <w:noProof/>
            <w:webHidden/>
          </w:rPr>
          <w:tab/>
        </w:r>
        <w:r w:rsidR="00693D54">
          <w:rPr>
            <w:noProof/>
            <w:webHidden/>
          </w:rPr>
          <w:fldChar w:fldCharType="begin"/>
        </w:r>
        <w:r w:rsidR="00693D54">
          <w:rPr>
            <w:noProof/>
            <w:webHidden/>
          </w:rPr>
          <w:instrText xml:space="preserve"> PAGEREF _Toc11394697 \h </w:instrText>
        </w:r>
        <w:r w:rsidR="00693D54">
          <w:rPr>
            <w:noProof/>
            <w:webHidden/>
          </w:rPr>
        </w:r>
        <w:r w:rsidR="00693D54">
          <w:rPr>
            <w:noProof/>
            <w:webHidden/>
          </w:rPr>
          <w:fldChar w:fldCharType="separate"/>
        </w:r>
        <w:r w:rsidR="005F00D4">
          <w:rPr>
            <w:noProof/>
            <w:webHidden/>
          </w:rPr>
          <w:t>21</w:t>
        </w:r>
        <w:r w:rsidR="00693D54">
          <w:rPr>
            <w:noProof/>
            <w:webHidden/>
          </w:rPr>
          <w:fldChar w:fldCharType="end"/>
        </w:r>
      </w:hyperlink>
    </w:p>
    <w:p w14:paraId="08D567BB"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698" w:history="1">
        <w:r w:rsidR="00693D54" w:rsidRPr="002269E6">
          <w:rPr>
            <w:rStyle w:val="Hyperlink"/>
            <w:rFonts w:cs="Arial"/>
            <w:noProof/>
          </w:rPr>
          <w:t>2.2.4</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leaf tissue nutrients</w:t>
        </w:r>
        <w:r w:rsidR="00693D54">
          <w:rPr>
            <w:noProof/>
            <w:webHidden/>
          </w:rPr>
          <w:tab/>
        </w:r>
        <w:r w:rsidR="00693D54">
          <w:rPr>
            <w:noProof/>
            <w:webHidden/>
          </w:rPr>
          <w:fldChar w:fldCharType="begin"/>
        </w:r>
        <w:r w:rsidR="00693D54">
          <w:rPr>
            <w:noProof/>
            <w:webHidden/>
          </w:rPr>
          <w:instrText xml:space="preserve"> PAGEREF _Toc11394698 \h </w:instrText>
        </w:r>
        <w:r w:rsidR="00693D54">
          <w:rPr>
            <w:noProof/>
            <w:webHidden/>
          </w:rPr>
        </w:r>
        <w:r w:rsidR="00693D54">
          <w:rPr>
            <w:noProof/>
            <w:webHidden/>
          </w:rPr>
          <w:fldChar w:fldCharType="separate"/>
        </w:r>
        <w:r w:rsidR="005F00D4">
          <w:rPr>
            <w:noProof/>
            <w:webHidden/>
          </w:rPr>
          <w:t>21</w:t>
        </w:r>
        <w:r w:rsidR="00693D54">
          <w:rPr>
            <w:noProof/>
            <w:webHidden/>
          </w:rPr>
          <w:fldChar w:fldCharType="end"/>
        </w:r>
      </w:hyperlink>
    </w:p>
    <w:p w14:paraId="7DF91439"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699" w:history="1">
        <w:r w:rsidR="00693D54" w:rsidRPr="002269E6">
          <w:rPr>
            <w:rStyle w:val="Hyperlink"/>
            <w:rFonts w:cs="Arial"/>
            <w:noProof/>
          </w:rPr>
          <w:t>2.2.5</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Epiphytes and macroalgae</w:t>
        </w:r>
        <w:r w:rsidR="00693D54">
          <w:rPr>
            <w:noProof/>
            <w:webHidden/>
          </w:rPr>
          <w:tab/>
        </w:r>
        <w:r w:rsidR="00693D54">
          <w:rPr>
            <w:noProof/>
            <w:webHidden/>
          </w:rPr>
          <w:fldChar w:fldCharType="begin"/>
        </w:r>
        <w:r w:rsidR="00693D54">
          <w:rPr>
            <w:noProof/>
            <w:webHidden/>
          </w:rPr>
          <w:instrText xml:space="preserve"> PAGEREF _Toc11394699 \h </w:instrText>
        </w:r>
        <w:r w:rsidR="00693D54">
          <w:rPr>
            <w:noProof/>
            <w:webHidden/>
          </w:rPr>
        </w:r>
        <w:r w:rsidR="00693D54">
          <w:rPr>
            <w:noProof/>
            <w:webHidden/>
          </w:rPr>
          <w:fldChar w:fldCharType="separate"/>
        </w:r>
        <w:r w:rsidR="005F00D4">
          <w:rPr>
            <w:noProof/>
            <w:webHidden/>
          </w:rPr>
          <w:t>22</w:t>
        </w:r>
        <w:r w:rsidR="00693D54">
          <w:rPr>
            <w:noProof/>
            <w:webHidden/>
          </w:rPr>
          <w:fldChar w:fldCharType="end"/>
        </w:r>
      </w:hyperlink>
    </w:p>
    <w:p w14:paraId="5789BDC0"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00" w:history="1">
        <w:r w:rsidR="00693D54" w:rsidRPr="002269E6">
          <w:rPr>
            <w:rStyle w:val="Hyperlink"/>
            <w:noProof/>
            <w:lang w:val="en-US"/>
          </w:rPr>
          <w:t>2.3</w:t>
        </w:r>
        <w:r w:rsidR="00693D54">
          <w:rPr>
            <w:rFonts w:asciiTheme="minorHAnsi" w:eastAsiaTheme="minorEastAsia" w:hAnsiTheme="minorHAnsi" w:cstheme="minorBidi"/>
            <w:noProof/>
            <w:sz w:val="22"/>
            <w:szCs w:val="22"/>
            <w:lang w:eastAsia="en-AU"/>
          </w:rPr>
          <w:tab/>
        </w:r>
        <w:r w:rsidR="00693D54" w:rsidRPr="002269E6">
          <w:rPr>
            <w:rStyle w:val="Hyperlink"/>
            <w:noProof/>
            <w:lang w:val="en-US"/>
          </w:rPr>
          <w:t>Data analyses</w:t>
        </w:r>
        <w:r w:rsidR="00693D54">
          <w:rPr>
            <w:noProof/>
            <w:webHidden/>
          </w:rPr>
          <w:tab/>
        </w:r>
        <w:r w:rsidR="00693D54">
          <w:rPr>
            <w:noProof/>
            <w:webHidden/>
          </w:rPr>
          <w:fldChar w:fldCharType="begin"/>
        </w:r>
        <w:r w:rsidR="00693D54">
          <w:rPr>
            <w:noProof/>
            <w:webHidden/>
          </w:rPr>
          <w:instrText xml:space="preserve"> PAGEREF _Toc11394700 \h </w:instrText>
        </w:r>
        <w:r w:rsidR="00693D54">
          <w:rPr>
            <w:noProof/>
            <w:webHidden/>
          </w:rPr>
        </w:r>
        <w:r w:rsidR="00693D54">
          <w:rPr>
            <w:noProof/>
            <w:webHidden/>
          </w:rPr>
          <w:fldChar w:fldCharType="separate"/>
        </w:r>
        <w:r w:rsidR="005F00D4">
          <w:rPr>
            <w:noProof/>
            <w:webHidden/>
          </w:rPr>
          <w:t>22</w:t>
        </w:r>
        <w:r w:rsidR="00693D54">
          <w:rPr>
            <w:noProof/>
            <w:webHidden/>
          </w:rPr>
          <w:fldChar w:fldCharType="end"/>
        </w:r>
      </w:hyperlink>
    </w:p>
    <w:p w14:paraId="5A415015"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01" w:history="1">
        <w:r w:rsidR="00693D54" w:rsidRPr="002269E6">
          <w:rPr>
            <w:rStyle w:val="Hyperlink"/>
            <w:noProof/>
          </w:rPr>
          <w:t>2.4</w:t>
        </w:r>
        <w:r w:rsidR="00693D54">
          <w:rPr>
            <w:rFonts w:asciiTheme="minorHAnsi" w:eastAsiaTheme="minorEastAsia" w:hAnsiTheme="minorHAnsi" w:cstheme="minorBidi"/>
            <w:noProof/>
            <w:sz w:val="22"/>
            <w:szCs w:val="22"/>
            <w:lang w:eastAsia="en-AU"/>
          </w:rPr>
          <w:tab/>
        </w:r>
        <w:r w:rsidR="00693D54" w:rsidRPr="002269E6">
          <w:rPr>
            <w:rStyle w:val="Hyperlink"/>
            <w:noProof/>
          </w:rPr>
          <w:t>Reporting Approach</w:t>
        </w:r>
        <w:r w:rsidR="00693D54">
          <w:rPr>
            <w:noProof/>
            <w:webHidden/>
          </w:rPr>
          <w:tab/>
        </w:r>
        <w:r w:rsidR="00693D54">
          <w:rPr>
            <w:noProof/>
            <w:webHidden/>
          </w:rPr>
          <w:fldChar w:fldCharType="begin"/>
        </w:r>
        <w:r w:rsidR="00693D54">
          <w:rPr>
            <w:noProof/>
            <w:webHidden/>
          </w:rPr>
          <w:instrText xml:space="preserve"> PAGEREF _Toc11394701 \h </w:instrText>
        </w:r>
        <w:r w:rsidR="00693D54">
          <w:rPr>
            <w:noProof/>
            <w:webHidden/>
          </w:rPr>
        </w:r>
        <w:r w:rsidR="00693D54">
          <w:rPr>
            <w:noProof/>
            <w:webHidden/>
          </w:rPr>
          <w:fldChar w:fldCharType="separate"/>
        </w:r>
        <w:r w:rsidR="005F00D4">
          <w:rPr>
            <w:noProof/>
            <w:webHidden/>
          </w:rPr>
          <w:t>23</w:t>
        </w:r>
        <w:r w:rsidR="00693D54">
          <w:rPr>
            <w:noProof/>
            <w:webHidden/>
          </w:rPr>
          <w:fldChar w:fldCharType="end"/>
        </w:r>
      </w:hyperlink>
    </w:p>
    <w:p w14:paraId="16AA0D99"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02" w:history="1">
        <w:r w:rsidR="00693D54" w:rsidRPr="002269E6">
          <w:rPr>
            <w:rStyle w:val="Hyperlink"/>
            <w:noProof/>
          </w:rPr>
          <w:t>2.5</w:t>
        </w:r>
        <w:r w:rsidR="00693D54">
          <w:rPr>
            <w:rFonts w:asciiTheme="minorHAnsi" w:eastAsiaTheme="minorEastAsia" w:hAnsiTheme="minorHAnsi" w:cstheme="minorBidi"/>
            <w:noProof/>
            <w:sz w:val="22"/>
            <w:szCs w:val="22"/>
            <w:lang w:eastAsia="en-AU"/>
          </w:rPr>
          <w:tab/>
        </w:r>
        <w:r w:rsidR="00693D54" w:rsidRPr="002269E6">
          <w:rPr>
            <w:rStyle w:val="Hyperlink"/>
            <w:noProof/>
          </w:rPr>
          <w:t>Calculating report card scores</w:t>
        </w:r>
        <w:r w:rsidR="00693D54">
          <w:rPr>
            <w:noProof/>
            <w:webHidden/>
          </w:rPr>
          <w:tab/>
        </w:r>
        <w:r w:rsidR="00693D54">
          <w:rPr>
            <w:noProof/>
            <w:webHidden/>
          </w:rPr>
          <w:fldChar w:fldCharType="begin"/>
        </w:r>
        <w:r w:rsidR="00693D54">
          <w:rPr>
            <w:noProof/>
            <w:webHidden/>
          </w:rPr>
          <w:instrText xml:space="preserve"> PAGEREF _Toc11394702 \h </w:instrText>
        </w:r>
        <w:r w:rsidR="00693D54">
          <w:rPr>
            <w:noProof/>
            <w:webHidden/>
          </w:rPr>
        </w:r>
        <w:r w:rsidR="00693D54">
          <w:rPr>
            <w:noProof/>
            <w:webHidden/>
          </w:rPr>
          <w:fldChar w:fldCharType="separate"/>
        </w:r>
        <w:r w:rsidR="005F00D4">
          <w:rPr>
            <w:noProof/>
            <w:webHidden/>
          </w:rPr>
          <w:t>24</w:t>
        </w:r>
        <w:r w:rsidR="00693D54">
          <w:rPr>
            <w:noProof/>
            <w:webHidden/>
          </w:rPr>
          <w:fldChar w:fldCharType="end"/>
        </w:r>
      </w:hyperlink>
    </w:p>
    <w:p w14:paraId="14D86380"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03" w:history="1">
        <w:r w:rsidR="00693D54" w:rsidRPr="002269E6">
          <w:rPr>
            <w:rStyle w:val="Hyperlink"/>
            <w:rFonts w:cs="Arial"/>
            <w:noProof/>
          </w:rPr>
          <w:t>2.5.1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abundance</w:t>
        </w:r>
        <w:r w:rsidR="00693D54">
          <w:rPr>
            <w:noProof/>
            <w:webHidden/>
          </w:rPr>
          <w:tab/>
        </w:r>
        <w:r w:rsidR="00693D54">
          <w:rPr>
            <w:noProof/>
            <w:webHidden/>
          </w:rPr>
          <w:fldChar w:fldCharType="begin"/>
        </w:r>
        <w:r w:rsidR="00693D54">
          <w:rPr>
            <w:noProof/>
            <w:webHidden/>
          </w:rPr>
          <w:instrText xml:space="preserve"> PAGEREF _Toc11394703 \h </w:instrText>
        </w:r>
        <w:r w:rsidR="00693D54">
          <w:rPr>
            <w:noProof/>
            <w:webHidden/>
          </w:rPr>
        </w:r>
        <w:r w:rsidR="00693D54">
          <w:rPr>
            <w:noProof/>
            <w:webHidden/>
          </w:rPr>
          <w:fldChar w:fldCharType="separate"/>
        </w:r>
        <w:r w:rsidR="005F00D4">
          <w:rPr>
            <w:noProof/>
            <w:webHidden/>
          </w:rPr>
          <w:t>24</w:t>
        </w:r>
        <w:r w:rsidR="00693D54">
          <w:rPr>
            <w:noProof/>
            <w:webHidden/>
          </w:rPr>
          <w:fldChar w:fldCharType="end"/>
        </w:r>
      </w:hyperlink>
    </w:p>
    <w:p w14:paraId="4C6DF2D3"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04" w:history="1">
        <w:r w:rsidR="00693D54" w:rsidRPr="002269E6">
          <w:rPr>
            <w:rStyle w:val="Hyperlink"/>
            <w:rFonts w:cs="Arial"/>
            <w:noProof/>
          </w:rPr>
          <w:t>2.5.2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reproductive effort</w:t>
        </w:r>
        <w:r w:rsidR="00693D54">
          <w:rPr>
            <w:noProof/>
            <w:webHidden/>
          </w:rPr>
          <w:tab/>
        </w:r>
        <w:r w:rsidR="00693D54">
          <w:rPr>
            <w:noProof/>
            <w:webHidden/>
          </w:rPr>
          <w:fldChar w:fldCharType="begin"/>
        </w:r>
        <w:r w:rsidR="00693D54">
          <w:rPr>
            <w:noProof/>
            <w:webHidden/>
          </w:rPr>
          <w:instrText xml:space="preserve"> PAGEREF _Toc11394704 \h </w:instrText>
        </w:r>
        <w:r w:rsidR="00693D54">
          <w:rPr>
            <w:noProof/>
            <w:webHidden/>
          </w:rPr>
        </w:r>
        <w:r w:rsidR="00693D54">
          <w:rPr>
            <w:noProof/>
            <w:webHidden/>
          </w:rPr>
          <w:fldChar w:fldCharType="separate"/>
        </w:r>
        <w:r w:rsidR="005F00D4">
          <w:rPr>
            <w:noProof/>
            <w:webHidden/>
          </w:rPr>
          <w:t>25</w:t>
        </w:r>
        <w:r w:rsidR="00693D54">
          <w:rPr>
            <w:noProof/>
            <w:webHidden/>
          </w:rPr>
          <w:fldChar w:fldCharType="end"/>
        </w:r>
      </w:hyperlink>
    </w:p>
    <w:p w14:paraId="310973E0"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05" w:history="1">
        <w:r w:rsidR="00693D54" w:rsidRPr="002269E6">
          <w:rPr>
            <w:rStyle w:val="Hyperlink"/>
            <w:rFonts w:cs="Arial"/>
            <w:noProof/>
          </w:rPr>
          <w:t>2.5.3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nutrient status.</w:t>
        </w:r>
        <w:r w:rsidR="00693D54">
          <w:rPr>
            <w:noProof/>
            <w:webHidden/>
          </w:rPr>
          <w:tab/>
        </w:r>
        <w:r w:rsidR="00693D54">
          <w:rPr>
            <w:noProof/>
            <w:webHidden/>
          </w:rPr>
          <w:fldChar w:fldCharType="begin"/>
        </w:r>
        <w:r w:rsidR="00693D54">
          <w:rPr>
            <w:noProof/>
            <w:webHidden/>
          </w:rPr>
          <w:instrText xml:space="preserve"> PAGEREF _Toc11394705 \h </w:instrText>
        </w:r>
        <w:r w:rsidR="00693D54">
          <w:rPr>
            <w:noProof/>
            <w:webHidden/>
          </w:rPr>
        </w:r>
        <w:r w:rsidR="00693D54">
          <w:rPr>
            <w:noProof/>
            <w:webHidden/>
          </w:rPr>
          <w:fldChar w:fldCharType="separate"/>
        </w:r>
        <w:r w:rsidR="005F00D4">
          <w:rPr>
            <w:noProof/>
            <w:webHidden/>
          </w:rPr>
          <w:t>25</w:t>
        </w:r>
        <w:r w:rsidR="00693D54">
          <w:rPr>
            <w:noProof/>
            <w:webHidden/>
          </w:rPr>
          <w:fldChar w:fldCharType="end"/>
        </w:r>
      </w:hyperlink>
    </w:p>
    <w:p w14:paraId="52AF2F71"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06" w:history="1">
        <w:r w:rsidR="00693D54" w:rsidRPr="002269E6">
          <w:rPr>
            <w:rStyle w:val="Hyperlink"/>
            <w:rFonts w:cs="Arial"/>
            <w:noProof/>
          </w:rPr>
          <w:t>2.5.4</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condition index</w:t>
        </w:r>
        <w:r w:rsidR="00693D54">
          <w:rPr>
            <w:noProof/>
            <w:webHidden/>
          </w:rPr>
          <w:tab/>
        </w:r>
        <w:r w:rsidR="00693D54">
          <w:rPr>
            <w:noProof/>
            <w:webHidden/>
          </w:rPr>
          <w:fldChar w:fldCharType="begin"/>
        </w:r>
        <w:r w:rsidR="00693D54">
          <w:rPr>
            <w:noProof/>
            <w:webHidden/>
          </w:rPr>
          <w:instrText xml:space="preserve"> PAGEREF _Toc11394706 \h </w:instrText>
        </w:r>
        <w:r w:rsidR="00693D54">
          <w:rPr>
            <w:noProof/>
            <w:webHidden/>
          </w:rPr>
        </w:r>
        <w:r w:rsidR="00693D54">
          <w:rPr>
            <w:noProof/>
            <w:webHidden/>
          </w:rPr>
          <w:fldChar w:fldCharType="separate"/>
        </w:r>
        <w:r w:rsidR="005F00D4">
          <w:rPr>
            <w:noProof/>
            <w:webHidden/>
          </w:rPr>
          <w:t>26</w:t>
        </w:r>
        <w:r w:rsidR="00693D54">
          <w:rPr>
            <w:noProof/>
            <w:webHidden/>
          </w:rPr>
          <w:fldChar w:fldCharType="end"/>
        </w:r>
      </w:hyperlink>
    </w:p>
    <w:p w14:paraId="25BBDE70" w14:textId="77777777" w:rsidR="00693D54" w:rsidRDefault="00C911E4">
      <w:pPr>
        <w:pStyle w:val="TOC1"/>
        <w:tabs>
          <w:tab w:val="left" w:pos="442"/>
        </w:tabs>
        <w:rPr>
          <w:rFonts w:asciiTheme="minorHAnsi" w:eastAsiaTheme="minorEastAsia" w:hAnsiTheme="minorHAnsi" w:cstheme="minorBidi"/>
          <w:b w:val="0"/>
          <w:bCs w:val="0"/>
          <w:noProof/>
          <w:szCs w:val="22"/>
          <w:lang w:eastAsia="en-AU"/>
        </w:rPr>
      </w:pPr>
      <w:hyperlink w:anchor="_Toc11394707" w:history="1">
        <w:r w:rsidR="00693D54" w:rsidRPr="002269E6">
          <w:rPr>
            <w:rStyle w:val="Hyperlink"/>
            <w:noProof/>
          </w:rPr>
          <w:t>3</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Drivers and pressures influencing seagrass meadows in 2017–18</w:t>
        </w:r>
        <w:r w:rsidR="00693D54">
          <w:rPr>
            <w:noProof/>
            <w:webHidden/>
          </w:rPr>
          <w:tab/>
        </w:r>
        <w:r w:rsidR="00693D54">
          <w:rPr>
            <w:noProof/>
            <w:webHidden/>
          </w:rPr>
          <w:fldChar w:fldCharType="begin"/>
        </w:r>
        <w:r w:rsidR="00693D54">
          <w:rPr>
            <w:noProof/>
            <w:webHidden/>
          </w:rPr>
          <w:instrText xml:space="preserve"> PAGEREF _Toc11394707 \h </w:instrText>
        </w:r>
        <w:r w:rsidR="00693D54">
          <w:rPr>
            <w:noProof/>
            <w:webHidden/>
          </w:rPr>
        </w:r>
        <w:r w:rsidR="00693D54">
          <w:rPr>
            <w:noProof/>
            <w:webHidden/>
          </w:rPr>
          <w:fldChar w:fldCharType="separate"/>
        </w:r>
        <w:r w:rsidR="005F00D4">
          <w:rPr>
            <w:noProof/>
            <w:webHidden/>
          </w:rPr>
          <w:t>27</w:t>
        </w:r>
        <w:r w:rsidR="00693D54">
          <w:rPr>
            <w:noProof/>
            <w:webHidden/>
          </w:rPr>
          <w:fldChar w:fldCharType="end"/>
        </w:r>
      </w:hyperlink>
    </w:p>
    <w:p w14:paraId="3351471B"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08" w:history="1">
        <w:r w:rsidR="00693D54" w:rsidRPr="002269E6">
          <w:rPr>
            <w:rStyle w:val="Hyperlink"/>
            <w:noProof/>
          </w:rPr>
          <w:t>3.1</w:t>
        </w:r>
        <w:r w:rsidR="00693D54">
          <w:rPr>
            <w:rFonts w:asciiTheme="minorHAnsi" w:eastAsiaTheme="minorEastAsia" w:hAnsiTheme="minorHAnsi" w:cstheme="minorBidi"/>
            <w:noProof/>
            <w:sz w:val="22"/>
            <w:szCs w:val="22"/>
            <w:lang w:eastAsia="en-AU"/>
          </w:rPr>
          <w:tab/>
        </w:r>
        <w:r w:rsidR="00693D54" w:rsidRPr="002269E6">
          <w:rPr>
            <w:rStyle w:val="Hyperlink"/>
            <w:noProof/>
          </w:rPr>
          <w:t>Summary</w:t>
        </w:r>
        <w:r w:rsidR="00693D54">
          <w:rPr>
            <w:noProof/>
            <w:webHidden/>
          </w:rPr>
          <w:tab/>
        </w:r>
        <w:r w:rsidR="00693D54">
          <w:rPr>
            <w:noProof/>
            <w:webHidden/>
          </w:rPr>
          <w:fldChar w:fldCharType="begin"/>
        </w:r>
        <w:r w:rsidR="00693D54">
          <w:rPr>
            <w:noProof/>
            <w:webHidden/>
          </w:rPr>
          <w:instrText xml:space="preserve"> PAGEREF _Toc11394708 \h </w:instrText>
        </w:r>
        <w:r w:rsidR="00693D54">
          <w:rPr>
            <w:noProof/>
            <w:webHidden/>
          </w:rPr>
        </w:r>
        <w:r w:rsidR="00693D54">
          <w:rPr>
            <w:noProof/>
            <w:webHidden/>
          </w:rPr>
          <w:fldChar w:fldCharType="separate"/>
        </w:r>
        <w:r w:rsidR="005F00D4">
          <w:rPr>
            <w:noProof/>
            <w:webHidden/>
          </w:rPr>
          <w:t>27</w:t>
        </w:r>
        <w:r w:rsidR="00693D54">
          <w:rPr>
            <w:noProof/>
            <w:webHidden/>
          </w:rPr>
          <w:fldChar w:fldCharType="end"/>
        </w:r>
      </w:hyperlink>
    </w:p>
    <w:p w14:paraId="5021972C"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09" w:history="1">
        <w:r w:rsidR="00693D54" w:rsidRPr="002269E6">
          <w:rPr>
            <w:rStyle w:val="Hyperlink"/>
            <w:noProof/>
          </w:rPr>
          <w:t>3.2</w:t>
        </w:r>
        <w:r w:rsidR="00693D54">
          <w:rPr>
            <w:rFonts w:asciiTheme="minorHAnsi" w:eastAsiaTheme="minorEastAsia" w:hAnsiTheme="minorHAnsi" w:cstheme="minorBidi"/>
            <w:noProof/>
            <w:sz w:val="22"/>
            <w:szCs w:val="22"/>
            <w:lang w:eastAsia="en-AU"/>
          </w:rPr>
          <w:tab/>
        </w:r>
        <w:r w:rsidR="00693D54" w:rsidRPr="002269E6">
          <w:rPr>
            <w:rStyle w:val="Hyperlink"/>
            <w:noProof/>
          </w:rPr>
          <w:t>Rainfall</w:t>
        </w:r>
        <w:r w:rsidR="00693D54">
          <w:rPr>
            <w:noProof/>
            <w:webHidden/>
          </w:rPr>
          <w:tab/>
        </w:r>
        <w:r w:rsidR="00693D54">
          <w:rPr>
            <w:noProof/>
            <w:webHidden/>
          </w:rPr>
          <w:fldChar w:fldCharType="begin"/>
        </w:r>
        <w:r w:rsidR="00693D54">
          <w:rPr>
            <w:noProof/>
            <w:webHidden/>
          </w:rPr>
          <w:instrText xml:space="preserve"> PAGEREF _Toc11394709 \h </w:instrText>
        </w:r>
        <w:r w:rsidR="00693D54">
          <w:rPr>
            <w:noProof/>
            <w:webHidden/>
          </w:rPr>
        </w:r>
        <w:r w:rsidR="00693D54">
          <w:rPr>
            <w:noProof/>
            <w:webHidden/>
          </w:rPr>
          <w:fldChar w:fldCharType="separate"/>
        </w:r>
        <w:r w:rsidR="005F00D4">
          <w:rPr>
            <w:noProof/>
            <w:webHidden/>
          </w:rPr>
          <w:t>28</w:t>
        </w:r>
        <w:r w:rsidR="00693D54">
          <w:rPr>
            <w:noProof/>
            <w:webHidden/>
          </w:rPr>
          <w:fldChar w:fldCharType="end"/>
        </w:r>
      </w:hyperlink>
    </w:p>
    <w:p w14:paraId="33B14DF3"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10" w:history="1">
        <w:r w:rsidR="00693D54" w:rsidRPr="002269E6">
          <w:rPr>
            <w:rStyle w:val="Hyperlink"/>
            <w:noProof/>
          </w:rPr>
          <w:t>3.3</w:t>
        </w:r>
        <w:r w:rsidR="00693D54">
          <w:rPr>
            <w:rFonts w:asciiTheme="minorHAnsi" w:eastAsiaTheme="minorEastAsia" w:hAnsiTheme="minorHAnsi" w:cstheme="minorBidi"/>
            <w:noProof/>
            <w:sz w:val="22"/>
            <w:szCs w:val="22"/>
            <w:lang w:eastAsia="en-AU"/>
          </w:rPr>
          <w:tab/>
        </w:r>
        <w:r w:rsidR="00693D54" w:rsidRPr="002269E6">
          <w:rPr>
            <w:rStyle w:val="Hyperlink"/>
            <w:noProof/>
          </w:rPr>
          <w:t>River discharge</w:t>
        </w:r>
        <w:r w:rsidR="00693D54">
          <w:rPr>
            <w:noProof/>
            <w:webHidden/>
          </w:rPr>
          <w:tab/>
        </w:r>
        <w:r w:rsidR="00693D54">
          <w:rPr>
            <w:noProof/>
            <w:webHidden/>
          </w:rPr>
          <w:fldChar w:fldCharType="begin"/>
        </w:r>
        <w:r w:rsidR="00693D54">
          <w:rPr>
            <w:noProof/>
            <w:webHidden/>
          </w:rPr>
          <w:instrText xml:space="preserve"> PAGEREF _Toc11394710 \h </w:instrText>
        </w:r>
        <w:r w:rsidR="00693D54">
          <w:rPr>
            <w:noProof/>
            <w:webHidden/>
          </w:rPr>
        </w:r>
        <w:r w:rsidR="00693D54">
          <w:rPr>
            <w:noProof/>
            <w:webHidden/>
          </w:rPr>
          <w:fldChar w:fldCharType="separate"/>
        </w:r>
        <w:r w:rsidR="005F00D4">
          <w:rPr>
            <w:noProof/>
            <w:webHidden/>
          </w:rPr>
          <w:t>29</w:t>
        </w:r>
        <w:r w:rsidR="00693D54">
          <w:rPr>
            <w:noProof/>
            <w:webHidden/>
          </w:rPr>
          <w:fldChar w:fldCharType="end"/>
        </w:r>
      </w:hyperlink>
    </w:p>
    <w:p w14:paraId="34082A63"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11" w:history="1">
        <w:r w:rsidR="00693D54" w:rsidRPr="002269E6">
          <w:rPr>
            <w:rStyle w:val="Hyperlink"/>
            <w:noProof/>
          </w:rPr>
          <w:t>3.4</w:t>
        </w:r>
        <w:r w:rsidR="00693D54">
          <w:rPr>
            <w:rFonts w:asciiTheme="minorHAnsi" w:eastAsiaTheme="minorEastAsia" w:hAnsiTheme="minorHAnsi" w:cstheme="minorBidi"/>
            <w:noProof/>
            <w:sz w:val="22"/>
            <w:szCs w:val="22"/>
            <w:lang w:eastAsia="en-AU"/>
          </w:rPr>
          <w:tab/>
        </w:r>
        <w:r w:rsidR="00693D54" w:rsidRPr="002269E6">
          <w:rPr>
            <w:rStyle w:val="Hyperlink"/>
            <w:noProof/>
          </w:rPr>
          <w:t>Turbid water exposure and flood plume extent</w:t>
        </w:r>
        <w:r w:rsidR="00693D54">
          <w:rPr>
            <w:noProof/>
            <w:webHidden/>
          </w:rPr>
          <w:tab/>
        </w:r>
        <w:r w:rsidR="00693D54">
          <w:rPr>
            <w:noProof/>
            <w:webHidden/>
          </w:rPr>
          <w:fldChar w:fldCharType="begin"/>
        </w:r>
        <w:r w:rsidR="00693D54">
          <w:rPr>
            <w:noProof/>
            <w:webHidden/>
          </w:rPr>
          <w:instrText xml:space="preserve"> PAGEREF _Toc11394711 \h </w:instrText>
        </w:r>
        <w:r w:rsidR="00693D54">
          <w:rPr>
            <w:noProof/>
            <w:webHidden/>
          </w:rPr>
        </w:r>
        <w:r w:rsidR="00693D54">
          <w:rPr>
            <w:noProof/>
            <w:webHidden/>
          </w:rPr>
          <w:fldChar w:fldCharType="separate"/>
        </w:r>
        <w:r w:rsidR="005F00D4">
          <w:rPr>
            <w:noProof/>
            <w:webHidden/>
          </w:rPr>
          <w:t>31</w:t>
        </w:r>
        <w:r w:rsidR="00693D54">
          <w:rPr>
            <w:noProof/>
            <w:webHidden/>
          </w:rPr>
          <w:fldChar w:fldCharType="end"/>
        </w:r>
      </w:hyperlink>
    </w:p>
    <w:p w14:paraId="384ED9E7"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12" w:history="1">
        <w:r w:rsidR="00693D54" w:rsidRPr="002269E6">
          <w:rPr>
            <w:rStyle w:val="Hyperlink"/>
            <w:noProof/>
          </w:rPr>
          <w:t>3.5</w:t>
        </w:r>
        <w:r w:rsidR="00693D54">
          <w:rPr>
            <w:rFonts w:asciiTheme="minorHAnsi" w:eastAsiaTheme="minorEastAsia" w:hAnsiTheme="minorHAnsi" w:cstheme="minorBidi"/>
            <w:noProof/>
            <w:sz w:val="22"/>
            <w:szCs w:val="22"/>
            <w:lang w:eastAsia="en-AU"/>
          </w:rPr>
          <w:tab/>
        </w:r>
        <w:r w:rsidR="00693D54" w:rsidRPr="002269E6">
          <w:rPr>
            <w:rStyle w:val="Hyperlink"/>
            <w:noProof/>
          </w:rPr>
          <w:t>Daily incident light</w:t>
        </w:r>
        <w:r w:rsidR="00693D54">
          <w:rPr>
            <w:noProof/>
            <w:webHidden/>
          </w:rPr>
          <w:tab/>
        </w:r>
        <w:r w:rsidR="00693D54">
          <w:rPr>
            <w:noProof/>
            <w:webHidden/>
          </w:rPr>
          <w:fldChar w:fldCharType="begin"/>
        </w:r>
        <w:r w:rsidR="00693D54">
          <w:rPr>
            <w:noProof/>
            <w:webHidden/>
          </w:rPr>
          <w:instrText xml:space="preserve"> PAGEREF _Toc11394712 \h </w:instrText>
        </w:r>
        <w:r w:rsidR="00693D54">
          <w:rPr>
            <w:noProof/>
            <w:webHidden/>
          </w:rPr>
        </w:r>
        <w:r w:rsidR="00693D54">
          <w:rPr>
            <w:noProof/>
            <w:webHidden/>
          </w:rPr>
          <w:fldChar w:fldCharType="separate"/>
        </w:r>
        <w:r w:rsidR="005F00D4">
          <w:rPr>
            <w:noProof/>
            <w:webHidden/>
          </w:rPr>
          <w:t>32</w:t>
        </w:r>
        <w:r w:rsidR="00693D54">
          <w:rPr>
            <w:noProof/>
            <w:webHidden/>
          </w:rPr>
          <w:fldChar w:fldCharType="end"/>
        </w:r>
      </w:hyperlink>
    </w:p>
    <w:p w14:paraId="440A46C3"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13" w:history="1">
        <w:r w:rsidR="00693D54" w:rsidRPr="002269E6">
          <w:rPr>
            <w:rStyle w:val="Hyperlink"/>
            <w:noProof/>
          </w:rPr>
          <w:t>3.6</w:t>
        </w:r>
        <w:r w:rsidR="00693D54">
          <w:rPr>
            <w:rFonts w:asciiTheme="minorHAnsi" w:eastAsiaTheme="minorEastAsia" w:hAnsiTheme="minorHAnsi" w:cstheme="minorBidi"/>
            <w:noProof/>
            <w:sz w:val="22"/>
            <w:szCs w:val="22"/>
            <w:lang w:eastAsia="en-AU"/>
          </w:rPr>
          <w:tab/>
        </w:r>
        <w:r w:rsidR="00693D54" w:rsidRPr="002269E6">
          <w:rPr>
            <w:rStyle w:val="Hyperlink"/>
            <w:noProof/>
          </w:rPr>
          <w:t>Within-canopy seawater temperature</w:t>
        </w:r>
        <w:r w:rsidR="00693D54">
          <w:rPr>
            <w:noProof/>
            <w:webHidden/>
          </w:rPr>
          <w:tab/>
        </w:r>
        <w:r w:rsidR="00693D54">
          <w:rPr>
            <w:noProof/>
            <w:webHidden/>
          </w:rPr>
          <w:fldChar w:fldCharType="begin"/>
        </w:r>
        <w:r w:rsidR="00693D54">
          <w:rPr>
            <w:noProof/>
            <w:webHidden/>
          </w:rPr>
          <w:instrText xml:space="preserve"> PAGEREF _Toc11394713 \h </w:instrText>
        </w:r>
        <w:r w:rsidR="00693D54">
          <w:rPr>
            <w:noProof/>
            <w:webHidden/>
          </w:rPr>
        </w:r>
        <w:r w:rsidR="00693D54">
          <w:rPr>
            <w:noProof/>
            <w:webHidden/>
          </w:rPr>
          <w:fldChar w:fldCharType="separate"/>
        </w:r>
        <w:r w:rsidR="005F00D4">
          <w:rPr>
            <w:noProof/>
            <w:webHidden/>
          </w:rPr>
          <w:t>33</w:t>
        </w:r>
        <w:r w:rsidR="00693D54">
          <w:rPr>
            <w:noProof/>
            <w:webHidden/>
          </w:rPr>
          <w:fldChar w:fldCharType="end"/>
        </w:r>
      </w:hyperlink>
    </w:p>
    <w:p w14:paraId="59498A7E"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14" w:history="1">
        <w:r w:rsidR="00693D54" w:rsidRPr="002269E6">
          <w:rPr>
            <w:rStyle w:val="Hyperlink"/>
            <w:noProof/>
          </w:rPr>
          <w:t>3.7</w:t>
        </w:r>
        <w:r w:rsidR="00693D54">
          <w:rPr>
            <w:rFonts w:asciiTheme="minorHAnsi" w:eastAsiaTheme="minorEastAsia" w:hAnsiTheme="minorHAnsi" w:cstheme="minorBidi"/>
            <w:noProof/>
            <w:sz w:val="22"/>
            <w:szCs w:val="22"/>
            <w:lang w:eastAsia="en-AU"/>
          </w:rPr>
          <w:tab/>
        </w:r>
        <w:r w:rsidR="00693D54" w:rsidRPr="002269E6">
          <w:rPr>
            <w:rStyle w:val="Hyperlink"/>
            <w:noProof/>
          </w:rPr>
          <w:t>Seagrass meadow sediments</w:t>
        </w:r>
        <w:r w:rsidR="00693D54">
          <w:rPr>
            <w:noProof/>
            <w:webHidden/>
          </w:rPr>
          <w:tab/>
        </w:r>
        <w:r w:rsidR="00693D54">
          <w:rPr>
            <w:noProof/>
            <w:webHidden/>
          </w:rPr>
          <w:fldChar w:fldCharType="begin"/>
        </w:r>
        <w:r w:rsidR="00693D54">
          <w:rPr>
            <w:noProof/>
            <w:webHidden/>
          </w:rPr>
          <w:instrText xml:space="preserve"> PAGEREF _Toc11394714 \h </w:instrText>
        </w:r>
        <w:r w:rsidR="00693D54">
          <w:rPr>
            <w:noProof/>
            <w:webHidden/>
          </w:rPr>
        </w:r>
        <w:r w:rsidR="00693D54">
          <w:rPr>
            <w:noProof/>
            <w:webHidden/>
          </w:rPr>
          <w:fldChar w:fldCharType="separate"/>
        </w:r>
        <w:r w:rsidR="005F00D4">
          <w:rPr>
            <w:noProof/>
            <w:webHidden/>
          </w:rPr>
          <w:t>35</w:t>
        </w:r>
        <w:r w:rsidR="00693D54">
          <w:rPr>
            <w:noProof/>
            <w:webHidden/>
          </w:rPr>
          <w:fldChar w:fldCharType="end"/>
        </w:r>
      </w:hyperlink>
    </w:p>
    <w:p w14:paraId="7552F3F0" w14:textId="77777777" w:rsidR="00693D54" w:rsidRDefault="00C911E4">
      <w:pPr>
        <w:pStyle w:val="TOC1"/>
        <w:tabs>
          <w:tab w:val="left" w:pos="442"/>
        </w:tabs>
        <w:rPr>
          <w:rFonts w:asciiTheme="minorHAnsi" w:eastAsiaTheme="minorEastAsia" w:hAnsiTheme="minorHAnsi" w:cstheme="minorBidi"/>
          <w:b w:val="0"/>
          <w:bCs w:val="0"/>
          <w:noProof/>
          <w:szCs w:val="22"/>
          <w:lang w:eastAsia="en-AU"/>
        </w:rPr>
      </w:pPr>
      <w:hyperlink w:anchor="_Toc11394715" w:history="1">
        <w:r w:rsidR="00693D54" w:rsidRPr="002269E6">
          <w:rPr>
            <w:rStyle w:val="Hyperlink"/>
            <w:noProof/>
          </w:rPr>
          <w:t>4</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Seagrass condition and trend</w:t>
        </w:r>
        <w:r w:rsidR="00693D54">
          <w:rPr>
            <w:noProof/>
            <w:webHidden/>
          </w:rPr>
          <w:tab/>
        </w:r>
        <w:r w:rsidR="00693D54">
          <w:rPr>
            <w:noProof/>
            <w:webHidden/>
          </w:rPr>
          <w:fldChar w:fldCharType="begin"/>
        </w:r>
        <w:r w:rsidR="00693D54">
          <w:rPr>
            <w:noProof/>
            <w:webHidden/>
          </w:rPr>
          <w:instrText xml:space="preserve"> PAGEREF _Toc11394715 \h </w:instrText>
        </w:r>
        <w:r w:rsidR="00693D54">
          <w:rPr>
            <w:noProof/>
            <w:webHidden/>
          </w:rPr>
        </w:r>
        <w:r w:rsidR="00693D54">
          <w:rPr>
            <w:noProof/>
            <w:webHidden/>
          </w:rPr>
          <w:fldChar w:fldCharType="separate"/>
        </w:r>
        <w:r w:rsidR="005F00D4">
          <w:rPr>
            <w:noProof/>
            <w:webHidden/>
          </w:rPr>
          <w:t>37</w:t>
        </w:r>
        <w:r w:rsidR="00693D54">
          <w:rPr>
            <w:noProof/>
            <w:webHidden/>
          </w:rPr>
          <w:fldChar w:fldCharType="end"/>
        </w:r>
      </w:hyperlink>
    </w:p>
    <w:p w14:paraId="0A653B2C"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16" w:history="1">
        <w:r w:rsidR="00693D54" w:rsidRPr="002269E6">
          <w:rPr>
            <w:rStyle w:val="Hyperlink"/>
            <w:noProof/>
          </w:rPr>
          <w:t>4.1</w:t>
        </w:r>
        <w:r w:rsidR="00693D54">
          <w:rPr>
            <w:rFonts w:asciiTheme="minorHAnsi" w:eastAsiaTheme="minorEastAsia" w:hAnsiTheme="minorHAnsi" w:cstheme="minorBidi"/>
            <w:noProof/>
            <w:sz w:val="22"/>
            <w:szCs w:val="22"/>
            <w:lang w:eastAsia="en-AU"/>
          </w:rPr>
          <w:tab/>
        </w:r>
        <w:r w:rsidR="00693D54" w:rsidRPr="002269E6">
          <w:rPr>
            <w:rStyle w:val="Hyperlink"/>
            <w:noProof/>
          </w:rPr>
          <w:t>Reef-wide seagrass condition and trend</w:t>
        </w:r>
        <w:r w:rsidR="00693D54">
          <w:rPr>
            <w:noProof/>
            <w:webHidden/>
          </w:rPr>
          <w:tab/>
        </w:r>
        <w:r w:rsidR="00693D54">
          <w:rPr>
            <w:noProof/>
            <w:webHidden/>
          </w:rPr>
          <w:fldChar w:fldCharType="begin"/>
        </w:r>
        <w:r w:rsidR="00693D54">
          <w:rPr>
            <w:noProof/>
            <w:webHidden/>
          </w:rPr>
          <w:instrText xml:space="preserve"> PAGEREF _Toc11394716 \h </w:instrText>
        </w:r>
        <w:r w:rsidR="00693D54">
          <w:rPr>
            <w:noProof/>
            <w:webHidden/>
          </w:rPr>
        </w:r>
        <w:r w:rsidR="00693D54">
          <w:rPr>
            <w:noProof/>
            <w:webHidden/>
          </w:rPr>
          <w:fldChar w:fldCharType="separate"/>
        </w:r>
        <w:r w:rsidR="005F00D4">
          <w:rPr>
            <w:noProof/>
            <w:webHidden/>
          </w:rPr>
          <w:t>37</w:t>
        </w:r>
        <w:r w:rsidR="00693D54">
          <w:rPr>
            <w:noProof/>
            <w:webHidden/>
          </w:rPr>
          <w:fldChar w:fldCharType="end"/>
        </w:r>
      </w:hyperlink>
    </w:p>
    <w:p w14:paraId="689BB98F"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17" w:history="1">
        <w:r w:rsidR="00693D54" w:rsidRPr="002269E6">
          <w:rPr>
            <w:rStyle w:val="Hyperlink"/>
            <w:noProof/>
          </w:rPr>
          <w:t>4.2</w:t>
        </w:r>
        <w:r w:rsidR="00693D54">
          <w:rPr>
            <w:rFonts w:asciiTheme="minorHAnsi" w:eastAsiaTheme="minorEastAsia" w:hAnsiTheme="minorHAnsi" w:cstheme="minorBidi"/>
            <w:noProof/>
            <w:sz w:val="22"/>
            <w:szCs w:val="22"/>
            <w:lang w:eastAsia="en-AU"/>
          </w:rPr>
          <w:tab/>
        </w:r>
        <w:r w:rsidR="00693D54" w:rsidRPr="002269E6">
          <w:rPr>
            <w:rStyle w:val="Hyperlink"/>
            <w:noProof/>
          </w:rPr>
          <w:t>Trends in seagrass condition indicators between regions</w:t>
        </w:r>
        <w:r w:rsidR="00693D54">
          <w:rPr>
            <w:noProof/>
            <w:webHidden/>
          </w:rPr>
          <w:tab/>
        </w:r>
        <w:r w:rsidR="00693D54">
          <w:rPr>
            <w:noProof/>
            <w:webHidden/>
          </w:rPr>
          <w:fldChar w:fldCharType="begin"/>
        </w:r>
        <w:r w:rsidR="00693D54">
          <w:rPr>
            <w:noProof/>
            <w:webHidden/>
          </w:rPr>
          <w:instrText xml:space="preserve"> PAGEREF _Toc11394717 \h </w:instrText>
        </w:r>
        <w:r w:rsidR="00693D54">
          <w:rPr>
            <w:noProof/>
            <w:webHidden/>
          </w:rPr>
        </w:r>
        <w:r w:rsidR="00693D54">
          <w:rPr>
            <w:noProof/>
            <w:webHidden/>
          </w:rPr>
          <w:fldChar w:fldCharType="separate"/>
        </w:r>
        <w:r w:rsidR="005F00D4">
          <w:rPr>
            <w:noProof/>
            <w:webHidden/>
          </w:rPr>
          <w:t>38</w:t>
        </w:r>
        <w:r w:rsidR="00693D54">
          <w:rPr>
            <w:noProof/>
            <w:webHidden/>
          </w:rPr>
          <w:fldChar w:fldCharType="end"/>
        </w:r>
      </w:hyperlink>
    </w:p>
    <w:p w14:paraId="392A9417"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18" w:history="1">
        <w:r w:rsidR="00693D54" w:rsidRPr="002269E6">
          <w:rPr>
            <w:rStyle w:val="Hyperlink"/>
            <w:noProof/>
          </w:rPr>
          <w:t>4.3</w:t>
        </w:r>
        <w:r w:rsidR="00693D54">
          <w:rPr>
            <w:rFonts w:asciiTheme="minorHAnsi" w:eastAsiaTheme="minorEastAsia" w:hAnsiTheme="minorHAnsi" w:cstheme="minorBidi"/>
            <w:noProof/>
            <w:sz w:val="22"/>
            <w:szCs w:val="22"/>
            <w:lang w:eastAsia="en-AU"/>
          </w:rPr>
          <w:tab/>
        </w:r>
        <w:r w:rsidR="00693D54" w:rsidRPr="002269E6">
          <w:rPr>
            <w:rStyle w:val="Hyperlink"/>
            <w:noProof/>
          </w:rPr>
          <w:t>Trends in seagrass condition indicators by habitat type</w:t>
        </w:r>
        <w:r w:rsidR="00693D54">
          <w:rPr>
            <w:noProof/>
            <w:webHidden/>
          </w:rPr>
          <w:tab/>
        </w:r>
        <w:r w:rsidR="00693D54">
          <w:rPr>
            <w:noProof/>
            <w:webHidden/>
          </w:rPr>
          <w:fldChar w:fldCharType="begin"/>
        </w:r>
        <w:r w:rsidR="00693D54">
          <w:rPr>
            <w:noProof/>
            <w:webHidden/>
          </w:rPr>
          <w:instrText xml:space="preserve"> PAGEREF _Toc11394718 \h </w:instrText>
        </w:r>
        <w:r w:rsidR="00693D54">
          <w:rPr>
            <w:noProof/>
            <w:webHidden/>
          </w:rPr>
        </w:r>
        <w:r w:rsidR="00693D54">
          <w:rPr>
            <w:noProof/>
            <w:webHidden/>
          </w:rPr>
          <w:fldChar w:fldCharType="separate"/>
        </w:r>
        <w:r w:rsidR="005F00D4">
          <w:rPr>
            <w:noProof/>
            <w:webHidden/>
          </w:rPr>
          <w:t>40</w:t>
        </w:r>
        <w:r w:rsidR="00693D54">
          <w:rPr>
            <w:noProof/>
            <w:webHidden/>
          </w:rPr>
          <w:fldChar w:fldCharType="end"/>
        </w:r>
      </w:hyperlink>
    </w:p>
    <w:p w14:paraId="31801AD6"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19" w:history="1">
        <w:r w:rsidR="00693D54" w:rsidRPr="002269E6">
          <w:rPr>
            <w:rStyle w:val="Hyperlink"/>
            <w:rFonts w:cs="Arial"/>
            <w:noProof/>
          </w:rPr>
          <w:t>4.3.1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abundance, composition and extent</w:t>
        </w:r>
        <w:r w:rsidR="00693D54">
          <w:rPr>
            <w:noProof/>
            <w:webHidden/>
          </w:rPr>
          <w:tab/>
        </w:r>
        <w:r w:rsidR="00693D54">
          <w:rPr>
            <w:noProof/>
            <w:webHidden/>
          </w:rPr>
          <w:fldChar w:fldCharType="begin"/>
        </w:r>
        <w:r w:rsidR="00693D54">
          <w:rPr>
            <w:noProof/>
            <w:webHidden/>
          </w:rPr>
          <w:instrText xml:space="preserve"> PAGEREF _Toc11394719 \h </w:instrText>
        </w:r>
        <w:r w:rsidR="00693D54">
          <w:rPr>
            <w:noProof/>
            <w:webHidden/>
          </w:rPr>
        </w:r>
        <w:r w:rsidR="00693D54">
          <w:rPr>
            <w:noProof/>
            <w:webHidden/>
          </w:rPr>
          <w:fldChar w:fldCharType="separate"/>
        </w:r>
        <w:r w:rsidR="005F00D4">
          <w:rPr>
            <w:noProof/>
            <w:webHidden/>
          </w:rPr>
          <w:t>40</w:t>
        </w:r>
        <w:r w:rsidR="00693D54">
          <w:rPr>
            <w:noProof/>
            <w:webHidden/>
          </w:rPr>
          <w:fldChar w:fldCharType="end"/>
        </w:r>
      </w:hyperlink>
    </w:p>
    <w:p w14:paraId="1A924D79"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20" w:history="1">
        <w:r w:rsidR="00693D54" w:rsidRPr="002269E6">
          <w:rPr>
            <w:rStyle w:val="Hyperlink"/>
            <w:rFonts w:cs="Arial"/>
            <w:noProof/>
          </w:rPr>
          <w:t>4.3.2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reproductive status</w:t>
        </w:r>
        <w:r w:rsidR="00693D54">
          <w:rPr>
            <w:noProof/>
            <w:webHidden/>
          </w:rPr>
          <w:tab/>
        </w:r>
        <w:r w:rsidR="00693D54">
          <w:rPr>
            <w:noProof/>
            <w:webHidden/>
          </w:rPr>
          <w:fldChar w:fldCharType="begin"/>
        </w:r>
        <w:r w:rsidR="00693D54">
          <w:rPr>
            <w:noProof/>
            <w:webHidden/>
          </w:rPr>
          <w:instrText xml:space="preserve"> PAGEREF _Toc11394720 \h </w:instrText>
        </w:r>
        <w:r w:rsidR="00693D54">
          <w:rPr>
            <w:noProof/>
            <w:webHidden/>
          </w:rPr>
        </w:r>
        <w:r w:rsidR="00693D54">
          <w:rPr>
            <w:noProof/>
            <w:webHidden/>
          </w:rPr>
          <w:fldChar w:fldCharType="separate"/>
        </w:r>
        <w:r w:rsidR="005F00D4">
          <w:rPr>
            <w:noProof/>
            <w:webHidden/>
          </w:rPr>
          <w:t>43</w:t>
        </w:r>
        <w:r w:rsidR="00693D54">
          <w:rPr>
            <w:noProof/>
            <w:webHidden/>
          </w:rPr>
          <w:fldChar w:fldCharType="end"/>
        </w:r>
      </w:hyperlink>
    </w:p>
    <w:p w14:paraId="79B2EA9A"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21" w:history="1">
        <w:r w:rsidR="00693D54" w:rsidRPr="002269E6">
          <w:rPr>
            <w:rStyle w:val="Hyperlink"/>
            <w:rFonts w:cs="Arial"/>
            <w:noProof/>
          </w:rPr>
          <w:t>4.3.3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Seagrass leaf tissue nutrients</w:t>
        </w:r>
        <w:r w:rsidR="00693D54">
          <w:rPr>
            <w:noProof/>
            <w:webHidden/>
          </w:rPr>
          <w:tab/>
        </w:r>
        <w:r w:rsidR="00693D54">
          <w:rPr>
            <w:noProof/>
            <w:webHidden/>
          </w:rPr>
          <w:fldChar w:fldCharType="begin"/>
        </w:r>
        <w:r w:rsidR="00693D54">
          <w:rPr>
            <w:noProof/>
            <w:webHidden/>
          </w:rPr>
          <w:instrText xml:space="preserve"> PAGEREF _Toc11394721 \h </w:instrText>
        </w:r>
        <w:r w:rsidR="00693D54">
          <w:rPr>
            <w:noProof/>
            <w:webHidden/>
          </w:rPr>
        </w:r>
        <w:r w:rsidR="00693D54">
          <w:rPr>
            <w:noProof/>
            <w:webHidden/>
          </w:rPr>
          <w:fldChar w:fldCharType="separate"/>
        </w:r>
        <w:r w:rsidR="005F00D4">
          <w:rPr>
            <w:noProof/>
            <w:webHidden/>
          </w:rPr>
          <w:t>45</w:t>
        </w:r>
        <w:r w:rsidR="00693D54">
          <w:rPr>
            <w:noProof/>
            <w:webHidden/>
          </w:rPr>
          <w:fldChar w:fldCharType="end"/>
        </w:r>
      </w:hyperlink>
    </w:p>
    <w:p w14:paraId="5FDF195E"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22" w:history="1">
        <w:r w:rsidR="00693D54" w:rsidRPr="002269E6">
          <w:rPr>
            <w:rStyle w:val="Hyperlink"/>
            <w:rFonts w:cs="Arial"/>
            <w:noProof/>
          </w:rPr>
          <w:t>4.3.4</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Epiphytes and macroalgae</w:t>
        </w:r>
        <w:r w:rsidR="00693D54">
          <w:rPr>
            <w:noProof/>
            <w:webHidden/>
          </w:rPr>
          <w:tab/>
        </w:r>
        <w:r w:rsidR="00693D54">
          <w:rPr>
            <w:noProof/>
            <w:webHidden/>
          </w:rPr>
          <w:fldChar w:fldCharType="begin"/>
        </w:r>
        <w:r w:rsidR="00693D54">
          <w:rPr>
            <w:noProof/>
            <w:webHidden/>
          </w:rPr>
          <w:instrText xml:space="preserve"> PAGEREF _Toc11394722 \h </w:instrText>
        </w:r>
        <w:r w:rsidR="00693D54">
          <w:rPr>
            <w:noProof/>
            <w:webHidden/>
          </w:rPr>
        </w:r>
        <w:r w:rsidR="00693D54">
          <w:rPr>
            <w:noProof/>
            <w:webHidden/>
          </w:rPr>
          <w:fldChar w:fldCharType="separate"/>
        </w:r>
        <w:r w:rsidR="005F00D4">
          <w:rPr>
            <w:noProof/>
            <w:webHidden/>
          </w:rPr>
          <w:t>47</w:t>
        </w:r>
        <w:r w:rsidR="00693D54">
          <w:rPr>
            <w:noProof/>
            <w:webHidden/>
          </w:rPr>
          <w:fldChar w:fldCharType="end"/>
        </w:r>
      </w:hyperlink>
    </w:p>
    <w:p w14:paraId="0CDD1C12" w14:textId="77777777" w:rsidR="00693D54" w:rsidRDefault="00C911E4">
      <w:pPr>
        <w:pStyle w:val="TOC1"/>
        <w:tabs>
          <w:tab w:val="left" w:pos="442"/>
        </w:tabs>
        <w:rPr>
          <w:rFonts w:asciiTheme="minorHAnsi" w:eastAsiaTheme="minorEastAsia" w:hAnsiTheme="minorHAnsi" w:cstheme="minorBidi"/>
          <w:b w:val="0"/>
          <w:bCs w:val="0"/>
          <w:noProof/>
          <w:szCs w:val="22"/>
          <w:lang w:eastAsia="en-AU"/>
        </w:rPr>
      </w:pPr>
      <w:hyperlink w:anchor="_Toc11394723" w:history="1">
        <w:r w:rsidR="00693D54" w:rsidRPr="002269E6">
          <w:rPr>
            <w:rStyle w:val="Hyperlink"/>
            <w:noProof/>
          </w:rPr>
          <w:t>5</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Regional Reports</w:t>
        </w:r>
        <w:r w:rsidR="00693D54">
          <w:rPr>
            <w:noProof/>
            <w:webHidden/>
          </w:rPr>
          <w:tab/>
        </w:r>
        <w:r w:rsidR="00693D54">
          <w:rPr>
            <w:noProof/>
            <w:webHidden/>
          </w:rPr>
          <w:fldChar w:fldCharType="begin"/>
        </w:r>
        <w:r w:rsidR="00693D54">
          <w:rPr>
            <w:noProof/>
            <w:webHidden/>
          </w:rPr>
          <w:instrText xml:space="preserve"> PAGEREF _Toc11394723 \h </w:instrText>
        </w:r>
        <w:r w:rsidR="00693D54">
          <w:rPr>
            <w:noProof/>
            <w:webHidden/>
          </w:rPr>
        </w:r>
        <w:r w:rsidR="00693D54">
          <w:rPr>
            <w:noProof/>
            <w:webHidden/>
          </w:rPr>
          <w:fldChar w:fldCharType="separate"/>
        </w:r>
        <w:r w:rsidR="005F00D4">
          <w:rPr>
            <w:noProof/>
            <w:webHidden/>
          </w:rPr>
          <w:t>49</w:t>
        </w:r>
        <w:r w:rsidR="00693D54">
          <w:rPr>
            <w:noProof/>
            <w:webHidden/>
          </w:rPr>
          <w:fldChar w:fldCharType="end"/>
        </w:r>
      </w:hyperlink>
    </w:p>
    <w:p w14:paraId="198A87C1"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24" w:history="1">
        <w:r w:rsidR="00693D54" w:rsidRPr="002269E6">
          <w:rPr>
            <w:rStyle w:val="Hyperlink"/>
            <w:noProof/>
          </w:rPr>
          <w:t>5.1</w:t>
        </w:r>
        <w:r w:rsidR="00693D54">
          <w:rPr>
            <w:rFonts w:asciiTheme="minorHAnsi" w:eastAsiaTheme="minorEastAsia" w:hAnsiTheme="minorHAnsi" w:cstheme="minorBidi"/>
            <w:noProof/>
            <w:sz w:val="22"/>
            <w:szCs w:val="22"/>
            <w:lang w:eastAsia="en-AU"/>
          </w:rPr>
          <w:tab/>
        </w:r>
        <w:r w:rsidR="00693D54" w:rsidRPr="002269E6">
          <w:rPr>
            <w:rStyle w:val="Hyperlink"/>
            <w:noProof/>
          </w:rPr>
          <w:t>Cape York</w:t>
        </w:r>
        <w:r w:rsidR="00693D54">
          <w:rPr>
            <w:noProof/>
            <w:webHidden/>
          </w:rPr>
          <w:tab/>
        </w:r>
        <w:r w:rsidR="00693D54">
          <w:rPr>
            <w:noProof/>
            <w:webHidden/>
          </w:rPr>
          <w:fldChar w:fldCharType="begin"/>
        </w:r>
        <w:r w:rsidR="00693D54">
          <w:rPr>
            <w:noProof/>
            <w:webHidden/>
          </w:rPr>
          <w:instrText xml:space="preserve"> PAGEREF _Toc11394724 \h </w:instrText>
        </w:r>
        <w:r w:rsidR="00693D54">
          <w:rPr>
            <w:noProof/>
            <w:webHidden/>
          </w:rPr>
        </w:r>
        <w:r w:rsidR="00693D54">
          <w:rPr>
            <w:noProof/>
            <w:webHidden/>
          </w:rPr>
          <w:fldChar w:fldCharType="separate"/>
        </w:r>
        <w:r w:rsidR="005F00D4">
          <w:rPr>
            <w:noProof/>
            <w:webHidden/>
          </w:rPr>
          <w:t>49</w:t>
        </w:r>
        <w:r w:rsidR="00693D54">
          <w:rPr>
            <w:noProof/>
            <w:webHidden/>
          </w:rPr>
          <w:fldChar w:fldCharType="end"/>
        </w:r>
      </w:hyperlink>
    </w:p>
    <w:p w14:paraId="7286A6D7"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25" w:history="1">
        <w:r w:rsidR="00693D54" w:rsidRPr="002269E6">
          <w:rPr>
            <w:rStyle w:val="Hyperlink"/>
            <w:rFonts w:cs="Arial"/>
            <w:noProof/>
          </w:rPr>
          <w:t>5.1.1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2017–18 Summary</w:t>
        </w:r>
        <w:r w:rsidR="00693D54">
          <w:rPr>
            <w:noProof/>
            <w:webHidden/>
          </w:rPr>
          <w:tab/>
        </w:r>
        <w:r w:rsidR="00693D54">
          <w:rPr>
            <w:noProof/>
            <w:webHidden/>
          </w:rPr>
          <w:fldChar w:fldCharType="begin"/>
        </w:r>
        <w:r w:rsidR="00693D54">
          <w:rPr>
            <w:noProof/>
            <w:webHidden/>
          </w:rPr>
          <w:instrText xml:space="preserve"> PAGEREF _Toc11394725 \h </w:instrText>
        </w:r>
        <w:r w:rsidR="00693D54">
          <w:rPr>
            <w:noProof/>
            <w:webHidden/>
          </w:rPr>
        </w:r>
        <w:r w:rsidR="00693D54">
          <w:rPr>
            <w:noProof/>
            <w:webHidden/>
          </w:rPr>
          <w:fldChar w:fldCharType="separate"/>
        </w:r>
        <w:r w:rsidR="005F00D4">
          <w:rPr>
            <w:noProof/>
            <w:webHidden/>
          </w:rPr>
          <w:t>49</w:t>
        </w:r>
        <w:r w:rsidR="00693D54">
          <w:rPr>
            <w:noProof/>
            <w:webHidden/>
          </w:rPr>
          <w:fldChar w:fldCharType="end"/>
        </w:r>
      </w:hyperlink>
    </w:p>
    <w:p w14:paraId="32BB7AFF"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26" w:history="1">
        <w:r w:rsidR="00693D54" w:rsidRPr="002269E6">
          <w:rPr>
            <w:rStyle w:val="Hyperlink"/>
            <w:rFonts w:cs="Arial"/>
            <w:noProof/>
          </w:rPr>
          <w:t>5.1.2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Climate and environmental pressures</w:t>
        </w:r>
        <w:r w:rsidR="00693D54">
          <w:rPr>
            <w:noProof/>
            <w:webHidden/>
          </w:rPr>
          <w:tab/>
        </w:r>
        <w:r w:rsidR="00693D54">
          <w:rPr>
            <w:noProof/>
            <w:webHidden/>
          </w:rPr>
          <w:fldChar w:fldCharType="begin"/>
        </w:r>
        <w:r w:rsidR="00693D54">
          <w:rPr>
            <w:noProof/>
            <w:webHidden/>
          </w:rPr>
          <w:instrText xml:space="preserve"> PAGEREF _Toc11394726 \h </w:instrText>
        </w:r>
        <w:r w:rsidR="00693D54">
          <w:rPr>
            <w:noProof/>
            <w:webHidden/>
          </w:rPr>
        </w:r>
        <w:r w:rsidR="00693D54">
          <w:rPr>
            <w:noProof/>
            <w:webHidden/>
          </w:rPr>
          <w:fldChar w:fldCharType="separate"/>
        </w:r>
        <w:r w:rsidR="005F00D4">
          <w:rPr>
            <w:noProof/>
            <w:webHidden/>
          </w:rPr>
          <w:t>50</w:t>
        </w:r>
        <w:r w:rsidR="00693D54">
          <w:rPr>
            <w:noProof/>
            <w:webHidden/>
          </w:rPr>
          <w:fldChar w:fldCharType="end"/>
        </w:r>
      </w:hyperlink>
    </w:p>
    <w:p w14:paraId="5D6A49E6"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27" w:history="1">
        <w:r w:rsidR="00693D54" w:rsidRPr="002269E6">
          <w:rPr>
            <w:rStyle w:val="Hyperlink"/>
            <w:rFonts w:cs="Arial"/>
            <w:noProof/>
          </w:rPr>
          <w:t>5.1.3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Inshore seagrass and habitat condition</w:t>
        </w:r>
        <w:r w:rsidR="00693D54">
          <w:rPr>
            <w:noProof/>
            <w:webHidden/>
          </w:rPr>
          <w:tab/>
        </w:r>
        <w:r w:rsidR="00693D54">
          <w:rPr>
            <w:noProof/>
            <w:webHidden/>
          </w:rPr>
          <w:fldChar w:fldCharType="begin"/>
        </w:r>
        <w:r w:rsidR="00693D54">
          <w:rPr>
            <w:noProof/>
            <w:webHidden/>
          </w:rPr>
          <w:instrText xml:space="preserve"> PAGEREF _Toc11394727 \h </w:instrText>
        </w:r>
        <w:r w:rsidR="00693D54">
          <w:rPr>
            <w:noProof/>
            <w:webHidden/>
          </w:rPr>
        </w:r>
        <w:r w:rsidR="00693D54">
          <w:rPr>
            <w:noProof/>
            <w:webHidden/>
          </w:rPr>
          <w:fldChar w:fldCharType="separate"/>
        </w:r>
        <w:r w:rsidR="005F00D4">
          <w:rPr>
            <w:noProof/>
            <w:webHidden/>
          </w:rPr>
          <w:t>52</w:t>
        </w:r>
        <w:r w:rsidR="00693D54">
          <w:rPr>
            <w:noProof/>
            <w:webHidden/>
          </w:rPr>
          <w:fldChar w:fldCharType="end"/>
        </w:r>
      </w:hyperlink>
    </w:p>
    <w:p w14:paraId="51A1DE69"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28" w:history="1">
        <w:r w:rsidR="00693D54" w:rsidRPr="002269E6">
          <w:rPr>
            <w:rStyle w:val="Hyperlink"/>
            <w:rFonts w:cs="Arial"/>
            <w:i/>
            <w:noProof/>
          </w:rPr>
          <w:t>5.1.3.1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index and indicator scores</w:t>
        </w:r>
        <w:r w:rsidR="00693D54">
          <w:rPr>
            <w:noProof/>
            <w:webHidden/>
          </w:rPr>
          <w:tab/>
        </w:r>
        <w:r w:rsidR="00693D54">
          <w:rPr>
            <w:noProof/>
            <w:webHidden/>
          </w:rPr>
          <w:fldChar w:fldCharType="begin"/>
        </w:r>
        <w:r w:rsidR="00693D54">
          <w:rPr>
            <w:noProof/>
            <w:webHidden/>
          </w:rPr>
          <w:instrText xml:space="preserve"> PAGEREF _Toc11394728 \h </w:instrText>
        </w:r>
        <w:r w:rsidR="00693D54">
          <w:rPr>
            <w:noProof/>
            <w:webHidden/>
          </w:rPr>
        </w:r>
        <w:r w:rsidR="00693D54">
          <w:rPr>
            <w:noProof/>
            <w:webHidden/>
          </w:rPr>
          <w:fldChar w:fldCharType="separate"/>
        </w:r>
        <w:r w:rsidR="005F00D4">
          <w:rPr>
            <w:noProof/>
            <w:webHidden/>
          </w:rPr>
          <w:t>53</w:t>
        </w:r>
        <w:r w:rsidR="00693D54">
          <w:rPr>
            <w:noProof/>
            <w:webHidden/>
          </w:rPr>
          <w:fldChar w:fldCharType="end"/>
        </w:r>
      </w:hyperlink>
    </w:p>
    <w:p w14:paraId="49DE4486"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29" w:history="1">
        <w:r w:rsidR="00693D54" w:rsidRPr="002269E6">
          <w:rPr>
            <w:rStyle w:val="Hyperlink"/>
            <w:rFonts w:cs="Arial"/>
            <w:i/>
            <w:noProof/>
          </w:rPr>
          <w:t>5.1.3.2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abundance, composition and extent</w:t>
        </w:r>
        <w:r w:rsidR="00693D54">
          <w:rPr>
            <w:noProof/>
            <w:webHidden/>
          </w:rPr>
          <w:tab/>
        </w:r>
        <w:r w:rsidR="00693D54">
          <w:rPr>
            <w:noProof/>
            <w:webHidden/>
          </w:rPr>
          <w:fldChar w:fldCharType="begin"/>
        </w:r>
        <w:r w:rsidR="00693D54">
          <w:rPr>
            <w:noProof/>
            <w:webHidden/>
          </w:rPr>
          <w:instrText xml:space="preserve"> PAGEREF _Toc11394729 \h </w:instrText>
        </w:r>
        <w:r w:rsidR="00693D54">
          <w:rPr>
            <w:noProof/>
            <w:webHidden/>
          </w:rPr>
        </w:r>
        <w:r w:rsidR="00693D54">
          <w:rPr>
            <w:noProof/>
            <w:webHidden/>
          </w:rPr>
          <w:fldChar w:fldCharType="separate"/>
        </w:r>
        <w:r w:rsidR="005F00D4">
          <w:rPr>
            <w:noProof/>
            <w:webHidden/>
          </w:rPr>
          <w:t>55</w:t>
        </w:r>
        <w:r w:rsidR="00693D54">
          <w:rPr>
            <w:noProof/>
            <w:webHidden/>
          </w:rPr>
          <w:fldChar w:fldCharType="end"/>
        </w:r>
      </w:hyperlink>
    </w:p>
    <w:p w14:paraId="6EF7B579"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30" w:history="1">
        <w:r w:rsidR="00693D54" w:rsidRPr="002269E6">
          <w:rPr>
            <w:rStyle w:val="Hyperlink"/>
            <w:rFonts w:cs="Arial"/>
            <w:i/>
            <w:noProof/>
          </w:rPr>
          <w:t>5.1.3.3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reproductive status</w:t>
        </w:r>
        <w:r w:rsidR="00693D54">
          <w:rPr>
            <w:noProof/>
            <w:webHidden/>
          </w:rPr>
          <w:tab/>
        </w:r>
        <w:r w:rsidR="00693D54">
          <w:rPr>
            <w:noProof/>
            <w:webHidden/>
          </w:rPr>
          <w:fldChar w:fldCharType="begin"/>
        </w:r>
        <w:r w:rsidR="00693D54">
          <w:rPr>
            <w:noProof/>
            <w:webHidden/>
          </w:rPr>
          <w:instrText xml:space="preserve"> PAGEREF _Toc11394730 \h </w:instrText>
        </w:r>
        <w:r w:rsidR="00693D54">
          <w:rPr>
            <w:noProof/>
            <w:webHidden/>
          </w:rPr>
        </w:r>
        <w:r w:rsidR="00693D54">
          <w:rPr>
            <w:noProof/>
            <w:webHidden/>
          </w:rPr>
          <w:fldChar w:fldCharType="separate"/>
        </w:r>
        <w:r w:rsidR="005F00D4">
          <w:rPr>
            <w:noProof/>
            <w:webHidden/>
          </w:rPr>
          <w:t>56</w:t>
        </w:r>
        <w:r w:rsidR="00693D54">
          <w:rPr>
            <w:noProof/>
            <w:webHidden/>
          </w:rPr>
          <w:fldChar w:fldCharType="end"/>
        </w:r>
      </w:hyperlink>
    </w:p>
    <w:p w14:paraId="2FF9D945"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31" w:history="1">
        <w:r w:rsidR="00693D54" w:rsidRPr="002269E6">
          <w:rPr>
            <w:rStyle w:val="Hyperlink"/>
            <w:rFonts w:cs="Arial"/>
            <w:i/>
            <w:noProof/>
          </w:rPr>
          <w:t>5.1.3.4</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leaf tissue nutrients</w:t>
        </w:r>
        <w:r w:rsidR="00693D54">
          <w:rPr>
            <w:noProof/>
            <w:webHidden/>
          </w:rPr>
          <w:tab/>
        </w:r>
        <w:r w:rsidR="00693D54">
          <w:rPr>
            <w:noProof/>
            <w:webHidden/>
          </w:rPr>
          <w:fldChar w:fldCharType="begin"/>
        </w:r>
        <w:r w:rsidR="00693D54">
          <w:rPr>
            <w:noProof/>
            <w:webHidden/>
          </w:rPr>
          <w:instrText xml:space="preserve"> PAGEREF _Toc11394731 \h </w:instrText>
        </w:r>
        <w:r w:rsidR="00693D54">
          <w:rPr>
            <w:noProof/>
            <w:webHidden/>
          </w:rPr>
        </w:r>
        <w:r w:rsidR="00693D54">
          <w:rPr>
            <w:noProof/>
            <w:webHidden/>
          </w:rPr>
          <w:fldChar w:fldCharType="separate"/>
        </w:r>
        <w:r w:rsidR="005F00D4">
          <w:rPr>
            <w:noProof/>
            <w:webHidden/>
          </w:rPr>
          <w:t>57</w:t>
        </w:r>
        <w:r w:rsidR="00693D54">
          <w:rPr>
            <w:noProof/>
            <w:webHidden/>
          </w:rPr>
          <w:fldChar w:fldCharType="end"/>
        </w:r>
      </w:hyperlink>
    </w:p>
    <w:p w14:paraId="1F10FEB7"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32" w:history="1">
        <w:r w:rsidR="00693D54" w:rsidRPr="002269E6">
          <w:rPr>
            <w:rStyle w:val="Hyperlink"/>
            <w:rFonts w:cs="Arial"/>
            <w:i/>
            <w:noProof/>
          </w:rPr>
          <w:t>5.1.3.5</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Epiphytes and macroalgae</w:t>
        </w:r>
        <w:r w:rsidR="00693D54">
          <w:rPr>
            <w:noProof/>
            <w:webHidden/>
          </w:rPr>
          <w:tab/>
        </w:r>
        <w:r w:rsidR="00693D54">
          <w:rPr>
            <w:noProof/>
            <w:webHidden/>
          </w:rPr>
          <w:fldChar w:fldCharType="begin"/>
        </w:r>
        <w:r w:rsidR="00693D54">
          <w:rPr>
            <w:noProof/>
            <w:webHidden/>
          </w:rPr>
          <w:instrText xml:space="preserve"> PAGEREF _Toc11394732 \h </w:instrText>
        </w:r>
        <w:r w:rsidR="00693D54">
          <w:rPr>
            <w:noProof/>
            <w:webHidden/>
          </w:rPr>
        </w:r>
        <w:r w:rsidR="00693D54">
          <w:rPr>
            <w:noProof/>
            <w:webHidden/>
          </w:rPr>
          <w:fldChar w:fldCharType="separate"/>
        </w:r>
        <w:r w:rsidR="005F00D4">
          <w:rPr>
            <w:noProof/>
            <w:webHidden/>
          </w:rPr>
          <w:t>59</w:t>
        </w:r>
        <w:r w:rsidR="00693D54">
          <w:rPr>
            <w:noProof/>
            <w:webHidden/>
          </w:rPr>
          <w:fldChar w:fldCharType="end"/>
        </w:r>
      </w:hyperlink>
    </w:p>
    <w:p w14:paraId="6A08735E"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33" w:history="1">
        <w:r w:rsidR="00693D54" w:rsidRPr="002269E6">
          <w:rPr>
            <w:rStyle w:val="Hyperlink"/>
            <w:noProof/>
          </w:rPr>
          <w:t>5.2</w:t>
        </w:r>
        <w:r w:rsidR="00693D54">
          <w:rPr>
            <w:rFonts w:asciiTheme="minorHAnsi" w:eastAsiaTheme="minorEastAsia" w:hAnsiTheme="minorHAnsi" w:cstheme="minorBidi"/>
            <w:noProof/>
            <w:sz w:val="22"/>
            <w:szCs w:val="22"/>
            <w:lang w:eastAsia="en-AU"/>
          </w:rPr>
          <w:tab/>
        </w:r>
        <w:r w:rsidR="00693D54" w:rsidRPr="002269E6">
          <w:rPr>
            <w:rStyle w:val="Hyperlink"/>
            <w:noProof/>
          </w:rPr>
          <w:t>Wet Tropics</w:t>
        </w:r>
        <w:r w:rsidR="00693D54">
          <w:rPr>
            <w:noProof/>
            <w:webHidden/>
          </w:rPr>
          <w:tab/>
        </w:r>
        <w:r w:rsidR="00693D54">
          <w:rPr>
            <w:noProof/>
            <w:webHidden/>
          </w:rPr>
          <w:fldChar w:fldCharType="begin"/>
        </w:r>
        <w:r w:rsidR="00693D54">
          <w:rPr>
            <w:noProof/>
            <w:webHidden/>
          </w:rPr>
          <w:instrText xml:space="preserve"> PAGEREF _Toc11394733 \h </w:instrText>
        </w:r>
        <w:r w:rsidR="00693D54">
          <w:rPr>
            <w:noProof/>
            <w:webHidden/>
          </w:rPr>
        </w:r>
        <w:r w:rsidR="00693D54">
          <w:rPr>
            <w:noProof/>
            <w:webHidden/>
          </w:rPr>
          <w:fldChar w:fldCharType="separate"/>
        </w:r>
        <w:r w:rsidR="005F00D4">
          <w:rPr>
            <w:noProof/>
            <w:webHidden/>
          </w:rPr>
          <w:t>60</w:t>
        </w:r>
        <w:r w:rsidR="00693D54">
          <w:rPr>
            <w:noProof/>
            <w:webHidden/>
          </w:rPr>
          <w:fldChar w:fldCharType="end"/>
        </w:r>
      </w:hyperlink>
    </w:p>
    <w:p w14:paraId="613EC286"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34" w:history="1">
        <w:r w:rsidR="00693D54" w:rsidRPr="002269E6">
          <w:rPr>
            <w:rStyle w:val="Hyperlink"/>
            <w:rFonts w:cs="Arial"/>
            <w:noProof/>
          </w:rPr>
          <w:t>5.2.1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2017–18 Summary</w:t>
        </w:r>
        <w:r w:rsidR="00693D54">
          <w:rPr>
            <w:noProof/>
            <w:webHidden/>
          </w:rPr>
          <w:tab/>
        </w:r>
        <w:r w:rsidR="00693D54">
          <w:rPr>
            <w:noProof/>
            <w:webHidden/>
          </w:rPr>
          <w:fldChar w:fldCharType="begin"/>
        </w:r>
        <w:r w:rsidR="00693D54">
          <w:rPr>
            <w:noProof/>
            <w:webHidden/>
          </w:rPr>
          <w:instrText xml:space="preserve"> PAGEREF _Toc11394734 \h </w:instrText>
        </w:r>
        <w:r w:rsidR="00693D54">
          <w:rPr>
            <w:noProof/>
            <w:webHidden/>
          </w:rPr>
        </w:r>
        <w:r w:rsidR="00693D54">
          <w:rPr>
            <w:noProof/>
            <w:webHidden/>
          </w:rPr>
          <w:fldChar w:fldCharType="separate"/>
        </w:r>
        <w:r w:rsidR="005F00D4">
          <w:rPr>
            <w:noProof/>
            <w:webHidden/>
          </w:rPr>
          <w:t>60</w:t>
        </w:r>
        <w:r w:rsidR="00693D54">
          <w:rPr>
            <w:noProof/>
            <w:webHidden/>
          </w:rPr>
          <w:fldChar w:fldCharType="end"/>
        </w:r>
      </w:hyperlink>
    </w:p>
    <w:p w14:paraId="3FB985AB"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35" w:history="1">
        <w:r w:rsidR="00693D54" w:rsidRPr="002269E6">
          <w:rPr>
            <w:rStyle w:val="Hyperlink"/>
            <w:rFonts w:cs="Arial"/>
            <w:noProof/>
          </w:rPr>
          <w:t>5.2.2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Climate and environmental pressures</w:t>
        </w:r>
        <w:r w:rsidR="00693D54">
          <w:rPr>
            <w:noProof/>
            <w:webHidden/>
          </w:rPr>
          <w:tab/>
        </w:r>
        <w:r w:rsidR="00693D54">
          <w:rPr>
            <w:noProof/>
            <w:webHidden/>
          </w:rPr>
          <w:fldChar w:fldCharType="begin"/>
        </w:r>
        <w:r w:rsidR="00693D54">
          <w:rPr>
            <w:noProof/>
            <w:webHidden/>
          </w:rPr>
          <w:instrText xml:space="preserve"> PAGEREF _Toc11394735 \h </w:instrText>
        </w:r>
        <w:r w:rsidR="00693D54">
          <w:rPr>
            <w:noProof/>
            <w:webHidden/>
          </w:rPr>
        </w:r>
        <w:r w:rsidR="00693D54">
          <w:rPr>
            <w:noProof/>
            <w:webHidden/>
          </w:rPr>
          <w:fldChar w:fldCharType="separate"/>
        </w:r>
        <w:r w:rsidR="005F00D4">
          <w:rPr>
            <w:noProof/>
            <w:webHidden/>
          </w:rPr>
          <w:t>61</w:t>
        </w:r>
        <w:r w:rsidR="00693D54">
          <w:rPr>
            <w:noProof/>
            <w:webHidden/>
          </w:rPr>
          <w:fldChar w:fldCharType="end"/>
        </w:r>
      </w:hyperlink>
    </w:p>
    <w:p w14:paraId="4B49B5AE"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36" w:history="1">
        <w:r w:rsidR="00693D54" w:rsidRPr="002269E6">
          <w:rPr>
            <w:rStyle w:val="Hyperlink"/>
            <w:rFonts w:cs="Arial"/>
            <w:noProof/>
          </w:rPr>
          <w:t>5.2.3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Inshore seagrass and habitat condition</w:t>
        </w:r>
        <w:r w:rsidR="00693D54">
          <w:rPr>
            <w:noProof/>
            <w:webHidden/>
          </w:rPr>
          <w:tab/>
        </w:r>
        <w:r w:rsidR="00693D54">
          <w:rPr>
            <w:noProof/>
            <w:webHidden/>
          </w:rPr>
          <w:fldChar w:fldCharType="begin"/>
        </w:r>
        <w:r w:rsidR="00693D54">
          <w:rPr>
            <w:noProof/>
            <w:webHidden/>
          </w:rPr>
          <w:instrText xml:space="preserve"> PAGEREF _Toc11394736 \h </w:instrText>
        </w:r>
        <w:r w:rsidR="00693D54">
          <w:rPr>
            <w:noProof/>
            <w:webHidden/>
          </w:rPr>
        </w:r>
        <w:r w:rsidR="00693D54">
          <w:rPr>
            <w:noProof/>
            <w:webHidden/>
          </w:rPr>
          <w:fldChar w:fldCharType="separate"/>
        </w:r>
        <w:r w:rsidR="005F00D4">
          <w:rPr>
            <w:noProof/>
            <w:webHidden/>
          </w:rPr>
          <w:t>65</w:t>
        </w:r>
        <w:r w:rsidR="00693D54">
          <w:rPr>
            <w:noProof/>
            <w:webHidden/>
          </w:rPr>
          <w:fldChar w:fldCharType="end"/>
        </w:r>
      </w:hyperlink>
    </w:p>
    <w:p w14:paraId="65CBB5C4"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37" w:history="1">
        <w:r w:rsidR="00693D54" w:rsidRPr="002269E6">
          <w:rPr>
            <w:rStyle w:val="Hyperlink"/>
            <w:rFonts w:cs="Arial"/>
            <w:i/>
            <w:noProof/>
          </w:rPr>
          <w:t>5.2.3.1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index and indicator scores</w:t>
        </w:r>
        <w:r w:rsidR="00693D54">
          <w:rPr>
            <w:noProof/>
            <w:webHidden/>
          </w:rPr>
          <w:tab/>
        </w:r>
        <w:r w:rsidR="00693D54">
          <w:rPr>
            <w:noProof/>
            <w:webHidden/>
          </w:rPr>
          <w:fldChar w:fldCharType="begin"/>
        </w:r>
        <w:r w:rsidR="00693D54">
          <w:rPr>
            <w:noProof/>
            <w:webHidden/>
          </w:rPr>
          <w:instrText xml:space="preserve"> PAGEREF _Toc11394737 \h </w:instrText>
        </w:r>
        <w:r w:rsidR="00693D54">
          <w:rPr>
            <w:noProof/>
            <w:webHidden/>
          </w:rPr>
        </w:r>
        <w:r w:rsidR="00693D54">
          <w:rPr>
            <w:noProof/>
            <w:webHidden/>
          </w:rPr>
          <w:fldChar w:fldCharType="separate"/>
        </w:r>
        <w:r w:rsidR="005F00D4">
          <w:rPr>
            <w:noProof/>
            <w:webHidden/>
          </w:rPr>
          <w:t>65</w:t>
        </w:r>
        <w:r w:rsidR="00693D54">
          <w:rPr>
            <w:noProof/>
            <w:webHidden/>
          </w:rPr>
          <w:fldChar w:fldCharType="end"/>
        </w:r>
      </w:hyperlink>
    </w:p>
    <w:p w14:paraId="53090D13"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38" w:history="1">
        <w:r w:rsidR="00693D54" w:rsidRPr="002269E6">
          <w:rPr>
            <w:rStyle w:val="Hyperlink"/>
            <w:rFonts w:cs="Arial"/>
            <w:i/>
            <w:noProof/>
          </w:rPr>
          <w:t>5.2.3.2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abundance, community and extent</w:t>
        </w:r>
        <w:r w:rsidR="00693D54">
          <w:rPr>
            <w:noProof/>
            <w:webHidden/>
          </w:rPr>
          <w:tab/>
        </w:r>
        <w:r w:rsidR="00693D54">
          <w:rPr>
            <w:noProof/>
            <w:webHidden/>
          </w:rPr>
          <w:fldChar w:fldCharType="begin"/>
        </w:r>
        <w:r w:rsidR="00693D54">
          <w:rPr>
            <w:noProof/>
            <w:webHidden/>
          </w:rPr>
          <w:instrText xml:space="preserve"> PAGEREF _Toc11394738 \h </w:instrText>
        </w:r>
        <w:r w:rsidR="00693D54">
          <w:rPr>
            <w:noProof/>
            <w:webHidden/>
          </w:rPr>
        </w:r>
        <w:r w:rsidR="00693D54">
          <w:rPr>
            <w:noProof/>
            <w:webHidden/>
          </w:rPr>
          <w:fldChar w:fldCharType="separate"/>
        </w:r>
        <w:r w:rsidR="005F00D4">
          <w:rPr>
            <w:noProof/>
            <w:webHidden/>
          </w:rPr>
          <w:t>67</w:t>
        </w:r>
        <w:r w:rsidR="00693D54">
          <w:rPr>
            <w:noProof/>
            <w:webHidden/>
          </w:rPr>
          <w:fldChar w:fldCharType="end"/>
        </w:r>
      </w:hyperlink>
    </w:p>
    <w:p w14:paraId="1D4768D2"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39" w:history="1">
        <w:r w:rsidR="00693D54" w:rsidRPr="002269E6">
          <w:rPr>
            <w:rStyle w:val="Hyperlink"/>
            <w:rFonts w:cs="Arial"/>
            <w:i/>
            <w:noProof/>
          </w:rPr>
          <w:t>5.2.3.3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reproductive status</w:t>
        </w:r>
        <w:r w:rsidR="00693D54">
          <w:rPr>
            <w:noProof/>
            <w:webHidden/>
          </w:rPr>
          <w:tab/>
        </w:r>
        <w:r w:rsidR="00693D54">
          <w:rPr>
            <w:noProof/>
            <w:webHidden/>
          </w:rPr>
          <w:fldChar w:fldCharType="begin"/>
        </w:r>
        <w:r w:rsidR="00693D54">
          <w:rPr>
            <w:noProof/>
            <w:webHidden/>
          </w:rPr>
          <w:instrText xml:space="preserve"> PAGEREF _Toc11394739 \h </w:instrText>
        </w:r>
        <w:r w:rsidR="00693D54">
          <w:rPr>
            <w:noProof/>
            <w:webHidden/>
          </w:rPr>
        </w:r>
        <w:r w:rsidR="00693D54">
          <w:rPr>
            <w:noProof/>
            <w:webHidden/>
          </w:rPr>
          <w:fldChar w:fldCharType="separate"/>
        </w:r>
        <w:r w:rsidR="005F00D4">
          <w:rPr>
            <w:noProof/>
            <w:webHidden/>
          </w:rPr>
          <w:t>71</w:t>
        </w:r>
        <w:r w:rsidR="00693D54">
          <w:rPr>
            <w:noProof/>
            <w:webHidden/>
          </w:rPr>
          <w:fldChar w:fldCharType="end"/>
        </w:r>
      </w:hyperlink>
    </w:p>
    <w:p w14:paraId="578D0EBD"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40" w:history="1">
        <w:r w:rsidR="00693D54" w:rsidRPr="002269E6">
          <w:rPr>
            <w:rStyle w:val="Hyperlink"/>
            <w:rFonts w:cs="Arial"/>
            <w:i/>
            <w:noProof/>
          </w:rPr>
          <w:t>5.2.3.4</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leaf tissue nutrients</w:t>
        </w:r>
        <w:r w:rsidR="00693D54">
          <w:rPr>
            <w:noProof/>
            <w:webHidden/>
          </w:rPr>
          <w:tab/>
        </w:r>
        <w:r w:rsidR="00693D54">
          <w:rPr>
            <w:noProof/>
            <w:webHidden/>
          </w:rPr>
          <w:fldChar w:fldCharType="begin"/>
        </w:r>
        <w:r w:rsidR="00693D54">
          <w:rPr>
            <w:noProof/>
            <w:webHidden/>
          </w:rPr>
          <w:instrText xml:space="preserve"> PAGEREF _Toc11394740 \h </w:instrText>
        </w:r>
        <w:r w:rsidR="00693D54">
          <w:rPr>
            <w:noProof/>
            <w:webHidden/>
          </w:rPr>
        </w:r>
        <w:r w:rsidR="00693D54">
          <w:rPr>
            <w:noProof/>
            <w:webHidden/>
          </w:rPr>
          <w:fldChar w:fldCharType="separate"/>
        </w:r>
        <w:r w:rsidR="005F00D4">
          <w:rPr>
            <w:noProof/>
            <w:webHidden/>
          </w:rPr>
          <w:t>72</w:t>
        </w:r>
        <w:r w:rsidR="00693D54">
          <w:rPr>
            <w:noProof/>
            <w:webHidden/>
          </w:rPr>
          <w:fldChar w:fldCharType="end"/>
        </w:r>
      </w:hyperlink>
    </w:p>
    <w:p w14:paraId="597B4951"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41" w:history="1">
        <w:r w:rsidR="00693D54" w:rsidRPr="002269E6">
          <w:rPr>
            <w:rStyle w:val="Hyperlink"/>
            <w:rFonts w:cs="Arial"/>
            <w:i/>
            <w:noProof/>
          </w:rPr>
          <w:t>5.2.3.5</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Epiphytes and macroalgae</w:t>
        </w:r>
        <w:r w:rsidR="00693D54">
          <w:rPr>
            <w:noProof/>
            <w:webHidden/>
          </w:rPr>
          <w:tab/>
        </w:r>
        <w:r w:rsidR="00693D54">
          <w:rPr>
            <w:noProof/>
            <w:webHidden/>
          </w:rPr>
          <w:fldChar w:fldCharType="begin"/>
        </w:r>
        <w:r w:rsidR="00693D54">
          <w:rPr>
            <w:noProof/>
            <w:webHidden/>
          </w:rPr>
          <w:instrText xml:space="preserve"> PAGEREF _Toc11394741 \h </w:instrText>
        </w:r>
        <w:r w:rsidR="00693D54">
          <w:rPr>
            <w:noProof/>
            <w:webHidden/>
          </w:rPr>
        </w:r>
        <w:r w:rsidR="00693D54">
          <w:rPr>
            <w:noProof/>
            <w:webHidden/>
          </w:rPr>
          <w:fldChar w:fldCharType="separate"/>
        </w:r>
        <w:r w:rsidR="005F00D4">
          <w:rPr>
            <w:noProof/>
            <w:webHidden/>
          </w:rPr>
          <w:t>75</w:t>
        </w:r>
        <w:r w:rsidR="00693D54">
          <w:rPr>
            <w:noProof/>
            <w:webHidden/>
          </w:rPr>
          <w:fldChar w:fldCharType="end"/>
        </w:r>
      </w:hyperlink>
    </w:p>
    <w:p w14:paraId="69B88E67"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42" w:history="1">
        <w:r w:rsidR="00693D54" w:rsidRPr="002269E6">
          <w:rPr>
            <w:rStyle w:val="Hyperlink"/>
            <w:noProof/>
          </w:rPr>
          <w:t>5.3</w:t>
        </w:r>
        <w:r w:rsidR="00693D54">
          <w:rPr>
            <w:rFonts w:asciiTheme="minorHAnsi" w:eastAsiaTheme="minorEastAsia" w:hAnsiTheme="minorHAnsi" w:cstheme="minorBidi"/>
            <w:noProof/>
            <w:sz w:val="22"/>
            <w:szCs w:val="22"/>
            <w:lang w:eastAsia="en-AU"/>
          </w:rPr>
          <w:tab/>
        </w:r>
        <w:r w:rsidR="00693D54" w:rsidRPr="002269E6">
          <w:rPr>
            <w:rStyle w:val="Hyperlink"/>
            <w:noProof/>
          </w:rPr>
          <w:t>Burdekin</w:t>
        </w:r>
        <w:r w:rsidR="00693D54">
          <w:rPr>
            <w:noProof/>
            <w:webHidden/>
          </w:rPr>
          <w:tab/>
        </w:r>
        <w:r w:rsidR="00693D54">
          <w:rPr>
            <w:noProof/>
            <w:webHidden/>
          </w:rPr>
          <w:fldChar w:fldCharType="begin"/>
        </w:r>
        <w:r w:rsidR="00693D54">
          <w:rPr>
            <w:noProof/>
            <w:webHidden/>
          </w:rPr>
          <w:instrText xml:space="preserve"> PAGEREF _Toc11394742 \h </w:instrText>
        </w:r>
        <w:r w:rsidR="00693D54">
          <w:rPr>
            <w:noProof/>
            <w:webHidden/>
          </w:rPr>
        </w:r>
        <w:r w:rsidR="00693D54">
          <w:rPr>
            <w:noProof/>
            <w:webHidden/>
          </w:rPr>
          <w:fldChar w:fldCharType="separate"/>
        </w:r>
        <w:r w:rsidR="005F00D4">
          <w:rPr>
            <w:noProof/>
            <w:webHidden/>
          </w:rPr>
          <w:t>77</w:t>
        </w:r>
        <w:r w:rsidR="00693D54">
          <w:rPr>
            <w:noProof/>
            <w:webHidden/>
          </w:rPr>
          <w:fldChar w:fldCharType="end"/>
        </w:r>
      </w:hyperlink>
    </w:p>
    <w:p w14:paraId="683BE76C"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43" w:history="1">
        <w:r w:rsidR="00693D54" w:rsidRPr="002269E6">
          <w:rPr>
            <w:rStyle w:val="Hyperlink"/>
            <w:rFonts w:cs="Arial"/>
            <w:noProof/>
          </w:rPr>
          <w:t>5.3.1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2017–18 Summary</w:t>
        </w:r>
        <w:r w:rsidR="00693D54">
          <w:rPr>
            <w:noProof/>
            <w:webHidden/>
          </w:rPr>
          <w:tab/>
        </w:r>
        <w:r w:rsidR="00693D54">
          <w:rPr>
            <w:noProof/>
            <w:webHidden/>
          </w:rPr>
          <w:fldChar w:fldCharType="begin"/>
        </w:r>
        <w:r w:rsidR="00693D54">
          <w:rPr>
            <w:noProof/>
            <w:webHidden/>
          </w:rPr>
          <w:instrText xml:space="preserve"> PAGEREF _Toc11394743 \h </w:instrText>
        </w:r>
        <w:r w:rsidR="00693D54">
          <w:rPr>
            <w:noProof/>
            <w:webHidden/>
          </w:rPr>
        </w:r>
        <w:r w:rsidR="00693D54">
          <w:rPr>
            <w:noProof/>
            <w:webHidden/>
          </w:rPr>
          <w:fldChar w:fldCharType="separate"/>
        </w:r>
        <w:r w:rsidR="005F00D4">
          <w:rPr>
            <w:noProof/>
            <w:webHidden/>
          </w:rPr>
          <w:t>77</w:t>
        </w:r>
        <w:r w:rsidR="00693D54">
          <w:rPr>
            <w:noProof/>
            <w:webHidden/>
          </w:rPr>
          <w:fldChar w:fldCharType="end"/>
        </w:r>
      </w:hyperlink>
    </w:p>
    <w:p w14:paraId="5D2A0A8D"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44" w:history="1">
        <w:r w:rsidR="00693D54" w:rsidRPr="002269E6">
          <w:rPr>
            <w:rStyle w:val="Hyperlink"/>
            <w:rFonts w:cs="Arial"/>
            <w:noProof/>
          </w:rPr>
          <w:t>5.3.2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Climate and environmental pressures</w:t>
        </w:r>
        <w:r w:rsidR="00693D54">
          <w:rPr>
            <w:noProof/>
            <w:webHidden/>
          </w:rPr>
          <w:tab/>
        </w:r>
        <w:r w:rsidR="00693D54">
          <w:rPr>
            <w:noProof/>
            <w:webHidden/>
          </w:rPr>
          <w:fldChar w:fldCharType="begin"/>
        </w:r>
        <w:r w:rsidR="00693D54">
          <w:rPr>
            <w:noProof/>
            <w:webHidden/>
          </w:rPr>
          <w:instrText xml:space="preserve"> PAGEREF _Toc11394744 \h </w:instrText>
        </w:r>
        <w:r w:rsidR="00693D54">
          <w:rPr>
            <w:noProof/>
            <w:webHidden/>
          </w:rPr>
        </w:r>
        <w:r w:rsidR="00693D54">
          <w:rPr>
            <w:noProof/>
            <w:webHidden/>
          </w:rPr>
          <w:fldChar w:fldCharType="separate"/>
        </w:r>
        <w:r w:rsidR="005F00D4">
          <w:rPr>
            <w:noProof/>
            <w:webHidden/>
          </w:rPr>
          <w:t>78</w:t>
        </w:r>
        <w:r w:rsidR="00693D54">
          <w:rPr>
            <w:noProof/>
            <w:webHidden/>
          </w:rPr>
          <w:fldChar w:fldCharType="end"/>
        </w:r>
      </w:hyperlink>
    </w:p>
    <w:p w14:paraId="30E3A7C7"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45" w:history="1">
        <w:r w:rsidR="00693D54" w:rsidRPr="002269E6">
          <w:rPr>
            <w:rStyle w:val="Hyperlink"/>
            <w:rFonts w:cs="Arial"/>
            <w:noProof/>
          </w:rPr>
          <w:t>5.3.3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Inshore seagrass and habitat condition</w:t>
        </w:r>
        <w:r w:rsidR="00693D54">
          <w:rPr>
            <w:noProof/>
            <w:webHidden/>
          </w:rPr>
          <w:tab/>
        </w:r>
        <w:r w:rsidR="00693D54">
          <w:rPr>
            <w:noProof/>
            <w:webHidden/>
          </w:rPr>
          <w:fldChar w:fldCharType="begin"/>
        </w:r>
        <w:r w:rsidR="00693D54">
          <w:rPr>
            <w:noProof/>
            <w:webHidden/>
          </w:rPr>
          <w:instrText xml:space="preserve"> PAGEREF _Toc11394745 \h </w:instrText>
        </w:r>
        <w:r w:rsidR="00693D54">
          <w:rPr>
            <w:noProof/>
            <w:webHidden/>
          </w:rPr>
        </w:r>
        <w:r w:rsidR="00693D54">
          <w:rPr>
            <w:noProof/>
            <w:webHidden/>
          </w:rPr>
          <w:fldChar w:fldCharType="separate"/>
        </w:r>
        <w:r w:rsidR="005F00D4">
          <w:rPr>
            <w:noProof/>
            <w:webHidden/>
          </w:rPr>
          <w:t>80</w:t>
        </w:r>
        <w:r w:rsidR="00693D54">
          <w:rPr>
            <w:noProof/>
            <w:webHidden/>
          </w:rPr>
          <w:fldChar w:fldCharType="end"/>
        </w:r>
      </w:hyperlink>
    </w:p>
    <w:p w14:paraId="28A84DFE"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46" w:history="1">
        <w:r w:rsidR="00693D54" w:rsidRPr="002269E6">
          <w:rPr>
            <w:rStyle w:val="Hyperlink"/>
            <w:rFonts w:cs="Arial"/>
            <w:i/>
            <w:noProof/>
          </w:rPr>
          <w:t>5.3.3.1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index and indicator scores</w:t>
        </w:r>
        <w:r w:rsidR="00693D54">
          <w:rPr>
            <w:noProof/>
            <w:webHidden/>
          </w:rPr>
          <w:tab/>
        </w:r>
        <w:r w:rsidR="00693D54">
          <w:rPr>
            <w:noProof/>
            <w:webHidden/>
          </w:rPr>
          <w:fldChar w:fldCharType="begin"/>
        </w:r>
        <w:r w:rsidR="00693D54">
          <w:rPr>
            <w:noProof/>
            <w:webHidden/>
          </w:rPr>
          <w:instrText xml:space="preserve"> PAGEREF _Toc11394746 \h </w:instrText>
        </w:r>
        <w:r w:rsidR="00693D54">
          <w:rPr>
            <w:noProof/>
            <w:webHidden/>
          </w:rPr>
        </w:r>
        <w:r w:rsidR="00693D54">
          <w:rPr>
            <w:noProof/>
            <w:webHidden/>
          </w:rPr>
          <w:fldChar w:fldCharType="separate"/>
        </w:r>
        <w:r w:rsidR="005F00D4">
          <w:rPr>
            <w:noProof/>
            <w:webHidden/>
          </w:rPr>
          <w:t>80</w:t>
        </w:r>
        <w:r w:rsidR="00693D54">
          <w:rPr>
            <w:noProof/>
            <w:webHidden/>
          </w:rPr>
          <w:fldChar w:fldCharType="end"/>
        </w:r>
      </w:hyperlink>
    </w:p>
    <w:p w14:paraId="5BC4D4CD"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47" w:history="1">
        <w:r w:rsidR="00693D54" w:rsidRPr="002269E6">
          <w:rPr>
            <w:rStyle w:val="Hyperlink"/>
            <w:rFonts w:cs="Arial"/>
            <w:i/>
            <w:noProof/>
          </w:rPr>
          <w:t>5.3.3.2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abundance, composition and extent</w:t>
        </w:r>
        <w:r w:rsidR="00693D54">
          <w:rPr>
            <w:noProof/>
            <w:webHidden/>
          </w:rPr>
          <w:tab/>
        </w:r>
        <w:r w:rsidR="00693D54">
          <w:rPr>
            <w:noProof/>
            <w:webHidden/>
          </w:rPr>
          <w:fldChar w:fldCharType="begin"/>
        </w:r>
        <w:r w:rsidR="00693D54">
          <w:rPr>
            <w:noProof/>
            <w:webHidden/>
          </w:rPr>
          <w:instrText xml:space="preserve"> PAGEREF _Toc11394747 \h </w:instrText>
        </w:r>
        <w:r w:rsidR="00693D54">
          <w:rPr>
            <w:noProof/>
            <w:webHidden/>
          </w:rPr>
        </w:r>
        <w:r w:rsidR="00693D54">
          <w:rPr>
            <w:noProof/>
            <w:webHidden/>
          </w:rPr>
          <w:fldChar w:fldCharType="separate"/>
        </w:r>
        <w:r w:rsidR="005F00D4">
          <w:rPr>
            <w:noProof/>
            <w:webHidden/>
          </w:rPr>
          <w:t>81</w:t>
        </w:r>
        <w:r w:rsidR="00693D54">
          <w:rPr>
            <w:noProof/>
            <w:webHidden/>
          </w:rPr>
          <w:fldChar w:fldCharType="end"/>
        </w:r>
      </w:hyperlink>
    </w:p>
    <w:p w14:paraId="292499E9"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48" w:history="1">
        <w:r w:rsidR="00693D54" w:rsidRPr="002269E6">
          <w:rPr>
            <w:rStyle w:val="Hyperlink"/>
            <w:rFonts w:cs="Arial"/>
            <w:i/>
            <w:noProof/>
          </w:rPr>
          <w:t>5.3.3.3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reproductive status</w:t>
        </w:r>
        <w:r w:rsidR="00693D54">
          <w:rPr>
            <w:noProof/>
            <w:webHidden/>
          </w:rPr>
          <w:tab/>
        </w:r>
        <w:r w:rsidR="00693D54">
          <w:rPr>
            <w:noProof/>
            <w:webHidden/>
          </w:rPr>
          <w:fldChar w:fldCharType="begin"/>
        </w:r>
        <w:r w:rsidR="00693D54">
          <w:rPr>
            <w:noProof/>
            <w:webHidden/>
          </w:rPr>
          <w:instrText xml:space="preserve"> PAGEREF _Toc11394748 \h </w:instrText>
        </w:r>
        <w:r w:rsidR="00693D54">
          <w:rPr>
            <w:noProof/>
            <w:webHidden/>
          </w:rPr>
        </w:r>
        <w:r w:rsidR="00693D54">
          <w:rPr>
            <w:noProof/>
            <w:webHidden/>
          </w:rPr>
          <w:fldChar w:fldCharType="separate"/>
        </w:r>
        <w:r w:rsidR="005F00D4">
          <w:rPr>
            <w:noProof/>
            <w:webHidden/>
          </w:rPr>
          <w:t>83</w:t>
        </w:r>
        <w:r w:rsidR="00693D54">
          <w:rPr>
            <w:noProof/>
            <w:webHidden/>
          </w:rPr>
          <w:fldChar w:fldCharType="end"/>
        </w:r>
      </w:hyperlink>
    </w:p>
    <w:p w14:paraId="7C314686"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49" w:history="1">
        <w:r w:rsidR="00693D54" w:rsidRPr="002269E6">
          <w:rPr>
            <w:rStyle w:val="Hyperlink"/>
            <w:rFonts w:cs="Arial"/>
            <w:i/>
            <w:noProof/>
          </w:rPr>
          <w:t>5.3.3.4</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leaf tissue nutrients</w:t>
        </w:r>
        <w:r w:rsidR="00693D54">
          <w:rPr>
            <w:noProof/>
            <w:webHidden/>
          </w:rPr>
          <w:tab/>
        </w:r>
        <w:r w:rsidR="00693D54">
          <w:rPr>
            <w:noProof/>
            <w:webHidden/>
          </w:rPr>
          <w:fldChar w:fldCharType="begin"/>
        </w:r>
        <w:r w:rsidR="00693D54">
          <w:rPr>
            <w:noProof/>
            <w:webHidden/>
          </w:rPr>
          <w:instrText xml:space="preserve"> PAGEREF _Toc11394749 \h </w:instrText>
        </w:r>
        <w:r w:rsidR="00693D54">
          <w:rPr>
            <w:noProof/>
            <w:webHidden/>
          </w:rPr>
        </w:r>
        <w:r w:rsidR="00693D54">
          <w:rPr>
            <w:noProof/>
            <w:webHidden/>
          </w:rPr>
          <w:fldChar w:fldCharType="separate"/>
        </w:r>
        <w:r w:rsidR="005F00D4">
          <w:rPr>
            <w:noProof/>
            <w:webHidden/>
          </w:rPr>
          <w:t>84</w:t>
        </w:r>
        <w:r w:rsidR="00693D54">
          <w:rPr>
            <w:noProof/>
            <w:webHidden/>
          </w:rPr>
          <w:fldChar w:fldCharType="end"/>
        </w:r>
      </w:hyperlink>
    </w:p>
    <w:p w14:paraId="096B7C71"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50" w:history="1">
        <w:r w:rsidR="00693D54" w:rsidRPr="002269E6">
          <w:rPr>
            <w:rStyle w:val="Hyperlink"/>
            <w:rFonts w:cs="Arial"/>
            <w:i/>
            <w:noProof/>
          </w:rPr>
          <w:t>5.3.3.5</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Epiphytes and macroalgae</w:t>
        </w:r>
        <w:r w:rsidR="00693D54">
          <w:rPr>
            <w:noProof/>
            <w:webHidden/>
          </w:rPr>
          <w:tab/>
        </w:r>
        <w:r w:rsidR="00693D54">
          <w:rPr>
            <w:noProof/>
            <w:webHidden/>
          </w:rPr>
          <w:fldChar w:fldCharType="begin"/>
        </w:r>
        <w:r w:rsidR="00693D54">
          <w:rPr>
            <w:noProof/>
            <w:webHidden/>
          </w:rPr>
          <w:instrText xml:space="preserve"> PAGEREF _Toc11394750 \h </w:instrText>
        </w:r>
        <w:r w:rsidR="00693D54">
          <w:rPr>
            <w:noProof/>
            <w:webHidden/>
          </w:rPr>
        </w:r>
        <w:r w:rsidR="00693D54">
          <w:rPr>
            <w:noProof/>
            <w:webHidden/>
          </w:rPr>
          <w:fldChar w:fldCharType="separate"/>
        </w:r>
        <w:r w:rsidR="005F00D4">
          <w:rPr>
            <w:noProof/>
            <w:webHidden/>
          </w:rPr>
          <w:t>86</w:t>
        </w:r>
        <w:r w:rsidR="00693D54">
          <w:rPr>
            <w:noProof/>
            <w:webHidden/>
          </w:rPr>
          <w:fldChar w:fldCharType="end"/>
        </w:r>
      </w:hyperlink>
    </w:p>
    <w:p w14:paraId="7B91B4F8"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51" w:history="1">
        <w:r w:rsidR="00693D54" w:rsidRPr="002269E6">
          <w:rPr>
            <w:rStyle w:val="Hyperlink"/>
            <w:noProof/>
          </w:rPr>
          <w:t>5.4</w:t>
        </w:r>
        <w:r w:rsidR="00693D54">
          <w:rPr>
            <w:rFonts w:asciiTheme="minorHAnsi" w:eastAsiaTheme="minorEastAsia" w:hAnsiTheme="minorHAnsi" w:cstheme="minorBidi"/>
            <w:noProof/>
            <w:sz w:val="22"/>
            <w:szCs w:val="22"/>
            <w:lang w:eastAsia="en-AU"/>
          </w:rPr>
          <w:tab/>
        </w:r>
        <w:r w:rsidR="00693D54" w:rsidRPr="002269E6">
          <w:rPr>
            <w:rStyle w:val="Hyperlink"/>
            <w:noProof/>
          </w:rPr>
          <w:t>Mackay-Whitsunday</w:t>
        </w:r>
        <w:r w:rsidR="00693D54">
          <w:rPr>
            <w:noProof/>
            <w:webHidden/>
          </w:rPr>
          <w:tab/>
        </w:r>
        <w:r w:rsidR="00693D54">
          <w:rPr>
            <w:noProof/>
            <w:webHidden/>
          </w:rPr>
          <w:fldChar w:fldCharType="begin"/>
        </w:r>
        <w:r w:rsidR="00693D54">
          <w:rPr>
            <w:noProof/>
            <w:webHidden/>
          </w:rPr>
          <w:instrText xml:space="preserve"> PAGEREF _Toc11394751 \h </w:instrText>
        </w:r>
        <w:r w:rsidR="00693D54">
          <w:rPr>
            <w:noProof/>
            <w:webHidden/>
          </w:rPr>
        </w:r>
        <w:r w:rsidR="00693D54">
          <w:rPr>
            <w:noProof/>
            <w:webHidden/>
          </w:rPr>
          <w:fldChar w:fldCharType="separate"/>
        </w:r>
        <w:r w:rsidR="005F00D4">
          <w:rPr>
            <w:noProof/>
            <w:webHidden/>
          </w:rPr>
          <w:t>87</w:t>
        </w:r>
        <w:r w:rsidR="00693D54">
          <w:rPr>
            <w:noProof/>
            <w:webHidden/>
          </w:rPr>
          <w:fldChar w:fldCharType="end"/>
        </w:r>
      </w:hyperlink>
    </w:p>
    <w:p w14:paraId="1FD87798"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52" w:history="1">
        <w:r w:rsidR="00693D54" w:rsidRPr="002269E6">
          <w:rPr>
            <w:rStyle w:val="Hyperlink"/>
            <w:rFonts w:cs="Arial"/>
            <w:noProof/>
          </w:rPr>
          <w:t>5.4.1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2017–18 Summary</w:t>
        </w:r>
        <w:r w:rsidR="00693D54">
          <w:rPr>
            <w:noProof/>
            <w:webHidden/>
          </w:rPr>
          <w:tab/>
        </w:r>
        <w:r w:rsidR="00693D54">
          <w:rPr>
            <w:noProof/>
            <w:webHidden/>
          </w:rPr>
          <w:fldChar w:fldCharType="begin"/>
        </w:r>
        <w:r w:rsidR="00693D54">
          <w:rPr>
            <w:noProof/>
            <w:webHidden/>
          </w:rPr>
          <w:instrText xml:space="preserve"> PAGEREF _Toc11394752 \h </w:instrText>
        </w:r>
        <w:r w:rsidR="00693D54">
          <w:rPr>
            <w:noProof/>
            <w:webHidden/>
          </w:rPr>
        </w:r>
        <w:r w:rsidR="00693D54">
          <w:rPr>
            <w:noProof/>
            <w:webHidden/>
          </w:rPr>
          <w:fldChar w:fldCharType="separate"/>
        </w:r>
        <w:r w:rsidR="005F00D4">
          <w:rPr>
            <w:noProof/>
            <w:webHidden/>
          </w:rPr>
          <w:t>87</w:t>
        </w:r>
        <w:r w:rsidR="00693D54">
          <w:rPr>
            <w:noProof/>
            <w:webHidden/>
          </w:rPr>
          <w:fldChar w:fldCharType="end"/>
        </w:r>
      </w:hyperlink>
    </w:p>
    <w:p w14:paraId="4E70D277"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53" w:history="1">
        <w:r w:rsidR="00693D54" w:rsidRPr="002269E6">
          <w:rPr>
            <w:rStyle w:val="Hyperlink"/>
            <w:rFonts w:cs="Arial"/>
            <w:noProof/>
          </w:rPr>
          <w:t>5.4.2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Climate and environmental pressures</w:t>
        </w:r>
        <w:r w:rsidR="00693D54">
          <w:rPr>
            <w:noProof/>
            <w:webHidden/>
          </w:rPr>
          <w:tab/>
        </w:r>
        <w:r w:rsidR="00693D54">
          <w:rPr>
            <w:noProof/>
            <w:webHidden/>
          </w:rPr>
          <w:fldChar w:fldCharType="begin"/>
        </w:r>
        <w:r w:rsidR="00693D54">
          <w:rPr>
            <w:noProof/>
            <w:webHidden/>
          </w:rPr>
          <w:instrText xml:space="preserve"> PAGEREF _Toc11394753 \h </w:instrText>
        </w:r>
        <w:r w:rsidR="00693D54">
          <w:rPr>
            <w:noProof/>
            <w:webHidden/>
          </w:rPr>
        </w:r>
        <w:r w:rsidR="00693D54">
          <w:rPr>
            <w:noProof/>
            <w:webHidden/>
          </w:rPr>
          <w:fldChar w:fldCharType="separate"/>
        </w:r>
        <w:r w:rsidR="005F00D4">
          <w:rPr>
            <w:noProof/>
            <w:webHidden/>
          </w:rPr>
          <w:t>88</w:t>
        </w:r>
        <w:r w:rsidR="00693D54">
          <w:rPr>
            <w:noProof/>
            <w:webHidden/>
          </w:rPr>
          <w:fldChar w:fldCharType="end"/>
        </w:r>
      </w:hyperlink>
    </w:p>
    <w:p w14:paraId="59470DAC"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54" w:history="1">
        <w:r w:rsidR="00693D54" w:rsidRPr="002269E6">
          <w:rPr>
            <w:rStyle w:val="Hyperlink"/>
            <w:rFonts w:cs="Arial"/>
            <w:noProof/>
          </w:rPr>
          <w:t>5.4.3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Inshore seagrass and habitat condition</w:t>
        </w:r>
        <w:r w:rsidR="00693D54">
          <w:rPr>
            <w:noProof/>
            <w:webHidden/>
          </w:rPr>
          <w:tab/>
        </w:r>
        <w:r w:rsidR="00693D54">
          <w:rPr>
            <w:noProof/>
            <w:webHidden/>
          </w:rPr>
          <w:fldChar w:fldCharType="begin"/>
        </w:r>
        <w:r w:rsidR="00693D54">
          <w:rPr>
            <w:noProof/>
            <w:webHidden/>
          </w:rPr>
          <w:instrText xml:space="preserve"> PAGEREF _Toc11394754 \h </w:instrText>
        </w:r>
        <w:r w:rsidR="00693D54">
          <w:rPr>
            <w:noProof/>
            <w:webHidden/>
          </w:rPr>
        </w:r>
        <w:r w:rsidR="00693D54">
          <w:rPr>
            <w:noProof/>
            <w:webHidden/>
          </w:rPr>
          <w:fldChar w:fldCharType="separate"/>
        </w:r>
        <w:r w:rsidR="005F00D4">
          <w:rPr>
            <w:noProof/>
            <w:webHidden/>
          </w:rPr>
          <w:t>90</w:t>
        </w:r>
        <w:r w:rsidR="00693D54">
          <w:rPr>
            <w:noProof/>
            <w:webHidden/>
          </w:rPr>
          <w:fldChar w:fldCharType="end"/>
        </w:r>
      </w:hyperlink>
    </w:p>
    <w:p w14:paraId="15E475A6"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55" w:history="1">
        <w:r w:rsidR="00693D54" w:rsidRPr="002269E6">
          <w:rPr>
            <w:rStyle w:val="Hyperlink"/>
            <w:rFonts w:cs="Arial"/>
            <w:i/>
            <w:noProof/>
          </w:rPr>
          <w:t>5.4.3.1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index and indicator scores</w:t>
        </w:r>
        <w:r w:rsidR="00693D54">
          <w:rPr>
            <w:noProof/>
            <w:webHidden/>
          </w:rPr>
          <w:tab/>
        </w:r>
        <w:r w:rsidR="00693D54">
          <w:rPr>
            <w:noProof/>
            <w:webHidden/>
          </w:rPr>
          <w:fldChar w:fldCharType="begin"/>
        </w:r>
        <w:r w:rsidR="00693D54">
          <w:rPr>
            <w:noProof/>
            <w:webHidden/>
          </w:rPr>
          <w:instrText xml:space="preserve"> PAGEREF _Toc11394755 \h </w:instrText>
        </w:r>
        <w:r w:rsidR="00693D54">
          <w:rPr>
            <w:noProof/>
            <w:webHidden/>
          </w:rPr>
        </w:r>
        <w:r w:rsidR="00693D54">
          <w:rPr>
            <w:noProof/>
            <w:webHidden/>
          </w:rPr>
          <w:fldChar w:fldCharType="separate"/>
        </w:r>
        <w:r w:rsidR="005F00D4">
          <w:rPr>
            <w:noProof/>
            <w:webHidden/>
          </w:rPr>
          <w:t>90</w:t>
        </w:r>
        <w:r w:rsidR="00693D54">
          <w:rPr>
            <w:noProof/>
            <w:webHidden/>
          </w:rPr>
          <w:fldChar w:fldCharType="end"/>
        </w:r>
      </w:hyperlink>
    </w:p>
    <w:p w14:paraId="788225F0"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56" w:history="1">
        <w:r w:rsidR="00693D54" w:rsidRPr="002269E6">
          <w:rPr>
            <w:rStyle w:val="Hyperlink"/>
            <w:rFonts w:cs="Arial"/>
            <w:i/>
            <w:noProof/>
          </w:rPr>
          <w:t>5.4.3.2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abundance, community and extent</w:t>
        </w:r>
        <w:r w:rsidR="00693D54">
          <w:rPr>
            <w:noProof/>
            <w:webHidden/>
          </w:rPr>
          <w:tab/>
        </w:r>
        <w:r w:rsidR="00693D54">
          <w:rPr>
            <w:noProof/>
            <w:webHidden/>
          </w:rPr>
          <w:fldChar w:fldCharType="begin"/>
        </w:r>
        <w:r w:rsidR="00693D54">
          <w:rPr>
            <w:noProof/>
            <w:webHidden/>
          </w:rPr>
          <w:instrText xml:space="preserve"> PAGEREF _Toc11394756 \h </w:instrText>
        </w:r>
        <w:r w:rsidR="00693D54">
          <w:rPr>
            <w:noProof/>
            <w:webHidden/>
          </w:rPr>
        </w:r>
        <w:r w:rsidR="00693D54">
          <w:rPr>
            <w:noProof/>
            <w:webHidden/>
          </w:rPr>
          <w:fldChar w:fldCharType="separate"/>
        </w:r>
        <w:r w:rsidR="005F00D4">
          <w:rPr>
            <w:noProof/>
            <w:webHidden/>
          </w:rPr>
          <w:t>91</w:t>
        </w:r>
        <w:r w:rsidR="00693D54">
          <w:rPr>
            <w:noProof/>
            <w:webHidden/>
          </w:rPr>
          <w:fldChar w:fldCharType="end"/>
        </w:r>
      </w:hyperlink>
    </w:p>
    <w:p w14:paraId="33F650B7"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57" w:history="1">
        <w:r w:rsidR="00693D54" w:rsidRPr="002269E6">
          <w:rPr>
            <w:rStyle w:val="Hyperlink"/>
            <w:rFonts w:cs="Arial"/>
            <w:i/>
            <w:noProof/>
          </w:rPr>
          <w:t>5.4.3.3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reproductive status</w:t>
        </w:r>
        <w:r w:rsidR="00693D54">
          <w:rPr>
            <w:noProof/>
            <w:webHidden/>
          </w:rPr>
          <w:tab/>
        </w:r>
        <w:r w:rsidR="00693D54">
          <w:rPr>
            <w:noProof/>
            <w:webHidden/>
          </w:rPr>
          <w:fldChar w:fldCharType="begin"/>
        </w:r>
        <w:r w:rsidR="00693D54">
          <w:rPr>
            <w:noProof/>
            <w:webHidden/>
          </w:rPr>
          <w:instrText xml:space="preserve"> PAGEREF _Toc11394757 \h </w:instrText>
        </w:r>
        <w:r w:rsidR="00693D54">
          <w:rPr>
            <w:noProof/>
            <w:webHidden/>
          </w:rPr>
        </w:r>
        <w:r w:rsidR="00693D54">
          <w:rPr>
            <w:noProof/>
            <w:webHidden/>
          </w:rPr>
          <w:fldChar w:fldCharType="separate"/>
        </w:r>
        <w:r w:rsidR="005F00D4">
          <w:rPr>
            <w:noProof/>
            <w:webHidden/>
          </w:rPr>
          <w:t>94</w:t>
        </w:r>
        <w:r w:rsidR="00693D54">
          <w:rPr>
            <w:noProof/>
            <w:webHidden/>
          </w:rPr>
          <w:fldChar w:fldCharType="end"/>
        </w:r>
      </w:hyperlink>
    </w:p>
    <w:p w14:paraId="0B833EF2"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58" w:history="1">
        <w:r w:rsidR="00693D54" w:rsidRPr="002269E6">
          <w:rPr>
            <w:rStyle w:val="Hyperlink"/>
            <w:rFonts w:cs="Arial"/>
            <w:i/>
            <w:noProof/>
          </w:rPr>
          <w:t>5.4.3.4</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leaf tissue nutrients</w:t>
        </w:r>
        <w:r w:rsidR="00693D54">
          <w:rPr>
            <w:noProof/>
            <w:webHidden/>
          </w:rPr>
          <w:tab/>
        </w:r>
        <w:r w:rsidR="00693D54">
          <w:rPr>
            <w:noProof/>
            <w:webHidden/>
          </w:rPr>
          <w:fldChar w:fldCharType="begin"/>
        </w:r>
        <w:r w:rsidR="00693D54">
          <w:rPr>
            <w:noProof/>
            <w:webHidden/>
          </w:rPr>
          <w:instrText xml:space="preserve"> PAGEREF _Toc11394758 \h </w:instrText>
        </w:r>
        <w:r w:rsidR="00693D54">
          <w:rPr>
            <w:noProof/>
            <w:webHidden/>
          </w:rPr>
        </w:r>
        <w:r w:rsidR="00693D54">
          <w:rPr>
            <w:noProof/>
            <w:webHidden/>
          </w:rPr>
          <w:fldChar w:fldCharType="separate"/>
        </w:r>
        <w:r w:rsidR="005F00D4">
          <w:rPr>
            <w:noProof/>
            <w:webHidden/>
          </w:rPr>
          <w:t>94</w:t>
        </w:r>
        <w:r w:rsidR="00693D54">
          <w:rPr>
            <w:noProof/>
            <w:webHidden/>
          </w:rPr>
          <w:fldChar w:fldCharType="end"/>
        </w:r>
      </w:hyperlink>
    </w:p>
    <w:p w14:paraId="451281D0"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59" w:history="1">
        <w:r w:rsidR="00693D54" w:rsidRPr="002269E6">
          <w:rPr>
            <w:rStyle w:val="Hyperlink"/>
            <w:rFonts w:cs="Arial"/>
            <w:i/>
            <w:noProof/>
          </w:rPr>
          <w:t>5.4.3.5</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Epiphytes and macroalgae</w:t>
        </w:r>
        <w:r w:rsidR="00693D54">
          <w:rPr>
            <w:noProof/>
            <w:webHidden/>
          </w:rPr>
          <w:tab/>
        </w:r>
        <w:r w:rsidR="00693D54">
          <w:rPr>
            <w:noProof/>
            <w:webHidden/>
          </w:rPr>
          <w:fldChar w:fldCharType="begin"/>
        </w:r>
        <w:r w:rsidR="00693D54">
          <w:rPr>
            <w:noProof/>
            <w:webHidden/>
          </w:rPr>
          <w:instrText xml:space="preserve"> PAGEREF _Toc11394759 \h </w:instrText>
        </w:r>
        <w:r w:rsidR="00693D54">
          <w:rPr>
            <w:noProof/>
            <w:webHidden/>
          </w:rPr>
        </w:r>
        <w:r w:rsidR="00693D54">
          <w:rPr>
            <w:noProof/>
            <w:webHidden/>
          </w:rPr>
          <w:fldChar w:fldCharType="separate"/>
        </w:r>
        <w:r w:rsidR="005F00D4">
          <w:rPr>
            <w:noProof/>
            <w:webHidden/>
          </w:rPr>
          <w:t>96</w:t>
        </w:r>
        <w:r w:rsidR="00693D54">
          <w:rPr>
            <w:noProof/>
            <w:webHidden/>
          </w:rPr>
          <w:fldChar w:fldCharType="end"/>
        </w:r>
      </w:hyperlink>
    </w:p>
    <w:p w14:paraId="720ACF5E"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60" w:history="1">
        <w:r w:rsidR="00693D54" w:rsidRPr="002269E6">
          <w:rPr>
            <w:rStyle w:val="Hyperlink"/>
            <w:noProof/>
          </w:rPr>
          <w:t>5.5</w:t>
        </w:r>
        <w:r w:rsidR="00693D54">
          <w:rPr>
            <w:rFonts w:asciiTheme="minorHAnsi" w:eastAsiaTheme="minorEastAsia" w:hAnsiTheme="minorHAnsi" w:cstheme="minorBidi"/>
            <w:noProof/>
            <w:sz w:val="22"/>
            <w:szCs w:val="22"/>
            <w:lang w:eastAsia="en-AU"/>
          </w:rPr>
          <w:tab/>
        </w:r>
        <w:r w:rsidR="00693D54" w:rsidRPr="002269E6">
          <w:rPr>
            <w:rStyle w:val="Hyperlink"/>
            <w:noProof/>
          </w:rPr>
          <w:t>Fitzroy</w:t>
        </w:r>
        <w:r w:rsidR="00693D54">
          <w:rPr>
            <w:noProof/>
            <w:webHidden/>
          </w:rPr>
          <w:tab/>
        </w:r>
        <w:r w:rsidR="00693D54">
          <w:rPr>
            <w:noProof/>
            <w:webHidden/>
          </w:rPr>
          <w:fldChar w:fldCharType="begin"/>
        </w:r>
        <w:r w:rsidR="00693D54">
          <w:rPr>
            <w:noProof/>
            <w:webHidden/>
          </w:rPr>
          <w:instrText xml:space="preserve"> PAGEREF _Toc11394760 \h </w:instrText>
        </w:r>
        <w:r w:rsidR="00693D54">
          <w:rPr>
            <w:noProof/>
            <w:webHidden/>
          </w:rPr>
        </w:r>
        <w:r w:rsidR="00693D54">
          <w:rPr>
            <w:noProof/>
            <w:webHidden/>
          </w:rPr>
          <w:fldChar w:fldCharType="separate"/>
        </w:r>
        <w:r w:rsidR="005F00D4">
          <w:rPr>
            <w:noProof/>
            <w:webHidden/>
          </w:rPr>
          <w:t>97</w:t>
        </w:r>
        <w:r w:rsidR="00693D54">
          <w:rPr>
            <w:noProof/>
            <w:webHidden/>
          </w:rPr>
          <w:fldChar w:fldCharType="end"/>
        </w:r>
      </w:hyperlink>
    </w:p>
    <w:p w14:paraId="23C23BF1"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61" w:history="1">
        <w:r w:rsidR="00693D54" w:rsidRPr="002269E6">
          <w:rPr>
            <w:rStyle w:val="Hyperlink"/>
            <w:rFonts w:cs="Arial"/>
            <w:noProof/>
          </w:rPr>
          <w:t>5.5.1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2017–18 Summary</w:t>
        </w:r>
        <w:r w:rsidR="00693D54">
          <w:rPr>
            <w:noProof/>
            <w:webHidden/>
          </w:rPr>
          <w:tab/>
        </w:r>
        <w:r w:rsidR="00693D54">
          <w:rPr>
            <w:noProof/>
            <w:webHidden/>
          </w:rPr>
          <w:fldChar w:fldCharType="begin"/>
        </w:r>
        <w:r w:rsidR="00693D54">
          <w:rPr>
            <w:noProof/>
            <w:webHidden/>
          </w:rPr>
          <w:instrText xml:space="preserve"> PAGEREF _Toc11394761 \h </w:instrText>
        </w:r>
        <w:r w:rsidR="00693D54">
          <w:rPr>
            <w:noProof/>
            <w:webHidden/>
          </w:rPr>
        </w:r>
        <w:r w:rsidR="00693D54">
          <w:rPr>
            <w:noProof/>
            <w:webHidden/>
          </w:rPr>
          <w:fldChar w:fldCharType="separate"/>
        </w:r>
        <w:r w:rsidR="005F00D4">
          <w:rPr>
            <w:noProof/>
            <w:webHidden/>
          </w:rPr>
          <w:t>97</w:t>
        </w:r>
        <w:r w:rsidR="00693D54">
          <w:rPr>
            <w:noProof/>
            <w:webHidden/>
          </w:rPr>
          <w:fldChar w:fldCharType="end"/>
        </w:r>
      </w:hyperlink>
    </w:p>
    <w:p w14:paraId="6D824A84"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62" w:history="1">
        <w:r w:rsidR="00693D54" w:rsidRPr="002269E6">
          <w:rPr>
            <w:rStyle w:val="Hyperlink"/>
            <w:rFonts w:cs="Arial"/>
            <w:noProof/>
          </w:rPr>
          <w:t>5.5.2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Climate and environmental pressures</w:t>
        </w:r>
        <w:r w:rsidR="00693D54">
          <w:rPr>
            <w:noProof/>
            <w:webHidden/>
          </w:rPr>
          <w:tab/>
        </w:r>
        <w:r w:rsidR="00693D54">
          <w:rPr>
            <w:noProof/>
            <w:webHidden/>
          </w:rPr>
          <w:fldChar w:fldCharType="begin"/>
        </w:r>
        <w:r w:rsidR="00693D54">
          <w:rPr>
            <w:noProof/>
            <w:webHidden/>
          </w:rPr>
          <w:instrText xml:space="preserve"> PAGEREF _Toc11394762 \h </w:instrText>
        </w:r>
        <w:r w:rsidR="00693D54">
          <w:rPr>
            <w:noProof/>
            <w:webHidden/>
          </w:rPr>
        </w:r>
        <w:r w:rsidR="00693D54">
          <w:rPr>
            <w:noProof/>
            <w:webHidden/>
          </w:rPr>
          <w:fldChar w:fldCharType="separate"/>
        </w:r>
        <w:r w:rsidR="005F00D4">
          <w:rPr>
            <w:noProof/>
            <w:webHidden/>
          </w:rPr>
          <w:t>98</w:t>
        </w:r>
        <w:r w:rsidR="00693D54">
          <w:rPr>
            <w:noProof/>
            <w:webHidden/>
          </w:rPr>
          <w:fldChar w:fldCharType="end"/>
        </w:r>
      </w:hyperlink>
    </w:p>
    <w:p w14:paraId="3A718C1C"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63" w:history="1">
        <w:r w:rsidR="00693D54" w:rsidRPr="002269E6">
          <w:rPr>
            <w:rStyle w:val="Hyperlink"/>
            <w:rFonts w:cs="Arial"/>
            <w:noProof/>
          </w:rPr>
          <w:t>5.5.3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Inshore seagrass and habitat condition</w:t>
        </w:r>
        <w:r w:rsidR="00693D54">
          <w:rPr>
            <w:noProof/>
            <w:webHidden/>
          </w:rPr>
          <w:tab/>
        </w:r>
        <w:r w:rsidR="00693D54">
          <w:rPr>
            <w:noProof/>
            <w:webHidden/>
          </w:rPr>
          <w:fldChar w:fldCharType="begin"/>
        </w:r>
        <w:r w:rsidR="00693D54">
          <w:rPr>
            <w:noProof/>
            <w:webHidden/>
          </w:rPr>
          <w:instrText xml:space="preserve"> PAGEREF _Toc11394763 \h </w:instrText>
        </w:r>
        <w:r w:rsidR="00693D54">
          <w:rPr>
            <w:noProof/>
            <w:webHidden/>
          </w:rPr>
        </w:r>
        <w:r w:rsidR="00693D54">
          <w:rPr>
            <w:noProof/>
            <w:webHidden/>
          </w:rPr>
          <w:fldChar w:fldCharType="separate"/>
        </w:r>
        <w:r w:rsidR="005F00D4">
          <w:rPr>
            <w:noProof/>
            <w:webHidden/>
          </w:rPr>
          <w:t>100</w:t>
        </w:r>
        <w:r w:rsidR="00693D54">
          <w:rPr>
            <w:noProof/>
            <w:webHidden/>
          </w:rPr>
          <w:fldChar w:fldCharType="end"/>
        </w:r>
      </w:hyperlink>
    </w:p>
    <w:p w14:paraId="3118E637"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64" w:history="1">
        <w:r w:rsidR="00693D54" w:rsidRPr="002269E6">
          <w:rPr>
            <w:rStyle w:val="Hyperlink"/>
            <w:rFonts w:cs="Arial"/>
            <w:i/>
            <w:noProof/>
          </w:rPr>
          <w:t>5.5.3.1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index and indicator scores</w:t>
        </w:r>
        <w:r w:rsidR="00693D54">
          <w:rPr>
            <w:noProof/>
            <w:webHidden/>
          </w:rPr>
          <w:tab/>
        </w:r>
        <w:r w:rsidR="00693D54">
          <w:rPr>
            <w:noProof/>
            <w:webHidden/>
          </w:rPr>
          <w:fldChar w:fldCharType="begin"/>
        </w:r>
        <w:r w:rsidR="00693D54">
          <w:rPr>
            <w:noProof/>
            <w:webHidden/>
          </w:rPr>
          <w:instrText xml:space="preserve"> PAGEREF _Toc11394764 \h </w:instrText>
        </w:r>
        <w:r w:rsidR="00693D54">
          <w:rPr>
            <w:noProof/>
            <w:webHidden/>
          </w:rPr>
        </w:r>
        <w:r w:rsidR="00693D54">
          <w:rPr>
            <w:noProof/>
            <w:webHidden/>
          </w:rPr>
          <w:fldChar w:fldCharType="separate"/>
        </w:r>
        <w:r w:rsidR="005F00D4">
          <w:rPr>
            <w:noProof/>
            <w:webHidden/>
          </w:rPr>
          <w:t>100</w:t>
        </w:r>
        <w:r w:rsidR="00693D54">
          <w:rPr>
            <w:noProof/>
            <w:webHidden/>
          </w:rPr>
          <w:fldChar w:fldCharType="end"/>
        </w:r>
      </w:hyperlink>
    </w:p>
    <w:p w14:paraId="23448FDE"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65" w:history="1">
        <w:r w:rsidR="00693D54" w:rsidRPr="002269E6">
          <w:rPr>
            <w:rStyle w:val="Hyperlink"/>
            <w:rFonts w:cs="Arial"/>
            <w:i/>
            <w:noProof/>
          </w:rPr>
          <w:t>5.5.3.2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abundance, composition and extent</w:t>
        </w:r>
        <w:r w:rsidR="00693D54">
          <w:rPr>
            <w:noProof/>
            <w:webHidden/>
          </w:rPr>
          <w:tab/>
        </w:r>
        <w:r w:rsidR="00693D54">
          <w:rPr>
            <w:noProof/>
            <w:webHidden/>
          </w:rPr>
          <w:fldChar w:fldCharType="begin"/>
        </w:r>
        <w:r w:rsidR="00693D54">
          <w:rPr>
            <w:noProof/>
            <w:webHidden/>
          </w:rPr>
          <w:instrText xml:space="preserve"> PAGEREF _Toc11394765 \h </w:instrText>
        </w:r>
        <w:r w:rsidR="00693D54">
          <w:rPr>
            <w:noProof/>
            <w:webHidden/>
          </w:rPr>
        </w:r>
        <w:r w:rsidR="00693D54">
          <w:rPr>
            <w:noProof/>
            <w:webHidden/>
          </w:rPr>
          <w:fldChar w:fldCharType="separate"/>
        </w:r>
        <w:r w:rsidR="005F00D4">
          <w:rPr>
            <w:noProof/>
            <w:webHidden/>
          </w:rPr>
          <w:t>101</w:t>
        </w:r>
        <w:r w:rsidR="00693D54">
          <w:rPr>
            <w:noProof/>
            <w:webHidden/>
          </w:rPr>
          <w:fldChar w:fldCharType="end"/>
        </w:r>
      </w:hyperlink>
    </w:p>
    <w:p w14:paraId="185000DB"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66" w:history="1">
        <w:r w:rsidR="00693D54" w:rsidRPr="002269E6">
          <w:rPr>
            <w:rStyle w:val="Hyperlink"/>
            <w:rFonts w:cs="Arial"/>
            <w:i/>
            <w:noProof/>
          </w:rPr>
          <w:t>5.5.3.3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reproductive status</w:t>
        </w:r>
        <w:r w:rsidR="00693D54">
          <w:rPr>
            <w:noProof/>
            <w:webHidden/>
          </w:rPr>
          <w:tab/>
        </w:r>
        <w:r w:rsidR="00693D54">
          <w:rPr>
            <w:noProof/>
            <w:webHidden/>
          </w:rPr>
          <w:fldChar w:fldCharType="begin"/>
        </w:r>
        <w:r w:rsidR="00693D54">
          <w:rPr>
            <w:noProof/>
            <w:webHidden/>
          </w:rPr>
          <w:instrText xml:space="preserve"> PAGEREF _Toc11394766 \h </w:instrText>
        </w:r>
        <w:r w:rsidR="00693D54">
          <w:rPr>
            <w:noProof/>
            <w:webHidden/>
          </w:rPr>
        </w:r>
        <w:r w:rsidR="00693D54">
          <w:rPr>
            <w:noProof/>
            <w:webHidden/>
          </w:rPr>
          <w:fldChar w:fldCharType="separate"/>
        </w:r>
        <w:r w:rsidR="005F00D4">
          <w:rPr>
            <w:noProof/>
            <w:webHidden/>
          </w:rPr>
          <w:t>103</w:t>
        </w:r>
        <w:r w:rsidR="00693D54">
          <w:rPr>
            <w:noProof/>
            <w:webHidden/>
          </w:rPr>
          <w:fldChar w:fldCharType="end"/>
        </w:r>
      </w:hyperlink>
    </w:p>
    <w:p w14:paraId="503D96CB"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67" w:history="1">
        <w:r w:rsidR="00693D54" w:rsidRPr="002269E6">
          <w:rPr>
            <w:rStyle w:val="Hyperlink"/>
            <w:rFonts w:cs="Arial"/>
            <w:i/>
            <w:noProof/>
          </w:rPr>
          <w:t>5.5.3.4</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leaf tissue nutrients</w:t>
        </w:r>
        <w:r w:rsidR="00693D54">
          <w:rPr>
            <w:noProof/>
            <w:webHidden/>
          </w:rPr>
          <w:tab/>
        </w:r>
        <w:r w:rsidR="00693D54">
          <w:rPr>
            <w:noProof/>
            <w:webHidden/>
          </w:rPr>
          <w:fldChar w:fldCharType="begin"/>
        </w:r>
        <w:r w:rsidR="00693D54">
          <w:rPr>
            <w:noProof/>
            <w:webHidden/>
          </w:rPr>
          <w:instrText xml:space="preserve"> PAGEREF _Toc11394767 \h </w:instrText>
        </w:r>
        <w:r w:rsidR="00693D54">
          <w:rPr>
            <w:noProof/>
            <w:webHidden/>
          </w:rPr>
        </w:r>
        <w:r w:rsidR="00693D54">
          <w:rPr>
            <w:noProof/>
            <w:webHidden/>
          </w:rPr>
          <w:fldChar w:fldCharType="separate"/>
        </w:r>
        <w:r w:rsidR="005F00D4">
          <w:rPr>
            <w:noProof/>
            <w:webHidden/>
          </w:rPr>
          <w:t>104</w:t>
        </w:r>
        <w:r w:rsidR="00693D54">
          <w:rPr>
            <w:noProof/>
            <w:webHidden/>
          </w:rPr>
          <w:fldChar w:fldCharType="end"/>
        </w:r>
      </w:hyperlink>
    </w:p>
    <w:p w14:paraId="65CEBD4A"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68" w:history="1">
        <w:r w:rsidR="00693D54" w:rsidRPr="002269E6">
          <w:rPr>
            <w:rStyle w:val="Hyperlink"/>
            <w:rFonts w:cs="Arial"/>
            <w:i/>
            <w:noProof/>
          </w:rPr>
          <w:t>5.5.3.5</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Epiphytes and Macroalgae</w:t>
        </w:r>
        <w:r w:rsidR="00693D54">
          <w:rPr>
            <w:noProof/>
            <w:webHidden/>
          </w:rPr>
          <w:tab/>
        </w:r>
        <w:r w:rsidR="00693D54">
          <w:rPr>
            <w:noProof/>
            <w:webHidden/>
          </w:rPr>
          <w:fldChar w:fldCharType="begin"/>
        </w:r>
        <w:r w:rsidR="00693D54">
          <w:rPr>
            <w:noProof/>
            <w:webHidden/>
          </w:rPr>
          <w:instrText xml:space="preserve"> PAGEREF _Toc11394768 \h </w:instrText>
        </w:r>
        <w:r w:rsidR="00693D54">
          <w:rPr>
            <w:noProof/>
            <w:webHidden/>
          </w:rPr>
        </w:r>
        <w:r w:rsidR="00693D54">
          <w:rPr>
            <w:noProof/>
            <w:webHidden/>
          </w:rPr>
          <w:fldChar w:fldCharType="separate"/>
        </w:r>
        <w:r w:rsidR="005F00D4">
          <w:rPr>
            <w:noProof/>
            <w:webHidden/>
          </w:rPr>
          <w:t>105</w:t>
        </w:r>
        <w:r w:rsidR="00693D54">
          <w:rPr>
            <w:noProof/>
            <w:webHidden/>
          </w:rPr>
          <w:fldChar w:fldCharType="end"/>
        </w:r>
      </w:hyperlink>
    </w:p>
    <w:p w14:paraId="4740AE07"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69" w:history="1">
        <w:r w:rsidR="00693D54" w:rsidRPr="002269E6">
          <w:rPr>
            <w:rStyle w:val="Hyperlink"/>
            <w:noProof/>
          </w:rPr>
          <w:t>5.6</w:t>
        </w:r>
        <w:r w:rsidR="00693D54">
          <w:rPr>
            <w:rFonts w:asciiTheme="minorHAnsi" w:eastAsiaTheme="minorEastAsia" w:hAnsiTheme="minorHAnsi" w:cstheme="minorBidi"/>
            <w:noProof/>
            <w:sz w:val="22"/>
            <w:szCs w:val="22"/>
            <w:lang w:eastAsia="en-AU"/>
          </w:rPr>
          <w:tab/>
        </w:r>
        <w:r w:rsidR="00693D54" w:rsidRPr="002269E6">
          <w:rPr>
            <w:rStyle w:val="Hyperlink"/>
            <w:noProof/>
          </w:rPr>
          <w:t>Burnett Mary</w:t>
        </w:r>
        <w:r w:rsidR="00693D54">
          <w:rPr>
            <w:noProof/>
            <w:webHidden/>
          </w:rPr>
          <w:tab/>
        </w:r>
        <w:r w:rsidR="00693D54">
          <w:rPr>
            <w:noProof/>
            <w:webHidden/>
          </w:rPr>
          <w:fldChar w:fldCharType="begin"/>
        </w:r>
        <w:r w:rsidR="00693D54">
          <w:rPr>
            <w:noProof/>
            <w:webHidden/>
          </w:rPr>
          <w:instrText xml:space="preserve"> PAGEREF _Toc11394769 \h </w:instrText>
        </w:r>
        <w:r w:rsidR="00693D54">
          <w:rPr>
            <w:noProof/>
            <w:webHidden/>
          </w:rPr>
        </w:r>
        <w:r w:rsidR="00693D54">
          <w:rPr>
            <w:noProof/>
            <w:webHidden/>
          </w:rPr>
          <w:fldChar w:fldCharType="separate"/>
        </w:r>
        <w:r w:rsidR="005F00D4">
          <w:rPr>
            <w:noProof/>
            <w:webHidden/>
          </w:rPr>
          <w:t>107</w:t>
        </w:r>
        <w:r w:rsidR="00693D54">
          <w:rPr>
            <w:noProof/>
            <w:webHidden/>
          </w:rPr>
          <w:fldChar w:fldCharType="end"/>
        </w:r>
      </w:hyperlink>
    </w:p>
    <w:p w14:paraId="17611CD6"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70" w:history="1">
        <w:r w:rsidR="00693D54" w:rsidRPr="002269E6">
          <w:rPr>
            <w:rStyle w:val="Hyperlink"/>
            <w:rFonts w:cs="Arial"/>
            <w:noProof/>
          </w:rPr>
          <w:t>5.6.1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2017–18 Summary</w:t>
        </w:r>
        <w:r w:rsidR="00693D54">
          <w:rPr>
            <w:noProof/>
            <w:webHidden/>
          </w:rPr>
          <w:tab/>
        </w:r>
        <w:r w:rsidR="00693D54">
          <w:rPr>
            <w:noProof/>
            <w:webHidden/>
          </w:rPr>
          <w:fldChar w:fldCharType="begin"/>
        </w:r>
        <w:r w:rsidR="00693D54">
          <w:rPr>
            <w:noProof/>
            <w:webHidden/>
          </w:rPr>
          <w:instrText xml:space="preserve"> PAGEREF _Toc11394770 \h </w:instrText>
        </w:r>
        <w:r w:rsidR="00693D54">
          <w:rPr>
            <w:noProof/>
            <w:webHidden/>
          </w:rPr>
        </w:r>
        <w:r w:rsidR="00693D54">
          <w:rPr>
            <w:noProof/>
            <w:webHidden/>
          </w:rPr>
          <w:fldChar w:fldCharType="separate"/>
        </w:r>
        <w:r w:rsidR="005F00D4">
          <w:rPr>
            <w:noProof/>
            <w:webHidden/>
          </w:rPr>
          <w:t>107</w:t>
        </w:r>
        <w:r w:rsidR="00693D54">
          <w:rPr>
            <w:noProof/>
            <w:webHidden/>
          </w:rPr>
          <w:fldChar w:fldCharType="end"/>
        </w:r>
      </w:hyperlink>
    </w:p>
    <w:p w14:paraId="039BEC80"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71" w:history="1">
        <w:r w:rsidR="00693D54" w:rsidRPr="002269E6">
          <w:rPr>
            <w:rStyle w:val="Hyperlink"/>
            <w:rFonts w:cs="Arial"/>
            <w:noProof/>
          </w:rPr>
          <w:t>5.6.2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Climate and environmental pressures</w:t>
        </w:r>
        <w:r w:rsidR="00693D54">
          <w:rPr>
            <w:noProof/>
            <w:webHidden/>
          </w:rPr>
          <w:tab/>
        </w:r>
        <w:r w:rsidR="00693D54">
          <w:rPr>
            <w:noProof/>
            <w:webHidden/>
          </w:rPr>
          <w:fldChar w:fldCharType="begin"/>
        </w:r>
        <w:r w:rsidR="00693D54">
          <w:rPr>
            <w:noProof/>
            <w:webHidden/>
          </w:rPr>
          <w:instrText xml:space="preserve"> PAGEREF _Toc11394771 \h </w:instrText>
        </w:r>
        <w:r w:rsidR="00693D54">
          <w:rPr>
            <w:noProof/>
            <w:webHidden/>
          </w:rPr>
        </w:r>
        <w:r w:rsidR="00693D54">
          <w:rPr>
            <w:noProof/>
            <w:webHidden/>
          </w:rPr>
          <w:fldChar w:fldCharType="separate"/>
        </w:r>
        <w:r w:rsidR="005F00D4">
          <w:rPr>
            <w:noProof/>
            <w:webHidden/>
          </w:rPr>
          <w:t>108</w:t>
        </w:r>
        <w:r w:rsidR="00693D54">
          <w:rPr>
            <w:noProof/>
            <w:webHidden/>
          </w:rPr>
          <w:fldChar w:fldCharType="end"/>
        </w:r>
      </w:hyperlink>
    </w:p>
    <w:p w14:paraId="0FCCAB2B" w14:textId="77777777" w:rsidR="00693D54" w:rsidRDefault="00C911E4">
      <w:pPr>
        <w:pStyle w:val="TOC3"/>
        <w:tabs>
          <w:tab w:val="left" w:pos="1134"/>
          <w:tab w:val="right" w:leader="dot" w:pos="9060"/>
        </w:tabs>
        <w:rPr>
          <w:rFonts w:asciiTheme="minorHAnsi" w:eastAsiaTheme="minorEastAsia" w:hAnsiTheme="minorHAnsi" w:cstheme="minorBidi"/>
          <w:iCs w:val="0"/>
          <w:noProof/>
          <w:sz w:val="22"/>
          <w:szCs w:val="22"/>
          <w:lang w:eastAsia="en-AU"/>
        </w:rPr>
      </w:pPr>
      <w:hyperlink w:anchor="_Toc11394772" w:history="1">
        <w:r w:rsidR="00693D54" w:rsidRPr="002269E6">
          <w:rPr>
            <w:rStyle w:val="Hyperlink"/>
            <w:rFonts w:cs="Arial"/>
            <w:noProof/>
          </w:rPr>
          <w:t>5.6.3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noProof/>
          </w:rPr>
          <w:t>Inshore seagrass and habitat condition</w:t>
        </w:r>
        <w:r w:rsidR="00693D54">
          <w:rPr>
            <w:noProof/>
            <w:webHidden/>
          </w:rPr>
          <w:tab/>
        </w:r>
        <w:r w:rsidR="00693D54">
          <w:rPr>
            <w:noProof/>
            <w:webHidden/>
          </w:rPr>
          <w:fldChar w:fldCharType="begin"/>
        </w:r>
        <w:r w:rsidR="00693D54">
          <w:rPr>
            <w:noProof/>
            <w:webHidden/>
          </w:rPr>
          <w:instrText xml:space="preserve"> PAGEREF _Toc11394772 \h </w:instrText>
        </w:r>
        <w:r w:rsidR="00693D54">
          <w:rPr>
            <w:noProof/>
            <w:webHidden/>
          </w:rPr>
        </w:r>
        <w:r w:rsidR="00693D54">
          <w:rPr>
            <w:noProof/>
            <w:webHidden/>
          </w:rPr>
          <w:fldChar w:fldCharType="separate"/>
        </w:r>
        <w:r w:rsidR="005F00D4">
          <w:rPr>
            <w:noProof/>
            <w:webHidden/>
          </w:rPr>
          <w:t>110</w:t>
        </w:r>
        <w:r w:rsidR="00693D54">
          <w:rPr>
            <w:noProof/>
            <w:webHidden/>
          </w:rPr>
          <w:fldChar w:fldCharType="end"/>
        </w:r>
      </w:hyperlink>
    </w:p>
    <w:p w14:paraId="39CF3ABB"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73" w:history="1">
        <w:r w:rsidR="00693D54" w:rsidRPr="002269E6">
          <w:rPr>
            <w:rStyle w:val="Hyperlink"/>
            <w:rFonts w:cs="Arial"/>
            <w:i/>
            <w:noProof/>
          </w:rPr>
          <w:t>5.6.3.1</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index and indicator scores</w:t>
        </w:r>
        <w:r w:rsidR="00693D54">
          <w:rPr>
            <w:noProof/>
            <w:webHidden/>
          </w:rPr>
          <w:tab/>
        </w:r>
        <w:r w:rsidR="00693D54">
          <w:rPr>
            <w:noProof/>
            <w:webHidden/>
          </w:rPr>
          <w:fldChar w:fldCharType="begin"/>
        </w:r>
        <w:r w:rsidR="00693D54">
          <w:rPr>
            <w:noProof/>
            <w:webHidden/>
          </w:rPr>
          <w:instrText xml:space="preserve"> PAGEREF _Toc11394773 \h </w:instrText>
        </w:r>
        <w:r w:rsidR="00693D54">
          <w:rPr>
            <w:noProof/>
            <w:webHidden/>
          </w:rPr>
        </w:r>
        <w:r w:rsidR="00693D54">
          <w:rPr>
            <w:noProof/>
            <w:webHidden/>
          </w:rPr>
          <w:fldChar w:fldCharType="separate"/>
        </w:r>
        <w:r w:rsidR="005F00D4">
          <w:rPr>
            <w:noProof/>
            <w:webHidden/>
          </w:rPr>
          <w:t>110</w:t>
        </w:r>
        <w:r w:rsidR="00693D54">
          <w:rPr>
            <w:noProof/>
            <w:webHidden/>
          </w:rPr>
          <w:fldChar w:fldCharType="end"/>
        </w:r>
      </w:hyperlink>
    </w:p>
    <w:p w14:paraId="5E0CF4EB"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74" w:history="1">
        <w:r w:rsidR="00693D54" w:rsidRPr="002269E6">
          <w:rPr>
            <w:rStyle w:val="Hyperlink"/>
            <w:rFonts w:cs="Arial"/>
            <w:i/>
            <w:noProof/>
          </w:rPr>
          <w:t>5.6.3.2</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abundance, composition and extent</w:t>
        </w:r>
        <w:r w:rsidR="00693D54">
          <w:rPr>
            <w:noProof/>
            <w:webHidden/>
          </w:rPr>
          <w:tab/>
        </w:r>
        <w:r w:rsidR="00693D54">
          <w:rPr>
            <w:noProof/>
            <w:webHidden/>
          </w:rPr>
          <w:fldChar w:fldCharType="begin"/>
        </w:r>
        <w:r w:rsidR="00693D54">
          <w:rPr>
            <w:noProof/>
            <w:webHidden/>
          </w:rPr>
          <w:instrText xml:space="preserve"> PAGEREF _Toc11394774 \h </w:instrText>
        </w:r>
        <w:r w:rsidR="00693D54">
          <w:rPr>
            <w:noProof/>
            <w:webHidden/>
          </w:rPr>
        </w:r>
        <w:r w:rsidR="00693D54">
          <w:rPr>
            <w:noProof/>
            <w:webHidden/>
          </w:rPr>
          <w:fldChar w:fldCharType="separate"/>
        </w:r>
        <w:r w:rsidR="005F00D4">
          <w:rPr>
            <w:noProof/>
            <w:webHidden/>
          </w:rPr>
          <w:t>111</w:t>
        </w:r>
        <w:r w:rsidR="00693D54">
          <w:rPr>
            <w:noProof/>
            <w:webHidden/>
          </w:rPr>
          <w:fldChar w:fldCharType="end"/>
        </w:r>
      </w:hyperlink>
    </w:p>
    <w:p w14:paraId="321CC52C"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75" w:history="1">
        <w:r w:rsidR="00693D54" w:rsidRPr="002269E6">
          <w:rPr>
            <w:rStyle w:val="Hyperlink"/>
            <w:rFonts w:cs="Arial"/>
            <w:i/>
            <w:noProof/>
          </w:rPr>
          <w:t>5.6.3.3</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reproductive status</w:t>
        </w:r>
        <w:r w:rsidR="00693D54">
          <w:rPr>
            <w:noProof/>
            <w:webHidden/>
          </w:rPr>
          <w:tab/>
        </w:r>
        <w:r w:rsidR="00693D54">
          <w:rPr>
            <w:noProof/>
            <w:webHidden/>
          </w:rPr>
          <w:fldChar w:fldCharType="begin"/>
        </w:r>
        <w:r w:rsidR="00693D54">
          <w:rPr>
            <w:noProof/>
            <w:webHidden/>
          </w:rPr>
          <w:instrText xml:space="preserve"> PAGEREF _Toc11394775 \h </w:instrText>
        </w:r>
        <w:r w:rsidR="00693D54">
          <w:rPr>
            <w:noProof/>
            <w:webHidden/>
          </w:rPr>
        </w:r>
        <w:r w:rsidR="00693D54">
          <w:rPr>
            <w:noProof/>
            <w:webHidden/>
          </w:rPr>
          <w:fldChar w:fldCharType="separate"/>
        </w:r>
        <w:r w:rsidR="005F00D4">
          <w:rPr>
            <w:noProof/>
            <w:webHidden/>
          </w:rPr>
          <w:t>113</w:t>
        </w:r>
        <w:r w:rsidR="00693D54">
          <w:rPr>
            <w:noProof/>
            <w:webHidden/>
          </w:rPr>
          <w:fldChar w:fldCharType="end"/>
        </w:r>
      </w:hyperlink>
    </w:p>
    <w:p w14:paraId="14C4EEBF"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76" w:history="1">
        <w:r w:rsidR="00693D54" w:rsidRPr="002269E6">
          <w:rPr>
            <w:rStyle w:val="Hyperlink"/>
            <w:rFonts w:cs="Arial"/>
            <w:i/>
            <w:noProof/>
          </w:rPr>
          <w:t>5.6.3.4</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Seagrass leaf tissue nutrients</w:t>
        </w:r>
        <w:r w:rsidR="00693D54">
          <w:rPr>
            <w:noProof/>
            <w:webHidden/>
          </w:rPr>
          <w:tab/>
        </w:r>
        <w:r w:rsidR="00693D54">
          <w:rPr>
            <w:noProof/>
            <w:webHidden/>
          </w:rPr>
          <w:fldChar w:fldCharType="begin"/>
        </w:r>
        <w:r w:rsidR="00693D54">
          <w:rPr>
            <w:noProof/>
            <w:webHidden/>
          </w:rPr>
          <w:instrText xml:space="preserve"> PAGEREF _Toc11394776 \h </w:instrText>
        </w:r>
        <w:r w:rsidR="00693D54">
          <w:rPr>
            <w:noProof/>
            <w:webHidden/>
          </w:rPr>
        </w:r>
        <w:r w:rsidR="00693D54">
          <w:rPr>
            <w:noProof/>
            <w:webHidden/>
          </w:rPr>
          <w:fldChar w:fldCharType="separate"/>
        </w:r>
        <w:r w:rsidR="005F00D4">
          <w:rPr>
            <w:noProof/>
            <w:webHidden/>
          </w:rPr>
          <w:t>114</w:t>
        </w:r>
        <w:r w:rsidR="00693D54">
          <w:rPr>
            <w:noProof/>
            <w:webHidden/>
          </w:rPr>
          <w:fldChar w:fldCharType="end"/>
        </w:r>
      </w:hyperlink>
    </w:p>
    <w:p w14:paraId="6207CCFB" w14:textId="77777777" w:rsidR="00693D54" w:rsidRDefault="00C911E4">
      <w:pPr>
        <w:pStyle w:val="TOC3"/>
        <w:tabs>
          <w:tab w:val="left" w:pos="1320"/>
          <w:tab w:val="right" w:leader="dot" w:pos="9060"/>
        </w:tabs>
        <w:rPr>
          <w:rFonts w:asciiTheme="minorHAnsi" w:eastAsiaTheme="minorEastAsia" w:hAnsiTheme="minorHAnsi" w:cstheme="minorBidi"/>
          <w:iCs w:val="0"/>
          <w:noProof/>
          <w:sz w:val="22"/>
          <w:szCs w:val="22"/>
          <w:lang w:eastAsia="en-AU"/>
        </w:rPr>
      </w:pPr>
      <w:hyperlink w:anchor="_Toc11394777" w:history="1">
        <w:r w:rsidR="00693D54" w:rsidRPr="002269E6">
          <w:rPr>
            <w:rStyle w:val="Hyperlink"/>
            <w:rFonts w:cs="Arial"/>
            <w:i/>
            <w:noProof/>
          </w:rPr>
          <w:t>5.6.3.5</w:t>
        </w:r>
        <w:r w:rsidR="00693D54">
          <w:rPr>
            <w:rFonts w:asciiTheme="minorHAnsi" w:eastAsiaTheme="minorEastAsia" w:hAnsiTheme="minorHAnsi" w:cstheme="minorBidi"/>
            <w:iCs w:val="0"/>
            <w:noProof/>
            <w:sz w:val="22"/>
            <w:szCs w:val="22"/>
            <w:lang w:eastAsia="en-AU"/>
          </w:rPr>
          <w:tab/>
        </w:r>
        <w:r w:rsidR="00693D54" w:rsidRPr="002269E6">
          <w:rPr>
            <w:rStyle w:val="Hyperlink"/>
            <w:rFonts w:cs="Arial"/>
            <w:i/>
            <w:noProof/>
          </w:rPr>
          <w:t>Epiphytes and macroalgae</w:t>
        </w:r>
        <w:r w:rsidR="00693D54">
          <w:rPr>
            <w:noProof/>
            <w:webHidden/>
          </w:rPr>
          <w:tab/>
        </w:r>
        <w:r w:rsidR="00693D54">
          <w:rPr>
            <w:noProof/>
            <w:webHidden/>
          </w:rPr>
          <w:fldChar w:fldCharType="begin"/>
        </w:r>
        <w:r w:rsidR="00693D54">
          <w:rPr>
            <w:noProof/>
            <w:webHidden/>
          </w:rPr>
          <w:instrText xml:space="preserve"> PAGEREF _Toc11394777 \h </w:instrText>
        </w:r>
        <w:r w:rsidR="00693D54">
          <w:rPr>
            <w:noProof/>
            <w:webHidden/>
          </w:rPr>
        </w:r>
        <w:r w:rsidR="00693D54">
          <w:rPr>
            <w:noProof/>
            <w:webHidden/>
          </w:rPr>
          <w:fldChar w:fldCharType="separate"/>
        </w:r>
        <w:r w:rsidR="005F00D4">
          <w:rPr>
            <w:noProof/>
            <w:webHidden/>
          </w:rPr>
          <w:t>115</w:t>
        </w:r>
        <w:r w:rsidR="00693D54">
          <w:rPr>
            <w:noProof/>
            <w:webHidden/>
          </w:rPr>
          <w:fldChar w:fldCharType="end"/>
        </w:r>
      </w:hyperlink>
    </w:p>
    <w:p w14:paraId="604FB0D8" w14:textId="77777777" w:rsidR="00693D54" w:rsidRDefault="00C911E4">
      <w:pPr>
        <w:pStyle w:val="TOC1"/>
        <w:tabs>
          <w:tab w:val="left" w:pos="442"/>
        </w:tabs>
        <w:rPr>
          <w:rFonts w:asciiTheme="minorHAnsi" w:eastAsiaTheme="minorEastAsia" w:hAnsiTheme="minorHAnsi" w:cstheme="minorBidi"/>
          <w:b w:val="0"/>
          <w:bCs w:val="0"/>
          <w:noProof/>
          <w:szCs w:val="22"/>
          <w:lang w:eastAsia="en-AU"/>
        </w:rPr>
      </w:pPr>
      <w:hyperlink w:anchor="_Toc11394778" w:history="1">
        <w:r w:rsidR="00693D54" w:rsidRPr="002269E6">
          <w:rPr>
            <w:rStyle w:val="Hyperlink"/>
            <w:noProof/>
          </w:rPr>
          <w:t>6</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Discussion</w:t>
        </w:r>
        <w:r w:rsidR="00693D54">
          <w:rPr>
            <w:noProof/>
            <w:webHidden/>
          </w:rPr>
          <w:tab/>
        </w:r>
        <w:r w:rsidR="00693D54">
          <w:rPr>
            <w:noProof/>
            <w:webHidden/>
          </w:rPr>
          <w:fldChar w:fldCharType="begin"/>
        </w:r>
        <w:r w:rsidR="00693D54">
          <w:rPr>
            <w:noProof/>
            <w:webHidden/>
          </w:rPr>
          <w:instrText xml:space="preserve"> PAGEREF _Toc11394778 \h </w:instrText>
        </w:r>
        <w:r w:rsidR="00693D54">
          <w:rPr>
            <w:noProof/>
            <w:webHidden/>
          </w:rPr>
        </w:r>
        <w:r w:rsidR="00693D54">
          <w:rPr>
            <w:noProof/>
            <w:webHidden/>
          </w:rPr>
          <w:fldChar w:fldCharType="separate"/>
        </w:r>
        <w:r w:rsidR="005F00D4">
          <w:rPr>
            <w:noProof/>
            <w:webHidden/>
          </w:rPr>
          <w:t>116</w:t>
        </w:r>
        <w:r w:rsidR="00693D54">
          <w:rPr>
            <w:noProof/>
            <w:webHidden/>
          </w:rPr>
          <w:fldChar w:fldCharType="end"/>
        </w:r>
      </w:hyperlink>
    </w:p>
    <w:p w14:paraId="6C402B61"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79" w:history="1">
        <w:r w:rsidR="00693D54" w:rsidRPr="002269E6">
          <w:rPr>
            <w:rStyle w:val="Hyperlink"/>
            <w:noProof/>
          </w:rPr>
          <w:t>6.1</w:t>
        </w:r>
        <w:r w:rsidR="00693D54">
          <w:rPr>
            <w:rFonts w:asciiTheme="minorHAnsi" w:eastAsiaTheme="minorEastAsia" w:hAnsiTheme="minorHAnsi" w:cstheme="minorBidi"/>
            <w:noProof/>
            <w:sz w:val="22"/>
            <w:szCs w:val="22"/>
            <w:lang w:eastAsia="en-AU"/>
          </w:rPr>
          <w:tab/>
        </w:r>
        <w:r w:rsidR="00693D54" w:rsidRPr="002269E6">
          <w:rPr>
            <w:rStyle w:val="Hyperlink"/>
            <w:noProof/>
          </w:rPr>
          <w:t>Seagrass resilience</w:t>
        </w:r>
        <w:r w:rsidR="00693D54">
          <w:rPr>
            <w:noProof/>
            <w:webHidden/>
          </w:rPr>
          <w:tab/>
        </w:r>
        <w:r w:rsidR="00693D54">
          <w:rPr>
            <w:noProof/>
            <w:webHidden/>
          </w:rPr>
          <w:fldChar w:fldCharType="begin"/>
        </w:r>
        <w:r w:rsidR="00693D54">
          <w:rPr>
            <w:noProof/>
            <w:webHidden/>
          </w:rPr>
          <w:instrText xml:space="preserve"> PAGEREF _Toc11394779 \h </w:instrText>
        </w:r>
        <w:r w:rsidR="00693D54">
          <w:rPr>
            <w:noProof/>
            <w:webHidden/>
          </w:rPr>
        </w:r>
        <w:r w:rsidR="00693D54">
          <w:rPr>
            <w:noProof/>
            <w:webHidden/>
          </w:rPr>
          <w:fldChar w:fldCharType="separate"/>
        </w:r>
        <w:r w:rsidR="005F00D4">
          <w:rPr>
            <w:noProof/>
            <w:webHidden/>
          </w:rPr>
          <w:t>116</w:t>
        </w:r>
        <w:r w:rsidR="00693D54">
          <w:rPr>
            <w:noProof/>
            <w:webHidden/>
          </w:rPr>
          <w:fldChar w:fldCharType="end"/>
        </w:r>
      </w:hyperlink>
    </w:p>
    <w:p w14:paraId="74CD0B11"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80" w:history="1">
        <w:r w:rsidR="00693D54" w:rsidRPr="002269E6">
          <w:rPr>
            <w:rStyle w:val="Hyperlink"/>
            <w:noProof/>
          </w:rPr>
          <w:t>6.2</w:t>
        </w:r>
        <w:r w:rsidR="00693D54">
          <w:rPr>
            <w:rFonts w:asciiTheme="minorHAnsi" w:eastAsiaTheme="minorEastAsia" w:hAnsiTheme="minorHAnsi" w:cstheme="minorBidi"/>
            <w:noProof/>
            <w:sz w:val="22"/>
            <w:szCs w:val="22"/>
            <w:lang w:eastAsia="en-AU"/>
          </w:rPr>
          <w:tab/>
        </w:r>
        <w:r w:rsidR="00693D54" w:rsidRPr="002269E6">
          <w:rPr>
            <w:rStyle w:val="Hyperlink"/>
            <w:noProof/>
          </w:rPr>
          <w:t>Seagrass ecosystem service provisioning</w:t>
        </w:r>
        <w:r w:rsidR="00693D54">
          <w:rPr>
            <w:noProof/>
            <w:webHidden/>
          </w:rPr>
          <w:tab/>
        </w:r>
        <w:r w:rsidR="00693D54">
          <w:rPr>
            <w:noProof/>
            <w:webHidden/>
          </w:rPr>
          <w:fldChar w:fldCharType="begin"/>
        </w:r>
        <w:r w:rsidR="00693D54">
          <w:rPr>
            <w:noProof/>
            <w:webHidden/>
          </w:rPr>
          <w:instrText xml:space="preserve"> PAGEREF _Toc11394780 \h </w:instrText>
        </w:r>
        <w:r w:rsidR="00693D54">
          <w:rPr>
            <w:noProof/>
            <w:webHidden/>
          </w:rPr>
        </w:r>
        <w:r w:rsidR="00693D54">
          <w:rPr>
            <w:noProof/>
            <w:webHidden/>
          </w:rPr>
          <w:fldChar w:fldCharType="separate"/>
        </w:r>
        <w:r w:rsidR="005F00D4">
          <w:rPr>
            <w:noProof/>
            <w:webHidden/>
          </w:rPr>
          <w:t>117</w:t>
        </w:r>
        <w:r w:rsidR="00693D54">
          <w:rPr>
            <w:noProof/>
            <w:webHidden/>
          </w:rPr>
          <w:fldChar w:fldCharType="end"/>
        </w:r>
      </w:hyperlink>
    </w:p>
    <w:p w14:paraId="792E7B7D" w14:textId="77777777" w:rsidR="00693D54" w:rsidRDefault="00C911E4">
      <w:pPr>
        <w:pStyle w:val="TOC2"/>
        <w:tabs>
          <w:tab w:val="left" w:pos="1134"/>
          <w:tab w:val="right" w:leader="dot" w:pos="9060"/>
        </w:tabs>
        <w:rPr>
          <w:rFonts w:asciiTheme="minorHAnsi" w:eastAsiaTheme="minorEastAsia" w:hAnsiTheme="minorHAnsi" w:cstheme="minorBidi"/>
          <w:noProof/>
          <w:sz w:val="22"/>
          <w:szCs w:val="22"/>
          <w:lang w:eastAsia="en-AU"/>
        </w:rPr>
      </w:pPr>
      <w:hyperlink w:anchor="_Toc11394781" w:history="1">
        <w:r w:rsidR="00693D54" w:rsidRPr="002269E6">
          <w:rPr>
            <w:rStyle w:val="Hyperlink"/>
            <w:noProof/>
          </w:rPr>
          <w:t>6.3</w:t>
        </w:r>
        <w:r w:rsidR="00693D54">
          <w:rPr>
            <w:rFonts w:asciiTheme="minorHAnsi" w:eastAsiaTheme="minorEastAsia" w:hAnsiTheme="minorHAnsi" w:cstheme="minorBidi"/>
            <w:noProof/>
            <w:sz w:val="22"/>
            <w:szCs w:val="22"/>
            <w:lang w:eastAsia="en-AU"/>
          </w:rPr>
          <w:tab/>
        </w:r>
        <w:r w:rsidR="00693D54" w:rsidRPr="002269E6">
          <w:rPr>
            <w:rStyle w:val="Hyperlink"/>
            <w:noProof/>
          </w:rPr>
          <w:t>Management Responses</w:t>
        </w:r>
        <w:r w:rsidR="00693D54">
          <w:rPr>
            <w:noProof/>
            <w:webHidden/>
          </w:rPr>
          <w:tab/>
        </w:r>
        <w:r w:rsidR="00693D54">
          <w:rPr>
            <w:noProof/>
            <w:webHidden/>
          </w:rPr>
          <w:fldChar w:fldCharType="begin"/>
        </w:r>
        <w:r w:rsidR="00693D54">
          <w:rPr>
            <w:noProof/>
            <w:webHidden/>
          </w:rPr>
          <w:instrText xml:space="preserve"> PAGEREF _Toc11394781 \h </w:instrText>
        </w:r>
        <w:r w:rsidR="00693D54">
          <w:rPr>
            <w:noProof/>
            <w:webHidden/>
          </w:rPr>
        </w:r>
        <w:r w:rsidR="00693D54">
          <w:rPr>
            <w:noProof/>
            <w:webHidden/>
          </w:rPr>
          <w:fldChar w:fldCharType="separate"/>
        </w:r>
        <w:r w:rsidR="005F00D4">
          <w:rPr>
            <w:noProof/>
            <w:webHidden/>
          </w:rPr>
          <w:t>117</w:t>
        </w:r>
        <w:r w:rsidR="00693D54">
          <w:rPr>
            <w:noProof/>
            <w:webHidden/>
          </w:rPr>
          <w:fldChar w:fldCharType="end"/>
        </w:r>
      </w:hyperlink>
    </w:p>
    <w:p w14:paraId="07447568" w14:textId="77777777" w:rsidR="00693D54" w:rsidRDefault="00C911E4">
      <w:pPr>
        <w:pStyle w:val="TOC1"/>
        <w:tabs>
          <w:tab w:val="left" w:pos="442"/>
        </w:tabs>
        <w:rPr>
          <w:rFonts w:asciiTheme="minorHAnsi" w:eastAsiaTheme="minorEastAsia" w:hAnsiTheme="minorHAnsi" w:cstheme="minorBidi"/>
          <w:b w:val="0"/>
          <w:bCs w:val="0"/>
          <w:noProof/>
          <w:szCs w:val="22"/>
          <w:lang w:eastAsia="en-AU"/>
        </w:rPr>
      </w:pPr>
      <w:hyperlink w:anchor="_Toc11394782" w:history="1">
        <w:r w:rsidR="00693D54" w:rsidRPr="002269E6">
          <w:rPr>
            <w:rStyle w:val="Hyperlink"/>
            <w:noProof/>
          </w:rPr>
          <w:t>7</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Conclusion</w:t>
        </w:r>
        <w:r w:rsidR="00693D54">
          <w:rPr>
            <w:noProof/>
            <w:webHidden/>
          </w:rPr>
          <w:tab/>
        </w:r>
        <w:r w:rsidR="00693D54">
          <w:rPr>
            <w:noProof/>
            <w:webHidden/>
          </w:rPr>
          <w:fldChar w:fldCharType="begin"/>
        </w:r>
        <w:r w:rsidR="00693D54">
          <w:rPr>
            <w:noProof/>
            <w:webHidden/>
          </w:rPr>
          <w:instrText xml:space="preserve"> PAGEREF _Toc11394782 \h </w:instrText>
        </w:r>
        <w:r w:rsidR="00693D54">
          <w:rPr>
            <w:noProof/>
            <w:webHidden/>
          </w:rPr>
        </w:r>
        <w:r w:rsidR="00693D54">
          <w:rPr>
            <w:noProof/>
            <w:webHidden/>
          </w:rPr>
          <w:fldChar w:fldCharType="separate"/>
        </w:r>
        <w:r w:rsidR="005F00D4">
          <w:rPr>
            <w:noProof/>
            <w:webHidden/>
          </w:rPr>
          <w:t>119</w:t>
        </w:r>
        <w:r w:rsidR="00693D54">
          <w:rPr>
            <w:noProof/>
            <w:webHidden/>
          </w:rPr>
          <w:fldChar w:fldCharType="end"/>
        </w:r>
      </w:hyperlink>
    </w:p>
    <w:p w14:paraId="6858C828" w14:textId="77777777" w:rsidR="00693D54" w:rsidRDefault="00C911E4">
      <w:pPr>
        <w:pStyle w:val="TOC1"/>
        <w:tabs>
          <w:tab w:val="left" w:pos="442"/>
        </w:tabs>
        <w:rPr>
          <w:rFonts w:asciiTheme="minorHAnsi" w:eastAsiaTheme="minorEastAsia" w:hAnsiTheme="minorHAnsi" w:cstheme="minorBidi"/>
          <w:b w:val="0"/>
          <w:bCs w:val="0"/>
          <w:noProof/>
          <w:szCs w:val="22"/>
          <w:lang w:eastAsia="en-AU"/>
        </w:rPr>
      </w:pPr>
      <w:hyperlink w:anchor="_Toc11394783" w:history="1">
        <w:r w:rsidR="00693D54" w:rsidRPr="002269E6">
          <w:rPr>
            <w:rStyle w:val="Hyperlink"/>
            <w:noProof/>
          </w:rPr>
          <w:t>8</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References</w:t>
        </w:r>
        <w:r w:rsidR="00693D54">
          <w:rPr>
            <w:noProof/>
            <w:webHidden/>
          </w:rPr>
          <w:tab/>
        </w:r>
        <w:r w:rsidR="00693D54">
          <w:rPr>
            <w:noProof/>
            <w:webHidden/>
          </w:rPr>
          <w:fldChar w:fldCharType="begin"/>
        </w:r>
        <w:r w:rsidR="00693D54">
          <w:rPr>
            <w:noProof/>
            <w:webHidden/>
          </w:rPr>
          <w:instrText xml:space="preserve"> PAGEREF _Toc11394783 \h </w:instrText>
        </w:r>
        <w:r w:rsidR="00693D54">
          <w:rPr>
            <w:noProof/>
            <w:webHidden/>
          </w:rPr>
        </w:r>
        <w:r w:rsidR="00693D54">
          <w:rPr>
            <w:noProof/>
            <w:webHidden/>
          </w:rPr>
          <w:fldChar w:fldCharType="separate"/>
        </w:r>
        <w:r w:rsidR="005F00D4">
          <w:rPr>
            <w:noProof/>
            <w:webHidden/>
          </w:rPr>
          <w:t>122</w:t>
        </w:r>
        <w:r w:rsidR="00693D54">
          <w:rPr>
            <w:noProof/>
            <w:webHidden/>
          </w:rPr>
          <w:fldChar w:fldCharType="end"/>
        </w:r>
      </w:hyperlink>
    </w:p>
    <w:p w14:paraId="31039B45" w14:textId="77777777" w:rsidR="00693D54" w:rsidRDefault="00C911E4">
      <w:pPr>
        <w:pStyle w:val="TOC1"/>
        <w:tabs>
          <w:tab w:val="left" w:pos="1540"/>
        </w:tabs>
        <w:rPr>
          <w:rFonts w:asciiTheme="minorHAnsi" w:eastAsiaTheme="minorEastAsia" w:hAnsiTheme="minorHAnsi" w:cstheme="minorBidi"/>
          <w:b w:val="0"/>
          <w:bCs w:val="0"/>
          <w:noProof/>
          <w:szCs w:val="22"/>
          <w:lang w:eastAsia="en-AU"/>
        </w:rPr>
      </w:pPr>
      <w:hyperlink w:anchor="_Toc11394784" w:history="1">
        <w:r w:rsidR="00693D54" w:rsidRPr="002269E6">
          <w:rPr>
            <w:rStyle w:val="Hyperlink"/>
            <w:rFonts w:ascii="Century Gothic" w:hAnsi="Century Gothic"/>
            <w:noProof/>
          </w:rPr>
          <w:t>Appendix 1</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Case studies</w:t>
        </w:r>
        <w:r w:rsidR="00693D54">
          <w:rPr>
            <w:noProof/>
            <w:webHidden/>
          </w:rPr>
          <w:tab/>
        </w:r>
        <w:r w:rsidR="00693D54">
          <w:rPr>
            <w:noProof/>
            <w:webHidden/>
          </w:rPr>
          <w:fldChar w:fldCharType="begin"/>
        </w:r>
        <w:r w:rsidR="00693D54">
          <w:rPr>
            <w:noProof/>
            <w:webHidden/>
          </w:rPr>
          <w:instrText xml:space="preserve"> PAGEREF _Toc11394784 \h </w:instrText>
        </w:r>
        <w:r w:rsidR="00693D54">
          <w:rPr>
            <w:noProof/>
            <w:webHidden/>
          </w:rPr>
        </w:r>
        <w:r w:rsidR="00693D54">
          <w:rPr>
            <w:noProof/>
            <w:webHidden/>
          </w:rPr>
          <w:fldChar w:fldCharType="separate"/>
        </w:r>
        <w:r w:rsidR="005F00D4">
          <w:rPr>
            <w:noProof/>
            <w:webHidden/>
          </w:rPr>
          <w:t>134</w:t>
        </w:r>
        <w:r w:rsidR="00693D54">
          <w:rPr>
            <w:noProof/>
            <w:webHidden/>
          </w:rPr>
          <w:fldChar w:fldCharType="end"/>
        </w:r>
      </w:hyperlink>
    </w:p>
    <w:p w14:paraId="72687FC1" w14:textId="77777777" w:rsidR="00693D54" w:rsidRDefault="00C911E4">
      <w:pPr>
        <w:pStyle w:val="TOC2"/>
        <w:tabs>
          <w:tab w:val="right" w:leader="dot" w:pos="9060"/>
        </w:tabs>
        <w:rPr>
          <w:rFonts w:asciiTheme="minorHAnsi" w:eastAsiaTheme="minorEastAsia" w:hAnsiTheme="minorHAnsi" w:cstheme="minorBidi"/>
          <w:noProof/>
          <w:sz w:val="22"/>
          <w:szCs w:val="22"/>
          <w:lang w:eastAsia="en-AU"/>
        </w:rPr>
      </w:pPr>
      <w:hyperlink w:anchor="_Toc11394785" w:history="1">
        <w:r w:rsidR="00693D54" w:rsidRPr="002269E6">
          <w:rPr>
            <w:rStyle w:val="Hyperlink"/>
            <w:noProof/>
          </w:rPr>
          <w:t>Case study #1: Developing a computer program to predict cumulative light and temperature stress on seagrass in the Great Barrier Reef</w:t>
        </w:r>
        <w:r w:rsidR="00693D54">
          <w:rPr>
            <w:noProof/>
            <w:webHidden/>
          </w:rPr>
          <w:tab/>
        </w:r>
        <w:r w:rsidR="00693D54">
          <w:rPr>
            <w:noProof/>
            <w:webHidden/>
          </w:rPr>
          <w:fldChar w:fldCharType="begin"/>
        </w:r>
        <w:r w:rsidR="00693D54">
          <w:rPr>
            <w:noProof/>
            <w:webHidden/>
          </w:rPr>
          <w:instrText xml:space="preserve"> PAGEREF _Toc11394785 \h </w:instrText>
        </w:r>
        <w:r w:rsidR="00693D54">
          <w:rPr>
            <w:noProof/>
            <w:webHidden/>
          </w:rPr>
        </w:r>
        <w:r w:rsidR="00693D54">
          <w:rPr>
            <w:noProof/>
            <w:webHidden/>
          </w:rPr>
          <w:fldChar w:fldCharType="separate"/>
        </w:r>
        <w:r w:rsidR="005F00D4">
          <w:rPr>
            <w:noProof/>
            <w:webHidden/>
          </w:rPr>
          <w:t>135</w:t>
        </w:r>
        <w:r w:rsidR="00693D54">
          <w:rPr>
            <w:noProof/>
            <w:webHidden/>
          </w:rPr>
          <w:fldChar w:fldCharType="end"/>
        </w:r>
      </w:hyperlink>
    </w:p>
    <w:p w14:paraId="2DF9F937"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86" w:history="1">
        <w:r w:rsidR="00693D54" w:rsidRPr="002269E6">
          <w:rPr>
            <w:rStyle w:val="Hyperlink"/>
            <w:rFonts w:cs="Arial"/>
            <w:noProof/>
          </w:rPr>
          <w:t>Introduction</w:t>
        </w:r>
        <w:r w:rsidR="00693D54">
          <w:rPr>
            <w:noProof/>
            <w:webHidden/>
          </w:rPr>
          <w:tab/>
        </w:r>
        <w:r w:rsidR="00693D54">
          <w:rPr>
            <w:noProof/>
            <w:webHidden/>
          </w:rPr>
          <w:fldChar w:fldCharType="begin"/>
        </w:r>
        <w:r w:rsidR="00693D54">
          <w:rPr>
            <w:noProof/>
            <w:webHidden/>
          </w:rPr>
          <w:instrText xml:space="preserve"> PAGEREF _Toc11394786 \h </w:instrText>
        </w:r>
        <w:r w:rsidR="00693D54">
          <w:rPr>
            <w:noProof/>
            <w:webHidden/>
          </w:rPr>
        </w:r>
        <w:r w:rsidR="00693D54">
          <w:rPr>
            <w:noProof/>
            <w:webHidden/>
          </w:rPr>
          <w:fldChar w:fldCharType="separate"/>
        </w:r>
        <w:r w:rsidR="005F00D4">
          <w:rPr>
            <w:noProof/>
            <w:webHidden/>
          </w:rPr>
          <w:t>135</w:t>
        </w:r>
        <w:r w:rsidR="00693D54">
          <w:rPr>
            <w:noProof/>
            <w:webHidden/>
          </w:rPr>
          <w:fldChar w:fldCharType="end"/>
        </w:r>
      </w:hyperlink>
    </w:p>
    <w:p w14:paraId="69DA6E3F"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87" w:history="1">
        <w:r w:rsidR="00693D54" w:rsidRPr="002269E6">
          <w:rPr>
            <w:rStyle w:val="Hyperlink"/>
            <w:rFonts w:cs="Arial"/>
            <w:noProof/>
          </w:rPr>
          <w:t>Program details</w:t>
        </w:r>
        <w:r w:rsidR="00693D54">
          <w:rPr>
            <w:noProof/>
            <w:webHidden/>
          </w:rPr>
          <w:tab/>
        </w:r>
        <w:r w:rsidR="00693D54">
          <w:rPr>
            <w:noProof/>
            <w:webHidden/>
          </w:rPr>
          <w:fldChar w:fldCharType="begin"/>
        </w:r>
        <w:r w:rsidR="00693D54">
          <w:rPr>
            <w:noProof/>
            <w:webHidden/>
          </w:rPr>
          <w:instrText xml:space="preserve"> PAGEREF _Toc11394787 \h </w:instrText>
        </w:r>
        <w:r w:rsidR="00693D54">
          <w:rPr>
            <w:noProof/>
            <w:webHidden/>
          </w:rPr>
        </w:r>
        <w:r w:rsidR="00693D54">
          <w:rPr>
            <w:noProof/>
            <w:webHidden/>
          </w:rPr>
          <w:fldChar w:fldCharType="separate"/>
        </w:r>
        <w:r w:rsidR="005F00D4">
          <w:rPr>
            <w:noProof/>
            <w:webHidden/>
          </w:rPr>
          <w:t>136</w:t>
        </w:r>
        <w:r w:rsidR="00693D54">
          <w:rPr>
            <w:noProof/>
            <w:webHidden/>
          </w:rPr>
          <w:fldChar w:fldCharType="end"/>
        </w:r>
      </w:hyperlink>
    </w:p>
    <w:p w14:paraId="7BC45AB9"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88" w:history="1">
        <w:r w:rsidR="00693D54" w:rsidRPr="002269E6">
          <w:rPr>
            <w:rStyle w:val="Hyperlink"/>
            <w:rFonts w:cs="Arial"/>
            <w:noProof/>
          </w:rPr>
          <w:t>Using the Program</w:t>
        </w:r>
        <w:r w:rsidR="00693D54">
          <w:rPr>
            <w:noProof/>
            <w:webHidden/>
          </w:rPr>
          <w:tab/>
        </w:r>
        <w:r w:rsidR="00693D54">
          <w:rPr>
            <w:noProof/>
            <w:webHidden/>
          </w:rPr>
          <w:fldChar w:fldCharType="begin"/>
        </w:r>
        <w:r w:rsidR="00693D54">
          <w:rPr>
            <w:noProof/>
            <w:webHidden/>
          </w:rPr>
          <w:instrText xml:space="preserve"> PAGEREF _Toc11394788 \h </w:instrText>
        </w:r>
        <w:r w:rsidR="00693D54">
          <w:rPr>
            <w:noProof/>
            <w:webHidden/>
          </w:rPr>
        </w:r>
        <w:r w:rsidR="00693D54">
          <w:rPr>
            <w:noProof/>
            <w:webHidden/>
          </w:rPr>
          <w:fldChar w:fldCharType="separate"/>
        </w:r>
        <w:r w:rsidR="005F00D4">
          <w:rPr>
            <w:noProof/>
            <w:webHidden/>
          </w:rPr>
          <w:t>136</w:t>
        </w:r>
        <w:r w:rsidR="00693D54">
          <w:rPr>
            <w:noProof/>
            <w:webHidden/>
          </w:rPr>
          <w:fldChar w:fldCharType="end"/>
        </w:r>
      </w:hyperlink>
    </w:p>
    <w:p w14:paraId="36D9645E"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89" w:history="1">
        <w:r w:rsidR="00693D54" w:rsidRPr="002269E6">
          <w:rPr>
            <w:rStyle w:val="Hyperlink"/>
            <w:rFonts w:cs="Arial"/>
            <w:noProof/>
          </w:rPr>
          <w:t>Program Outputs</w:t>
        </w:r>
        <w:r w:rsidR="00693D54">
          <w:rPr>
            <w:noProof/>
            <w:webHidden/>
          </w:rPr>
          <w:tab/>
        </w:r>
        <w:r w:rsidR="00693D54">
          <w:rPr>
            <w:noProof/>
            <w:webHidden/>
          </w:rPr>
          <w:fldChar w:fldCharType="begin"/>
        </w:r>
        <w:r w:rsidR="00693D54">
          <w:rPr>
            <w:noProof/>
            <w:webHidden/>
          </w:rPr>
          <w:instrText xml:space="preserve"> PAGEREF _Toc11394789 \h </w:instrText>
        </w:r>
        <w:r w:rsidR="00693D54">
          <w:rPr>
            <w:noProof/>
            <w:webHidden/>
          </w:rPr>
        </w:r>
        <w:r w:rsidR="00693D54">
          <w:rPr>
            <w:noProof/>
            <w:webHidden/>
          </w:rPr>
          <w:fldChar w:fldCharType="separate"/>
        </w:r>
        <w:r w:rsidR="005F00D4">
          <w:rPr>
            <w:noProof/>
            <w:webHidden/>
          </w:rPr>
          <w:t>136</w:t>
        </w:r>
        <w:r w:rsidR="00693D54">
          <w:rPr>
            <w:noProof/>
            <w:webHidden/>
          </w:rPr>
          <w:fldChar w:fldCharType="end"/>
        </w:r>
      </w:hyperlink>
    </w:p>
    <w:p w14:paraId="4CEC390C"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90" w:history="1">
        <w:r w:rsidR="00693D54" w:rsidRPr="002269E6">
          <w:rPr>
            <w:rStyle w:val="Hyperlink"/>
            <w:rFonts w:cs="Arial"/>
            <w:noProof/>
          </w:rPr>
          <w:t>Alpha testing</w:t>
        </w:r>
        <w:r w:rsidR="00693D54">
          <w:rPr>
            <w:noProof/>
            <w:webHidden/>
          </w:rPr>
          <w:tab/>
        </w:r>
        <w:r w:rsidR="00693D54">
          <w:rPr>
            <w:noProof/>
            <w:webHidden/>
          </w:rPr>
          <w:fldChar w:fldCharType="begin"/>
        </w:r>
        <w:r w:rsidR="00693D54">
          <w:rPr>
            <w:noProof/>
            <w:webHidden/>
          </w:rPr>
          <w:instrText xml:space="preserve"> PAGEREF _Toc11394790 \h </w:instrText>
        </w:r>
        <w:r w:rsidR="00693D54">
          <w:rPr>
            <w:noProof/>
            <w:webHidden/>
          </w:rPr>
        </w:r>
        <w:r w:rsidR="00693D54">
          <w:rPr>
            <w:noProof/>
            <w:webHidden/>
          </w:rPr>
          <w:fldChar w:fldCharType="separate"/>
        </w:r>
        <w:r w:rsidR="005F00D4">
          <w:rPr>
            <w:noProof/>
            <w:webHidden/>
          </w:rPr>
          <w:t>137</w:t>
        </w:r>
        <w:r w:rsidR="00693D54">
          <w:rPr>
            <w:noProof/>
            <w:webHidden/>
          </w:rPr>
          <w:fldChar w:fldCharType="end"/>
        </w:r>
      </w:hyperlink>
    </w:p>
    <w:p w14:paraId="1D556577"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91" w:history="1">
        <w:r w:rsidR="00693D54" w:rsidRPr="002269E6">
          <w:rPr>
            <w:rStyle w:val="Hyperlink"/>
            <w:rFonts w:cs="Arial"/>
            <w:noProof/>
          </w:rPr>
          <w:t>References</w:t>
        </w:r>
        <w:r w:rsidR="00693D54">
          <w:rPr>
            <w:noProof/>
            <w:webHidden/>
          </w:rPr>
          <w:tab/>
        </w:r>
        <w:r w:rsidR="00693D54">
          <w:rPr>
            <w:noProof/>
            <w:webHidden/>
          </w:rPr>
          <w:fldChar w:fldCharType="begin"/>
        </w:r>
        <w:r w:rsidR="00693D54">
          <w:rPr>
            <w:noProof/>
            <w:webHidden/>
          </w:rPr>
          <w:instrText xml:space="preserve"> PAGEREF _Toc11394791 \h </w:instrText>
        </w:r>
        <w:r w:rsidR="00693D54">
          <w:rPr>
            <w:noProof/>
            <w:webHidden/>
          </w:rPr>
        </w:r>
        <w:r w:rsidR="00693D54">
          <w:rPr>
            <w:noProof/>
            <w:webHidden/>
          </w:rPr>
          <w:fldChar w:fldCharType="separate"/>
        </w:r>
        <w:r w:rsidR="005F00D4">
          <w:rPr>
            <w:noProof/>
            <w:webHidden/>
          </w:rPr>
          <w:t>140</w:t>
        </w:r>
        <w:r w:rsidR="00693D54">
          <w:rPr>
            <w:noProof/>
            <w:webHidden/>
          </w:rPr>
          <w:fldChar w:fldCharType="end"/>
        </w:r>
      </w:hyperlink>
    </w:p>
    <w:p w14:paraId="7022537B" w14:textId="77777777" w:rsidR="00693D54" w:rsidRDefault="00C911E4">
      <w:pPr>
        <w:pStyle w:val="TOC2"/>
        <w:tabs>
          <w:tab w:val="right" w:leader="dot" w:pos="9060"/>
        </w:tabs>
        <w:rPr>
          <w:rFonts w:asciiTheme="minorHAnsi" w:eastAsiaTheme="minorEastAsia" w:hAnsiTheme="minorHAnsi" w:cstheme="minorBidi"/>
          <w:noProof/>
          <w:sz w:val="22"/>
          <w:szCs w:val="22"/>
          <w:lang w:eastAsia="en-AU"/>
        </w:rPr>
      </w:pPr>
      <w:hyperlink w:anchor="_Toc11394792" w:history="1">
        <w:r w:rsidR="00693D54" w:rsidRPr="002269E6">
          <w:rPr>
            <w:rStyle w:val="Hyperlink"/>
            <w:noProof/>
          </w:rPr>
          <w:t>Case study #2: Reproductive effort as a predictor of future seagrass cover: Model assessment and implications for report card metrics and the development of a seagrass resilience indicator</w:t>
        </w:r>
        <w:r w:rsidR="00693D54">
          <w:rPr>
            <w:noProof/>
            <w:webHidden/>
          </w:rPr>
          <w:tab/>
        </w:r>
        <w:r w:rsidR="00693D54">
          <w:rPr>
            <w:noProof/>
            <w:webHidden/>
          </w:rPr>
          <w:fldChar w:fldCharType="begin"/>
        </w:r>
        <w:r w:rsidR="00693D54">
          <w:rPr>
            <w:noProof/>
            <w:webHidden/>
          </w:rPr>
          <w:instrText xml:space="preserve"> PAGEREF _Toc11394792 \h </w:instrText>
        </w:r>
        <w:r w:rsidR="00693D54">
          <w:rPr>
            <w:noProof/>
            <w:webHidden/>
          </w:rPr>
        </w:r>
        <w:r w:rsidR="00693D54">
          <w:rPr>
            <w:noProof/>
            <w:webHidden/>
          </w:rPr>
          <w:fldChar w:fldCharType="separate"/>
        </w:r>
        <w:r w:rsidR="005F00D4">
          <w:rPr>
            <w:noProof/>
            <w:webHidden/>
          </w:rPr>
          <w:t>141</w:t>
        </w:r>
        <w:r w:rsidR="00693D54">
          <w:rPr>
            <w:noProof/>
            <w:webHidden/>
          </w:rPr>
          <w:fldChar w:fldCharType="end"/>
        </w:r>
      </w:hyperlink>
    </w:p>
    <w:p w14:paraId="6FE979EF"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93" w:history="1">
        <w:r w:rsidR="00693D54" w:rsidRPr="002269E6">
          <w:rPr>
            <w:rStyle w:val="Hyperlink"/>
            <w:rFonts w:cs="Arial"/>
            <w:noProof/>
          </w:rPr>
          <w:t>Introduction</w:t>
        </w:r>
        <w:r w:rsidR="00693D54">
          <w:rPr>
            <w:noProof/>
            <w:webHidden/>
          </w:rPr>
          <w:tab/>
        </w:r>
        <w:r w:rsidR="00693D54">
          <w:rPr>
            <w:noProof/>
            <w:webHidden/>
          </w:rPr>
          <w:fldChar w:fldCharType="begin"/>
        </w:r>
        <w:r w:rsidR="00693D54">
          <w:rPr>
            <w:noProof/>
            <w:webHidden/>
          </w:rPr>
          <w:instrText xml:space="preserve"> PAGEREF _Toc11394793 \h </w:instrText>
        </w:r>
        <w:r w:rsidR="00693D54">
          <w:rPr>
            <w:noProof/>
            <w:webHidden/>
          </w:rPr>
        </w:r>
        <w:r w:rsidR="00693D54">
          <w:rPr>
            <w:noProof/>
            <w:webHidden/>
          </w:rPr>
          <w:fldChar w:fldCharType="separate"/>
        </w:r>
        <w:r w:rsidR="005F00D4">
          <w:rPr>
            <w:noProof/>
            <w:webHidden/>
          </w:rPr>
          <w:t>141</w:t>
        </w:r>
        <w:r w:rsidR="00693D54">
          <w:rPr>
            <w:noProof/>
            <w:webHidden/>
          </w:rPr>
          <w:fldChar w:fldCharType="end"/>
        </w:r>
      </w:hyperlink>
    </w:p>
    <w:p w14:paraId="6AF7C786"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94" w:history="1">
        <w:r w:rsidR="00693D54" w:rsidRPr="002269E6">
          <w:rPr>
            <w:rStyle w:val="Hyperlink"/>
            <w:rFonts w:cs="Arial"/>
            <w:noProof/>
          </w:rPr>
          <w:t>Methods</w:t>
        </w:r>
        <w:r w:rsidR="00693D54">
          <w:rPr>
            <w:noProof/>
            <w:webHidden/>
          </w:rPr>
          <w:tab/>
        </w:r>
        <w:r w:rsidR="00693D54">
          <w:rPr>
            <w:noProof/>
            <w:webHidden/>
          </w:rPr>
          <w:fldChar w:fldCharType="begin"/>
        </w:r>
        <w:r w:rsidR="00693D54">
          <w:rPr>
            <w:noProof/>
            <w:webHidden/>
          </w:rPr>
          <w:instrText xml:space="preserve"> PAGEREF _Toc11394794 \h </w:instrText>
        </w:r>
        <w:r w:rsidR="00693D54">
          <w:rPr>
            <w:noProof/>
            <w:webHidden/>
          </w:rPr>
        </w:r>
        <w:r w:rsidR="00693D54">
          <w:rPr>
            <w:noProof/>
            <w:webHidden/>
          </w:rPr>
          <w:fldChar w:fldCharType="separate"/>
        </w:r>
        <w:r w:rsidR="005F00D4">
          <w:rPr>
            <w:noProof/>
            <w:webHidden/>
          </w:rPr>
          <w:t>141</w:t>
        </w:r>
        <w:r w:rsidR="00693D54">
          <w:rPr>
            <w:noProof/>
            <w:webHidden/>
          </w:rPr>
          <w:fldChar w:fldCharType="end"/>
        </w:r>
      </w:hyperlink>
    </w:p>
    <w:p w14:paraId="3EAE49B4"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95" w:history="1">
        <w:r w:rsidR="00693D54" w:rsidRPr="002269E6">
          <w:rPr>
            <w:rStyle w:val="Hyperlink"/>
            <w:rFonts w:cs="Arial"/>
            <w:noProof/>
          </w:rPr>
          <w:t>Results</w:t>
        </w:r>
        <w:r w:rsidR="00693D54">
          <w:rPr>
            <w:noProof/>
            <w:webHidden/>
          </w:rPr>
          <w:tab/>
        </w:r>
        <w:r w:rsidR="00693D54">
          <w:rPr>
            <w:noProof/>
            <w:webHidden/>
          </w:rPr>
          <w:fldChar w:fldCharType="begin"/>
        </w:r>
        <w:r w:rsidR="00693D54">
          <w:rPr>
            <w:noProof/>
            <w:webHidden/>
          </w:rPr>
          <w:instrText xml:space="preserve"> PAGEREF _Toc11394795 \h </w:instrText>
        </w:r>
        <w:r w:rsidR="00693D54">
          <w:rPr>
            <w:noProof/>
            <w:webHidden/>
          </w:rPr>
        </w:r>
        <w:r w:rsidR="00693D54">
          <w:rPr>
            <w:noProof/>
            <w:webHidden/>
          </w:rPr>
          <w:fldChar w:fldCharType="separate"/>
        </w:r>
        <w:r w:rsidR="005F00D4">
          <w:rPr>
            <w:noProof/>
            <w:webHidden/>
          </w:rPr>
          <w:t>143</w:t>
        </w:r>
        <w:r w:rsidR="00693D54">
          <w:rPr>
            <w:noProof/>
            <w:webHidden/>
          </w:rPr>
          <w:fldChar w:fldCharType="end"/>
        </w:r>
      </w:hyperlink>
    </w:p>
    <w:p w14:paraId="3F4E5921"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96" w:history="1">
        <w:r w:rsidR="00693D54" w:rsidRPr="002269E6">
          <w:rPr>
            <w:rStyle w:val="Hyperlink"/>
            <w:rFonts w:cs="Arial"/>
            <w:noProof/>
          </w:rPr>
          <w:t>Discussion</w:t>
        </w:r>
        <w:r w:rsidR="00693D54">
          <w:rPr>
            <w:noProof/>
            <w:webHidden/>
          </w:rPr>
          <w:tab/>
        </w:r>
        <w:r w:rsidR="00693D54">
          <w:rPr>
            <w:noProof/>
            <w:webHidden/>
          </w:rPr>
          <w:fldChar w:fldCharType="begin"/>
        </w:r>
        <w:r w:rsidR="00693D54">
          <w:rPr>
            <w:noProof/>
            <w:webHidden/>
          </w:rPr>
          <w:instrText xml:space="preserve"> PAGEREF _Toc11394796 \h </w:instrText>
        </w:r>
        <w:r w:rsidR="00693D54">
          <w:rPr>
            <w:noProof/>
            <w:webHidden/>
          </w:rPr>
        </w:r>
        <w:r w:rsidR="00693D54">
          <w:rPr>
            <w:noProof/>
            <w:webHidden/>
          </w:rPr>
          <w:fldChar w:fldCharType="separate"/>
        </w:r>
        <w:r w:rsidR="005F00D4">
          <w:rPr>
            <w:noProof/>
            <w:webHidden/>
          </w:rPr>
          <w:t>145</w:t>
        </w:r>
        <w:r w:rsidR="00693D54">
          <w:rPr>
            <w:noProof/>
            <w:webHidden/>
          </w:rPr>
          <w:fldChar w:fldCharType="end"/>
        </w:r>
      </w:hyperlink>
    </w:p>
    <w:p w14:paraId="3BBE1F8E"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797" w:history="1">
        <w:r w:rsidR="00693D54" w:rsidRPr="002269E6">
          <w:rPr>
            <w:rStyle w:val="Hyperlink"/>
            <w:rFonts w:cs="Arial"/>
            <w:noProof/>
          </w:rPr>
          <w:t>References</w:t>
        </w:r>
        <w:r w:rsidR="00693D54">
          <w:rPr>
            <w:noProof/>
            <w:webHidden/>
          </w:rPr>
          <w:tab/>
        </w:r>
        <w:r w:rsidR="00693D54">
          <w:rPr>
            <w:noProof/>
            <w:webHidden/>
          </w:rPr>
          <w:fldChar w:fldCharType="begin"/>
        </w:r>
        <w:r w:rsidR="00693D54">
          <w:rPr>
            <w:noProof/>
            <w:webHidden/>
          </w:rPr>
          <w:instrText xml:space="preserve"> PAGEREF _Toc11394797 \h </w:instrText>
        </w:r>
        <w:r w:rsidR="00693D54">
          <w:rPr>
            <w:noProof/>
            <w:webHidden/>
          </w:rPr>
        </w:r>
        <w:r w:rsidR="00693D54">
          <w:rPr>
            <w:noProof/>
            <w:webHidden/>
          </w:rPr>
          <w:fldChar w:fldCharType="separate"/>
        </w:r>
        <w:r w:rsidR="005F00D4">
          <w:rPr>
            <w:noProof/>
            <w:webHidden/>
          </w:rPr>
          <w:t>148</w:t>
        </w:r>
        <w:r w:rsidR="00693D54">
          <w:rPr>
            <w:noProof/>
            <w:webHidden/>
          </w:rPr>
          <w:fldChar w:fldCharType="end"/>
        </w:r>
      </w:hyperlink>
    </w:p>
    <w:p w14:paraId="07CD58E4" w14:textId="77777777" w:rsidR="00693D54" w:rsidRDefault="00C911E4">
      <w:pPr>
        <w:pStyle w:val="TOC1"/>
        <w:tabs>
          <w:tab w:val="left" w:pos="1540"/>
        </w:tabs>
        <w:rPr>
          <w:rFonts w:asciiTheme="minorHAnsi" w:eastAsiaTheme="minorEastAsia" w:hAnsiTheme="minorHAnsi" w:cstheme="minorBidi"/>
          <w:b w:val="0"/>
          <w:bCs w:val="0"/>
          <w:noProof/>
          <w:szCs w:val="22"/>
          <w:lang w:eastAsia="en-AU"/>
        </w:rPr>
      </w:pPr>
      <w:hyperlink w:anchor="_Toc11394798" w:history="1">
        <w:r w:rsidR="00693D54" w:rsidRPr="002269E6">
          <w:rPr>
            <w:rStyle w:val="Hyperlink"/>
            <w:rFonts w:ascii="Century Gothic" w:hAnsi="Century Gothic"/>
            <w:noProof/>
          </w:rPr>
          <w:t>Appendix 2</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Seagrass condition indicator guidelines for report card calculations</w:t>
        </w:r>
        <w:r w:rsidR="00693D54">
          <w:rPr>
            <w:noProof/>
            <w:webHidden/>
          </w:rPr>
          <w:tab/>
        </w:r>
        <w:r w:rsidR="00693D54">
          <w:rPr>
            <w:noProof/>
            <w:webHidden/>
          </w:rPr>
          <w:fldChar w:fldCharType="begin"/>
        </w:r>
        <w:r w:rsidR="00693D54">
          <w:rPr>
            <w:noProof/>
            <w:webHidden/>
          </w:rPr>
          <w:instrText xml:space="preserve"> PAGEREF _Toc11394798 \h </w:instrText>
        </w:r>
        <w:r w:rsidR="00693D54">
          <w:rPr>
            <w:noProof/>
            <w:webHidden/>
          </w:rPr>
        </w:r>
        <w:r w:rsidR="00693D54">
          <w:rPr>
            <w:noProof/>
            <w:webHidden/>
          </w:rPr>
          <w:fldChar w:fldCharType="separate"/>
        </w:r>
        <w:r w:rsidR="005F00D4">
          <w:rPr>
            <w:noProof/>
            <w:webHidden/>
          </w:rPr>
          <w:t>150</w:t>
        </w:r>
        <w:r w:rsidR="00693D54">
          <w:rPr>
            <w:noProof/>
            <w:webHidden/>
          </w:rPr>
          <w:fldChar w:fldCharType="end"/>
        </w:r>
      </w:hyperlink>
    </w:p>
    <w:p w14:paraId="6BD7CF2F" w14:textId="77777777" w:rsidR="00693D54" w:rsidRDefault="00C911E4">
      <w:pPr>
        <w:pStyle w:val="TOC2"/>
        <w:tabs>
          <w:tab w:val="right" w:leader="dot" w:pos="9060"/>
        </w:tabs>
        <w:rPr>
          <w:rFonts w:asciiTheme="minorHAnsi" w:eastAsiaTheme="minorEastAsia" w:hAnsiTheme="minorHAnsi" w:cstheme="minorBidi"/>
          <w:noProof/>
          <w:sz w:val="22"/>
          <w:szCs w:val="22"/>
          <w:lang w:eastAsia="en-AU"/>
        </w:rPr>
      </w:pPr>
      <w:hyperlink w:anchor="_Toc11394799" w:history="1">
        <w:r w:rsidR="00693D54" w:rsidRPr="002269E6">
          <w:rPr>
            <w:rStyle w:val="Hyperlink"/>
            <w:noProof/>
          </w:rPr>
          <w:t>Seagrass abundance</w:t>
        </w:r>
        <w:r w:rsidR="00693D54">
          <w:rPr>
            <w:noProof/>
            <w:webHidden/>
          </w:rPr>
          <w:tab/>
        </w:r>
        <w:r w:rsidR="00693D54">
          <w:rPr>
            <w:noProof/>
            <w:webHidden/>
          </w:rPr>
          <w:fldChar w:fldCharType="begin"/>
        </w:r>
        <w:r w:rsidR="00693D54">
          <w:rPr>
            <w:noProof/>
            <w:webHidden/>
          </w:rPr>
          <w:instrText xml:space="preserve"> PAGEREF _Toc11394799 \h </w:instrText>
        </w:r>
        <w:r w:rsidR="00693D54">
          <w:rPr>
            <w:noProof/>
            <w:webHidden/>
          </w:rPr>
        </w:r>
        <w:r w:rsidR="00693D54">
          <w:rPr>
            <w:noProof/>
            <w:webHidden/>
          </w:rPr>
          <w:fldChar w:fldCharType="separate"/>
        </w:r>
        <w:r w:rsidR="005F00D4">
          <w:rPr>
            <w:noProof/>
            <w:webHidden/>
          </w:rPr>
          <w:t>151</w:t>
        </w:r>
        <w:r w:rsidR="00693D54">
          <w:rPr>
            <w:noProof/>
            <w:webHidden/>
          </w:rPr>
          <w:fldChar w:fldCharType="end"/>
        </w:r>
      </w:hyperlink>
    </w:p>
    <w:p w14:paraId="51342C4B" w14:textId="77777777" w:rsidR="00693D54" w:rsidRDefault="00C911E4">
      <w:pPr>
        <w:pStyle w:val="TOC2"/>
        <w:tabs>
          <w:tab w:val="right" w:leader="dot" w:pos="9060"/>
        </w:tabs>
        <w:rPr>
          <w:rFonts w:asciiTheme="minorHAnsi" w:eastAsiaTheme="minorEastAsia" w:hAnsiTheme="minorHAnsi" w:cstheme="minorBidi"/>
          <w:noProof/>
          <w:sz w:val="22"/>
          <w:szCs w:val="22"/>
          <w:lang w:eastAsia="en-AU"/>
        </w:rPr>
      </w:pPr>
      <w:hyperlink w:anchor="_Toc11394800" w:history="1">
        <w:r w:rsidR="00693D54" w:rsidRPr="002269E6">
          <w:rPr>
            <w:rStyle w:val="Hyperlink"/>
            <w:noProof/>
          </w:rPr>
          <w:t>Seagrass reproductive effort</w:t>
        </w:r>
        <w:r w:rsidR="00693D54">
          <w:rPr>
            <w:noProof/>
            <w:webHidden/>
          </w:rPr>
          <w:tab/>
        </w:r>
        <w:r w:rsidR="00693D54">
          <w:rPr>
            <w:noProof/>
            <w:webHidden/>
          </w:rPr>
          <w:fldChar w:fldCharType="begin"/>
        </w:r>
        <w:r w:rsidR="00693D54">
          <w:rPr>
            <w:noProof/>
            <w:webHidden/>
          </w:rPr>
          <w:instrText xml:space="preserve"> PAGEREF _Toc11394800 \h </w:instrText>
        </w:r>
        <w:r w:rsidR="00693D54">
          <w:rPr>
            <w:noProof/>
            <w:webHidden/>
          </w:rPr>
        </w:r>
        <w:r w:rsidR="00693D54">
          <w:rPr>
            <w:noProof/>
            <w:webHidden/>
          </w:rPr>
          <w:fldChar w:fldCharType="separate"/>
        </w:r>
        <w:r w:rsidR="005F00D4">
          <w:rPr>
            <w:noProof/>
            <w:webHidden/>
          </w:rPr>
          <w:t>156</w:t>
        </w:r>
        <w:r w:rsidR="00693D54">
          <w:rPr>
            <w:noProof/>
            <w:webHidden/>
          </w:rPr>
          <w:fldChar w:fldCharType="end"/>
        </w:r>
      </w:hyperlink>
    </w:p>
    <w:p w14:paraId="59941A94" w14:textId="77777777" w:rsidR="00693D54" w:rsidRDefault="00C911E4">
      <w:pPr>
        <w:pStyle w:val="TOC2"/>
        <w:tabs>
          <w:tab w:val="right" w:leader="dot" w:pos="9060"/>
        </w:tabs>
        <w:rPr>
          <w:rFonts w:asciiTheme="minorHAnsi" w:eastAsiaTheme="minorEastAsia" w:hAnsiTheme="minorHAnsi" w:cstheme="minorBidi"/>
          <w:noProof/>
          <w:sz w:val="22"/>
          <w:szCs w:val="22"/>
          <w:lang w:eastAsia="en-AU"/>
        </w:rPr>
      </w:pPr>
      <w:hyperlink w:anchor="_Toc11394801" w:history="1">
        <w:r w:rsidR="00693D54" w:rsidRPr="002269E6">
          <w:rPr>
            <w:rStyle w:val="Hyperlink"/>
            <w:noProof/>
          </w:rPr>
          <w:t>Seagrass nutrient status.</w:t>
        </w:r>
        <w:r w:rsidR="00693D54">
          <w:rPr>
            <w:noProof/>
            <w:webHidden/>
          </w:rPr>
          <w:tab/>
        </w:r>
        <w:r w:rsidR="00693D54">
          <w:rPr>
            <w:noProof/>
            <w:webHidden/>
          </w:rPr>
          <w:fldChar w:fldCharType="begin"/>
        </w:r>
        <w:r w:rsidR="00693D54">
          <w:rPr>
            <w:noProof/>
            <w:webHidden/>
          </w:rPr>
          <w:instrText xml:space="preserve"> PAGEREF _Toc11394801 \h </w:instrText>
        </w:r>
        <w:r w:rsidR="00693D54">
          <w:rPr>
            <w:noProof/>
            <w:webHidden/>
          </w:rPr>
        </w:r>
        <w:r w:rsidR="00693D54">
          <w:rPr>
            <w:noProof/>
            <w:webHidden/>
          </w:rPr>
          <w:fldChar w:fldCharType="separate"/>
        </w:r>
        <w:r w:rsidR="005F00D4">
          <w:rPr>
            <w:noProof/>
            <w:webHidden/>
          </w:rPr>
          <w:t>156</w:t>
        </w:r>
        <w:r w:rsidR="00693D54">
          <w:rPr>
            <w:noProof/>
            <w:webHidden/>
          </w:rPr>
          <w:fldChar w:fldCharType="end"/>
        </w:r>
      </w:hyperlink>
    </w:p>
    <w:p w14:paraId="21CC77BC" w14:textId="77777777" w:rsidR="00693D54" w:rsidRDefault="00C911E4">
      <w:pPr>
        <w:pStyle w:val="TOC1"/>
        <w:tabs>
          <w:tab w:val="left" w:pos="1540"/>
        </w:tabs>
        <w:rPr>
          <w:rFonts w:asciiTheme="minorHAnsi" w:eastAsiaTheme="minorEastAsia" w:hAnsiTheme="minorHAnsi" w:cstheme="minorBidi"/>
          <w:b w:val="0"/>
          <w:bCs w:val="0"/>
          <w:noProof/>
          <w:szCs w:val="22"/>
          <w:lang w:eastAsia="en-AU"/>
        </w:rPr>
      </w:pPr>
      <w:hyperlink w:anchor="_Toc11394802" w:history="1">
        <w:r w:rsidR="00693D54" w:rsidRPr="002269E6">
          <w:rPr>
            <w:rStyle w:val="Hyperlink"/>
            <w:rFonts w:ascii="Century Gothic" w:hAnsi="Century Gothic"/>
            <w:noProof/>
          </w:rPr>
          <w:t>Appendix 3</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Detailed data</w:t>
        </w:r>
        <w:r w:rsidR="00693D54">
          <w:rPr>
            <w:noProof/>
            <w:webHidden/>
          </w:rPr>
          <w:tab/>
        </w:r>
        <w:r w:rsidR="00693D54">
          <w:rPr>
            <w:noProof/>
            <w:webHidden/>
          </w:rPr>
          <w:fldChar w:fldCharType="begin"/>
        </w:r>
        <w:r w:rsidR="00693D54">
          <w:rPr>
            <w:noProof/>
            <w:webHidden/>
          </w:rPr>
          <w:instrText xml:space="preserve"> PAGEREF _Toc11394802 \h </w:instrText>
        </w:r>
        <w:r w:rsidR="00693D54">
          <w:rPr>
            <w:noProof/>
            <w:webHidden/>
          </w:rPr>
        </w:r>
        <w:r w:rsidR="00693D54">
          <w:rPr>
            <w:noProof/>
            <w:webHidden/>
          </w:rPr>
          <w:fldChar w:fldCharType="separate"/>
        </w:r>
        <w:r w:rsidR="005F00D4">
          <w:rPr>
            <w:noProof/>
            <w:webHidden/>
          </w:rPr>
          <w:t>158</w:t>
        </w:r>
        <w:r w:rsidR="00693D54">
          <w:rPr>
            <w:noProof/>
            <w:webHidden/>
          </w:rPr>
          <w:fldChar w:fldCharType="end"/>
        </w:r>
      </w:hyperlink>
    </w:p>
    <w:p w14:paraId="3C1A2437" w14:textId="77777777" w:rsidR="00693D54" w:rsidRDefault="00C911E4">
      <w:pPr>
        <w:pStyle w:val="TOC2"/>
        <w:tabs>
          <w:tab w:val="right" w:leader="dot" w:pos="9060"/>
        </w:tabs>
        <w:rPr>
          <w:rFonts w:asciiTheme="minorHAnsi" w:eastAsiaTheme="minorEastAsia" w:hAnsiTheme="minorHAnsi" w:cstheme="minorBidi"/>
          <w:noProof/>
          <w:sz w:val="22"/>
          <w:szCs w:val="22"/>
          <w:lang w:eastAsia="en-AU"/>
        </w:rPr>
      </w:pPr>
      <w:hyperlink w:anchor="_Toc11394803" w:history="1">
        <w:r w:rsidR="00693D54" w:rsidRPr="002269E6">
          <w:rPr>
            <w:rStyle w:val="Hyperlink"/>
            <w:noProof/>
          </w:rPr>
          <w:t>Climate and environmental pressures</w:t>
        </w:r>
        <w:r w:rsidR="00693D54">
          <w:rPr>
            <w:noProof/>
            <w:webHidden/>
          </w:rPr>
          <w:tab/>
        </w:r>
        <w:r w:rsidR="00693D54">
          <w:rPr>
            <w:noProof/>
            <w:webHidden/>
          </w:rPr>
          <w:fldChar w:fldCharType="begin"/>
        </w:r>
        <w:r w:rsidR="00693D54">
          <w:rPr>
            <w:noProof/>
            <w:webHidden/>
          </w:rPr>
          <w:instrText xml:space="preserve"> PAGEREF _Toc11394803 \h </w:instrText>
        </w:r>
        <w:r w:rsidR="00693D54">
          <w:rPr>
            <w:noProof/>
            <w:webHidden/>
          </w:rPr>
        </w:r>
        <w:r w:rsidR="00693D54">
          <w:rPr>
            <w:noProof/>
            <w:webHidden/>
          </w:rPr>
          <w:fldChar w:fldCharType="separate"/>
        </w:r>
        <w:r w:rsidR="005F00D4">
          <w:rPr>
            <w:noProof/>
            <w:webHidden/>
          </w:rPr>
          <w:t>162</w:t>
        </w:r>
        <w:r w:rsidR="00693D54">
          <w:rPr>
            <w:noProof/>
            <w:webHidden/>
          </w:rPr>
          <w:fldChar w:fldCharType="end"/>
        </w:r>
      </w:hyperlink>
    </w:p>
    <w:p w14:paraId="51EC1F4E"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804" w:history="1">
        <w:r w:rsidR="00693D54" w:rsidRPr="002269E6">
          <w:rPr>
            <w:rStyle w:val="Hyperlink"/>
            <w:rFonts w:cs="Arial"/>
            <w:noProof/>
          </w:rPr>
          <w:t>Climate</w:t>
        </w:r>
        <w:r w:rsidR="00693D54">
          <w:rPr>
            <w:noProof/>
            <w:webHidden/>
          </w:rPr>
          <w:tab/>
        </w:r>
        <w:r w:rsidR="00693D54">
          <w:rPr>
            <w:noProof/>
            <w:webHidden/>
          </w:rPr>
          <w:fldChar w:fldCharType="begin"/>
        </w:r>
        <w:r w:rsidR="00693D54">
          <w:rPr>
            <w:noProof/>
            <w:webHidden/>
          </w:rPr>
          <w:instrText xml:space="preserve"> PAGEREF _Toc11394804 \h </w:instrText>
        </w:r>
        <w:r w:rsidR="00693D54">
          <w:rPr>
            <w:noProof/>
            <w:webHidden/>
          </w:rPr>
        </w:r>
        <w:r w:rsidR="00693D54">
          <w:rPr>
            <w:noProof/>
            <w:webHidden/>
          </w:rPr>
          <w:fldChar w:fldCharType="separate"/>
        </w:r>
        <w:r w:rsidR="005F00D4">
          <w:rPr>
            <w:noProof/>
            <w:webHidden/>
          </w:rPr>
          <w:t>162</w:t>
        </w:r>
        <w:r w:rsidR="00693D54">
          <w:rPr>
            <w:noProof/>
            <w:webHidden/>
          </w:rPr>
          <w:fldChar w:fldCharType="end"/>
        </w:r>
      </w:hyperlink>
    </w:p>
    <w:p w14:paraId="6A79DE8E"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805" w:history="1">
        <w:r w:rsidR="00693D54" w:rsidRPr="002269E6">
          <w:rPr>
            <w:rStyle w:val="Hyperlink"/>
            <w:rFonts w:cs="Arial"/>
            <w:noProof/>
          </w:rPr>
          <w:t>Tidal exposure</w:t>
        </w:r>
        <w:r w:rsidR="00693D54">
          <w:rPr>
            <w:noProof/>
            <w:webHidden/>
          </w:rPr>
          <w:tab/>
        </w:r>
        <w:r w:rsidR="00693D54">
          <w:rPr>
            <w:noProof/>
            <w:webHidden/>
          </w:rPr>
          <w:fldChar w:fldCharType="begin"/>
        </w:r>
        <w:r w:rsidR="00693D54">
          <w:rPr>
            <w:noProof/>
            <w:webHidden/>
          </w:rPr>
          <w:instrText xml:space="preserve"> PAGEREF _Toc11394805 \h </w:instrText>
        </w:r>
        <w:r w:rsidR="00693D54">
          <w:rPr>
            <w:noProof/>
            <w:webHidden/>
          </w:rPr>
        </w:r>
        <w:r w:rsidR="00693D54">
          <w:rPr>
            <w:noProof/>
            <w:webHidden/>
          </w:rPr>
          <w:fldChar w:fldCharType="separate"/>
        </w:r>
        <w:r w:rsidR="005F00D4">
          <w:rPr>
            <w:noProof/>
            <w:webHidden/>
          </w:rPr>
          <w:t>165</w:t>
        </w:r>
        <w:r w:rsidR="00693D54">
          <w:rPr>
            <w:noProof/>
            <w:webHidden/>
          </w:rPr>
          <w:fldChar w:fldCharType="end"/>
        </w:r>
      </w:hyperlink>
    </w:p>
    <w:p w14:paraId="605BEB04"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806" w:history="1">
        <w:r w:rsidR="00693D54" w:rsidRPr="002269E6">
          <w:rPr>
            <w:rStyle w:val="Hyperlink"/>
            <w:rFonts w:cs="Arial"/>
            <w:noProof/>
          </w:rPr>
          <w:t>Light at seagrass canopy</w:t>
        </w:r>
        <w:r w:rsidR="00693D54">
          <w:rPr>
            <w:noProof/>
            <w:webHidden/>
          </w:rPr>
          <w:tab/>
        </w:r>
        <w:r w:rsidR="00693D54">
          <w:rPr>
            <w:noProof/>
            <w:webHidden/>
          </w:rPr>
          <w:fldChar w:fldCharType="begin"/>
        </w:r>
        <w:r w:rsidR="00693D54">
          <w:rPr>
            <w:noProof/>
            <w:webHidden/>
          </w:rPr>
          <w:instrText xml:space="preserve"> PAGEREF _Toc11394806 \h </w:instrText>
        </w:r>
        <w:r w:rsidR="00693D54">
          <w:rPr>
            <w:noProof/>
            <w:webHidden/>
          </w:rPr>
        </w:r>
        <w:r w:rsidR="00693D54">
          <w:rPr>
            <w:noProof/>
            <w:webHidden/>
          </w:rPr>
          <w:fldChar w:fldCharType="separate"/>
        </w:r>
        <w:r w:rsidR="005F00D4">
          <w:rPr>
            <w:noProof/>
            <w:webHidden/>
          </w:rPr>
          <w:t>169</w:t>
        </w:r>
        <w:r w:rsidR="00693D54">
          <w:rPr>
            <w:noProof/>
            <w:webHidden/>
          </w:rPr>
          <w:fldChar w:fldCharType="end"/>
        </w:r>
      </w:hyperlink>
    </w:p>
    <w:p w14:paraId="4153D4D7" w14:textId="77777777" w:rsidR="00693D54" w:rsidRDefault="00C911E4">
      <w:pPr>
        <w:pStyle w:val="TOC2"/>
        <w:tabs>
          <w:tab w:val="right" w:leader="dot" w:pos="9060"/>
        </w:tabs>
        <w:rPr>
          <w:rFonts w:asciiTheme="minorHAnsi" w:eastAsiaTheme="minorEastAsia" w:hAnsiTheme="minorHAnsi" w:cstheme="minorBidi"/>
          <w:noProof/>
          <w:sz w:val="22"/>
          <w:szCs w:val="22"/>
          <w:lang w:eastAsia="en-AU"/>
        </w:rPr>
      </w:pPr>
      <w:hyperlink w:anchor="_Toc11394807" w:history="1">
        <w:r w:rsidR="00693D54" w:rsidRPr="002269E6">
          <w:rPr>
            <w:rStyle w:val="Hyperlink"/>
            <w:noProof/>
          </w:rPr>
          <w:t>Seagrass habitat condition</w:t>
        </w:r>
        <w:r w:rsidR="00693D54">
          <w:rPr>
            <w:noProof/>
            <w:webHidden/>
          </w:rPr>
          <w:tab/>
        </w:r>
        <w:r w:rsidR="00693D54">
          <w:rPr>
            <w:noProof/>
            <w:webHidden/>
          </w:rPr>
          <w:fldChar w:fldCharType="begin"/>
        </w:r>
        <w:r w:rsidR="00693D54">
          <w:rPr>
            <w:noProof/>
            <w:webHidden/>
          </w:rPr>
          <w:instrText xml:space="preserve"> PAGEREF _Toc11394807 \h </w:instrText>
        </w:r>
        <w:r w:rsidR="00693D54">
          <w:rPr>
            <w:noProof/>
            <w:webHidden/>
          </w:rPr>
        </w:r>
        <w:r w:rsidR="00693D54">
          <w:rPr>
            <w:noProof/>
            <w:webHidden/>
          </w:rPr>
          <w:fldChar w:fldCharType="separate"/>
        </w:r>
        <w:r w:rsidR="005F00D4">
          <w:rPr>
            <w:noProof/>
            <w:webHidden/>
          </w:rPr>
          <w:t>173</w:t>
        </w:r>
        <w:r w:rsidR="00693D54">
          <w:rPr>
            <w:noProof/>
            <w:webHidden/>
          </w:rPr>
          <w:fldChar w:fldCharType="end"/>
        </w:r>
      </w:hyperlink>
    </w:p>
    <w:p w14:paraId="48191485" w14:textId="77777777" w:rsidR="00693D54" w:rsidRDefault="00C911E4">
      <w:pPr>
        <w:pStyle w:val="TOC3"/>
        <w:tabs>
          <w:tab w:val="right" w:leader="dot" w:pos="9060"/>
        </w:tabs>
        <w:rPr>
          <w:rFonts w:asciiTheme="minorHAnsi" w:eastAsiaTheme="minorEastAsia" w:hAnsiTheme="minorHAnsi" w:cstheme="minorBidi"/>
          <w:iCs w:val="0"/>
          <w:noProof/>
          <w:sz w:val="22"/>
          <w:szCs w:val="22"/>
          <w:lang w:eastAsia="en-AU"/>
        </w:rPr>
      </w:pPr>
      <w:hyperlink w:anchor="_Toc11394808" w:history="1">
        <w:r w:rsidR="00693D54" w:rsidRPr="002269E6">
          <w:rPr>
            <w:rStyle w:val="Hyperlink"/>
            <w:rFonts w:cs="Arial"/>
            <w:noProof/>
          </w:rPr>
          <w:t>Sediments composition</w:t>
        </w:r>
        <w:r w:rsidR="00693D54">
          <w:rPr>
            <w:noProof/>
            <w:webHidden/>
          </w:rPr>
          <w:tab/>
        </w:r>
        <w:r w:rsidR="00693D54">
          <w:rPr>
            <w:noProof/>
            <w:webHidden/>
          </w:rPr>
          <w:fldChar w:fldCharType="begin"/>
        </w:r>
        <w:r w:rsidR="00693D54">
          <w:rPr>
            <w:noProof/>
            <w:webHidden/>
          </w:rPr>
          <w:instrText xml:space="preserve"> PAGEREF _Toc11394808 \h </w:instrText>
        </w:r>
        <w:r w:rsidR="00693D54">
          <w:rPr>
            <w:noProof/>
            <w:webHidden/>
          </w:rPr>
        </w:r>
        <w:r w:rsidR="00693D54">
          <w:rPr>
            <w:noProof/>
            <w:webHidden/>
          </w:rPr>
          <w:fldChar w:fldCharType="separate"/>
        </w:r>
        <w:r w:rsidR="005F00D4">
          <w:rPr>
            <w:noProof/>
            <w:webHidden/>
          </w:rPr>
          <w:t>173</w:t>
        </w:r>
        <w:r w:rsidR="00693D54">
          <w:rPr>
            <w:noProof/>
            <w:webHidden/>
          </w:rPr>
          <w:fldChar w:fldCharType="end"/>
        </w:r>
      </w:hyperlink>
    </w:p>
    <w:p w14:paraId="0535190C" w14:textId="77777777" w:rsidR="00693D54" w:rsidRDefault="00C911E4">
      <w:pPr>
        <w:pStyle w:val="TOC1"/>
        <w:tabs>
          <w:tab w:val="left" w:pos="1540"/>
        </w:tabs>
        <w:rPr>
          <w:rFonts w:asciiTheme="minorHAnsi" w:eastAsiaTheme="minorEastAsia" w:hAnsiTheme="minorHAnsi" w:cstheme="minorBidi"/>
          <w:b w:val="0"/>
          <w:bCs w:val="0"/>
          <w:noProof/>
          <w:szCs w:val="22"/>
          <w:lang w:eastAsia="en-AU"/>
        </w:rPr>
      </w:pPr>
      <w:hyperlink w:anchor="_Toc11394809" w:history="1">
        <w:r w:rsidR="00693D54" w:rsidRPr="002269E6">
          <w:rPr>
            <w:rStyle w:val="Hyperlink"/>
            <w:rFonts w:ascii="Century Gothic" w:hAnsi="Century Gothic"/>
            <w:noProof/>
          </w:rPr>
          <w:t>Appendix 4</w:t>
        </w:r>
        <w:r w:rsidR="00693D54">
          <w:rPr>
            <w:rFonts w:asciiTheme="minorHAnsi" w:eastAsiaTheme="minorEastAsia" w:hAnsiTheme="minorHAnsi" w:cstheme="minorBidi"/>
            <w:b w:val="0"/>
            <w:bCs w:val="0"/>
            <w:noProof/>
            <w:szCs w:val="22"/>
            <w:lang w:eastAsia="en-AU"/>
          </w:rPr>
          <w:tab/>
        </w:r>
        <w:r w:rsidR="00693D54" w:rsidRPr="002269E6">
          <w:rPr>
            <w:rStyle w:val="Hyperlink"/>
            <w:noProof/>
          </w:rPr>
          <w:t>Results of statistical analysis</w:t>
        </w:r>
        <w:r w:rsidR="00693D54">
          <w:rPr>
            <w:noProof/>
            <w:webHidden/>
          </w:rPr>
          <w:tab/>
        </w:r>
        <w:r w:rsidR="00693D54">
          <w:rPr>
            <w:noProof/>
            <w:webHidden/>
          </w:rPr>
          <w:fldChar w:fldCharType="begin"/>
        </w:r>
        <w:r w:rsidR="00693D54">
          <w:rPr>
            <w:noProof/>
            <w:webHidden/>
          </w:rPr>
          <w:instrText xml:space="preserve"> PAGEREF _Toc11394809 \h </w:instrText>
        </w:r>
        <w:r w:rsidR="00693D54">
          <w:rPr>
            <w:noProof/>
            <w:webHidden/>
          </w:rPr>
        </w:r>
        <w:r w:rsidR="00693D54">
          <w:rPr>
            <w:noProof/>
            <w:webHidden/>
          </w:rPr>
          <w:fldChar w:fldCharType="separate"/>
        </w:r>
        <w:r w:rsidR="005F00D4">
          <w:rPr>
            <w:noProof/>
            <w:webHidden/>
          </w:rPr>
          <w:t>185</w:t>
        </w:r>
        <w:r w:rsidR="00693D54">
          <w:rPr>
            <w:noProof/>
            <w:webHidden/>
          </w:rPr>
          <w:fldChar w:fldCharType="end"/>
        </w:r>
      </w:hyperlink>
    </w:p>
    <w:p w14:paraId="7C85F0CF" w14:textId="290151AE" w:rsidR="001F4593" w:rsidRPr="00DA741D" w:rsidRDefault="00693D54" w:rsidP="0035225E">
      <w:pPr>
        <w:pStyle w:val="TOC1"/>
      </w:pPr>
      <w:r>
        <w:rPr>
          <w:rFonts w:cs="Arial"/>
          <w:color w:val="000000"/>
        </w:rPr>
        <w:fldChar w:fldCharType="end"/>
      </w:r>
      <w:r w:rsidR="001F4593" w:rsidRPr="00DA741D">
        <w:br w:type="page"/>
      </w:r>
      <w:bookmarkStart w:id="0" w:name="_Toc11394683"/>
      <w:r w:rsidR="001F4593" w:rsidRPr="00DA741D">
        <w:lastRenderedPageBreak/>
        <w:t xml:space="preserve">List of </w:t>
      </w:r>
      <w:r w:rsidR="00BE4012">
        <w:t>f</w:t>
      </w:r>
      <w:r w:rsidR="001F4593" w:rsidRPr="00DA741D">
        <w:t>igures</w:t>
      </w:r>
      <w:bookmarkEnd w:id="0"/>
    </w:p>
    <w:p w14:paraId="591C793A" w14:textId="77777777" w:rsidR="00637325" w:rsidRDefault="001F4593">
      <w:pPr>
        <w:pStyle w:val="TableofFigures"/>
        <w:tabs>
          <w:tab w:val="right" w:leader="dot" w:pos="9060"/>
        </w:tabs>
        <w:rPr>
          <w:rFonts w:asciiTheme="minorHAnsi" w:eastAsiaTheme="minorEastAsia" w:hAnsiTheme="minorHAnsi" w:cstheme="minorBidi"/>
          <w:noProof/>
          <w:szCs w:val="22"/>
          <w:lang w:eastAsia="en-AU"/>
        </w:rPr>
      </w:pPr>
      <w:r w:rsidRPr="005D79A9">
        <w:rPr>
          <w:rFonts w:ascii="Arial" w:hAnsi="Arial" w:cs="Arial"/>
          <w:color w:val="000000"/>
          <w:sz w:val="20"/>
          <w:szCs w:val="20"/>
        </w:rPr>
        <w:fldChar w:fldCharType="begin"/>
      </w:r>
      <w:r w:rsidRPr="005D79A9">
        <w:rPr>
          <w:rFonts w:ascii="Arial" w:hAnsi="Arial" w:cs="Arial"/>
          <w:color w:val="000000"/>
          <w:sz w:val="20"/>
          <w:szCs w:val="20"/>
        </w:rPr>
        <w:instrText xml:space="preserve"> TOC \h \z \c "Figure" </w:instrText>
      </w:r>
      <w:r w:rsidRPr="005D79A9">
        <w:rPr>
          <w:rFonts w:ascii="Arial" w:hAnsi="Arial" w:cs="Arial"/>
          <w:color w:val="000000"/>
          <w:sz w:val="20"/>
          <w:szCs w:val="20"/>
        </w:rPr>
        <w:fldChar w:fldCharType="separate"/>
      </w:r>
      <w:hyperlink w:anchor="_Toc6402766" w:history="1">
        <w:r w:rsidR="00637325" w:rsidRPr="00B13A92">
          <w:rPr>
            <w:rStyle w:val="Hyperlink"/>
            <w:noProof/>
          </w:rPr>
          <w:t xml:space="preserve">Figure 1. </w:t>
        </w:r>
        <w:r w:rsidR="00637325" w:rsidRPr="00B13A92">
          <w:rPr>
            <w:rStyle w:val="Hyperlink"/>
            <w:i/>
            <w:noProof/>
          </w:rPr>
          <w:t>Reef-wide seagrass condition index (</w:t>
        </w:r>
        <w:r w:rsidR="00637325" w:rsidRPr="00B13A92">
          <w:rPr>
            <w:rStyle w:val="Hyperlink"/>
            <w:rFonts w:cs="Calibri"/>
            <w:i/>
            <w:noProof/>
          </w:rPr>
          <w:t>±</w:t>
        </w:r>
        <w:r w:rsidR="00637325" w:rsidRPr="00B13A92">
          <w:rPr>
            <w:rStyle w:val="Hyperlink"/>
            <w:i/>
            <w:noProof/>
          </w:rPr>
          <w:t>SE) with contributing indicator scores over the life of the MMP</w:t>
        </w:r>
        <w:r w:rsidR="00637325">
          <w:rPr>
            <w:noProof/>
            <w:webHidden/>
          </w:rPr>
          <w:tab/>
        </w:r>
        <w:r w:rsidR="00637325">
          <w:rPr>
            <w:noProof/>
            <w:webHidden/>
          </w:rPr>
          <w:fldChar w:fldCharType="begin"/>
        </w:r>
        <w:r w:rsidR="00637325">
          <w:rPr>
            <w:noProof/>
            <w:webHidden/>
          </w:rPr>
          <w:instrText xml:space="preserve"> PAGEREF _Toc6402766 \h </w:instrText>
        </w:r>
        <w:r w:rsidR="00637325">
          <w:rPr>
            <w:noProof/>
            <w:webHidden/>
          </w:rPr>
        </w:r>
        <w:r w:rsidR="00637325">
          <w:rPr>
            <w:noProof/>
            <w:webHidden/>
          </w:rPr>
          <w:fldChar w:fldCharType="separate"/>
        </w:r>
        <w:r w:rsidR="005F00D4">
          <w:rPr>
            <w:noProof/>
            <w:webHidden/>
          </w:rPr>
          <w:t>1</w:t>
        </w:r>
        <w:r w:rsidR="00637325">
          <w:rPr>
            <w:noProof/>
            <w:webHidden/>
          </w:rPr>
          <w:fldChar w:fldCharType="end"/>
        </w:r>
      </w:hyperlink>
    </w:p>
    <w:p w14:paraId="34637E56"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67" w:history="1">
        <w:r w:rsidR="00637325" w:rsidRPr="00B13A92">
          <w:rPr>
            <w:rStyle w:val="Hyperlink"/>
            <w:rFonts w:ascii="Arial" w:hAnsi="Arial" w:cs="Arial"/>
            <w:noProof/>
          </w:rPr>
          <w:t xml:space="preserve">Figure 2. </w:t>
        </w:r>
        <w:r w:rsidR="00637325" w:rsidRPr="00B13A92">
          <w:rPr>
            <w:rStyle w:val="Hyperlink"/>
            <w:rFonts w:ascii="Arial" w:hAnsi="Arial" w:cs="Arial"/>
            <w:i/>
            <w:noProof/>
          </w:rPr>
          <w:t>Major marine ecosystems (coral reefs and surveyed seagrass meadows) in the World Heritage Area and Natural Resource Management regions (including marine)</w:t>
        </w:r>
        <w:r w:rsidR="00637325">
          <w:rPr>
            <w:noProof/>
            <w:webHidden/>
          </w:rPr>
          <w:tab/>
        </w:r>
        <w:r w:rsidR="00637325">
          <w:rPr>
            <w:noProof/>
            <w:webHidden/>
          </w:rPr>
          <w:fldChar w:fldCharType="begin"/>
        </w:r>
        <w:r w:rsidR="00637325">
          <w:rPr>
            <w:noProof/>
            <w:webHidden/>
          </w:rPr>
          <w:instrText xml:space="preserve"> PAGEREF _Toc6402767 \h </w:instrText>
        </w:r>
        <w:r w:rsidR="00637325">
          <w:rPr>
            <w:noProof/>
            <w:webHidden/>
          </w:rPr>
        </w:r>
        <w:r w:rsidR="00637325">
          <w:rPr>
            <w:noProof/>
            <w:webHidden/>
          </w:rPr>
          <w:fldChar w:fldCharType="separate"/>
        </w:r>
        <w:r w:rsidR="005F00D4">
          <w:rPr>
            <w:noProof/>
            <w:webHidden/>
          </w:rPr>
          <w:t>5</w:t>
        </w:r>
        <w:r w:rsidR="00637325">
          <w:rPr>
            <w:noProof/>
            <w:webHidden/>
          </w:rPr>
          <w:fldChar w:fldCharType="end"/>
        </w:r>
      </w:hyperlink>
    </w:p>
    <w:p w14:paraId="67F28208"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68" w:history="1">
        <w:r w:rsidR="00637325" w:rsidRPr="00B13A92">
          <w:rPr>
            <w:rStyle w:val="Hyperlink"/>
            <w:rFonts w:ascii="Arial" w:hAnsi="Arial" w:cs="Arial"/>
            <w:noProof/>
          </w:rPr>
          <w:t xml:space="preserve">Figure 3. </w:t>
        </w:r>
        <w:r w:rsidR="00637325" w:rsidRPr="00B13A92">
          <w:rPr>
            <w:rStyle w:val="Hyperlink"/>
            <w:rFonts w:ascii="Arial" w:hAnsi="Arial" w:cs="Arial"/>
            <w:i/>
            <w:noProof/>
          </w:rPr>
          <w:t>Climate, environmental, seagrass condition and seagrass resilience indicators reported as part of inshore seagrass monitoring.</w:t>
        </w:r>
        <w:r w:rsidR="00637325">
          <w:rPr>
            <w:noProof/>
            <w:webHidden/>
          </w:rPr>
          <w:tab/>
        </w:r>
        <w:r w:rsidR="00637325">
          <w:rPr>
            <w:noProof/>
            <w:webHidden/>
          </w:rPr>
          <w:fldChar w:fldCharType="begin"/>
        </w:r>
        <w:r w:rsidR="00637325">
          <w:rPr>
            <w:noProof/>
            <w:webHidden/>
          </w:rPr>
          <w:instrText xml:space="preserve"> PAGEREF _Toc6402768 \h </w:instrText>
        </w:r>
        <w:r w:rsidR="00637325">
          <w:rPr>
            <w:noProof/>
            <w:webHidden/>
          </w:rPr>
        </w:r>
        <w:r w:rsidR="00637325">
          <w:rPr>
            <w:noProof/>
            <w:webHidden/>
          </w:rPr>
          <w:fldChar w:fldCharType="separate"/>
        </w:r>
        <w:r w:rsidR="005F00D4">
          <w:rPr>
            <w:noProof/>
            <w:webHidden/>
          </w:rPr>
          <w:t>8</w:t>
        </w:r>
        <w:r w:rsidR="00637325">
          <w:rPr>
            <w:noProof/>
            <w:webHidden/>
          </w:rPr>
          <w:fldChar w:fldCharType="end"/>
        </w:r>
      </w:hyperlink>
    </w:p>
    <w:p w14:paraId="5D73501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69" w:history="1">
        <w:r w:rsidR="00637325" w:rsidRPr="00B13A92">
          <w:rPr>
            <w:rStyle w:val="Hyperlink"/>
            <w:rFonts w:ascii="Arial" w:hAnsi="Arial" w:cs="Arial"/>
            <w:noProof/>
          </w:rPr>
          <w:t>Figure 4</w:t>
        </w:r>
        <w:r w:rsidR="00637325" w:rsidRPr="00B13A92">
          <w:rPr>
            <w:rStyle w:val="Hyperlink"/>
            <w:rFonts w:ascii="Arial" w:hAnsi="Arial" w:cs="Arial"/>
            <w:i/>
            <w:noProof/>
          </w:rPr>
          <w:t>. General conceptual model of seagrass habitats in north east Australia and the water quality impacts affecting the habitat</w:t>
        </w:r>
        <w:r w:rsidR="00637325">
          <w:rPr>
            <w:noProof/>
            <w:webHidden/>
          </w:rPr>
          <w:tab/>
        </w:r>
        <w:r w:rsidR="00637325">
          <w:rPr>
            <w:noProof/>
            <w:webHidden/>
          </w:rPr>
          <w:fldChar w:fldCharType="begin"/>
        </w:r>
        <w:r w:rsidR="00637325">
          <w:rPr>
            <w:noProof/>
            <w:webHidden/>
          </w:rPr>
          <w:instrText xml:space="preserve"> PAGEREF _Toc6402769 \h </w:instrText>
        </w:r>
        <w:r w:rsidR="00637325">
          <w:rPr>
            <w:noProof/>
            <w:webHidden/>
          </w:rPr>
        </w:r>
        <w:r w:rsidR="00637325">
          <w:rPr>
            <w:noProof/>
            <w:webHidden/>
          </w:rPr>
          <w:fldChar w:fldCharType="separate"/>
        </w:r>
        <w:r w:rsidR="005F00D4">
          <w:rPr>
            <w:noProof/>
            <w:webHidden/>
          </w:rPr>
          <w:t>9</w:t>
        </w:r>
        <w:r w:rsidR="00637325">
          <w:rPr>
            <w:noProof/>
            <w:webHidden/>
          </w:rPr>
          <w:fldChar w:fldCharType="end"/>
        </w:r>
      </w:hyperlink>
    </w:p>
    <w:p w14:paraId="2BD52EE5"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0" w:history="1">
        <w:r w:rsidR="00637325" w:rsidRPr="00B13A92">
          <w:rPr>
            <w:rStyle w:val="Hyperlink"/>
            <w:rFonts w:ascii="Arial" w:hAnsi="Arial" w:cs="Arial"/>
            <w:noProof/>
          </w:rPr>
          <w:t>Figure 5.</w:t>
        </w:r>
        <w:r w:rsidR="00637325" w:rsidRPr="00B13A92">
          <w:rPr>
            <w:rStyle w:val="Hyperlink"/>
            <w:rFonts w:ascii="Arial" w:hAnsi="Arial" w:cs="Arial"/>
            <w:i/>
            <w:noProof/>
          </w:rPr>
          <w:t xml:space="preserve"> Illustration of seagrass recovery after loss and the categories of successional species over time.</w:t>
        </w:r>
        <w:r w:rsidR="00637325">
          <w:rPr>
            <w:noProof/>
            <w:webHidden/>
          </w:rPr>
          <w:tab/>
        </w:r>
        <w:r w:rsidR="00637325">
          <w:rPr>
            <w:noProof/>
            <w:webHidden/>
          </w:rPr>
          <w:fldChar w:fldCharType="begin"/>
        </w:r>
        <w:r w:rsidR="00637325">
          <w:rPr>
            <w:noProof/>
            <w:webHidden/>
          </w:rPr>
          <w:instrText xml:space="preserve"> PAGEREF _Toc6402770 \h </w:instrText>
        </w:r>
        <w:r w:rsidR="00637325">
          <w:rPr>
            <w:noProof/>
            <w:webHidden/>
          </w:rPr>
        </w:r>
        <w:r w:rsidR="00637325">
          <w:rPr>
            <w:noProof/>
            <w:webHidden/>
          </w:rPr>
          <w:fldChar w:fldCharType="separate"/>
        </w:r>
        <w:r w:rsidR="005F00D4">
          <w:rPr>
            <w:noProof/>
            <w:webHidden/>
          </w:rPr>
          <w:t>9</w:t>
        </w:r>
        <w:r w:rsidR="00637325">
          <w:rPr>
            <w:noProof/>
            <w:webHidden/>
          </w:rPr>
          <w:fldChar w:fldCharType="end"/>
        </w:r>
      </w:hyperlink>
    </w:p>
    <w:p w14:paraId="2C74D02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1" w:history="1">
        <w:r w:rsidR="00637325" w:rsidRPr="00B13A92">
          <w:rPr>
            <w:rStyle w:val="Hyperlink"/>
            <w:rFonts w:cs="Arial"/>
            <w:noProof/>
          </w:rPr>
          <w:t xml:space="preserve">Figure 6. Difference between </w:t>
        </w:r>
        <w:r w:rsidR="00637325" w:rsidRPr="00B13A92">
          <w:rPr>
            <w:rStyle w:val="Hyperlink"/>
            <w:rFonts w:cs="Arial"/>
            <w:i/>
            <w:noProof/>
          </w:rPr>
          <w:t>annual average daily wet season rainfall (December 2017–April 2018) and the long-term average (1961–1990).</w:t>
        </w:r>
        <w:r w:rsidR="00637325">
          <w:rPr>
            <w:noProof/>
            <w:webHidden/>
          </w:rPr>
          <w:tab/>
        </w:r>
        <w:r w:rsidR="00637325">
          <w:rPr>
            <w:noProof/>
            <w:webHidden/>
          </w:rPr>
          <w:fldChar w:fldCharType="begin"/>
        </w:r>
        <w:r w:rsidR="00637325">
          <w:rPr>
            <w:noProof/>
            <w:webHidden/>
          </w:rPr>
          <w:instrText xml:space="preserve"> PAGEREF _Toc6402771 \h </w:instrText>
        </w:r>
        <w:r w:rsidR="00637325">
          <w:rPr>
            <w:noProof/>
            <w:webHidden/>
          </w:rPr>
        </w:r>
        <w:r w:rsidR="00637325">
          <w:rPr>
            <w:noProof/>
            <w:webHidden/>
          </w:rPr>
          <w:fldChar w:fldCharType="separate"/>
        </w:r>
        <w:r w:rsidR="005F00D4">
          <w:rPr>
            <w:noProof/>
            <w:webHidden/>
          </w:rPr>
          <w:t>28</w:t>
        </w:r>
        <w:r w:rsidR="00637325">
          <w:rPr>
            <w:noProof/>
            <w:webHidden/>
          </w:rPr>
          <w:fldChar w:fldCharType="end"/>
        </w:r>
      </w:hyperlink>
    </w:p>
    <w:p w14:paraId="1862FEA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2" w:history="1">
        <w:r w:rsidR="00637325" w:rsidRPr="00B13A92">
          <w:rPr>
            <w:rStyle w:val="Hyperlink"/>
            <w:rFonts w:ascii="Arial" w:hAnsi="Arial" w:cs="Arial"/>
            <w:noProof/>
          </w:rPr>
          <w:t xml:space="preserve">Figure 7. </w:t>
        </w:r>
        <w:r w:rsidR="00637325" w:rsidRPr="00B13A92">
          <w:rPr>
            <w:rStyle w:val="Hyperlink"/>
            <w:rFonts w:ascii="Arial" w:hAnsi="Arial" w:cs="Arial"/>
            <w:i/>
            <w:noProof/>
          </w:rPr>
          <w:t xml:space="preserve">Average daily rainfall (mm/day) in the Reef catchment: (left) long-term annual average (1961–1990; time period produced by BOM), (centre) 2017–18 and (right) the difference between the long-term annual average and 2017–18 rainfall patterns. From </w:t>
        </w:r>
        <w:r w:rsidR="00637325" w:rsidRPr="00B13A92">
          <w:rPr>
            <w:rStyle w:val="Hyperlink"/>
            <w:rFonts w:ascii="Arial" w:hAnsi="Arial" w:cs="Arial"/>
            <w:noProof/>
          </w:rPr>
          <w:t>Gruber</w:t>
        </w:r>
        <w:r w:rsidR="00637325" w:rsidRPr="00B13A92">
          <w:rPr>
            <w:rStyle w:val="Hyperlink"/>
            <w:rFonts w:ascii="Arial" w:hAnsi="Arial" w:cs="Arial"/>
            <w:i/>
            <w:noProof/>
          </w:rPr>
          <w:t xml:space="preserve"> et al.</w:t>
        </w:r>
        <w:r w:rsidR="00637325" w:rsidRPr="00B13A92">
          <w:rPr>
            <w:rStyle w:val="Hyperlink"/>
            <w:rFonts w:ascii="Arial" w:hAnsi="Arial" w:cs="Arial"/>
            <w:noProof/>
          </w:rPr>
          <w:t xml:space="preserve"> 2019</w:t>
        </w:r>
        <w:r w:rsidR="00637325">
          <w:rPr>
            <w:noProof/>
            <w:webHidden/>
          </w:rPr>
          <w:tab/>
        </w:r>
        <w:r w:rsidR="00637325">
          <w:rPr>
            <w:noProof/>
            <w:webHidden/>
          </w:rPr>
          <w:fldChar w:fldCharType="begin"/>
        </w:r>
        <w:r w:rsidR="00637325">
          <w:rPr>
            <w:noProof/>
            <w:webHidden/>
          </w:rPr>
          <w:instrText xml:space="preserve"> PAGEREF _Toc6402772 \h </w:instrText>
        </w:r>
        <w:r w:rsidR="00637325">
          <w:rPr>
            <w:noProof/>
            <w:webHidden/>
          </w:rPr>
        </w:r>
        <w:r w:rsidR="00637325">
          <w:rPr>
            <w:noProof/>
            <w:webHidden/>
          </w:rPr>
          <w:fldChar w:fldCharType="separate"/>
        </w:r>
        <w:r w:rsidR="005F00D4">
          <w:rPr>
            <w:noProof/>
            <w:webHidden/>
          </w:rPr>
          <w:t>29</w:t>
        </w:r>
        <w:r w:rsidR="00637325">
          <w:rPr>
            <w:noProof/>
            <w:webHidden/>
          </w:rPr>
          <w:fldChar w:fldCharType="end"/>
        </w:r>
      </w:hyperlink>
    </w:p>
    <w:p w14:paraId="28D112C2"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3" w:history="1">
        <w:r w:rsidR="00637325" w:rsidRPr="00B13A92">
          <w:rPr>
            <w:rStyle w:val="Hyperlink"/>
            <w:rFonts w:ascii="Arial" w:hAnsi="Arial" w:cs="Arial"/>
            <w:noProof/>
          </w:rPr>
          <w:t xml:space="preserve">Figure 8. </w:t>
        </w:r>
        <w:r w:rsidR="00637325" w:rsidRPr="00B13A92">
          <w:rPr>
            <w:rStyle w:val="Hyperlink"/>
            <w:rFonts w:ascii="Arial" w:hAnsi="Arial" w:cs="Arial"/>
            <w:i/>
            <w:noProof/>
          </w:rPr>
          <w:t>Environmental pressures in the Reef during 2017–18 and relative to long-term: a.</w:t>
        </w:r>
        <w:r w:rsidR="00637325" w:rsidRPr="00B13A92">
          <w:rPr>
            <w:rStyle w:val="Hyperlink"/>
            <w:rFonts w:ascii="Arial" w:hAnsi="Arial" w:cs="Arial"/>
            <w:noProof/>
          </w:rPr>
          <w:t xml:space="preserve"> </w:t>
        </w:r>
        <w:r w:rsidR="00637325" w:rsidRPr="00B13A92">
          <w:rPr>
            <w:rStyle w:val="Hyperlink"/>
            <w:rFonts w:ascii="Arial" w:hAnsi="Arial" w:cs="Arial"/>
            <w:i/>
            <w:noProof/>
          </w:rPr>
          <w:t>Frequency of</w:t>
        </w:r>
        <w:r w:rsidR="00637325" w:rsidRPr="00B13A92">
          <w:rPr>
            <w:rStyle w:val="Hyperlink"/>
            <w:rFonts w:ascii="Arial" w:hAnsi="Arial" w:cs="Arial"/>
            <w:noProof/>
          </w:rPr>
          <w:t xml:space="preserve"> t</w:t>
        </w:r>
        <w:r w:rsidR="00637325" w:rsidRPr="00B13A92">
          <w:rPr>
            <w:rStyle w:val="Hyperlink"/>
            <w:rFonts w:ascii="Arial" w:hAnsi="Arial" w:cs="Arial"/>
            <w:i/>
            <w:noProof/>
          </w:rPr>
          <w:t>urbid water (colour classes 1–5, primary and secondary water) exposure shown in the left-hand panel in the Reef from December 2017 to April 2018</w:t>
        </w:r>
        <w:r w:rsidR="00637325">
          <w:rPr>
            <w:noProof/>
            <w:webHidden/>
          </w:rPr>
          <w:tab/>
        </w:r>
        <w:r w:rsidR="00637325">
          <w:rPr>
            <w:noProof/>
            <w:webHidden/>
          </w:rPr>
          <w:fldChar w:fldCharType="begin"/>
        </w:r>
        <w:r w:rsidR="00637325">
          <w:rPr>
            <w:noProof/>
            <w:webHidden/>
          </w:rPr>
          <w:instrText xml:space="preserve"> PAGEREF _Toc6402773 \h </w:instrText>
        </w:r>
        <w:r w:rsidR="00637325">
          <w:rPr>
            <w:noProof/>
            <w:webHidden/>
          </w:rPr>
        </w:r>
        <w:r w:rsidR="00637325">
          <w:rPr>
            <w:noProof/>
            <w:webHidden/>
          </w:rPr>
          <w:fldChar w:fldCharType="separate"/>
        </w:r>
        <w:r w:rsidR="005F00D4">
          <w:rPr>
            <w:noProof/>
            <w:webHidden/>
          </w:rPr>
          <w:t>31</w:t>
        </w:r>
        <w:r w:rsidR="00637325">
          <w:rPr>
            <w:noProof/>
            <w:webHidden/>
          </w:rPr>
          <w:fldChar w:fldCharType="end"/>
        </w:r>
      </w:hyperlink>
    </w:p>
    <w:p w14:paraId="77C96322"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4" w:history="1">
        <w:r w:rsidR="00637325" w:rsidRPr="00B13A92">
          <w:rPr>
            <w:rStyle w:val="Hyperlink"/>
            <w:rFonts w:ascii="Arial" w:hAnsi="Arial" w:cs="Arial"/>
            <w:noProof/>
          </w:rPr>
          <w:t xml:space="preserve">Figure 9. </w:t>
        </w:r>
        <w:r w:rsidR="00637325" w:rsidRPr="00B13A92">
          <w:rPr>
            <w:rStyle w:val="Hyperlink"/>
            <w:rFonts w:ascii="Arial" w:hAnsi="Arial" w:cs="Arial"/>
            <w:i/>
            <w:noProof/>
          </w:rPr>
          <w:t>Difference in the frequency of exposure to water colour classes 1 to 4 (left) and 1 to 5 (right) at seagrass monitoring sites during the wet season (December 2017–April 2018) compared to the long-term multiannual exposure (2003–2017).</w:t>
        </w:r>
        <w:r w:rsidR="00637325">
          <w:rPr>
            <w:noProof/>
            <w:webHidden/>
          </w:rPr>
          <w:tab/>
        </w:r>
        <w:r w:rsidR="00637325">
          <w:rPr>
            <w:noProof/>
            <w:webHidden/>
          </w:rPr>
          <w:fldChar w:fldCharType="begin"/>
        </w:r>
        <w:r w:rsidR="00637325">
          <w:rPr>
            <w:noProof/>
            <w:webHidden/>
          </w:rPr>
          <w:instrText xml:space="preserve"> PAGEREF _Toc6402774 \h </w:instrText>
        </w:r>
        <w:r w:rsidR="00637325">
          <w:rPr>
            <w:noProof/>
            <w:webHidden/>
          </w:rPr>
        </w:r>
        <w:r w:rsidR="00637325">
          <w:rPr>
            <w:noProof/>
            <w:webHidden/>
          </w:rPr>
          <w:fldChar w:fldCharType="separate"/>
        </w:r>
        <w:r w:rsidR="005F00D4">
          <w:rPr>
            <w:noProof/>
            <w:webHidden/>
          </w:rPr>
          <w:t>32</w:t>
        </w:r>
        <w:r w:rsidR="00637325">
          <w:rPr>
            <w:noProof/>
            <w:webHidden/>
          </w:rPr>
          <w:fldChar w:fldCharType="end"/>
        </w:r>
      </w:hyperlink>
    </w:p>
    <w:p w14:paraId="03ECF436"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5" w:history="1">
        <w:r w:rsidR="00637325" w:rsidRPr="00B13A92">
          <w:rPr>
            <w:rStyle w:val="Hyperlink"/>
            <w:rFonts w:ascii="Arial" w:hAnsi="Arial" w:cs="Arial"/>
            <w:noProof/>
          </w:rPr>
          <w:t xml:space="preserve">Figure 10. </w:t>
        </w:r>
        <w:r w:rsidR="00637325" w:rsidRPr="00B13A92">
          <w:rPr>
            <w:rStyle w:val="Hyperlink"/>
            <w:rFonts w:ascii="Arial" w:hAnsi="Arial" w:cs="Arial"/>
            <w:i/>
            <w:noProof/>
          </w:rPr>
          <w:t>Daily light for all sites combined from 2008 to 2018. In 2008–2009, light data is from the Burdekin and Wet Tropics regions. Other regions were included from 2009–2010, with Cape York added post 2012–2013 reporting period.</w:t>
        </w:r>
        <w:r w:rsidR="00637325">
          <w:rPr>
            <w:noProof/>
            <w:webHidden/>
          </w:rPr>
          <w:tab/>
        </w:r>
        <w:r w:rsidR="00637325">
          <w:rPr>
            <w:noProof/>
            <w:webHidden/>
          </w:rPr>
          <w:fldChar w:fldCharType="begin"/>
        </w:r>
        <w:r w:rsidR="00637325">
          <w:rPr>
            <w:noProof/>
            <w:webHidden/>
          </w:rPr>
          <w:instrText xml:space="preserve"> PAGEREF _Toc6402775 \h </w:instrText>
        </w:r>
        <w:r w:rsidR="00637325">
          <w:rPr>
            <w:noProof/>
            <w:webHidden/>
          </w:rPr>
        </w:r>
        <w:r w:rsidR="00637325">
          <w:rPr>
            <w:noProof/>
            <w:webHidden/>
          </w:rPr>
          <w:fldChar w:fldCharType="separate"/>
        </w:r>
        <w:r w:rsidR="005F00D4">
          <w:rPr>
            <w:noProof/>
            <w:webHidden/>
          </w:rPr>
          <w:t>33</w:t>
        </w:r>
        <w:r w:rsidR="00637325">
          <w:rPr>
            <w:noProof/>
            <w:webHidden/>
          </w:rPr>
          <w:fldChar w:fldCharType="end"/>
        </w:r>
      </w:hyperlink>
    </w:p>
    <w:p w14:paraId="34615B9D"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6" w:history="1">
        <w:r w:rsidR="00637325" w:rsidRPr="00B13A92">
          <w:rPr>
            <w:rStyle w:val="Hyperlink"/>
            <w:rFonts w:ascii="Arial" w:hAnsi="Arial" w:cs="Arial"/>
            <w:noProof/>
          </w:rPr>
          <w:t xml:space="preserve">Figure 11. </w:t>
        </w:r>
        <w:r w:rsidR="00637325" w:rsidRPr="00B13A92">
          <w:rPr>
            <w:rStyle w:val="Hyperlink"/>
            <w:rFonts w:ascii="Arial" w:hAnsi="Arial" w:cs="Arial"/>
            <w:i/>
            <w:noProof/>
          </w:rPr>
          <w:t>Number of days when inshore intertidal sea temperature exceeded 35°C, 38°C, 40°C and 43°C in each monitoring period in each NRM region.</w:t>
        </w:r>
        <w:r w:rsidR="00637325">
          <w:rPr>
            <w:noProof/>
            <w:webHidden/>
          </w:rPr>
          <w:tab/>
        </w:r>
        <w:r w:rsidR="00637325">
          <w:rPr>
            <w:noProof/>
            <w:webHidden/>
          </w:rPr>
          <w:fldChar w:fldCharType="begin"/>
        </w:r>
        <w:r w:rsidR="00637325">
          <w:rPr>
            <w:noProof/>
            <w:webHidden/>
          </w:rPr>
          <w:instrText xml:space="preserve"> PAGEREF _Toc6402776 \h </w:instrText>
        </w:r>
        <w:r w:rsidR="00637325">
          <w:rPr>
            <w:noProof/>
            <w:webHidden/>
          </w:rPr>
        </w:r>
        <w:r w:rsidR="00637325">
          <w:rPr>
            <w:noProof/>
            <w:webHidden/>
          </w:rPr>
          <w:fldChar w:fldCharType="separate"/>
        </w:r>
        <w:r w:rsidR="005F00D4">
          <w:rPr>
            <w:noProof/>
            <w:webHidden/>
          </w:rPr>
          <w:t>34</w:t>
        </w:r>
        <w:r w:rsidR="00637325">
          <w:rPr>
            <w:noProof/>
            <w:webHidden/>
          </w:rPr>
          <w:fldChar w:fldCharType="end"/>
        </w:r>
      </w:hyperlink>
    </w:p>
    <w:p w14:paraId="16045F05"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7" w:history="1">
        <w:r w:rsidR="00637325" w:rsidRPr="00B13A92">
          <w:rPr>
            <w:rStyle w:val="Hyperlink"/>
            <w:rFonts w:ascii="Arial" w:hAnsi="Arial" w:cs="Arial"/>
            <w:noProof/>
          </w:rPr>
          <w:t xml:space="preserve">Figure 12. </w:t>
        </w:r>
        <w:r w:rsidR="00637325" w:rsidRPr="00B13A92">
          <w:rPr>
            <w:rStyle w:val="Hyperlink"/>
            <w:rFonts w:ascii="Arial" w:hAnsi="Arial" w:cs="Arial"/>
            <w:i/>
            <w:noProof/>
          </w:rPr>
          <w:t>Number of days when inshore subtidal sea temperature exceeded 35°C, 38°C, 40°C and 43°C in each monitoring period in each NRM region.</w:t>
        </w:r>
        <w:r w:rsidR="00637325">
          <w:rPr>
            <w:noProof/>
            <w:webHidden/>
          </w:rPr>
          <w:tab/>
        </w:r>
        <w:r w:rsidR="00637325">
          <w:rPr>
            <w:noProof/>
            <w:webHidden/>
          </w:rPr>
          <w:fldChar w:fldCharType="begin"/>
        </w:r>
        <w:r w:rsidR="00637325">
          <w:rPr>
            <w:noProof/>
            <w:webHidden/>
          </w:rPr>
          <w:instrText xml:space="preserve"> PAGEREF _Toc6402777 \h </w:instrText>
        </w:r>
        <w:r w:rsidR="00637325">
          <w:rPr>
            <w:noProof/>
            <w:webHidden/>
          </w:rPr>
        </w:r>
        <w:r w:rsidR="00637325">
          <w:rPr>
            <w:noProof/>
            <w:webHidden/>
          </w:rPr>
          <w:fldChar w:fldCharType="separate"/>
        </w:r>
        <w:r w:rsidR="005F00D4">
          <w:rPr>
            <w:noProof/>
            <w:webHidden/>
          </w:rPr>
          <w:t>34</w:t>
        </w:r>
        <w:r w:rsidR="00637325">
          <w:rPr>
            <w:noProof/>
            <w:webHidden/>
          </w:rPr>
          <w:fldChar w:fldCharType="end"/>
        </w:r>
      </w:hyperlink>
    </w:p>
    <w:p w14:paraId="40BDF325"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8" w:history="1">
        <w:r w:rsidR="00637325" w:rsidRPr="00B13A92">
          <w:rPr>
            <w:rStyle w:val="Hyperlink"/>
            <w:rFonts w:ascii="Arial" w:hAnsi="Arial" w:cs="Arial"/>
            <w:noProof/>
          </w:rPr>
          <w:t xml:space="preserve">Figure 13. </w:t>
        </w:r>
        <w:r w:rsidR="00637325" w:rsidRPr="00B13A92">
          <w:rPr>
            <w:rStyle w:val="Hyperlink"/>
            <w:rFonts w:ascii="Arial" w:hAnsi="Arial" w:cs="Arial"/>
            <w:i/>
            <w:noProof/>
          </w:rPr>
          <w:t>Inshore intertidal sea temperature deviations from baseline for Reef seagrass habitats from 2003 to 2018.</w:t>
        </w:r>
        <w:r w:rsidR="00637325">
          <w:rPr>
            <w:noProof/>
            <w:webHidden/>
          </w:rPr>
          <w:tab/>
        </w:r>
        <w:r w:rsidR="00637325">
          <w:rPr>
            <w:noProof/>
            <w:webHidden/>
          </w:rPr>
          <w:fldChar w:fldCharType="begin"/>
        </w:r>
        <w:r w:rsidR="00637325">
          <w:rPr>
            <w:noProof/>
            <w:webHidden/>
          </w:rPr>
          <w:instrText xml:space="preserve"> PAGEREF _Toc6402778 \h </w:instrText>
        </w:r>
        <w:r w:rsidR="00637325">
          <w:rPr>
            <w:noProof/>
            <w:webHidden/>
          </w:rPr>
        </w:r>
        <w:r w:rsidR="00637325">
          <w:rPr>
            <w:noProof/>
            <w:webHidden/>
          </w:rPr>
          <w:fldChar w:fldCharType="separate"/>
        </w:r>
        <w:r w:rsidR="005F00D4">
          <w:rPr>
            <w:noProof/>
            <w:webHidden/>
          </w:rPr>
          <w:t>35</w:t>
        </w:r>
        <w:r w:rsidR="00637325">
          <w:rPr>
            <w:noProof/>
            <w:webHidden/>
          </w:rPr>
          <w:fldChar w:fldCharType="end"/>
        </w:r>
      </w:hyperlink>
    </w:p>
    <w:p w14:paraId="5225B259"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79" w:history="1">
        <w:r w:rsidR="00637325" w:rsidRPr="00B13A92">
          <w:rPr>
            <w:rStyle w:val="Hyperlink"/>
            <w:rFonts w:ascii="Arial" w:hAnsi="Arial" w:cs="Arial"/>
            <w:noProof/>
          </w:rPr>
          <w:t xml:space="preserve">Figure 14. </w:t>
        </w:r>
        <w:r w:rsidR="00637325" w:rsidRPr="00B13A92">
          <w:rPr>
            <w:rStyle w:val="Hyperlink"/>
            <w:rFonts w:ascii="Arial" w:hAnsi="Arial" w:cs="Arial"/>
            <w:i/>
            <w:noProof/>
          </w:rPr>
          <w:t>Proportion of sediment composed of mud (grain size &lt;63µm) at Reef seagrass monitoring habitats from 1999–2018.</w:t>
        </w:r>
        <w:r w:rsidR="00637325">
          <w:rPr>
            <w:noProof/>
            <w:webHidden/>
          </w:rPr>
          <w:tab/>
        </w:r>
        <w:r w:rsidR="00637325">
          <w:rPr>
            <w:noProof/>
            <w:webHidden/>
          </w:rPr>
          <w:fldChar w:fldCharType="begin"/>
        </w:r>
        <w:r w:rsidR="00637325">
          <w:rPr>
            <w:noProof/>
            <w:webHidden/>
          </w:rPr>
          <w:instrText xml:space="preserve"> PAGEREF _Toc6402779 \h </w:instrText>
        </w:r>
        <w:r w:rsidR="00637325">
          <w:rPr>
            <w:noProof/>
            <w:webHidden/>
          </w:rPr>
        </w:r>
        <w:r w:rsidR="00637325">
          <w:rPr>
            <w:noProof/>
            <w:webHidden/>
          </w:rPr>
          <w:fldChar w:fldCharType="separate"/>
        </w:r>
        <w:r w:rsidR="005F00D4">
          <w:rPr>
            <w:noProof/>
            <w:webHidden/>
          </w:rPr>
          <w:t>36</w:t>
        </w:r>
        <w:r w:rsidR="00637325">
          <w:rPr>
            <w:noProof/>
            <w:webHidden/>
          </w:rPr>
          <w:fldChar w:fldCharType="end"/>
        </w:r>
      </w:hyperlink>
    </w:p>
    <w:p w14:paraId="0B37ED5B"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0" w:history="1">
        <w:r w:rsidR="00637325" w:rsidRPr="00B13A92">
          <w:rPr>
            <w:rStyle w:val="Hyperlink"/>
            <w:rFonts w:ascii="Arial" w:hAnsi="Arial" w:cs="Arial"/>
            <w:noProof/>
          </w:rPr>
          <w:t xml:space="preserve">Figure 15. </w:t>
        </w:r>
        <w:r w:rsidR="00637325" w:rsidRPr="00B13A92">
          <w:rPr>
            <w:rStyle w:val="Hyperlink"/>
            <w:rFonts w:ascii="Arial" w:hAnsi="Arial" w:cs="Arial"/>
            <w:i/>
            <w:noProof/>
          </w:rPr>
          <w:t>Reef-wide seagrass condition index (±SE) with contributing indicator scores over the life of the MMP</w:t>
        </w:r>
        <w:r w:rsidR="00637325">
          <w:rPr>
            <w:noProof/>
            <w:webHidden/>
          </w:rPr>
          <w:tab/>
        </w:r>
        <w:r w:rsidR="00637325">
          <w:rPr>
            <w:noProof/>
            <w:webHidden/>
          </w:rPr>
          <w:fldChar w:fldCharType="begin"/>
        </w:r>
        <w:r w:rsidR="00637325">
          <w:rPr>
            <w:noProof/>
            <w:webHidden/>
          </w:rPr>
          <w:instrText xml:space="preserve"> PAGEREF _Toc6402780 \h </w:instrText>
        </w:r>
        <w:r w:rsidR="00637325">
          <w:rPr>
            <w:noProof/>
            <w:webHidden/>
          </w:rPr>
        </w:r>
        <w:r w:rsidR="00637325">
          <w:rPr>
            <w:noProof/>
            <w:webHidden/>
          </w:rPr>
          <w:fldChar w:fldCharType="separate"/>
        </w:r>
        <w:r w:rsidR="005F00D4">
          <w:rPr>
            <w:noProof/>
            <w:webHidden/>
          </w:rPr>
          <w:t>38</w:t>
        </w:r>
        <w:r w:rsidR="00637325">
          <w:rPr>
            <w:noProof/>
            <w:webHidden/>
          </w:rPr>
          <w:fldChar w:fldCharType="end"/>
        </w:r>
      </w:hyperlink>
    </w:p>
    <w:p w14:paraId="7B997A8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1" w:history="1">
        <w:r w:rsidR="00637325" w:rsidRPr="00B13A92">
          <w:rPr>
            <w:rStyle w:val="Hyperlink"/>
            <w:rFonts w:ascii="Arial" w:hAnsi="Arial" w:cs="Arial"/>
            <w:noProof/>
          </w:rPr>
          <w:t xml:space="preserve">Figure 16. </w:t>
        </w:r>
        <w:r w:rsidR="00637325" w:rsidRPr="00B13A92">
          <w:rPr>
            <w:rStyle w:val="Hyperlink"/>
            <w:rFonts w:ascii="Arial" w:hAnsi="Arial" w:cs="Arial"/>
            <w:i/>
            <w:noProof/>
          </w:rPr>
          <w:t>Seagrass condition index (±SE) with contributing indicator scores for each NRM region over the life of the MMP</w:t>
        </w:r>
        <w:r w:rsidR="00637325">
          <w:rPr>
            <w:noProof/>
            <w:webHidden/>
          </w:rPr>
          <w:tab/>
        </w:r>
        <w:r w:rsidR="00637325">
          <w:rPr>
            <w:noProof/>
            <w:webHidden/>
          </w:rPr>
          <w:fldChar w:fldCharType="begin"/>
        </w:r>
        <w:r w:rsidR="00637325">
          <w:rPr>
            <w:noProof/>
            <w:webHidden/>
          </w:rPr>
          <w:instrText xml:space="preserve"> PAGEREF _Toc6402781 \h </w:instrText>
        </w:r>
        <w:r w:rsidR="00637325">
          <w:rPr>
            <w:noProof/>
            <w:webHidden/>
          </w:rPr>
        </w:r>
        <w:r w:rsidR="00637325">
          <w:rPr>
            <w:noProof/>
            <w:webHidden/>
          </w:rPr>
          <w:fldChar w:fldCharType="separate"/>
        </w:r>
        <w:r w:rsidR="005F00D4">
          <w:rPr>
            <w:noProof/>
            <w:webHidden/>
          </w:rPr>
          <w:t>39</w:t>
        </w:r>
        <w:r w:rsidR="00637325">
          <w:rPr>
            <w:noProof/>
            <w:webHidden/>
          </w:rPr>
          <w:fldChar w:fldCharType="end"/>
        </w:r>
      </w:hyperlink>
    </w:p>
    <w:p w14:paraId="49FF396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2" w:history="1">
        <w:r w:rsidR="00637325" w:rsidRPr="00B13A92">
          <w:rPr>
            <w:rStyle w:val="Hyperlink"/>
            <w:rFonts w:ascii="Arial" w:hAnsi="Arial" w:cs="Arial"/>
            <w:noProof/>
          </w:rPr>
          <w:t xml:space="preserve">Figure 17. </w:t>
        </w:r>
        <w:r w:rsidR="00637325" w:rsidRPr="00B13A92">
          <w:rPr>
            <w:rStyle w:val="Hyperlink"/>
            <w:rFonts w:ascii="Arial" w:hAnsi="Arial" w:cs="Arial"/>
            <w:i/>
            <w:noProof/>
          </w:rPr>
          <w:t>Trends in the seagrass condition index and indicators used to calculate the index</w:t>
        </w:r>
        <w:r w:rsidR="00637325">
          <w:rPr>
            <w:noProof/>
            <w:webHidden/>
          </w:rPr>
          <w:tab/>
        </w:r>
        <w:r w:rsidR="00637325">
          <w:rPr>
            <w:noProof/>
            <w:webHidden/>
          </w:rPr>
          <w:fldChar w:fldCharType="begin"/>
        </w:r>
        <w:r w:rsidR="00637325">
          <w:rPr>
            <w:noProof/>
            <w:webHidden/>
          </w:rPr>
          <w:instrText xml:space="preserve"> PAGEREF _Toc6402782 \h </w:instrText>
        </w:r>
        <w:r w:rsidR="00637325">
          <w:rPr>
            <w:noProof/>
            <w:webHidden/>
          </w:rPr>
        </w:r>
        <w:r w:rsidR="00637325">
          <w:rPr>
            <w:noProof/>
            <w:webHidden/>
          </w:rPr>
          <w:fldChar w:fldCharType="separate"/>
        </w:r>
        <w:r w:rsidR="005F00D4">
          <w:rPr>
            <w:noProof/>
            <w:webHidden/>
          </w:rPr>
          <w:t>40</w:t>
        </w:r>
        <w:r w:rsidR="00637325">
          <w:rPr>
            <w:noProof/>
            <w:webHidden/>
          </w:rPr>
          <w:fldChar w:fldCharType="end"/>
        </w:r>
      </w:hyperlink>
    </w:p>
    <w:p w14:paraId="5F4B1271"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3" w:history="1">
        <w:r w:rsidR="00637325" w:rsidRPr="00B13A92">
          <w:rPr>
            <w:rStyle w:val="Hyperlink"/>
            <w:rFonts w:ascii="Arial" w:hAnsi="Arial" w:cs="Arial"/>
            <w:noProof/>
          </w:rPr>
          <w:t xml:space="preserve">Figure 18. </w:t>
        </w:r>
        <w:r w:rsidR="00637325" w:rsidRPr="00B13A92">
          <w:rPr>
            <w:rStyle w:val="Hyperlink"/>
            <w:rFonts w:ascii="Arial" w:hAnsi="Arial" w:cs="Arial"/>
            <w:i/>
            <w:noProof/>
          </w:rPr>
          <w:t>Seagrass per cent cover measures per quadrat from meadows monitored from June 1999 to May 2018 (sites and habitats pooled).</w:t>
        </w:r>
        <w:r w:rsidR="00637325">
          <w:rPr>
            <w:noProof/>
            <w:webHidden/>
          </w:rPr>
          <w:tab/>
        </w:r>
        <w:r w:rsidR="00637325">
          <w:rPr>
            <w:noProof/>
            <w:webHidden/>
          </w:rPr>
          <w:fldChar w:fldCharType="begin"/>
        </w:r>
        <w:r w:rsidR="00637325">
          <w:rPr>
            <w:noProof/>
            <w:webHidden/>
          </w:rPr>
          <w:instrText xml:space="preserve"> PAGEREF _Toc6402783 \h </w:instrText>
        </w:r>
        <w:r w:rsidR="00637325">
          <w:rPr>
            <w:noProof/>
            <w:webHidden/>
          </w:rPr>
        </w:r>
        <w:r w:rsidR="00637325">
          <w:rPr>
            <w:noProof/>
            <w:webHidden/>
          </w:rPr>
          <w:fldChar w:fldCharType="separate"/>
        </w:r>
        <w:r w:rsidR="005F00D4">
          <w:rPr>
            <w:noProof/>
            <w:webHidden/>
          </w:rPr>
          <w:t>41</w:t>
        </w:r>
        <w:r w:rsidR="00637325">
          <w:rPr>
            <w:noProof/>
            <w:webHidden/>
          </w:rPr>
          <w:fldChar w:fldCharType="end"/>
        </w:r>
      </w:hyperlink>
    </w:p>
    <w:p w14:paraId="5E0F5EF4"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4" w:history="1">
        <w:r w:rsidR="00637325" w:rsidRPr="00B13A92">
          <w:rPr>
            <w:rStyle w:val="Hyperlink"/>
            <w:rFonts w:ascii="Arial" w:hAnsi="Arial" w:cs="Arial"/>
            <w:noProof/>
          </w:rPr>
          <w:t xml:space="preserve">Figure 19. </w:t>
        </w:r>
        <w:r w:rsidR="00637325" w:rsidRPr="00B13A92">
          <w:rPr>
            <w:rStyle w:val="Hyperlink"/>
            <w:rFonts w:ascii="Arial" w:hAnsi="Arial" w:cs="Arial"/>
            <w:i/>
            <w:noProof/>
          </w:rPr>
          <w:t>Average relative spatial extent of seagrass distribution at monitoring sites across inshore Reef</w:t>
        </w:r>
        <w:r w:rsidR="00637325">
          <w:rPr>
            <w:noProof/>
            <w:webHidden/>
          </w:rPr>
          <w:tab/>
        </w:r>
        <w:r w:rsidR="00637325">
          <w:rPr>
            <w:noProof/>
            <w:webHidden/>
          </w:rPr>
          <w:fldChar w:fldCharType="begin"/>
        </w:r>
        <w:r w:rsidR="00637325">
          <w:rPr>
            <w:noProof/>
            <w:webHidden/>
          </w:rPr>
          <w:instrText xml:space="preserve"> PAGEREF _Toc6402784 \h </w:instrText>
        </w:r>
        <w:r w:rsidR="00637325">
          <w:rPr>
            <w:noProof/>
            <w:webHidden/>
          </w:rPr>
        </w:r>
        <w:r w:rsidR="00637325">
          <w:rPr>
            <w:noProof/>
            <w:webHidden/>
          </w:rPr>
          <w:fldChar w:fldCharType="separate"/>
        </w:r>
        <w:r w:rsidR="005F00D4">
          <w:rPr>
            <w:noProof/>
            <w:webHidden/>
          </w:rPr>
          <w:t>42</w:t>
        </w:r>
        <w:r w:rsidR="00637325">
          <w:rPr>
            <w:noProof/>
            <w:webHidden/>
          </w:rPr>
          <w:fldChar w:fldCharType="end"/>
        </w:r>
      </w:hyperlink>
    </w:p>
    <w:p w14:paraId="0EBA91AF"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5" w:history="1">
        <w:r w:rsidR="00637325" w:rsidRPr="00B13A92">
          <w:rPr>
            <w:rStyle w:val="Hyperlink"/>
            <w:rFonts w:ascii="Arial" w:hAnsi="Arial" w:cs="Arial"/>
            <w:noProof/>
          </w:rPr>
          <w:t xml:space="preserve">Figure 20. </w:t>
        </w:r>
        <w:r w:rsidR="00637325" w:rsidRPr="00B13A92">
          <w:rPr>
            <w:rStyle w:val="Hyperlink"/>
            <w:rFonts w:ascii="Arial" w:hAnsi="Arial" w:cs="Arial"/>
            <w:i/>
            <w:noProof/>
          </w:rPr>
          <w:t>Proportion of total seagrass abundance composed of species displaying colonising traits</w:t>
        </w:r>
        <w:r w:rsidR="00637325">
          <w:rPr>
            <w:noProof/>
            <w:webHidden/>
          </w:rPr>
          <w:tab/>
        </w:r>
        <w:r w:rsidR="00637325">
          <w:rPr>
            <w:noProof/>
            <w:webHidden/>
          </w:rPr>
          <w:fldChar w:fldCharType="begin"/>
        </w:r>
        <w:r w:rsidR="00637325">
          <w:rPr>
            <w:noProof/>
            <w:webHidden/>
          </w:rPr>
          <w:instrText xml:space="preserve"> PAGEREF _Toc6402785 \h </w:instrText>
        </w:r>
        <w:r w:rsidR="00637325">
          <w:rPr>
            <w:noProof/>
            <w:webHidden/>
          </w:rPr>
        </w:r>
        <w:r w:rsidR="00637325">
          <w:rPr>
            <w:noProof/>
            <w:webHidden/>
          </w:rPr>
          <w:fldChar w:fldCharType="separate"/>
        </w:r>
        <w:r w:rsidR="005F00D4">
          <w:rPr>
            <w:noProof/>
            <w:webHidden/>
          </w:rPr>
          <w:t>42</w:t>
        </w:r>
        <w:r w:rsidR="00637325">
          <w:rPr>
            <w:noProof/>
            <w:webHidden/>
          </w:rPr>
          <w:fldChar w:fldCharType="end"/>
        </w:r>
      </w:hyperlink>
    </w:p>
    <w:p w14:paraId="26738E4A"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6" w:history="1">
        <w:r w:rsidR="00637325" w:rsidRPr="00B13A92">
          <w:rPr>
            <w:rStyle w:val="Hyperlink"/>
            <w:rFonts w:ascii="Arial" w:hAnsi="Arial" w:cs="Arial"/>
            <w:noProof/>
          </w:rPr>
          <w:t xml:space="preserve">Figure 21. </w:t>
        </w:r>
        <w:r w:rsidR="00637325" w:rsidRPr="00B13A92">
          <w:rPr>
            <w:rStyle w:val="Hyperlink"/>
            <w:rFonts w:ascii="Arial" w:hAnsi="Arial" w:cs="Arial"/>
            <w:i/>
            <w:noProof/>
          </w:rPr>
          <w:t>Seagrass reproductive effort (number of reproductive structures produced by all seagrass species) during the late dry of each monitoring period</w:t>
        </w:r>
        <w:r w:rsidR="00637325">
          <w:rPr>
            <w:noProof/>
            <w:webHidden/>
          </w:rPr>
          <w:tab/>
        </w:r>
        <w:r w:rsidR="00637325">
          <w:rPr>
            <w:noProof/>
            <w:webHidden/>
          </w:rPr>
          <w:fldChar w:fldCharType="begin"/>
        </w:r>
        <w:r w:rsidR="00637325">
          <w:rPr>
            <w:noProof/>
            <w:webHidden/>
          </w:rPr>
          <w:instrText xml:space="preserve"> PAGEREF _Toc6402786 \h </w:instrText>
        </w:r>
        <w:r w:rsidR="00637325">
          <w:rPr>
            <w:noProof/>
            <w:webHidden/>
          </w:rPr>
        </w:r>
        <w:r w:rsidR="00637325">
          <w:rPr>
            <w:noProof/>
            <w:webHidden/>
          </w:rPr>
          <w:fldChar w:fldCharType="separate"/>
        </w:r>
        <w:r w:rsidR="005F00D4">
          <w:rPr>
            <w:noProof/>
            <w:webHidden/>
          </w:rPr>
          <w:t>44</w:t>
        </w:r>
        <w:r w:rsidR="00637325">
          <w:rPr>
            <w:noProof/>
            <w:webHidden/>
          </w:rPr>
          <w:fldChar w:fldCharType="end"/>
        </w:r>
      </w:hyperlink>
    </w:p>
    <w:p w14:paraId="3A266AB3"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7" w:history="1">
        <w:r w:rsidR="00637325" w:rsidRPr="00B13A92">
          <w:rPr>
            <w:rStyle w:val="Hyperlink"/>
            <w:rFonts w:ascii="Arial" w:hAnsi="Arial" w:cs="Arial"/>
            <w:noProof/>
          </w:rPr>
          <w:t xml:space="preserve">Figure 22. </w:t>
        </w:r>
        <w:r w:rsidR="00637325" w:rsidRPr="00B13A92">
          <w:rPr>
            <w:rStyle w:val="Hyperlink"/>
            <w:rFonts w:ascii="Arial" w:hAnsi="Arial" w:cs="Arial"/>
            <w:i/>
            <w:noProof/>
          </w:rPr>
          <w:t>Average seeds banks (seeds per square metre of sediment surface, all sites and species pooled) in Reef seagrass habitats</w:t>
        </w:r>
        <w:r w:rsidR="00637325">
          <w:rPr>
            <w:noProof/>
            <w:webHidden/>
          </w:rPr>
          <w:tab/>
        </w:r>
        <w:r w:rsidR="00637325">
          <w:rPr>
            <w:noProof/>
            <w:webHidden/>
          </w:rPr>
          <w:fldChar w:fldCharType="begin"/>
        </w:r>
        <w:r w:rsidR="00637325">
          <w:rPr>
            <w:noProof/>
            <w:webHidden/>
          </w:rPr>
          <w:instrText xml:space="preserve"> PAGEREF _Toc6402787 \h </w:instrText>
        </w:r>
        <w:r w:rsidR="00637325">
          <w:rPr>
            <w:noProof/>
            <w:webHidden/>
          </w:rPr>
        </w:r>
        <w:r w:rsidR="00637325">
          <w:rPr>
            <w:noProof/>
            <w:webHidden/>
          </w:rPr>
          <w:fldChar w:fldCharType="separate"/>
        </w:r>
        <w:r w:rsidR="005F00D4">
          <w:rPr>
            <w:noProof/>
            <w:webHidden/>
          </w:rPr>
          <w:t>44</w:t>
        </w:r>
        <w:r w:rsidR="00637325">
          <w:rPr>
            <w:noProof/>
            <w:webHidden/>
          </w:rPr>
          <w:fldChar w:fldCharType="end"/>
        </w:r>
      </w:hyperlink>
    </w:p>
    <w:p w14:paraId="6ED8293F"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8" w:history="1">
        <w:r w:rsidR="00637325" w:rsidRPr="00B13A92">
          <w:rPr>
            <w:rStyle w:val="Hyperlink"/>
            <w:rFonts w:ascii="Arial" w:hAnsi="Arial" w:cs="Arial"/>
            <w:noProof/>
          </w:rPr>
          <w:t xml:space="preserve">Figure 23. </w:t>
        </w:r>
        <w:r w:rsidR="00637325" w:rsidRPr="00B13A92">
          <w:rPr>
            <w:rStyle w:val="Hyperlink"/>
            <w:rFonts w:ascii="Arial" w:hAnsi="Arial" w:cs="Arial"/>
            <w:i/>
            <w:noProof/>
            <w:lang w:eastAsia="en-AU"/>
          </w:rPr>
          <w:t xml:space="preserve">Seagrass leaf tissue nutrient elemental ratios (C:N:P) and </w:t>
        </w:r>
        <w:r w:rsidR="00637325" w:rsidRPr="00B13A92">
          <w:rPr>
            <w:rStyle w:val="Hyperlink"/>
            <w:rFonts w:ascii="Arial" w:hAnsi="Arial" w:cs="Arial"/>
            <w:i/>
            <w:noProof/>
            <w:lang w:val="en-US"/>
          </w:rPr>
          <w:t>concentrations (</w:t>
        </w:r>
        <w:r w:rsidR="00637325" w:rsidRPr="00B13A92">
          <w:rPr>
            <w:rStyle w:val="Hyperlink"/>
            <w:rFonts w:ascii="Arial" w:hAnsi="Arial" w:cs="Arial"/>
            <w:i/>
            <w:noProof/>
            <w:lang w:eastAsia="en-AU"/>
          </w:rPr>
          <w:t xml:space="preserve">%N, %P,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13</w:t>
        </w:r>
        <w:r w:rsidR="00637325" w:rsidRPr="00B13A92">
          <w:rPr>
            <w:rStyle w:val="Hyperlink"/>
            <w:rFonts w:ascii="Arial" w:hAnsi="Arial" w:cs="Arial"/>
            <w:i/>
            <w:noProof/>
          </w:rPr>
          <w:t>C</w:t>
        </w:r>
        <w:r w:rsidR="00637325" w:rsidRPr="00B13A92">
          <w:rPr>
            <w:rStyle w:val="Hyperlink"/>
            <w:rFonts w:ascii="Arial" w:hAnsi="Arial" w:cs="Arial"/>
            <w:i/>
            <w:noProof/>
            <w:lang w:val="en-US"/>
          </w:rPr>
          <w:t xml:space="preserve"> and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15</w:t>
        </w:r>
        <w:r w:rsidR="00637325" w:rsidRPr="00B13A92">
          <w:rPr>
            <w:rStyle w:val="Hyperlink"/>
            <w:rFonts w:ascii="Arial" w:hAnsi="Arial" w:cs="Arial"/>
            <w:i/>
            <w:noProof/>
          </w:rPr>
          <w:t>N)</w:t>
        </w:r>
        <w:r w:rsidR="00637325" w:rsidRPr="00B13A92">
          <w:rPr>
            <w:rStyle w:val="Hyperlink"/>
            <w:rFonts w:ascii="Arial" w:hAnsi="Arial" w:cs="Arial"/>
            <w:i/>
            <w:noProof/>
            <w:lang w:val="en-US"/>
          </w:rPr>
          <w:t xml:space="preserve"> </w:t>
        </w:r>
        <w:r w:rsidR="00637325" w:rsidRPr="00B13A92">
          <w:rPr>
            <w:rStyle w:val="Hyperlink"/>
            <w:rFonts w:ascii="Arial" w:hAnsi="Arial" w:cs="Arial"/>
            <w:i/>
            <w:noProof/>
            <w:lang w:eastAsia="en-AU"/>
          </w:rPr>
          <w:t>for each seagrass habitat each year</w:t>
        </w:r>
        <w:r w:rsidR="00637325">
          <w:rPr>
            <w:noProof/>
            <w:webHidden/>
          </w:rPr>
          <w:tab/>
        </w:r>
        <w:r w:rsidR="00637325">
          <w:rPr>
            <w:noProof/>
            <w:webHidden/>
          </w:rPr>
          <w:fldChar w:fldCharType="begin"/>
        </w:r>
        <w:r w:rsidR="00637325">
          <w:rPr>
            <w:noProof/>
            <w:webHidden/>
          </w:rPr>
          <w:instrText xml:space="preserve"> PAGEREF _Toc6402788 \h </w:instrText>
        </w:r>
        <w:r w:rsidR="00637325">
          <w:rPr>
            <w:noProof/>
            <w:webHidden/>
          </w:rPr>
        </w:r>
        <w:r w:rsidR="00637325">
          <w:rPr>
            <w:noProof/>
            <w:webHidden/>
          </w:rPr>
          <w:fldChar w:fldCharType="separate"/>
        </w:r>
        <w:r w:rsidR="005F00D4">
          <w:rPr>
            <w:noProof/>
            <w:webHidden/>
          </w:rPr>
          <w:t>46</w:t>
        </w:r>
        <w:r w:rsidR="00637325">
          <w:rPr>
            <w:noProof/>
            <w:webHidden/>
          </w:rPr>
          <w:fldChar w:fldCharType="end"/>
        </w:r>
      </w:hyperlink>
    </w:p>
    <w:p w14:paraId="75B33604"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89" w:history="1">
        <w:r w:rsidR="00637325" w:rsidRPr="00B13A92">
          <w:rPr>
            <w:rStyle w:val="Hyperlink"/>
            <w:rFonts w:ascii="Arial" w:hAnsi="Arial" w:cs="Arial"/>
            <w:noProof/>
          </w:rPr>
          <w:t xml:space="preserve">Figure 24. </w:t>
        </w:r>
        <w:r w:rsidR="00637325" w:rsidRPr="00B13A92">
          <w:rPr>
            <w:rStyle w:val="Hyperlink"/>
            <w:rFonts w:ascii="Arial" w:hAnsi="Arial" w:cs="Arial"/>
            <w:i/>
            <w:noProof/>
          </w:rPr>
          <w:t>Epiphyte abundance (percent cover) relative to the long-term average (the zero axis) for each Reef seagrass habitat</w:t>
        </w:r>
        <w:r w:rsidR="00637325">
          <w:rPr>
            <w:noProof/>
            <w:webHidden/>
          </w:rPr>
          <w:tab/>
        </w:r>
        <w:r w:rsidR="00637325">
          <w:rPr>
            <w:noProof/>
            <w:webHidden/>
          </w:rPr>
          <w:fldChar w:fldCharType="begin"/>
        </w:r>
        <w:r w:rsidR="00637325">
          <w:rPr>
            <w:noProof/>
            <w:webHidden/>
          </w:rPr>
          <w:instrText xml:space="preserve"> PAGEREF _Toc6402789 \h </w:instrText>
        </w:r>
        <w:r w:rsidR="00637325">
          <w:rPr>
            <w:noProof/>
            <w:webHidden/>
          </w:rPr>
        </w:r>
        <w:r w:rsidR="00637325">
          <w:rPr>
            <w:noProof/>
            <w:webHidden/>
          </w:rPr>
          <w:fldChar w:fldCharType="separate"/>
        </w:r>
        <w:r w:rsidR="005F00D4">
          <w:rPr>
            <w:noProof/>
            <w:webHidden/>
          </w:rPr>
          <w:t>47</w:t>
        </w:r>
        <w:r w:rsidR="00637325">
          <w:rPr>
            <w:noProof/>
            <w:webHidden/>
          </w:rPr>
          <w:fldChar w:fldCharType="end"/>
        </w:r>
      </w:hyperlink>
    </w:p>
    <w:p w14:paraId="772C3973"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0" w:history="1">
        <w:r w:rsidR="00637325" w:rsidRPr="00B13A92">
          <w:rPr>
            <w:rStyle w:val="Hyperlink"/>
            <w:rFonts w:ascii="Arial" w:hAnsi="Arial" w:cs="Arial"/>
            <w:noProof/>
          </w:rPr>
          <w:t xml:space="preserve">Figure 25. </w:t>
        </w:r>
        <w:r w:rsidR="00637325" w:rsidRPr="00B13A92">
          <w:rPr>
            <w:rStyle w:val="Hyperlink"/>
            <w:rFonts w:ascii="Arial" w:hAnsi="Arial" w:cs="Arial"/>
            <w:i/>
            <w:noProof/>
          </w:rPr>
          <w:t>Macroalgae abundance (percent cover) relative to the long-term average for each inshore Reef seagrass habitat</w:t>
        </w:r>
        <w:r w:rsidR="00637325">
          <w:rPr>
            <w:noProof/>
            <w:webHidden/>
          </w:rPr>
          <w:tab/>
        </w:r>
        <w:r w:rsidR="00637325">
          <w:rPr>
            <w:noProof/>
            <w:webHidden/>
          </w:rPr>
          <w:fldChar w:fldCharType="begin"/>
        </w:r>
        <w:r w:rsidR="00637325">
          <w:rPr>
            <w:noProof/>
            <w:webHidden/>
          </w:rPr>
          <w:instrText xml:space="preserve"> PAGEREF _Toc6402790 \h </w:instrText>
        </w:r>
        <w:r w:rsidR="00637325">
          <w:rPr>
            <w:noProof/>
            <w:webHidden/>
          </w:rPr>
        </w:r>
        <w:r w:rsidR="00637325">
          <w:rPr>
            <w:noProof/>
            <w:webHidden/>
          </w:rPr>
          <w:fldChar w:fldCharType="separate"/>
        </w:r>
        <w:r w:rsidR="005F00D4">
          <w:rPr>
            <w:noProof/>
            <w:webHidden/>
          </w:rPr>
          <w:t>48</w:t>
        </w:r>
        <w:r w:rsidR="00637325">
          <w:rPr>
            <w:noProof/>
            <w:webHidden/>
          </w:rPr>
          <w:fldChar w:fldCharType="end"/>
        </w:r>
      </w:hyperlink>
    </w:p>
    <w:p w14:paraId="76A4F6A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1" w:history="1">
        <w:r w:rsidR="00637325" w:rsidRPr="00B13A92">
          <w:rPr>
            <w:rStyle w:val="Hyperlink"/>
            <w:rFonts w:ascii="Arial" w:hAnsi="Arial" w:cs="Arial"/>
            <w:noProof/>
          </w:rPr>
          <w:t xml:space="preserve">Figure 26. </w:t>
        </w:r>
        <w:r w:rsidR="00637325" w:rsidRPr="00B13A92">
          <w:rPr>
            <w:rStyle w:val="Hyperlink"/>
            <w:rFonts w:ascii="Arial" w:hAnsi="Arial" w:cs="Arial"/>
            <w:i/>
            <w:noProof/>
          </w:rPr>
          <w:t>Seagrass condition index (±SE) with contributing indicator scores for the Cape York NRM region</w:t>
        </w:r>
        <w:r w:rsidR="00637325">
          <w:rPr>
            <w:noProof/>
            <w:webHidden/>
          </w:rPr>
          <w:tab/>
        </w:r>
        <w:r w:rsidR="00637325">
          <w:rPr>
            <w:noProof/>
            <w:webHidden/>
          </w:rPr>
          <w:fldChar w:fldCharType="begin"/>
        </w:r>
        <w:r w:rsidR="00637325">
          <w:rPr>
            <w:noProof/>
            <w:webHidden/>
          </w:rPr>
          <w:instrText xml:space="preserve"> PAGEREF _Toc6402791 \h </w:instrText>
        </w:r>
        <w:r w:rsidR="00637325">
          <w:rPr>
            <w:noProof/>
            <w:webHidden/>
          </w:rPr>
        </w:r>
        <w:r w:rsidR="00637325">
          <w:rPr>
            <w:noProof/>
            <w:webHidden/>
          </w:rPr>
          <w:fldChar w:fldCharType="separate"/>
        </w:r>
        <w:r w:rsidR="005F00D4">
          <w:rPr>
            <w:noProof/>
            <w:webHidden/>
          </w:rPr>
          <w:t>50</w:t>
        </w:r>
        <w:r w:rsidR="00637325">
          <w:rPr>
            <w:noProof/>
            <w:webHidden/>
          </w:rPr>
          <w:fldChar w:fldCharType="end"/>
        </w:r>
      </w:hyperlink>
    </w:p>
    <w:p w14:paraId="3198151A"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2" w:history="1">
        <w:r w:rsidR="00637325" w:rsidRPr="00B13A92">
          <w:rPr>
            <w:rStyle w:val="Hyperlink"/>
            <w:rFonts w:ascii="Arial" w:hAnsi="Arial" w:cs="Arial"/>
            <w:noProof/>
          </w:rPr>
          <w:t xml:space="preserve">Figure 27. </w:t>
        </w:r>
        <w:r w:rsidR="00637325" w:rsidRPr="00B13A92">
          <w:rPr>
            <w:rStyle w:val="Hyperlink"/>
            <w:rFonts w:ascii="Arial" w:hAnsi="Arial" w:cs="Arial"/>
            <w:i/>
            <w:noProof/>
          </w:rPr>
          <w:t>Environmental pressures in the Cape York region</w:t>
        </w:r>
        <w:r w:rsidR="00637325">
          <w:rPr>
            <w:noProof/>
            <w:webHidden/>
          </w:rPr>
          <w:tab/>
        </w:r>
        <w:r w:rsidR="00637325">
          <w:rPr>
            <w:noProof/>
            <w:webHidden/>
          </w:rPr>
          <w:fldChar w:fldCharType="begin"/>
        </w:r>
        <w:r w:rsidR="00637325">
          <w:rPr>
            <w:noProof/>
            <w:webHidden/>
          </w:rPr>
          <w:instrText xml:space="preserve"> PAGEREF _Toc6402792 \h </w:instrText>
        </w:r>
        <w:r w:rsidR="00637325">
          <w:rPr>
            <w:noProof/>
            <w:webHidden/>
          </w:rPr>
        </w:r>
        <w:r w:rsidR="00637325">
          <w:rPr>
            <w:noProof/>
            <w:webHidden/>
          </w:rPr>
          <w:fldChar w:fldCharType="separate"/>
        </w:r>
        <w:r w:rsidR="005F00D4">
          <w:rPr>
            <w:noProof/>
            <w:webHidden/>
          </w:rPr>
          <w:t>51</w:t>
        </w:r>
        <w:r w:rsidR="00637325">
          <w:rPr>
            <w:noProof/>
            <w:webHidden/>
          </w:rPr>
          <w:fldChar w:fldCharType="end"/>
        </w:r>
      </w:hyperlink>
    </w:p>
    <w:p w14:paraId="326E6096"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3" w:history="1">
        <w:r w:rsidR="00637325" w:rsidRPr="00B13A92">
          <w:rPr>
            <w:rStyle w:val="Hyperlink"/>
            <w:rFonts w:ascii="Arial" w:hAnsi="Arial" w:cs="Arial"/>
            <w:noProof/>
          </w:rPr>
          <w:t xml:space="preserve">Figure 28.  </w:t>
        </w:r>
        <w:r w:rsidR="00637325" w:rsidRPr="00B13A92">
          <w:rPr>
            <w:rStyle w:val="Hyperlink"/>
            <w:rFonts w:ascii="Arial" w:hAnsi="Arial" w:cs="Arial"/>
            <w:i/>
            <w:noProof/>
          </w:rPr>
          <w:t>Temporal trends in the Cape York seagrass condition index and the indicators used to calculate the index</w:t>
        </w:r>
        <w:r w:rsidR="00637325">
          <w:rPr>
            <w:noProof/>
            <w:webHidden/>
          </w:rPr>
          <w:tab/>
        </w:r>
        <w:r w:rsidR="00637325">
          <w:rPr>
            <w:noProof/>
            <w:webHidden/>
          </w:rPr>
          <w:fldChar w:fldCharType="begin"/>
        </w:r>
        <w:r w:rsidR="00637325">
          <w:rPr>
            <w:noProof/>
            <w:webHidden/>
          </w:rPr>
          <w:instrText xml:space="preserve"> PAGEREF _Toc6402793 \h </w:instrText>
        </w:r>
        <w:r w:rsidR="00637325">
          <w:rPr>
            <w:noProof/>
            <w:webHidden/>
          </w:rPr>
        </w:r>
        <w:r w:rsidR="00637325">
          <w:rPr>
            <w:noProof/>
            <w:webHidden/>
          </w:rPr>
          <w:fldChar w:fldCharType="separate"/>
        </w:r>
        <w:r w:rsidR="005F00D4">
          <w:rPr>
            <w:noProof/>
            <w:webHidden/>
          </w:rPr>
          <w:t>53</w:t>
        </w:r>
        <w:r w:rsidR="00637325">
          <w:rPr>
            <w:noProof/>
            <w:webHidden/>
          </w:rPr>
          <w:fldChar w:fldCharType="end"/>
        </w:r>
      </w:hyperlink>
    </w:p>
    <w:p w14:paraId="4F7C21A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4" w:history="1">
        <w:r w:rsidR="00637325" w:rsidRPr="00B13A92">
          <w:rPr>
            <w:rStyle w:val="Hyperlink"/>
            <w:rFonts w:ascii="Arial" w:hAnsi="Arial" w:cs="Arial"/>
            <w:noProof/>
          </w:rPr>
          <w:t xml:space="preserve">Figure 29. </w:t>
        </w:r>
        <w:r w:rsidR="00637325" w:rsidRPr="00B13A92">
          <w:rPr>
            <w:rStyle w:val="Hyperlink"/>
            <w:rFonts w:ascii="Arial" w:hAnsi="Arial" w:cs="Arial"/>
            <w:i/>
            <w:noProof/>
          </w:rPr>
          <w:t>Seagrass per cent cover measures per quadrat (sites pooled) and long-term trends for each habitat monitored in the Cape York region from June 2005 to May 2018.</w:t>
        </w:r>
        <w:r w:rsidR="00637325">
          <w:rPr>
            <w:noProof/>
            <w:webHidden/>
          </w:rPr>
          <w:tab/>
        </w:r>
        <w:r w:rsidR="00637325">
          <w:rPr>
            <w:noProof/>
            <w:webHidden/>
          </w:rPr>
          <w:fldChar w:fldCharType="begin"/>
        </w:r>
        <w:r w:rsidR="00637325">
          <w:rPr>
            <w:noProof/>
            <w:webHidden/>
          </w:rPr>
          <w:instrText xml:space="preserve"> PAGEREF _Toc6402794 \h </w:instrText>
        </w:r>
        <w:r w:rsidR="00637325">
          <w:rPr>
            <w:noProof/>
            <w:webHidden/>
          </w:rPr>
        </w:r>
        <w:r w:rsidR="00637325">
          <w:rPr>
            <w:noProof/>
            <w:webHidden/>
          </w:rPr>
          <w:fldChar w:fldCharType="separate"/>
        </w:r>
        <w:r w:rsidR="005F00D4">
          <w:rPr>
            <w:noProof/>
            <w:webHidden/>
          </w:rPr>
          <w:t>55</w:t>
        </w:r>
        <w:r w:rsidR="00637325">
          <w:rPr>
            <w:noProof/>
            <w:webHidden/>
          </w:rPr>
          <w:fldChar w:fldCharType="end"/>
        </w:r>
      </w:hyperlink>
    </w:p>
    <w:p w14:paraId="6824B2C0"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5" w:history="1">
        <w:r w:rsidR="00637325" w:rsidRPr="00B13A92">
          <w:rPr>
            <w:rStyle w:val="Hyperlink"/>
            <w:rFonts w:ascii="Arial" w:hAnsi="Arial" w:cs="Arial"/>
            <w:noProof/>
          </w:rPr>
          <w:t xml:space="preserve">Figure 30. </w:t>
        </w:r>
        <w:r w:rsidR="00637325" w:rsidRPr="00B13A92">
          <w:rPr>
            <w:rStyle w:val="Hyperlink"/>
            <w:rFonts w:ascii="Arial" w:hAnsi="Arial" w:cs="Arial"/>
            <w:i/>
            <w:noProof/>
          </w:rPr>
          <w:t xml:space="preserve">Proportion of seagrass abundance composed of </w:t>
        </w:r>
        <w:r w:rsidR="00637325" w:rsidRPr="00B13A92">
          <w:rPr>
            <w:rStyle w:val="Hyperlink"/>
            <w:rFonts w:ascii="Arial" w:hAnsi="Arial" w:cs="Arial"/>
            <w:i/>
            <w:noProof/>
            <w:lang w:val="en-GB"/>
          </w:rPr>
          <w:t xml:space="preserve">species displaying </w:t>
        </w:r>
        <w:r w:rsidR="00637325" w:rsidRPr="00B13A92">
          <w:rPr>
            <w:rStyle w:val="Hyperlink"/>
            <w:rFonts w:ascii="Arial" w:hAnsi="Arial" w:cs="Arial"/>
            <w:i/>
            <w:noProof/>
          </w:rPr>
          <w:t>colonising</w:t>
        </w:r>
        <w:r w:rsidR="00637325" w:rsidRPr="00B13A92">
          <w:rPr>
            <w:rStyle w:val="Hyperlink"/>
            <w:rFonts w:ascii="Arial" w:hAnsi="Arial" w:cs="Arial"/>
            <w:i/>
            <w:noProof/>
            <w:lang w:val="en-GB"/>
          </w:rPr>
          <w:t xml:space="preserve"> traits at inshore habitats in the Cape York region</w:t>
        </w:r>
        <w:r w:rsidR="00637325">
          <w:rPr>
            <w:noProof/>
            <w:webHidden/>
          </w:rPr>
          <w:tab/>
        </w:r>
        <w:r w:rsidR="00637325">
          <w:rPr>
            <w:noProof/>
            <w:webHidden/>
          </w:rPr>
          <w:fldChar w:fldCharType="begin"/>
        </w:r>
        <w:r w:rsidR="00637325">
          <w:rPr>
            <w:noProof/>
            <w:webHidden/>
          </w:rPr>
          <w:instrText xml:space="preserve"> PAGEREF _Toc6402795 \h </w:instrText>
        </w:r>
        <w:r w:rsidR="00637325">
          <w:rPr>
            <w:noProof/>
            <w:webHidden/>
          </w:rPr>
        </w:r>
        <w:r w:rsidR="00637325">
          <w:rPr>
            <w:noProof/>
            <w:webHidden/>
          </w:rPr>
          <w:fldChar w:fldCharType="separate"/>
        </w:r>
        <w:r w:rsidR="005F00D4">
          <w:rPr>
            <w:noProof/>
            <w:webHidden/>
          </w:rPr>
          <w:t>56</w:t>
        </w:r>
        <w:r w:rsidR="00637325">
          <w:rPr>
            <w:noProof/>
            <w:webHidden/>
          </w:rPr>
          <w:fldChar w:fldCharType="end"/>
        </w:r>
      </w:hyperlink>
    </w:p>
    <w:p w14:paraId="62EA65D6"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6" w:history="1">
        <w:r w:rsidR="00637325" w:rsidRPr="00B13A92">
          <w:rPr>
            <w:rStyle w:val="Hyperlink"/>
            <w:rFonts w:ascii="Arial" w:hAnsi="Arial" w:cs="Arial"/>
            <w:noProof/>
          </w:rPr>
          <w:t xml:space="preserve">Figure 31. </w:t>
        </w:r>
        <w:r w:rsidR="00637325" w:rsidRPr="00B13A92">
          <w:rPr>
            <w:rStyle w:val="Hyperlink"/>
            <w:rFonts w:ascii="Arial" w:hAnsi="Arial" w:cs="Arial"/>
            <w:i/>
            <w:noProof/>
          </w:rPr>
          <w:t>Change in spatial extent of seagrass meadows within monitoring sites for each habitat and monitoring period across the eastern Cape York NRM region.</w:t>
        </w:r>
        <w:r w:rsidR="00637325">
          <w:rPr>
            <w:noProof/>
            <w:webHidden/>
          </w:rPr>
          <w:tab/>
        </w:r>
        <w:r w:rsidR="00637325">
          <w:rPr>
            <w:noProof/>
            <w:webHidden/>
          </w:rPr>
          <w:fldChar w:fldCharType="begin"/>
        </w:r>
        <w:r w:rsidR="00637325">
          <w:rPr>
            <w:noProof/>
            <w:webHidden/>
          </w:rPr>
          <w:instrText xml:space="preserve"> PAGEREF _Toc6402796 \h </w:instrText>
        </w:r>
        <w:r w:rsidR="00637325">
          <w:rPr>
            <w:noProof/>
            <w:webHidden/>
          </w:rPr>
        </w:r>
        <w:r w:rsidR="00637325">
          <w:rPr>
            <w:noProof/>
            <w:webHidden/>
          </w:rPr>
          <w:fldChar w:fldCharType="separate"/>
        </w:r>
        <w:r w:rsidR="005F00D4">
          <w:rPr>
            <w:noProof/>
            <w:webHidden/>
          </w:rPr>
          <w:t>56</w:t>
        </w:r>
        <w:r w:rsidR="00637325">
          <w:rPr>
            <w:noProof/>
            <w:webHidden/>
          </w:rPr>
          <w:fldChar w:fldCharType="end"/>
        </w:r>
      </w:hyperlink>
    </w:p>
    <w:p w14:paraId="5551A6C5"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7" w:history="1">
        <w:r w:rsidR="00637325" w:rsidRPr="00B13A92">
          <w:rPr>
            <w:rStyle w:val="Hyperlink"/>
            <w:rFonts w:ascii="Arial" w:hAnsi="Arial" w:cs="Arial"/>
            <w:noProof/>
          </w:rPr>
          <w:t xml:space="preserve">Figure 32. </w:t>
        </w:r>
        <w:r w:rsidR="00637325" w:rsidRPr="00B13A92">
          <w:rPr>
            <w:rStyle w:val="Hyperlink"/>
            <w:rFonts w:ascii="Arial" w:hAnsi="Arial" w:cs="Arial"/>
            <w:i/>
            <w:noProof/>
          </w:rPr>
          <w:t>Seed banks and reproductive effort at inshore intertidal coastal (a) and reef (b) habitats in the Cape York region</w:t>
        </w:r>
        <w:r w:rsidR="00637325">
          <w:rPr>
            <w:noProof/>
            <w:webHidden/>
          </w:rPr>
          <w:tab/>
        </w:r>
        <w:r w:rsidR="00637325">
          <w:rPr>
            <w:noProof/>
            <w:webHidden/>
          </w:rPr>
          <w:fldChar w:fldCharType="begin"/>
        </w:r>
        <w:r w:rsidR="00637325">
          <w:rPr>
            <w:noProof/>
            <w:webHidden/>
          </w:rPr>
          <w:instrText xml:space="preserve"> PAGEREF _Toc6402797 \h </w:instrText>
        </w:r>
        <w:r w:rsidR="00637325">
          <w:rPr>
            <w:noProof/>
            <w:webHidden/>
          </w:rPr>
        </w:r>
        <w:r w:rsidR="00637325">
          <w:rPr>
            <w:noProof/>
            <w:webHidden/>
          </w:rPr>
          <w:fldChar w:fldCharType="separate"/>
        </w:r>
        <w:r w:rsidR="005F00D4">
          <w:rPr>
            <w:noProof/>
            <w:webHidden/>
          </w:rPr>
          <w:t>57</w:t>
        </w:r>
        <w:r w:rsidR="00637325">
          <w:rPr>
            <w:noProof/>
            <w:webHidden/>
          </w:rPr>
          <w:fldChar w:fldCharType="end"/>
        </w:r>
      </w:hyperlink>
    </w:p>
    <w:p w14:paraId="3877C037"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8" w:history="1">
        <w:r w:rsidR="00637325" w:rsidRPr="00B13A92">
          <w:rPr>
            <w:rStyle w:val="Hyperlink"/>
            <w:rFonts w:ascii="Arial" w:hAnsi="Arial" w:cs="Arial"/>
            <w:noProof/>
          </w:rPr>
          <w:t xml:space="preserve">Figure 33. </w:t>
        </w:r>
        <w:r w:rsidR="00637325" w:rsidRPr="00B13A92">
          <w:rPr>
            <w:rStyle w:val="Hyperlink"/>
            <w:rFonts w:ascii="Arial" w:hAnsi="Arial" w:cs="Arial"/>
            <w:i/>
            <w:noProof/>
            <w:lang w:eastAsia="en-AU"/>
          </w:rPr>
          <w:t xml:space="preserve">Seagrass leaf tissue nutrient elemental ratios (C:N:P) and </w:t>
        </w:r>
        <w:r w:rsidR="00637325" w:rsidRPr="00B13A92">
          <w:rPr>
            <w:rStyle w:val="Hyperlink"/>
            <w:rFonts w:ascii="Arial" w:hAnsi="Arial" w:cs="Arial"/>
            <w:i/>
            <w:noProof/>
            <w:lang w:val="en-US"/>
          </w:rPr>
          <w:t>concentrations (</w:t>
        </w:r>
        <w:r w:rsidR="00637325" w:rsidRPr="00B13A92">
          <w:rPr>
            <w:rStyle w:val="Hyperlink"/>
            <w:rFonts w:ascii="Arial" w:hAnsi="Arial" w:cs="Arial"/>
            <w:i/>
            <w:noProof/>
            <w:lang w:eastAsia="en-AU"/>
          </w:rPr>
          <w:t xml:space="preserve">%N, %P,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13</w:t>
        </w:r>
        <w:r w:rsidR="00637325" w:rsidRPr="00B13A92">
          <w:rPr>
            <w:rStyle w:val="Hyperlink"/>
            <w:rFonts w:ascii="Arial" w:hAnsi="Arial" w:cs="Arial"/>
            <w:i/>
            <w:noProof/>
          </w:rPr>
          <w:t>C</w:t>
        </w:r>
        <w:r w:rsidR="00637325" w:rsidRPr="00B13A92">
          <w:rPr>
            <w:rStyle w:val="Hyperlink"/>
            <w:rFonts w:ascii="Arial" w:hAnsi="Arial" w:cs="Arial"/>
            <w:i/>
            <w:noProof/>
            <w:lang w:val="en-US"/>
          </w:rPr>
          <w:t xml:space="preserve"> and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15</w:t>
        </w:r>
        <w:r w:rsidR="00637325" w:rsidRPr="00B13A92">
          <w:rPr>
            <w:rStyle w:val="Hyperlink"/>
            <w:rFonts w:ascii="Arial" w:hAnsi="Arial" w:cs="Arial"/>
            <w:i/>
            <w:noProof/>
          </w:rPr>
          <w:t>N)</w:t>
        </w:r>
        <w:r w:rsidR="00637325" w:rsidRPr="00B13A92">
          <w:rPr>
            <w:rStyle w:val="Hyperlink"/>
            <w:rFonts w:ascii="Arial" w:hAnsi="Arial" w:cs="Arial"/>
            <w:i/>
            <w:noProof/>
            <w:lang w:val="en-US"/>
          </w:rPr>
          <w:t xml:space="preserve"> </w:t>
        </w:r>
        <w:r w:rsidR="00637325" w:rsidRPr="00B13A92">
          <w:rPr>
            <w:rStyle w:val="Hyperlink"/>
            <w:rFonts w:ascii="Arial" w:hAnsi="Arial" w:cs="Arial"/>
            <w:i/>
            <w:noProof/>
            <w:lang w:eastAsia="en-AU"/>
          </w:rPr>
          <w:t>for each habitat in the Cape York NRM region</w:t>
        </w:r>
        <w:r w:rsidR="00637325">
          <w:rPr>
            <w:noProof/>
            <w:webHidden/>
          </w:rPr>
          <w:tab/>
        </w:r>
        <w:r w:rsidR="00637325">
          <w:rPr>
            <w:noProof/>
            <w:webHidden/>
          </w:rPr>
          <w:fldChar w:fldCharType="begin"/>
        </w:r>
        <w:r w:rsidR="00637325">
          <w:rPr>
            <w:noProof/>
            <w:webHidden/>
          </w:rPr>
          <w:instrText xml:space="preserve"> PAGEREF _Toc6402798 \h </w:instrText>
        </w:r>
        <w:r w:rsidR="00637325">
          <w:rPr>
            <w:noProof/>
            <w:webHidden/>
          </w:rPr>
        </w:r>
        <w:r w:rsidR="00637325">
          <w:rPr>
            <w:noProof/>
            <w:webHidden/>
          </w:rPr>
          <w:fldChar w:fldCharType="separate"/>
        </w:r>
        <w:r w:rsidR="005F00D4">
          <w:rPr>
            <w:noProof/>
            <w:webHidden/>
          </w:rPr>
          <w:t>58</w:t>
        </w:r>
        <w:r w:rsidR="00637325">
          <w:rPr>
            <w:noProof/>
            <w:webHidden/>
          </w:rPr>
          <w:fldChar w:fldCharType="end"/>
        </w:r>
      </w:hyperlink>
    </w:p>
    <w:p w14:paraId="6515BFF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799" w:history="1">
        <w:r w:rsidR="00637325" w:rsidRPr="00B13A92">
          <w:rPr>
            <w:rStyle w:val="Hyperlink"/>
            <w:rFonts w:ascii="Arial" w:hAnsi="Arial" w:cs="Arial"/>
            <w:noProof/>
          </w:rPr>
          <w:t xml:space="preserve">Figure 34. </w:t>
        </w:r>
        <w:r w:rsidR="00637325" w:rsidRPr="00B13A92">
          <w:rPr>
            <w:rStyle w:val="Hyperlink"/>
            <w:rFonts w:ascii="Arial" w:hAnsi="Arial" w:cs="Arial"/>
            <w:i/>
            <w:noProof/>
          </w:rPr>
          <w:t>Deviations in mean epiphyte and macroalgae abundance (% cover) at monitoring habitats in the Cape York region, relative to the Reef long-term average</w:t>
        </w:r>
        <w:r w:rsidR="00637325">
          <w:rPr>
            <w:noProof/>
            <w:webHidden/>
          </w:rPr>
          <w:tab/>
        </w:r>
        <w:r w:rsidR="00637325">
          <w:rPr>
            <w:noProof/>
            <w:webHidden/>
          </w:rPr>
          <w:fldChar w:fldCharType="begin"/>
        </w:r>
        <w:r w:rsidR="00637325">
          <w:rPr>
            <w:noProof/>
            <w:webHidden/>
          </w:rPr>
          <w:instrText xml:space="preserve"> PAGEREF _Toc6402799 \h </w:instrText>
        </w:r>
        <w:r w:rsidR="00637325">
          <w:rPr>
            <w:noProof/>
            <w:webHidden/>
          </w:rPr>
        </w:r>
        <w:r w:rsidR="00637325">
          <w:rPr>
            <w:noProof/>
            <w:webHidden/>
          </w:rPr>
          <w:fldChar w:fldCharType="separate"/>
        </w:r>
        <w:r w:rsidR="005F00D4">
          <w:rPr>
            <w:noProof/>
            <w:webHidden/>
          </w:rPr>
          <w:t>59</w:t>
        </w:r>
        <w:r w:rsidR="00637325">
          <w:rPr>
            <w:noProof/>
            <w:webHidden/>
          </w:rPr>
          <w:fldChar w:fldCharType="end"/>
        </w:r>
      </w:hyperlink>
    </w:p>
    <w:p w14:paraId="0E734E17"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0" w:history="1">
        <w:r w:rsidR="00637325" w:rsidRPr="00B13A92">
          <w:rPr>
            <w:rStyle w:val="Hyperlink"/>
            <w:rFonts w:ascii="Arial" w:hAnsi="Arial" w:cs="Arial"/>
            <w:noProof/>
          </w:rPr>
          <w:t xml:space="preserve">Figure 35. </w:t>
        </w:r>
        <w:r w:rsidR="00637325" w:rsidRPr="00B13A92">
          <w:rPr>
            <w:rStyle w:val="Hyperlink"/>
            <w:rFonts w:ascii="Arial" w:hAnsi="Arial" w:cs="Arial"/>
            <w:i/>
            <w:noProof/>
          </w:rPr>
          <w:t>Report card of seagrass index and indicators for the northern (a.) and southern (b.) Wet Tropics NRM region</w:t>
        </w:r>
        <w:r w:rsidR="00637325">
          <w:rPr>
            <w:noProof/>
            <w:webHidden/>
          </w:rPr>
          <w:tab/>
        </w:r>
        <w:r w:rsidR="00637325">
          <w:rPr>
            <w:noProof/>
            <w:webHidden/>
          </w:rPr>
          <w:fldChar w:fldCharType="begin"/>
        </w:r>
        <w:r w:rsidR="00637325">
          <w:rPr>
            <w:noProof/>
            <w:webHidden/>
          </w:rPr>
          <w:instrText xml:space="preserve"> PAGEREF _Toc6402800 \h </w:instrText>
        </w:r>
        <w:r w:rsidR="00637325">
          <w:rPr>
            <w:noProof/>
            <w:webHidden/>
          </w:rPr>
        </w:r>
        <w:r w:rsidR="00637325">
          <w:rPr>
            <w:noProof/>
            <w:webHidden/>
          </w:rPr>
          <w:fldChar w:fldCharType="separate"/>
        </w:r>
        <w:r w:rsidR="005F00D4">
          <w:rPr>
            <w:noProof/>
            <w:webHidden/>
          </w:rPr>
          <w:t>61</w:t>
        </w:r>
        <w:r w:rsidR="00637325">
          <w:rPr>
            <w:noProof/>
            <w:webHidden/>
          </w:rPr>
          <w:fldChar w:fldCharType="end"/>
        </w:r>
      </w:hyperlink>
    </w:p>
    <w:p w14:paraId="78878186"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1" w:history="1">
        <w:r w:rsidR="00637325" w:rsidRPr="00B13A92">
          <w:rPr>
            <w:rStyle w:val="Hyperlink"/>
            <w:rFonts w:ascii="Arial" w:hAnsi="Arial" w:cs="Arial"/>
            <w:noProof/>
          </w:rPr>
          <w:t xml:space="preserve">Figure 36. </w:t>
        </w:r>
        <w:r w:rsidR="00637325" w:rsidRPr="00B13A92">
          <w:rPr>
            <w:rStyle w:val="Hyperlink"/>
            <w:rFonts w:ascii="Arial" w:hAnsi="Arial" w:cs="Arial"/>
            <w:i/>
            <w:noProof/>
          </w:rPr>
          <w:t>Environmental pressures in the northern Wet Tropics region</w:t>
        </w:r>
        <w:r w:rsidR="00637325">
          <w:rPr>
            <w:noProof/>
            <w:webHidden/>
          </w:rPr>
          <w:tab/>
        </w:r>
        <w:r w:rsidR="00637325">
          <w:rPr>
            <w:noProof/>
            <w:webHidden/>
          </w:rPr>
          <w:fldChar w:fldCharType="begin"/>
        </w:r>
        <w:r w:rsidR="00637325">
          <w:rPr>
            <w:noProof/>
            <w:webHidden/>
          </w:rPr>
          <w:instrText xml:space="preserve"> PAGEREF _Toc6402801 \h </w:instrText>
        </w:r>
        <w:r w:rsidR="00637325">
          <w:rPr>
            <w:noProof/>
            <w:webHidden/>
          </w:rPr>
        </w:r>
        <w:r w:rsidR="00637325">
          <w:rPr>
            <w:noProof/>
            <w:webHidden/>
          </w:rPr>
          <w:fldChar w:fldCharType="separate"/>
        </w:r>
        <w:r w:rsidR="005F00D4">
          <w:rPr>
            <w:noProof/>
            <w:webHidden/>
          </w:rPr>
          <w:t>62</w:t>
        </w:r>
        <w:r w:rsidR="00637325">
          <w:rPr>
            <w:noProof/>
            <w:webHidden/>
          </w:rPr>
          <w:fldChar w:fldCharType="end"/>
        </w:r>
      </w:hyperlink>
    </w:p>
    <w:p w14:paraId="0180E23A"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2" w:history="1">
        <w:r w:rsidR="00637325" w:rsidRPr="00B13A92">
          <w:rPr>
            <w:rStyle w:val="Hyperlink"/>
            <w:rFonts w:ascii="Arial" w:hAnsi="Arial" w:cs="Arial"/>
            <w:noProof/>
          </w:rPr>
          <w:t xml:space="preserve">Figure 37. </w:t>
        </w:r>
        <w:r w:rsidR="00637325" w:rsidRPr="00B13A92">
          <w:rPr>
            <w:rStyle w:val="Hyperlink"/>
            <w:rFonts w:ascii="Arial" w:hAnsi="Arial" w:cs="Arial"/>
            <w:i/>
            <w:noProof/>
          </w:rPr>
          <w:t>Environmental pressures in the southern Wet Tropics region</w:t>
        </w:r>
        <w:r w:rsidR="00637325">
          <w:rPr>
            <w:noProof/>
            <w:webHidden/>
          </w:rPr>
          <w:tab/>
        </w:r>
        <w:r w:rsidR="00637325">
          <w:rPr>
            <w:noProof/>
            <w:webHidden/>
          </w:rPr>
          <w:fldChar w:fldCharType="begin"/>
        </w:r>
        <w:r w:rsidR="00637325">
          <w:rPr>
            <w:noProof/>
            <w:webHidden/>
          </w:rPr>
          <w:instrText xml:space="preserve"> PAGEREF _Toc6402802 \h </w:instrText>
        </w:r>
        <w:r w:rsidR="00637325">
          <w:rPr>
            <w:noProof/>
            <w:webHidden/>
          </w:rPr>
        </w:r>
        <w:r w:rsidR="00637325">
          <w:rPr>
            <w:noProof/>
            <w:webHidden/>
          </w:rPr>
          <w:fldChar w:fldCharType="separate"/>
        </w:r>
        <w:r w:rsidR="005F00D4">
          <w:rPr>
            <w:noProof/>
            <w:webHidden/>
          </w:rPr>
          <w:t>64</w:t>
        </w:r>
        <w:r w:rsidR="00637325">
          <w:rPr>
            <w:noProof/>
            <w:webHidden/>
          </w:rPr>
          <w:fldChar w:fldCharType="end"/>
        </w:r>
      </w:hyperlink>
    </w:p>
    <w:p w14:paraId="487377F4"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3" w:history="1">
        <w:r w:rsidR="00637325" w:rsidRPr="00B13A92">
          <w:rPr>
            <w:rStyle w:val="Hyperlink"/>
            <w:rFonts w:ascii="Arial" w:hAnsi="Arial" w:cs="Arial"/>
            <w:noProof/>
          </w:rPr>
          <w:t xml:space="preserve">Figure 38. </w:t>
        </w:r>
        <w:r w:rsidR="00637325" w:rsidRPr="00B13A92">
          <w:rPr>
            <w:rStyle w:val="Hyperlink"/>
            <w:rFonts w:ascii="Arial" w:hAnsi="Arial" w:cs="Arial"/>
            <w:i/>
            <w:noProof/>
          </w:rPr>
          <w:t>Temporal trends in the northern Wet Tropics seagrass condition index and the indicators used to calculate the index</w:t>
        </w:r>
        <w:r w:rsidR="00637325">
          <w:rPr>
            <w:noProof/>
            <w:webHidden/>
          </w:rPr>
          <w:tab/>
        </w:r>
        <w:r w:rsidR="00637325">
          <w:rPr>
            <w:noProof/>
            <w:webHidden/>
          </w:rPr>
          <w:fldChar w:fldCharType="begin"/>
        </w:r>
        <w:r w:rsidR="00637325">
          <w:rPr>
            <w:noProof/>
            <w:webHidden/>
          </w:rPr>
          <w:instrText xml:space="preserve"> PAGEREF _Toc6402803 \h </w:instrText>
        </w:r>
        <w:r w:rsidR="00637325">
          <w:rPr>
            <w:noProof/>
            <w:webHidden/>
          </w:rPr>
        </w:r>
        <w:r w:rsidR="00637325">
          <w:rPr>
            <w:noProof/>
            <w:webHidden/>
          </w:rPr>
          <w:fldChar w:fldCharType="separate"/>
        </w:r>
        <w:r w:rsidR="005F00D4">
          <w:rPr>
            <w:noProof/>
            <w:webHidden/>
          </w:rPr>
          <w:t>66</w:t>
        </w:r>
        <w:r w:rsidR="00637325">
          <w:rPr>
            <w:noProof/>
            <w:webHidden/>
          </w:rPr>
          <w:fldChar w:fldCharType="end"/>
        </w:r>
      </w:hyperlink>
    </w:p>
    <w:p w14:paraId="10CD9DEB"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4" w:history="1">
        <w:r w:rsidR="00637325" w:rsidRPr="00B13A92">
          <w:rPr>
            <w:rStyle w:val="Hyperlink"/>
            <w:rFonts w:ascii="Arial" w:hAnsi="Arial" w:cs="Arial"/>
            <w:noProof/>
          </w:rPr>
          <w:t xml:space="preserve">Figure 39. </w:t>
        </w:r>
        <w:r w:rsidR="00637325" w:rsidRPr="00B13A92">
          <w:rPr>
            <w:rStyle w:val="Hyperlink"/>
            <w:rFonts w:ascii="Arial" w:hAnsi="Arial" w:cs="Arial"/>
            <w:i/>
            <w:noProof/>
          </w:rPr>
          <w:t>Temporal trends in the southern Wet Tropics seagrass condition index and the indicators used to calculate the index</w:t>
        </w:r>
        <w:r w:rsidR="00637325">
          <w:rPr>
            <w:noProof/>
            <w:webHidden/>
          </w:rPr>
          <w:tab/>
        </w:r>
        <w:r w:rsidR="00637325">
          <w:rPr>
            <w:noProof/>
            <w:webHidden/>
          </w:rPr>
          <w:fldChar w:fldCharType="begin"/>
        </w:r>
        <w:r w:rsidR="00637325">
          <w:rPr>
            <w:noProof/>
            <w:webHidden/>
          </w:rPr>
          <w:instrText xml:space="preserve"> PAGEREF _Toc6402804 \h </w:instrText>
        </w:r>
        <w:r w:rsidR="00637325">
          <w:rPr>
            <w:noProof/>
            <w:webHidden/>
          </w:rPr>
        </w:r>
        <w:r w:rsidR="00637325">
          <w:rPr>
            <w:noProof/>
            <w:webHidden/>
          </w:rPr>
          <w:fldChar w:fldCharType="separate"/>
        </w:r>
        <w:r w:rsidR="005F00D4">
          <w:rPr>
            <w:noProof/>
            <w:webHidden/>
          </w:rPr>
          <w:t>67</w:t>
        </w:r>
        <w:r w:rsidR="00637325">
          <w:rPr>
            <w:noProof/>
            <w:webHidden/>
          </w:rPr>
          <w:fldChar w:fldCharType="end"/>
        </w:r>
      </w:hyperlink>
    </w:p>
    <w:p w14:paraId="3B2FE9E2"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5" w:history="1">
        <w:r w:rsidR="00637325" w:rsidRPr="00B13A92">
          <w:rPr>
            <w:rStyle w:val="Hyperlink"/>
            <w:rFonts w:ascii="Arial" w:hAnsi="Arial" w:cs="Arial"/>
            <w:noProof/>
          </w:rPr>
          <w:t>Figure 40.</w:t>
        </w:r>
        <w:r w:rsidR="00637325" w:rsidRPr="00B13A92">
          <w:rPr>
            <w:rStyle w:val="Hyperlink"/>
            <w:rFonts w:ascii="Arial" w:hAnsi="Arial" w:cs="Arial"/>
            <w:i/>
            <w:noProof/>
          </w:rPr>
          <w:t xml:space="preserve"> Seagrass per cent cover measures per quadrat (sites pooled) and long-term trends, for each habitat monitored in the northern Wet Tropics NRM region from 2001 to 2018.</w:t>
        </w:r>
        <w:r w:rsidR="00637325">
          <w:rPr>
            <w:noProof/>
            <w:webHidden/>
          </w:rPr>
          <w:tab/>
        </w:r>
        <w:r w:rsidR="00637325">
          <w:rPr>
            <w:noProof/>
            <w:webHidden/>
          </w:rPr>
          <w:fldChar w:fldCharType="begin"/>
        </w:r>
        <w:r w:rsidR="00637325">
          <w:rPr>
            <w:noProof/>
            <w:webHidden/>
          </w:rPr>
          <w:instrText xml:space="preserve"> PAGEREF _Toc6402805 \h </w:instrText>
        </w:r>
        <w:r w:rsidR="00637325">
          <w:rPr>
            <w:noProof/>
            <w:webHidden/>
          </w:rPr>
        </w:r>
        <w:r w:rsidR="00637325">
          <w:rPr>
            <w:noProof/>
            <w:webHidden/>
          </w:rPr>
          <w:fldChar w:fldCharType="separate"/>
        </w:r>
        <w:r w:rsidR="005F00D4">
          <w:rPr>
            <w:noProof/>
            <w:webHidden/>
          </w:rPr>
          <w:t>68</w:t>
        </w:r>
        <w:r w:rsidR="00637325">
          <w:rPr>
            <w:noProof/>
            <w:webHidden/>
          </w:rPr>
          <w:fldChar w:fldCharType="end"/>
        </w:r>
      </w:hyperlink>
    </w:p>
    <w:p w14:paraId="382C4EB4"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6" w:history="1">
        <w:r w:rsidR="00637325" w:rsidRPr="00B13A92">
          <w:rPr>
            <w:rStyle w:val="Hyperlink"/>
            <w:rFonts w:ascii="Arial" w:hAnsi="Arial" w:cs="Arial"/>
            <w:noProof/>
          </w:rPr>
          <w:t>Figure 41.</w:t>
        </w:r>
        <w:r w:rsidR="00637325" w:rsidRPr="00B13A92">
          <w:rPr>
            <w:rStyle w:val="Hyperlink"/>
            <w:rFonts w:ascii="Arial" w:hAnsi="Arial" w:cs="Arial"/>
            <w:i/>
            <w:noProof/>
          </w:rPr>
          <w:t xml:space="preserve"> Seagrass per cent cover measures per quadrat (sites pooled) and long-term trends, for each habitat monitored in the southern Wet Tropics NRM region from 2001 to 2018.</w:t>
        </w:r>
        <w:r w:rsidR="00637325">
          <w:rPr>
            <w:noProof/>
            <w:webHidden/>
          </w:rPr>
          <w:tab/>
        </w:r>
        <w:r w:rsidR="00637325">
          <w:rPr>
            <w:noProof/>
            <w:webHidden/>
          </w:rPr>
          <w:fldChar w:fldCharType="begin"/>
        </w:r>
        <w:r w:rsidR="00637325">
          <w:rPr>
            <w:noProof/>
            <w:webHidden/>
          </w:rPr>
          <w:instrText xml:space="preserve"> PAGEREF _Toc6402806 \h </w:instrText>
        </w:r>
        <w:r w:rsidR="00637325">
          <w:rPr>
            <w:noProof/>
            <w:webHidden/>
          </w:rPr>
        </w:r>
        <w:r w:rsidR="00637325">
          <w:rPr>
            <w:noProof/>
            <w:webHidden/>
          </w:rPr>
          <w:fldChar w:fldCharType="separate"/>
        </w:r>
        <w:r w:rsidR="005F00D4">
          <w:rPr>
            <w:noProof/>
            <w:webHidden/>
          </w:rPr>
          <w:t>69</w:t>
        </w:r>
        <w:r w:rsidR="00637325">
          <w:rPr>
            <w:noProof/>
            <w:webHidden/>
          </w:rPr>
          <w:fldChar w:fldCharType="end"/>
        </w:r>
      </w:hyperlink>
    </w:p>
    <w:p w14:paraId="16D433CC" w14:textId="40A8B0F5"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7" w:history="1">
        <w:r w:rsidR="00637325" w:rsidRPr="00B13A92">
          <w:rPr>
            <w:rStyle w:val="Hyperlink"/>
            <w:rFonts w:ascii="Arial" w:hAnsi="Arial" w:cs="Arial"/>
            <w:noProof/>
          </w:rPr>
          <w:t xml:space="preserve">Figure 42. </w:t>
        </w:r>
        <w:r w:rsidR="00637325" w:rsidRPr="00B13A92">
          <w:rPr>
            <w:rStyle w:val="Hyperlink"/>
            <w:rFonts w:ascii="Arial" w:hAnsi="Arial" w:cs="Arial"/>
            <w:i/>
            <w:noProof/>
          </w:rPr>
          <w:t xml:space="preserve">Proportion of seagrass abundance composed of colonising species at inshore habitats in the northern Wet Tropics region, from the 2000–2001 to the </w:t>
        </w:r>
        <w:r w:rsidR="003654C6">
          <w:rPr>
            <w:rStyle w:val="Hyperlink"/>
            <w:rFonts w:ascii="Arial" w:hAnsi="Arial" w:cs="Arial"/>
            <w:i/>
            <w:noProof/>
          </w:rPr>
          <w:t>2017–18</w:t>
        </w:r>
        <w:r w:rsidR="00637325" w:rsidRPr="00B13A92">
          <w:rPr>
            <w:rStyle w:val="Hyperlink"/>
            <w:rFonts w:ascii="Arial" w:hAnsi="Arial" w:cs="Arial"/>
            <w:i/>
            <w:noProof/>
          </w:rPr>
          <w:t xml:space="preserve"> reporting periods.</w:t>
        </w:r>
        <w:r w:rsidR="00637325">
          <w:rPr>
            <w:noProof/>
            <w:webHidden/>
          </w:rPr>
          <w:tab/>
        </w:r>
        <w:r w:rsidR="00637325">
          <w:rPr>
            <w:noProof/>
            <w:webHidden/>
          </w:rPr>
          <w:fldChar w:fldCharType="begin"/>
        </w:r>
        <w:r w:rsidR="00637325">
          <w:rPr>
            <w:noProof/>
            <w:webHidden/>
          </w:rPr>
          <w:instrText xml:space="preserve"> PAGEREF _Toc6402807 \h </w:instrText>
        </w:r>
        <w:r w:rsidR="00637325">
          <w:rPr>
            <w:noProof/>
            <w:webHidden/>
          </w:rPr>
        </w:r>
        <w:r w:rsidR="00637325">
          <w:rPr>
            <w:noProof/>
            <w:webHidden/>
          </w:rPr>
          <w:fldChar w:fldCharType="separate"/>
        </w:r>
        <w:r w:rsidR="005F00D4">
          <w:rPr>
            <w:noProof/>
            <w:webHidden/>
          </w:rPr>
          <w:t>70</w:t>
        </w:r>
        <w:r w:rsidR="00637325">
          <w:rPr>
            <w:noProof/>
            <w:webHidden/>
          </w:rPr>
          <w:fldChar w:fldCharType="end"/>
        </w:r>
      </w:hyperlink>
    </w:p>
    <w:p w14:paraId="65D3DBDE" w14:textId="7410A5BC"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8" w:history="1">
        <w:r w:rsidR="00637325" w:rsidRPr="00B13A92">
          <w:rPr>
            <w:rStyle w:val="Hyperlink"/>
            <w:rFonts w:ascii="Arial" w:hAnsi="Arial" w:cs="Arial"/>
            <w:noProof/>
          </w:rPr>
          <w:t xml:space="preserve">Figure 43. </w:t>
        </w:r>
        <w:r w:rsidR="00637325" w:rsidRPr="00B13A92">
          <w:rPr>
            <w:rStyle w:val="Hyperlink"/>
            <w:rFonts w:ascii="Arial" w:hAnsi="Arial" w:cs="Arial"/>
            <w:i/>
            <w:noProof/>
          </w:rPr>
          <w:t xml:space="preserve">Proportion of seagrass abundance composed of colonising species at inshore habitats in the southern Wet Tropics region, from the 2000–2001 to the </w:t>
        </w:r>
        <w:r w:rsidR="003654C6">
          <w:rPr>
            <w:rStyle w:val="Hyperlink"/>
            <w:rFonts w:ascii="Arial" w:hAnsi="Arial" w:cs="Arial"/>
            <w:i/>
            <w:noProof/>
          </w:rPr>
          <w:t>2017–18</w:t>
        </w:r>
        <w:r w:rsidR="00637325" w:rsidRPr="00B13A92">
          <w:rPr>
            <w:rStyle w:val="Hyperlink"/>
            <w:rFonts w:ascii="Arial" w:hAnsi="Arial" w:cs="Arial"/>
            <w:i/>
            <w:noProof/>
          </w:rPr>
          <w:t xml:space="preserve"> reporting periods.</w:t>
        </w:r>
        <w:r w:rsidR="00637325">
          <w:rPr>
            <w:noProof/>
            <w:webHidden/>
          </w:rPr>
          <w:tab/>
        </w:r>
        <w:r w:rsidR="00637325">
          <w:rPr>
            <w:noProof/>
            <w:webHidden/>
          </w:rPr>
          <w:fldChar w:fldCharType="begin"/>
        </w:r>
        <w:r w:rsidR="00637325">
          <w:rPr>
            <w:noProof/>
            <w:webHidden/>
          </w:rPr>
          <w:instrText xml:space="preserve"> PAGEREF _Toc6402808 \h </w:instrText>
        </w:r>
        <w:r w:rsidR="00637325">
          <w:rPr>
            <w:noProof/>
            <w:webHidden/>
          </w:rPr>
        </w:r>
        <w:r w:rsidR="00637325">
          <w:rPr>
            <w:noProof/>
            <w:webHidden/>
          </w:rPr>
          <w:fldChar w:fldCharType="separate"/>
        </w:r>
        <w:r w:rsidR="005F00D4">
          <w:rPr>
            <w:noProof/>
            <w:webHidden/>
          </w:rPr>
          <w:t>70</w:t>
        </w:r>
        <w:r w:rsidR="00637325">
          <w:rPr>
            <w:noProof/>
            <w:webHidden/>
          </w:rPr>
          <w:fldChar w:fldCharType="end"/>
        </w:r>
      </w:hyperlink>
    </w:p>
    <w:p w14:paraId="0BA6CDC9"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09" w:history="1">
        <w:r w:rsidR="00637325" w:rsidRPr="00B13A92">
          <w:rPr>
            <w:rStyle w:val="Hyperlink"/>
            <w:rFonts w:ascii="Arial" w:hAnsi="Arial" w:cs="Arial"/>
            <w:noProof/>
          </w:rPr>
          <w:t xml:space="preserve">Figure 44. </w:t>
        </w:r>
        <w:r w:rsidR="00637325" w:rsidRPr="00B13A92">
          <w:rPr>
            <w:rStyle w:val="Hyperlink"/>
            <w:rFonts w:ascii="Arial" w:hAnsi="Arial" w:cs="Arial"/>
            <w:i/>
            <w:noProof/>
          </w:rPr>
          <w:t>Change in relative spatial extent (±SE) of seagrass meadows within monitoring sites for each habitat and monitoring period across the northern Wet Tropics NRM region.</w:t>
        </w:r>
        <w:r w:rsidR="00637325">
          <w:rPr>
            <w:noProof/>
            <w:webHidden/>
          </w:rPr>
          <w:tab/>
        </w:r>
        <w:r w:rsidR="00637325">
          <w:rPr>
            <w:noProof/>
            <w:webHidden/>
          </w:rPr>
          <w:fldChar w:fldCharType="begin"/>
        </w:r>
        <w:r w:rsidR="00637325">
          <w:rPr>
            <w:noProof/>
            <w:webHidden/>
          </w:rPr>
          <w:instrText xml:space="preserve"> PAGEREF _Toc6402809 \h </w:instrText>
        </w:r>
        <w:r w:rsidR="00637325">
          <w:rPr>
            <w:noProof/>
            <w:webHidden/>
          </w:rPr>
        </w:r>
        <w:r w:rsidR="00637325">
          <w:rPr>
            <w:noProof/>
            <w:webHidden/>
          </w:rPr>
          <w:fldChar w:fldCharType="separate"/>
        </w:r>
        <w:r w:rsidR="005F00D4">
          <w:rPr>
            <w:noProof/>
            <w:webHidden/>
          </w:rPr>
          <w:t>70</w:t>
        </w:r>
        <w:r w:rsidR="00637325">
          <w:rPr>
            <w:noProof/>
            <w:webHidden/>
          </w:rPr>
          <w:fldChar w:fldCharType="end"/>
        </w:r>
      </w:hyperlink>
    </w:p>
    <w:p w14:paraId="19314E58"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0" w:history="1">
        <w:r w:rsidR="00637325" w:rsidRPr="00B13A92">
          <w:rPr>
            <w:rStyle w:val="Hyperlink"/>
            <w:rFonts w:ascii="Arial" w:hAnsi="Arial" w:cs="Arial"/>
            <w:noProof/>
          </w:rPr>
          <w:t xml:space="preserve">Figure 45. </w:t>
        </w:r>
        <w:r w:rsidR="00637325" w:rsidRPr="00B13A92">
          <w:rPr>
            <w:rStyle w:val="Hyperlink"/>
            <w:rFonts w:ascii="Arial" w:hAnsi="Arial" w:cs="Arial"/>
            <w:i/>
            <w:noProof/>
          </w:rPr>
          <w:t>Change in relative spatial extent (±SE) of seagrass meadows within monitoring sites for each habitat and monitoring period across the southern Wet Tropics NRM region.</w:t>
        </w:r>
        <w:r w:rsidR="00637325">
          <w:rPr>
            <w:noProof/>
            <w:webHidden/>
          </w:rPr>
          <w:tab/>
        </w:r>
        <w:r w:rsidR="00637325">
          <w:rPr>
            <w:noProof/>
            <w:webHidden/>
          </w:rPr>
          <w:fldChar w:fldCharType="begin"/>
        </w:r>
        <w:r w:rsidR="00637325">
          <w:rPr>
            <w:noProof/>
            <w:webHidden/>
          </w:rPr>
          <w:instrText xml:space="preserve"> PAGEREF _Toc6402810 \h </w:instrText>
        </w:r>
        <w:r w:rsidR="00637325">
          <w:rPr>
            <w:noProof/>
            <w:webHidden/>
          </w:rPr>
        </w:r>
        <w:r w:rsidR="00637325">
          <w:rPr>
            <w:noProof/>
            <w:webHidden/>
          </w:rPr>
          <w:fldChar w:fldCharType="separate"/>
        </w:r>
        <w:r w:rsidR="005F00D4">
          <w:rPr>
            <w:noProof/>
            <w:webHidden/>
          </w:rPr>
          <w:t>71</w:t>
        </w:r>
        <w:r w:rsidR="00637325">
          <w:rPr>
            <w:noProof/>
            <w:webHidden/>
          </w:rPr>
          <w:fldChar w:fldCharType="end"/>
        </w:r>
      </w:hyperlink>
    </w:p>
    <w:p w14:paraId="139753E6"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1" w:history="1">
        <w:r w:rsidR="00637325" w:rsidRPr="00B13A92">
          <w:rPr>
            <w:rStyle w:val="Hyperlink"/>
            <w:rFonts w:ascii="Arial" w:hAnsi="Arial" w:cs="Arial"/>
            <w:noProof/>
          </w:rPr>
          <w:t xml:space="preserve">Figure 46. </w:t>
        </w:r>
        <w:r w:rsidR="00637325" w:rsidRPr="00B13A92">
          <w:rPr>
            <w:rStyle w:val="Hyperlink"/>
            <w:rFonts w:ascii="Arial" w:hAnsi="Arial" w:cs="Arial"/>
            <w:i/>
            <w:noProof/>
          </w:rPr>
          <w:t>Reproductive effort for inshore intertidal coast and reef habitats in the northern Wet Tropics region, 2001–2018.</w:t>
        </w:r>
        <w:r w:rsidR="00637325">
          <w:rPr>
            <w:noProof/>
            <w:webHidden/>
          </w:rPr>
          <w:tab/>
        </w:r>
        <w:r w:rsidR="00637325">
          <w:rPr>
            <w:noProof/>
            <w:webHidden/>
          </w:rPr>
          <w:fldChar w:fldCharType="begin"/>
        </w:r>
        <w:r w:rsidR="00637325">
          <w:rPr>
            <w:noProof/>
            <w:webHidden/>
          </w:rPr>
          <w:instrText xml:space="preserve"> PAGEREF _Toc6402811 \h </w:instrText>
        </w:r>
        <w:r w:rsidR="00637325">
          <w:rPr>
            <w:noProof/>
            <w:webHidden/>
          </w:rPr>
        </w:r>
        <w:r w:rsidR="00637325">
          <w:rPr>
            <w:noProof/>
            <w:webHidden/>
          </w:rPr>
          <w:fldChar w:fldCharType="separate"/>
        </w:r>
        <w:r w:rsidR="005F00D4">
          <w:rPr>
            <w:noProof/>
            <w:webHidden/>
          </w:rPr>
          <w:t>71</w:t>
        </w:r>
        <w:r w:rsidR="00637325">
          <w:rPr>
            <w:noProof/>
            <w:webHidden/>
          </w:rPr>
          <w:fldChar w:fldCharType="end"/>
        </w:r>
      </w:hyperlink>
    </w:p>
    <w:p w14:paraId="2F7A4E6F"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2" w:history="1">
        <w:r w:rsidR="00637325" w:rsidRPr="00B13A92">
          <w:rPr>
            <w:rStyle w:val="Hyperlink"/>
            <w:rFonts w:ascii="Arial" w:hAnsi="Arial" w:cs="Arial"/>
            <w:noProof/>
          </w:rPr>
          <w:t xml:space="preserve">Figure 47. </w:t>
        </w:r>
        <w:r w:rsidR="00637325" w:rsidRPr="00B13A92">
          <w:rPr>
            <w:rStyle w:val="Hyperlink"/>
            <w:rFonts w:ascii="Arial" w:hAnsi="Arial" w:cs="Arial"/>
            <w:i/>
            <w:noProof/>
          </w:rPr>
          <w:t>Reproductive effort for inshore intertidal coast and reef habitats in the northern Wet Tropics region, 2001–2018.</w:t>
        </w:r>
        <w:r w:rsidR="00637325">
          <w:rPr>
            <w:noProof/>
            <w:webHidden/>
          </w:rPr>
          <w:tab/>
        </w:r>
        <w:r w:rsidR="00637325">
          <w:rPr>
            <w:noProof/>
            <w:webHidden/>
          </w:rPr>
          <w:fldChar w:fldCharType="begin"/>
        </w:r>
        <w:r w:rsidR="00637325">
          <w:rPr>
            <w:noProof/>
            <w:webHidden/>
          </w:rPr>
          <w:instrText xml:space="preserve"> PAGEREF _Toc6402812 \h </w:instrText>
        </w:r>
        <w:r w:rsidR="00637325">
          <w:rPr>
            <w:noProof/>
            <w:webHidden/>
          </w:rPr>
        </w:r>
        <w:r w:rsidR="00637325">
          <w:rPr>
            <w:noProof/>
            <w:webHidden/>
          </w:rPr>
          <w:fldChar w:fldCharType="separate"/>
        </w:r>
        <w:r w:rsidR="005F00D4">
          <w:rPr>
            <w:noProof/>
            <w:webHidden/>
          </w:rPr>
          <w:t>72</w:t>
        </w:r>
        <w:r w:rsidR="00637325">
          <w:rPr>
            <w:noProof/>
            <w:webHidden/>
          </w:rPr>
          <w:fldChar w:fldCharType="end"/>
        </w:r>
      </w:hyperlink>
    </w:p>
    <w:p w14:paraId="021FD4CA"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3" w:history="1">
        <w:r w:rsidR="00637325" w:rsidRPr="00B13A92">
          <w:rPr>
            <w:rStyle w:val="Hyperlink"/>
            <w:rFonts w:ascii="Arial" w:hAnsi="Arial" w:cs="Arial"/>
            <w:noProof/>
          </w:rPr>
          <w:t xml:space="preserve">Figure 48. </w:t>
        </w:r>
        <w:r w:rsidR="00637325" w:rsidRPr="00B13A92">
          <w:rPr>
            <w:rStyle w:val="Hyperlink"/>
            <w:rFonts w:ascii="Arial" w:hAnsi="Arial" w:cs="Arial"/>
            <w:i/>
            <w:noProof/>
            <w:lang w:eastAsia="en-AU"/>
          </w:rPr>
          <w:t xml:space="preserve">Seagrass leaf tissue nutrient elemental ratios (C:N:P) and </w:t>
        </w:r>
        <w:r w:rsidR="00637325" w:rsidRPr="00B13A92">
          <w:rPr>
            <w:rStyle w:val="Hyperlink"/>
            <w:rFonts w:ascii="Arial" w:hAnsi="Arial" w:cs="Arial"/>
            <w:i/>
            <w:noProof/>
            <w:lang w:val="en-US"/>
          </w:rPr>
          <w:t>concentrations (</w:t>
        </w:r>
        <w:r w:rsidR="00637325" w:rsidRPr="00B13A92">
          <w:rPr>
            <w:rStyle w:val="Hyperlink"/>
            <w:rFonts w:ascii="Arial" w:hAnsi="Arial" w:cs="Arial"/>
            <w:i/>
            <w:noProof/>
            <w:lang w:eastAsia="en-AU"/>
          </w:rPr>
          <w:t xml:space="preserve">%N, %P,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13</w:t>
        </w:r>
        <w:r w:rsidR="00637325" w:rsidRPr="00B13A92">
          <w:rPr>
            <w:rStyle w:val="Hyperlink"/>
            <w:rFonts w:ascii="Arial" w:hAnsi="Arial" w:cs="Arial"/>
            <w:i/>
            <w:noProof/>
          </w:rPr>
          <w:t>C</w:t>
        </w:r>
        <w:r w:rsidR="00637325" w:rsidRPr="00B13A92">
          <w:rPr>
            <w:rStyle w:val="Hyperlink"/>
            <w:rFonts w:ascii="Arial" w:hAnsi="Arial" w:cs="Arial"/>
            <w:i/>
            <w:noProof/>
            <w:lang w:val="en-US"/>
          </w:rPr>
          <w:t xml:space="preserve"> and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15</w:t>
        </w:r>
        <w:r w:rsidR="00637325" w:rsidRPr="00B13A92">
          <w:rPr>
            <w:rStyle w:val="Hyperlink"/>
            <w:rFonts w:ascii="Arial" w:hAnsi="Arial" w:cs="Arial"/>
            <w:i/>
            <w:noProof/>
          </w:rPr>
          <w:t>N)</w:t>
        </w:r>
        <w:r w:rsidR="00637325" w:rsidRPr="00B13A92">
          <w:rPr>
            <w:rStyle w:val="Hyperlink"/>
            <w:rFonts w:ascii="Arial" w:hAnsi="Arial" w:cs="Arial"/>
            <w:i/>
            <w:noProof/>
            <w:lang w:val="en-US"/>
          </w:rPr>
          <w:t xml:space="preserve"> </w:t>
        </w:r>
        <w:r w:rsidR="00637325" w:rsidRPr="00B13A92">
          <w:rPr>
            <w:rStyle w:val="Hyperlink"/>
            <w:rFonts w:ascii="Arial" w:hAnsi="Arial" w:cs="Arial"/>
            <w:i/>
            <w:noProof/>
            <w:lang w:eastAsia="en-AU"/>
          </w:rPr>
          <w:t>for each habitat in the northern Wet Tropics region</w:t>
        </w:r>
        <w:r w:rsidR="00637325">
          <w:rPr>
            <w:noProof/>
            <w:webHidden/>
          </w:rPr>
          <w:tab/>
        </w:r>
        <w:r w:rsidR="00637325">
          <w:rPr>
            <w:noProof/>
            <w:webHidden/>
          </w:rPr>
          <w:fldChar w:fldCharType="begin"/>
        </w:r>
        <w:r w:rsidR="00637325">
          <w:rPr>
            <w:noProof/>
            <w:webHidden/>
          </w:rPr>
          <w:instrText xml:space="preserve"> PAGEREF _Toc6402813 \h </w:instrText>
        </w:r>
        <w:r w:rsidR="00637325">
          <w:rPr>
            <w:noProof/>
            <w:webHidden/>
          </w:rPr>
        </w:r>
        <w:r w:rsidR="00637325">
          <w:rPr>
            <w:noProof/>
            <w:webHidden/>
          </w:rPr>
          <w:fldChar w:fldCharType="separate"/>
        </w:r>
        <w:r w:rsidR="005F00D4">
          <w:rPr>
            <w:noProof/>
            <w:webHidden/>
          </w:rPr>
          <w:t>73</w:t>
        </w:r>
        <w:r w:rsidR="00637325">
          <w:rPr>
            <w:noProof/>
            <w:webHidden/>
          </w:rPr>
          <w:fldChar w:fldCharType="end"/>
        </w:r>
      </w:hyperlink>
    </w:p>
    <w:p w14:paraId="1A330268"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4" w:history="1">
        <w:r w:rsidR="00637325" w:rsidRPr="00B13A92">
          <w:rPr>
            <w:rStyle w:val="Hyperlink"/>
            <w:rFonts w:ascii="Arial" w:hAnsi="Arial" w:cs="Arial"/>
            <w:noProof/>
          </w:rPr>
          <w:t xml:space="preserve">Figure 49. </w:t>
        </w:r>
        <w:r w:rsidR="00637325" w:rsidRPr="00B13A92">
          <w:rPr>
            <w:rStyle w:val="Hyperlink"/>
            <w:rFonts w:ascii="Arial" w:hAnsi="Arial" w:cs="Arial"/>
            <w:i/>
            <w:noProof/>
            <w:lang w:eastAsia="en-AU"/>
          </w:rPr>
          <w:t xml:space="preserve">Seagrass leaf tissue nutrient elemental ratios (C:N:P) and </w:t>
        </w:r>
        <w:r w:rsidR="00637325" w:rsidRPr="00B13A92">
          <w:rPr>
            <w:rStyle w:val="Hyperlink"/>
            <w:rFonts w:ascii="Arial" w:hAnsi="Arial" w:cs="Arial"/>
            <w:i/>
            <w:noProof/>
            <w:lang w:val="en-US"/>
          </w:rPr>
          <w:t>concentrations (</w:t>
        </w:r>
        <w:r w:rsidR="00637325" w:rsidRPr="00B13A92">
          <w:rPr>
            <w:rStyle w:val="Hyperlink"/>
            <w:rFonts w:ascii="Arial" w:hAnsi="Arial" w:cs="Arial"/>
            <w:i/>
            <w:noProof/>
            <w:lang w:eastAsia="en-AU"/>
          </w:rPr>
          <w:t xml:space="preserve">%N, %P,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13</w:t>
        </w:r>
        <w:r w:rsidR="00637325" w:rsidRPr="00B13A92">
          <w:rPr>
            <w:rStyle w:val="Hyperlink"/>
            <w:rFonts w:ascii="Arial" w:hAnsi="Arial" w:cs="Arial"/>
            <w:i/>
            <w:noProof/>
          </w:rPr>
          <w:t>C</w:t>
        </w:r>
        <w:r w:rsidR="00637325" w:rsidRPr="00B13A92">
          <w:rPr>
            <w:rStyle w:val="Hyperlink"/>
            <w:rFonts w:ascii="Arial" w:hAnsi="Arial" w:cs="Arial"/>
            <w:i/>
            <w:noProof/>
            <w:lang w:val="en-US"/>
          </w:rPr>
          <w:t xml:space="preserve"> and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15</w:t>
        </w:r>
        <w:r w:rsidR="00637325" w:rsidRPr="00B13A92">
          <w:rPr>
            <w:rStyle w:val="Hyperlink"/>
            <w:rFonts w:ascii="Arial" w:hAnsi="Arial" w:cs="Arial"/>
            <w:i/>
            <w:noProof/>
          </w:rPr>
          <w:t>N)</w:t>
        </w:r>
        <w:r w:rsidR="00637325" w:rsidRPr="00B13A92">
          <w:rPr>
            <w:rStyle w:val="Hyperlink"/>
            <w:rFonts w:ascii="Arial" w:hAnsi="Arial" w:cs="Arial"/>
            <w:i/>
            <w:noProof/>
            <w:lang w:val="en-US"/>
          </w:rPr>
          <w:t xml:space="preserve"> </w:t>
        </w:r>
        <w:r w:rsidR="00637325" w:rsidRPr="00B13A92">
          <w:rPr>
            <w:rStyle w:val="Hyperlink"/>
            <w:rFonts w:ascii="Arial" w:hAnsi="Arial" w:cs="Arial"/>
            <w:i/>
            <w:noProof/>
            <w:lang w:eastAsia="en-AU"/>
          </w:rPr>
          <w:t>for each habitat in the southern Wet Tropics region</w:t>
        </w:r>
        <w:r w:rsidR="00637325">
          <w:rPr>
            <w:noProof/>
            <w:webHidden/>
          </w:rPr>
          <w:tab/>
        </w:r>
        <w:r w:rsidR="00637325">
          <w:rPr>
            <w:noProof/>
            <w:webHidden/>
          </w:rPr>
          <w:fldChar w:fldCharType="begin"/>
        </w:r>
        <w:r w:rsidR="00637325">
          <w:rPr>
            <w:noProof/>
            <w:webHidden/>
          </w:rPr>
          <w:instrText xml:space="preserve"> PAGEREF _Toc6402814 \h </w:instrText>
        </w:r>
        <w:r w:rsidR="00637325">
          <w:rPr>
            <w:noProof/>
            <w:webHidden/>
          </w:rPr>
        </w:r>
        <w:r w:rsidR="00637325">
          <w:rPr>
            <w:noProof/>
            <w:webHidden/>
          </w:rPr>
          <w:fldChar w:fldCharType="separate"/>
        </w:r>
        <w:r w:rsidR="005F00D4">
          <w:rPr>
            <w:noProof/>
            <w:webHidden/>
          </w:rPr>
          <w:t>74</w:t>
        </w:r>
        <w:r w:rsidR="00637325">
          <w:rPr>
            <w:noProof/>
            <w:webHidden/>
          </w:rPr>
          <w:fldChar w:fldCharType="end"/>
        </w:r>
      </w:hyperlink>
    </w:p>
    <w:p w14:paraId="31F00C07"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5" w:history="1">
        <w:r w:rsidR="00637325" w:rsidRPr="00B13A92">
          <w:rPr>
            <w:rStyle w:val="Hyperlink"/>
            <w:rFonts w:ascii="Arial" w:hAnsi="Arial" w:cs="Arial"/>
            <w:noProof/>
          </w:rPr>
          <w:t xml:space="preserve">Figure 50. </w:t>
        </w:r>
        <w:r w:rsidR="00637325" w:rsidRPr="00B13A92">
          <w:rPr>
            <w:rStyle w:val="Hyperlink"/>
            <w:rFonts w:ascii="Arial" w:hAnsi="Arial" w:cs="Arial"/>
            <w:i/>
            <w:noProof/>
          </w:rPr>
          <w:t>Long-term trend in mean epiphyte and macroalgae abundance (% cover) relative to the long-term average for each inshore seagrass habitat in the northern Wet Tropics region, 2001–2018</w:t>
        </w:r>
        <w:r w:rsidR="00637325">
          <w:rPr>
            <w:noProof/>
            <w:webHidden/>
          </w:rPr>
          <w:tab/>
        </w:r>
        <w:r w:rsidR="00637325">
          <w:rPr>
            <w:noProof/>
            <w:webHidden/>
          </w:rPr>
          <w:fldChar w:fldCharType="begin"/>
        </w:r>
        <w:r w:rsidR="00637325">
          <w:rPr>
            <w:noProof/>
            <w:webHidden/>
          </w:rPr>
          <w:instrText xml:space="preserve"> PAGEREF _Toc6402815 \h </w:instrText>
        </w:r>
        <w:r w:rsidR="00637325">
          <w:rPr>
            <w:noProof/>
            <w:webHidden/>
          </w:rPr>
        </w:r>
        <w:r w:rsidR="00637325">
          <w:rPr>
            <w:noProof/>
            <w:webHidden/>
          </w:rPr>
          <w:fldChar w:fldCharType="separate"/>
        </w:r>
        <w:r w:rsidR="005F00D4">
          <w:rPr>
            <w:noProof/>
            <w:webHidden/>
          </w:rPr>
          <w:t>75</w:t>
        </w:r>
        <w:r w:rsidR="00637325">
          <w:rPr>
            <w:noProof/>
            <w:webHidden/>
          </w:rPr>
          <w:fldChar w:fldCharType="end"/>
        </w:r>
      </w:hyperlink>
    </w:p>
    <w:p w14:paraId="610A3485"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6" w:history="1">
        <w:r w:rsidR="00637325" w:rsidRPr="00B13A92">
          <w:rPr>
            <w:rStyle w:val="Hyperlink"/>
            <w:rFonts w:ascii="Arial" w:hAnsi="Arial" w:cs="Arial"/>
            <w:noProof/>
          </w:rPr>
          <w:t xml:space="preserve">Figure 51. </w:t>
        </w:r>
        <w:r w:rsidR="00637325" w:rsidRPr="00B13A92">
          <w:rPr>
            <w:rStyle w:val="Hyperlink"/>
            <w:rFonts w:ascii="Arial" w:hAnsi="Arial" w:cs="Arial"/>
            <w:i/>
            <w:noProof/>
          </w:rPr>
          <w:t>Long-term trend in mean epiphyte and macroalgae abundance (% cover) relative to the long-term average for each inshore seagrass habitat in the southern Wet Tropics region, 2001–2018</w:t>
        </w:r>
        <w:r w:rsidR="00637325">
          <w:rPr>
            <w:noProof/>
            <w:webHidden/>
          </w:rPr>
          <w:tab/>
        </w:r>
        <w:r w:rsidR="00637325">
          <w:rPr>
            <w:noProof/>
            <w:webHidden/>
          </w:rPr>
          <w:fldChar w:fldCharType="begin"/>
        </w:r>
        <w:r w:rsidR="00637325">
          <w:rPr>
            <w:noProof/>
            <w:webHidden/>
          </w:rPr>
          <w:instrText xml:space="preserve"> PAGEREF _Toc6402816 \h </w:instrText>
        </w:r>
        <w:r w:rsidR="00637325">
          <w:rPr>
            <w:noProof/>
            <w:webHidden/>
          </w:rPr>
        </w:r>
        <w:r w:rsidR="00637325">
          <w:rPr>
            <w:noProof/>
            <w:webHidden/>
          </w:rPr>
          <w:fldChar w:fldCharType="separate"/>
        </w:r>
        <w:r w:rsidR="005F00D4">
          <w:rPr>
            <w:noProof/>
            <w:webHidden/>
          </w:rPr>
          <w:t>76</w:t>
        </w:r>
        <w:r w:rsidR="00637325">
          <w:rPr>
            <w:noProof/>
            <w:webHidden/>
          </w:rPr>
          <w:fldChar w:fldCharType="end"/>
        </w:r>
      </w:hyperlink>
    </w:p>
    <w:p w14:paraId="5F8DB332"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7" w:history="1">
        <w:r w:rsidR="00637325" w:rsidRPr="00B13A92">
          <w:rPr>
            <w:rStyle w:val="Hyperlink"/>
            <w:rFonts w:ascii="Arial" w:hAnsi="Arial" w:cs="Arial"/>
            <w:noProof/>
          </w:rPr>
          <w:t xml:space="preserve">Figure 52. </w:t>
        </w:r>
        <w:r w:rsidR="00637325" w:rsidRPr="00B13A92">
          <w:rPr>
            <w:rStyle w:val="Hyperlink"/>
            <w:rFonts w:ascii="Arial" w:hAnsi="Arial" w:cs="Arial"/>
            <w:i/>
            <w:noProof/>
          </w:rPr>
          <w:t>Report card of seagrass status indicators and index for the Burdekin NRM region</w:t>
        </w:r>
        <w:r w:rsidR="00637325">
          <w:rPr>
            <w:noProof/>
            <w:webHidden/>
          </w:rPr>
          <w:tab/>
        </w:r>
        <w:r w:rsidR="00637325">
          <w:rPr>
            <w:noProof/>
            <w:webHidden/>
          </w:rPr>
          <w:fldChar w:fldCharType="begin"/>
        </w:r>
        <w:r w:rsidR="00637325">
          <w:rPr>
            <w:noProof/>
            <w:webHidden/>
          </w:rPr>
          <w:instrText xml:space="preserve"> PAGEREF _Toc6402817 \h </w:instrText>
        </w:r>
        <w:r w:rsidR="00637325">
          <w:rPr>
            <w:noProof/>
            <w:webHidden/>
          </w:rPr>
        </w:r>
        <w:r w:rsidR="00637325">
          <w:rPr>
            <w:noProof/>
            <w:webHidden/>
          </w:rPr>
          <w:fldChar w:fldCharType="separate"/>
        </w:r>
        <w:r w:rsidR="005F00D4">
          <w:rPr>
            <w:noProof/>
            <w:webHidden/>
          </w:rPr>
          <w:t>78</w:t>
        </w:r>
        <w:r w:rsidR="00637325">
          <w:rPr>
            <w:noProof/>
            <w:webHidden/>
          </w:rPr>
          <w:fldChar w:fldCharType="end"/>
        </w:r>
      </w:hyperlink>
    </w:p>
    <w:p w14:paraId="5A20800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8" w:history="1">
        <w:r w:rsidR="00637325" w:rsidRPr="00B13A92">
          <w:rPr>
            <w:rStyle w:val="Hyperlink"/>
            <w:rFonts w:ascii="Arial" w:hAnsi="Arial" w:cs="Arial"/>
            <w:noProof/>
          </w:rPr>
          <w:t xml:space="preserve">Figure 53. </w:t>
        </w:r>
        <w:r w:rsidR="00637325" w:rsidRPr="00B13A92">
          <w:rPr>
            <w:rStyle w:val="Hyperlink"/>
            <w:rFonts w:ascii="Arial" w:hAnsi="Arial" w:cs="Arial"/>
            <w:i/>
            <w:noProof/>
          </w:rPr>
          <w:t>Environmental pressures in the Burdekin region</w:t>
        </w:r>
        <w:r w:rsidR="00637325">
          <w:rPr>
            <w:noProof/>
            <w:webHidden/>
          </w:rPr>
          <w:tab/>
        </w:r>
        <w:r w:rsidR="00637325">
          <w:rPr>
            <w:noProof/>
            <w:webHidden/>
          </w:rPr>
          <w:fldChar w:fldCharType="begin"/>
        </w:r>
        <w:r w:rsidR="00637325">
          <w:rPr>
            <w:noProof/>
            <w:webHidden/>
          </w:rPr>
          <w:instrText xml:space="preserve"> PAGEREF _Toc6402818 \h </w:instrText>
        </w:r>
        <w:r w:rsidR="00637325">
          <w:rPr>
            <w:noProof/>
            <w:webHidden/>
          </w:rPr>
        </w:r>
        <w:r w:rsidR="00637325">
          <w:rPr>
            <w:noProof/>
            <w:webHidden/>
          </w:rPr>
          <w:fldChar w:fldCharType="separate"/>
        </w:r>
        <w:r w:rsidR="005F00D4">
          <w:rPr>
            <w:noProof/>
            <w:webHidden/>
          </w:rPr>
          <w:t>79</w:t>
        </w:r>
        <w:r w:rsidR="00637325">
          <w:rPr>
            <w:noProof/>
            <w:webHidden/>
          </w:rPr>
          <w:fldChar w:fldCharType="end"/>
        </w:r>
      </w:hyperlink>
    </w:p>
    <w:p w14:paraId="2BDD2201"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19" w:history="1">
        <w:r w:rsidR="00637325" w:rsidRPr="00B13A92">
          <w:rPr>
            <w:rStyle w:val="Hyperlink"/>
            <w:rFonts w:ascii="Arial" w:hAnsi="Arial" w:cs="Arial"/>
            <w:noProof/>
          </w:rPr>
          <w:t xml:space="preserve">Figure 54. </w:t>
        </w:r>
        <w:r w:rsidR="00637325" w:rsidRPr="00B13A92">
          <w:rPr>
            <w:rStyle w:val="Hyperlink"/>
            <w:rFonts w:ascii="Arial" w:hAnsi="Arial" w:cs="Arial"/>
            <w:i/>
            <w:noProof/>
          </w:rPr>
          <w:t>Temporal trends in the Burdekin seagrass condition index and the indicators used to calculate the index</w:t>
        </w:r>
        <w:r w:rsidR="00637325">
          <w:rPr>
            <w:noProof/>
            <w:webHidden/>
          </w:rPr>
          <w:tab/>
        </w:r>
        <w:r w:rsidR="00637325">
          <w:rPr>
            <w:noProof/>
            <w:webHidden/>
          </w:rPr>
          <w:fldChar w:fldCharType="begin"/>
        </w:r>
        <w:r w:rsidR="00637325">
          <w:rPr>
            <w:noProof/>
            <w:webHidden/>
          </w:rPr>
          <w:instrText xml:space="preserve"> PAGEREF _Toc6402819 \h </w:instrText>
        </w:r>
        <w:r w:rsidR="00637325">
          <w:rPr>
            <w:noProof/>
            <w:webHidden/>
          </w:rPr>
        </w:r>
        <w:r w:rsidR="00637325">
          <w:rPr>
            <w:noProof/>
            <w:webHidden/>
          </w:rPr>
          <w:fldChar w:fldCharType="separate"/>
        </w:r>
        <w:r w:rsidR="005F00D4">
          <w:rPr>
            <w:noProof/>
            <w:webHidden/>
          </w:rPr>
          <w:t>81</w:t>
        </w:r>
        <w:r w:rsidR="00637325">
          <w:rPr>
            <w:noProof/>
            <w:webHidden/>
          </w:rPr>
          <w:fldChar w:fldCharType="end"/>
        </w:r>
      </w:hyperlink>
    </w:p>
    <w:p w14:paraId="5D6E4B71"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0" w:history="1">
        <w:r w:rsidR="00637325" w:rsidRPr="00B13A92">
          <w:rPr>
            <w:rStyle w:val="Hyperlink"/>
            <w:rFonts w:ascii="Arial" w:hAnsi="Arial" w:cs="Arial"/>
            <w:noProof/>
          </w:rPr>
          <w:t xml:space="preserve">Figure 55.  </w:t>
        </w:r>
        <w:r w:rsidR="00637325" w:rsidRPr="00B13A92">
          <w:rPr>
            <w:rStyle w:val="Hyperlink"/>
            <w:rFonts w:ascii="Arial" w:hAnsi="Arial" w:cs="Arial"/>
            <w:i/>
            <w:noProof/>
          </w:rPr>
          <w:t>Seagrass per cent cover measures per quadrat (sites pooled) and long-term trends, for each habitat monitored in the Burdekin NRM region from 2001 to 2018.</w:t>
        </w:r>
        <w:r w:rsidR="00637325">
          <w:rPr>
            <w:noProof/>
            <w:webHidden/>
          </w:rPr>
          <w:tab/>
        </w:r>
        <w:r w:rsidR="00637325">
          <w:rPr>
            <w:noProof/>
            <w:webHidden/>
          </w:rPr>
          <w:fldChar w:fldCharType="begin"/>
        </w:r>
        <w:r w:rsidR="00637325">
          <w:rPr>
            <w:noProof/>
            <w:webHidden/>
          </w:rPr>
          <w:instrText xml:space="preserve"> PAGEREF _Toc6402820 \h </w:instrText>
        </w:r>
        <w:r w:rsidR="00637325">
          <w:rPr>
            <w:noProof/>
            <w:webHidden/>
          </w:rPr>
        </w:r>
        <w:r w:rsidR="00637325">
          <w:rPr>
            <w:noProof/>
            <w:webHidden/>
          </w:rPr>
          <w:fldChar w:fldCharType="separate"/>
        </w:r>
        <w:r w:rsidR="005F00D4">
          <w:rPr>
            <w:noProof/>
            <w:webHidden/>
          </w:rPr>
          <w:t>82</w:t>
        </w:r>
        <w:r w:rsidR="00637325">
          <w:rPr>
            <w:noProof/>
            <w:webHidden/>
          </w:rPr>
          <w:fldChar w:fldCharType="end"/>
        </w:r>
      </w:hyperlink>
    </w:p>
    <w:p w14:paraId="6B51080A"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1" w:history="1">
        <w:r w:rsidR="00637325" w:rsidRPr="00B13A92">
          <w:rPr>
            <w:rStyle w:val="Hyperlink"/>
            <w:rFonts w:ascii="Arial" w:hAnsi="Arial" w:cs="Arial"/>
            <w:noProof/>
          </w:rPr>
          <w:t xml:space="preserve">Figure 56. </w:t>
        </w:r>
        <w:r w:rsidR="00637325" w:rsidRPr="00B13A92">
          <w:rPr>
            <w:rStyle w:val="Hyperlink"/>
            <w:rFonts w:ascii="Arial" w:hAnsi="Arial" w:cs="Arial"/>
            <w:i/>
            <w:noProof/>
          </w:rPr>
          <w:t>Proportion of seagrass abundance composed of colonising species at inshore habitats in the Burdekin region, 2001–2018.</w:t>
        </w:r>
        <w:r w:rsidR="00637325">
          <w:rPr>
            <w:noProof/>
            <w:webHidden/>
          </w:rPr>
          <w:tab/>
        </w:r>
        <w:r w:rsidR="00637325">
          <w:rPr>
            <w:noProof/>
            <w:webHidden/>
          </w:rPr>
          <w:fldChar w:fldCharType="begin"/>
        </w:r>
        <w:r w:rsidR="00637325">
          <w:rPr>
            <w:noProof/>
            <w:webHidden/>
          </w:rPr>
          <w:instrText xml:space="preserve"> PAGEREF _Toc6402821 \h </w:instrText>
        </w:r>
        <w:r w:rsidR="00637325">
          <w:rPr>
            <w:noProof/>
            <w:webHidden/>
          </w:rPr>
        </w:r>
        <w:r w:rsidR="00637325">
          <w:rPr>
            <w:noProof/>
            <w:webHidden/>
          </w:rPr>
          <w:fldChar w:fldCharType="separate"/>
        </w:r>
        <w:r w:rsidR="005F00D4">
          <w:rPr>
            <w:noProof/>
            <w:webHidden/>
          </w:rPr>
          <w:t>83</w:t>
        </w:r>
        <w:r w:rsidR="00637325">
          <w:rPr>
            <w:noProof/>
            <w:webHidden/>
          </w:rPr>
          <w:fldChar w:fldCharType="end"/>
        </w:r>
      </w:hyperlink>
    </w:p>
    <w:p w14:paraId="1EAE473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2" w:history="1">
        <w:r w:rsidR="00637325" w:rsidRPr="00B13A92">
          <w:rPr>
            <w:rStyle w:val="Hyperlink"/>
            <w:rFonts w:ascii="Arial" w:hAnsi="Arial" w:cs="Arial"/>
            <w:noProof/>
          </w:rPr>
          <w:t xml:space="preserve">Figure 57. </w:t>
        </w:r>
        <w:r w:rsidR="00637325" w:rsidRPr="00B13A92">
          <w:rPr>
            <w:rStyle w:val="Hyperlink"/>
            <w:rFonts w:ascii="Arial" w:hAnsi="Arial" w:cs="Arial"/>
            <w:i/>
            <w:noProof/>
          </w:rPr>
          <w:t>Change in spatial extent of seagrass meadows within monitoring sites for each inshore intertidal habitat and monitoring period across the Burdekin region, 2005–2018.</w:t>
        </w:r>
        <w:r w:rsidR="00637325">
          <w:rPr>
            <w:noProof/>
            <w:webHidden/>
          </w:rPr>
          <w:tab/>
        </w:r>
        <w:r w:rsidR="00637325">
          <w:rPr>
            <w:noProof/>
            <w:webHidden/>
          </w:rPr>
          <w:fldChar w:fldCharType="begin"/>
        </w:r>
        <w:r w:rsidR="00637325">
          <w:rPr>
            <w:noProof/>
            <w:webHidden/>
          </w:rPr>
          <w:instrText xml:space="preserve"> PAGEREF _Toc6402822 \h </w:instrText>
        </w:r>
        <w:r w:rsidR="00637325">
          <w:rPr>
            <w:noProof/>
            <w:webHidden/>
          </w:rPr>
        </w:r>
        <w:r w:rsidR="00637325">
          <w:rPr>
            <w:noProof/>
            <w:webHidden/>
          </w:rPr>
          <w:fldChar w:fldCharType="separate"/>
        </w:r>
        <w:r w:rsidR="005F00D4">
          <w:rPr>
            <w:noProof/>
            <w:webHidden/>
          </w:rPr>
          <w:t>83</w:t>
        </w:r>
        <w:r w:rsidR="00637325">
          <w:rPr>
            <w:noProof/>
            <w:webHidden/>
          </w:rPr>
          <w:fldChar w:fldCharType="end"/>
        </w:r>
      </w:hyperlink>
    </w:p>
    <w:p w14:paraId="1EEFE6A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3" w:history="1">
        <w:r w:rsidR="00637325" w:rsidRPr="00B13A92">
          <w:rPr>
            <w:rStyle w:val="Hyperlink"/>
            <w:rFonts w:ascii="Arial" w:hAnsi="Arial" w:cs="Arial"/>
            <w:noProof/>
          </w:rPr>
          <w:t xml:space="preserve">Figure 58. </w:t>
        </w:r>
        <w:r w:rsidR="00637325" w:rsidRPr="00B13A92">
          <w:rPr>
            <w:rStyle w:val="Hyperlink"/>
            <w:rFonts w:ascii="Arial" w:hAnsi="Arial" w:cs="Arial"/>
            <w:i/>
            <w:noProof/>
          </w:rPr>
          <w:t>Reproductive effort at inshore intertidal coast and reef and subtidal reef habitats in the Burdekin region.</w:t>
        </w:r>
        <w:r w:rsidR="00637325">
          <w:rPr>
            <w:noProof/>
            <w:webHidden/>
          </w:rPr>
          <w:tab/>
        </w:r>
        <w:r w:rsidR="00637325">
          <w:rPr>
            <w:noProof/>
            <w:webHidden/>
          </w:rPr>
          <w:fldChar w:fldCharType="begin"/>
        </w:r>
        <w:r w:rsidR="00637325">
          <w:rPr>
            <w:noProof/>
            <w:webHidden/>
          </w:rPr>
          <w:instrText xml:space="preserve"> PAGEREF _Toc6402823 \h </w:instrText>
        </w:r>
        <w:r w:rsidR="00637325">
          <w:rPr>
            <w:noProof/>
            <w:webHidden/>
          </w:rPr>
        </w:r>
        <w:r w:rsidR="00637325">
          <w:rPr>
            <w:noProof/>
            <w:webHidden/>
          </w:rPr>
          <w:fldChar w:fldCharType="separate"/>
        </w:r>
        <w:r w:rsidR="005F00D4">
          <w:rPr>
            <w:noProof/>
            <w:webHidden/>
          </w:rPr>
          <w:t>84</w:t>
        </w:r>
        <w:r w:rsidR="00637325">
          <w:rPr>
            <w:noProof/>
            <w:webHidden/>
          </w:rPr>
          <w:fldChar w:fldCharType="end"/>
        </w:r>
      </w:hyperlink>
    </w:p>
    <w:p w14:paraId="74712375"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4" w:history="1">
        <w:r w:rsidR="00637325" w:rsidRPr="00B13A92">
          <w:rPr>
            <w:rStyle w:val="Hyperlink"/>
            <w:rFonts w:ascii="Arial" w:hAnsi="Arial" w:cs="Arial"/>
            <w:noProof/>
          </w:rPr>
          <w:t xml:space="preserve">Figure 59. </w:t>
        </w:r>
        <w:r w:rsidR="00637325" w:rsidRPr="00B13A92">
          <w:rPr>
            <w:rStyle w:val="Hyperlink"/>
            <w:rFonts w:ascii="Arial" w:hAnsi="Arial" w:cs="Arial"/>
            <w:i/>
            <w:noProof/>
            <w:lang w:eastAsia="en-AU"/>
          </w:rPr>
          <w:t xml:space="preserve">Seagrass leaf tissue nutrient elemental ratios (C:N:P) and </w:t>
        </w:r>
        <w:r w:rsidR="00637325" w:rsidRPr="00B13A92">
          <w:rPr>
            <w:rStyle w:val="Hyperlink"/>
            <w:rFonts w:ascii="Arial" w:hAnsi="Arial" w:cs="Arial"/>
            <w:i/>
            <w:noProof/>
            <w:lang w:val="en-US"/>
          </w:rPr>
          <w:t>concentrations (</w:t>
        </w:r>
        <w:r w:rsidR="00637325" w:rsidRPr="00B13A92">
          <w:rPr>
            <w:rStyle w:val="Hyperlink"/>
            <w:rFonts w:ascii="Arial" w:hAnsi="Arial" w:cs="Arial"/>
            <w:i/>
            <w:noProof/>
            <w:lang w:eastAsia="en-AU"/>
          </w:rPr>
          <w:t xml:space="preserve">%N, %P,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13</w:t>
        </w:r>
        <w:r w:rsidR="00637325" w:rsidRPr="00B13A92">
          <w:rPr>
            <w:rStyle w:val="Hyperlink"/>
            <w:rFonts w:ascii="Arial" w:hAnsi="Arial" w:cs="Arial"/>
            <w:i/>
            <w:noProof/>
          </w:rPr>
          <w:t>C</w:t>
        </w:r>
        <w:r w:rsidR="00637325" w:rsidRPr="00B13A92">
          <w:rPr>
            <w:rStyle w:val="Hyperlink"/>
            <w:rFonts w:ascii="Arial" w:hAnsi="Arial" w:cs="Arial"/>
            <w:i/>
            <w:noProof/>
            <w:lang w:val="en-US"/>
          </w:rPr>
          <w:t xml:space="preserve"> and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15</w:t>
        </w:r>
        <w:r w:rsidR="00637325" w:rsidRPr="00B13A92">
          <w:rPr>
            <w:rStyle w:val="Hyperlink"/>
            <w:rFonts w:ascii="Arial" w:hAnsi="Arial" w:cs="Arial"/>
            <w:i/>
            <w:noProof/>
          </w:rPr>
          <w:t>N)</w:t>
        </w:r>
        <w:r w:rsidR="00637325" w:rsidRPr="00B13A92">
          <w:rPr>
            <w:rStyle w:val="Hyperlink"/>
            <w:rFonts w:ascii="Arial" w:hAnsi="Arial" w:cs="Arial"/>
            <w:i/>
            <w:noProof/>
            <w:lang w:val="en-US"/>
          </w:rPr>
          <w:t xml:space="preserve"> </w:t>
        </w:r>
        <w:r w:rsidR="00637325" w:rsidRPr="00B13A92">
          <w:rPr>
            <w:rStyle w:val="Hyperlink"/>
            <w:rFonts w:ascii="Arial" w:hAnsi="Arial" w:cs="Arial"/>
            <w:i/>
            <w:noProof/>
            <w:lang w:eastAsia="en-AU"/>
          </w:rPr>
          <w:t>for each habitat in the Burdekin region</w:t>
        </w:r>
        <w:r w:rsidR="00637325">
          <w:rPr>
            <w:noProof/>
            <w:webHidden/>
          </w:rPr>
          <w:tab/>
        </w:r>
        <w:r w:rsidR="00637325">
          <w:rPr>
            <w:noProof/>
            <w:webHidden/>
          </w:rPr>
          <w:fldChar w:fldCharType="begin"/>
        </w:r>
        <w:r w:rsidR="00637325">
          <w:rPr>
            <w:noProof/>
            <w:webHidden/>
          </w:rPr>
          <w:instrText xml:space="preserve"> PAGEREF _Toc6402824 \h </w:instrText>
        </w:r>
        <w:r w:rsidR="00637325">
          <w:rPr>
            <w:noProof/>
            <w:webHidden/>
          </w:rPr>
        </w:r>
        <w:r w:rsidR="00637325">
          <w:rPr>
            <w:noProof/>
            <w:webHidden/>
          </w:rPr>
          <w:fldChar w:fldCharType="separate"/>
        </w:r>
        <w:r w:rsidR="005F00D4">
          <w:rPr>
            <w:noProof/>
            <w:webHidden/>
          </w:rPr>
          <w:t>85</w:t>
        </w:r>
        <w:r w:rsidR="00637325">
          <w:rPr>
            <w:noProof/>
            <w:webHidden/>
          </w:rPr>
          <w:fldChar w:fldCharType="end"/>
        </w:r>
      </w:hyperlink>
    </w:p>
    <w:p w14:paraId="336A2A94"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5" w:history="1">
        <w:r w:rsidR="00637325" w:rsidRPr="00B13A92">
          <w:rPr>
            <w:rStyle w:val="Hyperlink"/>
            <w:rFonts w:ascii="Arial" w:hAnsi="Arial" w:cs="Arial"/>
            <w:noProof/>
          </w:rPr>
          <w:t xml:space="preserve">Figure 60. </w:t>
        </w:r>
        <w:r w:rsidR="00637325" w:rsidRPr="00B13A92">
          <w:rPr>
            <w:rStyle w:val="Hyperlink"/>
            <w:rFonts w:ascii="Arial" w:hAnsi="Arial" w:cs="Arial"/>
            <w:i/>
            <w:noProof/>
          </w:rPr>
          <w:t>Long-term trend in mean epiphyte and macroalgae abundance (% cover) relative to the long-term Reef average for each inshore seagrass habitat in the Burdekin region</w:t>
        </w:r>
        <w:r w:rsidR="00637325">
          <w:rPr>
            <w:noProof/>
            <w:webHidden/>
          </w:rPr>
          <w:tab/>
        </w:r>
        <w:r w:rsidR="00637325">
          <w:rPr>
            <w:noProof/>
            <w:webHidden/>
          </w:rPr>
          <w:fldChar w:fldCharType="begin"/>
        </w:r>
        <w:r w:rsidR="00637325">
          <w:rPr>
            <w:noProof/>
            <w:webHidden/>
          </w:rPr>
          <w:instrText xml:space="preserve"> PAGEREF _Toc6402825 \h </w:instrText>
        </w:r>
        <w:r w:rsidR="00637325">
          <w:rPr>
            <w:noProof/>
            <w:webHidden/>
          </w:rPr>
        </w:r>
        <w:r w:rsidR="00637325">
          <w:rPr>
            <w:noProof/>
            <w:webHidden/>
          </w:rPr>
          <w:fldChar w:fldCharType="separate"/>
        </w:r>
        <w:r w:rsidR="005F00D4">
          <w:rPr>
            <w:noProof/>
            <w:webHidden/>
          </w:rPr>
          <w:t>86</w:t>
        </w:r>
        <w:r w:rsidR="00637325">
          <w:rPr>
            <w:noProof/>
            <w:webHidden/>
          </w:rPr>
          <w:fldChar w:fldCharType="end"/>
        </w:r>
      </w:hyperlink>
    </w:p>
    <w:p w14:paraId="0AF038F9" w14:textId="3A5B08DB"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6" w:history="1">
        <w:r w:rsidR="00637325" w:rsidRPr="00B13A92">
          <w:rPr>
            <w:rStyle w:val="Hyperlink"/>
            <w:rFonts w:ascii="Arial" w:hAnsi="Arial" w:cs="Arial"/>
            <w:noProof/>
          </w:rPr>
          <w:t xml:space="preserve">Figure 61. </w:t>
        </w:r>
        <w:r w:rsidR="00637325" w:rsidRPr="00B13A92">
          <w:rPr>
            <w:rStyle w:val="Hyperlink"/>
            <w:rFonts w:ascii="Arial" w:hAnsi="Arial" w:cs="Arial"/>
            <w:i/>
            <w:noProof/>
          </w:rPr>
          <w:t xml:space="preserve">Report card of seagrass status indicators and index for the </w:t>
        </w:r>
        <w:r w:rsidR="00637325">
          <w:rPr>
            <w:rStyle w:val="Hyperlink"/>
            <w:rFonts w:ascii="Arial" w:hAnsi="Arial" w:cs="Arial"/>
            <w:i/>
            <w:noProof/>
          </w:rPr>
          <w:t>Mackay-Whitsunday</w:t>
        </w:r>
        <w:r w:rsidR="00637325" w:rsidRPr="00B13A92">
          <w:rPr>
            <w:rStyle w:val="Hyperlink"/>
            <w:rFonts w:ascii="Arial" w:hAnsi="Arial" w:cs="Arial"/>
            <w:i/>
            <w:noProof/>
          </w:rPr>
          <w:t xml:space="preserve"> NRM region</w:t>
        </w:r>
        <w:r w:rsidR="00637325">
          <w:rPr>
            <w:noProof/>
            <w:webHidden/>
          </w:rPr>
          <w:tab/>
        </w:r>
        <w:r w:rsidR="00637325">
          <w:rPr>
            <w:noProof/>
            <w:webHidden/>
          </w:rPr>
          <w:fldChar w:fldCharType="begin"/>
        </w:r>
        <w:r w:rsidR="00637325">
          <w:rPr>
            <w:noProof/>
            <w:webHidden/>
          </w:rPr>
          <w:instrText xml:space="preserve"> PAGEREF _Toc6402826 \h </w:instrText>
        </w:r>
        <w:r w:rsidR="00637325">
          <w:rPr>
            <w:noProof/>
            <w:webHidden/>
          </w:rPr>
        </w:r>
        <w:r w:rsidR="00637325">
          <w:rPr>
            <w:noProof/>
            <w:webHidden/>
          </w:rPr>
          <w:fldChar w:fldCharType="separate"/>
        </w:r>
        <w:r w:rsidR="005F00D4">
          <w:rPr>
            <w:noProof/>
            <w:webHidden/>
          </w:rPr>
          <w:t>87</w:t>
        </w:r>
        <w:r w:rsidR="00637325">
          <w:rPr>
            <w:noProof/>
            <w:webHidden/>
          </w:rPr>
          <w:fldChar w:fldCharType="end"/>
        </w:r>
      </w:hyperlink>
    </w:p>
    <w:p w14:paraId="3CC66DB1" w14:textId="3FE9A810"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7" w:history="1">
        <w:r w:rsidR="00637325" w:rsidRPr="00B13A92">
          <w:rPr>
            <w:rStyle w:val="Hyperlink"/>
            <w:rFonts w:ascii="Arial" w:hAnsi="Arial" w:cs="Arial"/>
            <w:noProof/>
          </w:rPr>
          <w:t xml:space="preserve">Figure 62. </w:t>
        </w:r>
        <w:r w:rsidR="00637325" w:rsidRPr="00B13A92">
          <w:rPr>
            <w:rStyle w:val="Hyperlink"/>
            <w:rFonts w:ascii="Arial" w:hAnsi="Arial" w:cs="Arial"/>
            <w:i/>
            <w:noProof/>
          </w:rPr>
          <w:t xml:space="preserve">Environmental pressures in the </w:t>
        </w:r>
        <w:r w:rsidR="00637325">
          <w:rPr>
            <w:rStyle w:val="Hyperlink"/>
            <w:rFonts w:ascii="Arial" w:hAnsi="Arial" w:cs="Arial"/>
            <w:i/>
            <w:noProof/>
          </w:rPr>
          <w:t>Mackay-Whitsunday</w:t>
        </w:r>
        <w:r w:rsidR="00637325" w:rsidRPr="00B13A92">
          <w:rPr>
            <w:rStyle w:val="Hyperlink"/>
            <w:rFonts w:ascii="Arial" w:hAnsi="Arial" w:cs="Arial"/>
            <w:i/>
            <w:noProof/>
          </w:rPr>
          <w:t xml:space="preserve"> NRM region</w:t>
        </w:r>
        <w:r w:rsidR="00637325">
          <w:rPr>
            <w:noProof/>
            <w:webHidden/>
          </w:rPr>
          <w:tab/>
        </w:r>
        <w:r w:rsidR="00637325">
          <w:rPr>
            <w:noProof/>
            <w:webHidden/>
          </w:rPr>
          <w:fldChar w:fldCharType="begin"/>
        </w:r>
        <w:r w:rsidR="00637325">
          <w:rPr>
            <w:noProof/>
            <w:webHidden/>
          </w:rPr>
          <w:instrText xml:space="preserve"> PAGEREF _Toc6402827 \h </w:instrText>
        </w:r>
        <w:r w:rsidR="00637325">
          <w:rPr>
            <w:noProof/>
            <w:webHidden/>
          </w:rPr>
        </w:r>
        <w:r w:rsidR="00637325">
          <w:rPr>
            <w:noProof/>
            <w:webHidden/>
          </w:rPr>
          <w:fldChar w:fldCharType="separate"/>
        </w:r>
        <w:r w:rsidR="005F00D4">
          <w:rPr>
            <w:noProof/>
            <w:webHidden/>
          </w:rPr>
          <w:t>89</w:t>
        </w:r>
        <w:r w:rsidR="00637325">
          <w:rPr>
            <w:noProof/>
            <w:webHidden/>
          </w:rPr>
          <w:fldChar w:fldCharType="end"/>
        </w:r>
      </w:hyperlink>
    </w:p>
    <w:p w14:paraId="236AF2D9" w14:textId="3BF972A8"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8" w:history="1">
        <w:r w:rsidR="00637325" w:rsidRPr="00B13A92">
          <w:rPr>
            <w:rStyle w:val="Hyperlink"/>
            <w:rFonts w:ascii="Arial" w:hAnsi="Arial" w:cs="Arial"/>
            <w:noProof/>
          </w:rPr>
          <w:t xml:space="preserve">Figure 63. </w:t>
        </w:r>
        <w:r w:rsidR="00637325" w:rsidRPr="00B13A92">
          <w:rPr>
            <w:rStyle w:val="Hyperlink"/>
            <w:rFonts w:ascii="Arial" w:hAnsi="Arial" w:cs="Arial"/>
            <w:i/>
            <w:noProof/>
          </w:rPr>
          <w:t xml:space="preserve">Temporal trends in the </w:t>
        </w:r>
        <w:r w:rsidR="00637325">
          <w:rPr>
            <w:rStyle w:val="Hyperlink"/>
            <w:rFonts w:ascii="Arial" w:hAnsi="Arial" w:cs="Arial"/>
            <w:i/>
            <w:noProof/>
          </w:rPr>
          <w:t>Mackay-Whitsunday</w:t>
        </w:r>
        <w:r w:rsidR="00637325" w:rsidRPr="00B13A92">
          <w:rPr>
            <w:rStyle w:val="Hyperlink"/>
            <w:rFonts w:ascii="Arial" w:hAnsi="Arial" w:cs="Arial"/>
            <w:i/>
            <w:noProof/>
          </w:rPr>
          <w:t xml:space="preserve"> seagrass condition index and the indicators used to calculate the index</w:t>
        </w:r>
        <w:r w:rsidR="00637325">
          <w:rPr>
            <w:noProof/>
            <w:webHidden/>
          </w:rPr>
          <w:tab/>
        </w:r>
        <w:r w:rsidR="00637325">
          <w:rPr>
            <w:noProof/>
            <w:webHidden/>
          </w:rPr>
          <w:fldChar w:fldCharType="begin"/>
        </w:r>
        <w:r w:rsidR="00637325">
          <w:rPr>
            <w:noProof/>
            <w:webHidden/>
          </w:rPr>
          <w:instrText xml:space="preserve"> PAGEREF _Toc6402828 \h </w:instrText>
        </w:r>
        <w:r w:rsidR="00637325">
          <w:rPr>
            <w:noProof/>
            <w:webHidden/>
          </w:rPr>
        </w:r>
        <w:r w:rsidR="00637325">
          <w:rPr>
            <w:noProof/>
            <w:webHidden/>
          </w:rPr>
          <w:fldChar w:fldCharType="separate"/>
        </w:r>
        <w:r w:rsidR="005F00D4">
          <w:rPr>
            <w:noProof/>
            <w:webHidden/>
          </w:rPr>
          <w:t>91</w:t>
        </w:r>
        <w:r w:rsidR="00637325">
          <w:rPr>
            <w:noProof/>
            <w:webHidden/>
          </w:rPr>
          <w:fldChar w:fldCharType="end"/>
        </w:r>
      </w:hyperlink>
    </w:p>
    <w:p w14:paraId="58F3369D" w14:textId="6BA79B05"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29" w:history="1">
        <w:r w:rsidR="00637325" w:rsidRPr="00B13A92">
          <w:rPr>
            <w:rStyle w:val="Hyperlink"/>
            <w:rFonts w:ascii="Arial" w:hAnsi="Arial" w:cs="Arial"/>
            <w:noProof/>
          </w:rPr>
          <w:t xml:space="preserve">Figure 64. </w:t>
        </w:r>
        <w:r w:rsidR="00637325" w:rsidRPr="00B13A92">
          <w:rPr>
            <w:rStyle w:val="Hyperlink"/>
            <w:rFonts w:ascii="Arial" w:hAnsi="Arial" w:cs="Arial"/>
            <w:i/>
            <w:noProof/>
          </w:rPr>
          <w:t xml:space="preserve">Seagrass per cent cover measures per quadrat (sites pooled) and long-term trends, for each habitat monitored in the </w:t>
        </w:r>
        <w:r w:rsidR="00637325">
          <w:rPr>
            <w:rStyle w:val="Hyperlink"/>
            <w:rFonts w:ascii="Arial" w:hAnsi="Arial" w:cs="Arial"/>
            <w:i/>
            <w:noProof/>
          </w:rPr>
          <w:t>Mackay-Whitsunday</w:t>
        </w:r>
        <w:r w:rsidR="00637325" w:rsidRPr="00B13A92">
          <w:rPr>
            <w:rStyle w:val="Hyperlink"/>
            <w:rFonts w:ascii="Arial" w:hAnsi="Arial" w:cs="Arial"/>
            <w:i/>
            <w:noProof/>
          </w:rPr>
          <w:t xml:space="preserve"> NRM region from 1999 to 2018.</w:t>
        </w:r>
        <w:r w:rsidR="00637325">
          <w:rPr>
            <w:noProof/>
            <w:webHidden/>
          </w:rPr>
          <w:tab/>
        </w:r>
        <w:r w:rsidR="00637325">
          <w:rPr>
            <w:noProof/>
            <w:webHidden/>
          </w:rPr>
          <w:fldChar w:fldCharType="begin"/>
        </w:r>
        <w:r w:rsidR="00637325">
          <w:rPr>
            <w:noProof/>
            <w:webHidden/>
          </w:rPr>
          <w:instrText xml:space="preserve"> PAGEREF _Toc6402829 \h </w:instrText>
        </w:r>
        <w:r w:rsidR="00637325">
          <w:rPr>
            <w:noProof/>
            <w:webHidden/>
          </w:rPr>
        </w:r>
        <w:r w:rsidR="00637325">
          <w:rPr>
            <w:noProof/>
            <w:webHidden/>
          </w:rPr>
          <w:fldChar w:fldCharType="separate"/>
        </w:r>
        <w:r w:rsidR="005F00D4">
          <w:rPr>
            <w:noProof/>
            <w:webHidden/>
          </w:rPr>
          <w:t>92</w:t>
        </w:r>
        <w:r w:rsidR="00637325">
          <w:rPr>
            <w:noProof/>
            <w:webHidden/>
          </w:rPr>
          <w:fldChar w:fldCharType="end"/>
        </w:r>
      </w:hyperlink>
    </w:p>
    <w:p w14:paraId="0582FF54" w14:textId="6004A20C"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0" w:history="1">
        <w:r w:rsidR="00637325" w:rsidRPr="00B13A92">
          <w:rPr>
            <w:rStyle w:val="Hyperlink"/>
            <w:rFonts w:ascii="Arial" w:hAnsi="Arial" w:cs="Arial"/>
            <w:noProof/>
          </w:rPr>
          <w:t xml:space="preserve">Figure 65. </w:t>
        </w:r>
        <w:r w:rsidR="00637325" w:rsidRPr="00B13A92">
          <w:rPr>
            <w:rStyle w:val="Hyperlink"/>
            <w:rFonts w:ascii="Arial" w:hAnsi="Arial" w:cs="Arial"/>
            <w:i/>
            <w:noProof/>
          </w:rPr>
          <w:t xml:space="preserve">Proportion of seagrass abundance composed of colonising species at inshore intertidal habitats in the </w:t>
        </w:r>
        <w:r w:rsidR="00637325">
          <w:rPr>
            <w:rStyle w:val="Hyperlink"/>
            <w:rFonts w:ascii="Arial" w:hAnsi="Arial" w:cs="Arial"/>
            <w:i/>
            <w:noProof/>
          </w:rPr>
          <w:t>Mackay-Whitsunday</w:t>
        </w:r>
        <w:r w:rsidR="00637325" w:rsidRPr="00B13A92">
          <w:rPr>
            <w:rStyle w:val="Hyperlink"/>
            <w:rFonts w:ascii="Arial" w:hAnsi="Arial" w:cs="Arial"/>
            <w:i/>
            <w:noProof/>
          </w:rPr>
          <w:t xml:space="preserve"> region, 1999–2018.</w:t>
        </w:r>
        <w:r w:rsidR="00637325">
          <w:rPr>
            <w:noProof/>
            <w:webHidden/>
          </w:rPr>
          <w:tab/>
        </w:r>
        <w:r w:rsidR="00637325">
          <w:rPr>
            <w:noProof/>
            <w:webHidden/>
          </w:rPr>
          <w:fldChar w:fldCharType="begin"/>
        </w:r>
        <w:r w:rsidR="00637325">
          <w:rPr>
            <w:noProof/>
            <w:webHidden/>
          </w:rPr>
          <w:instrText xml:space="preserve"> PAGEREF _Toc6402830 \h </w:instrText>
        </w:r>
        <w:r w:rsidR="00637325">
          <w:rPr>
            <w:noProof/>
            <w:webHidden/>
          </w:rPr>
        </w:r>
        <w:r w:rsidR="00637325">
          <w:rPr>
            <w:noProof/>
            <w:webHidden/>
          </w:rPr>
          <w:fldChar w:fldCharType="separate"/>
        </w:r>
        <w:r w:rsidR="005F00D4">
          <w:rPr>
            <w:noProof/>
            <w:webHidden/>
          </w:rPr>
          <w:t>93</w:t>
        </w:r>
        <w:r w:rsidR="00637325">
          <w:rPr>
            <w:noProof/>
            <w:webHidden/>
          </w:rPr>
          <w:fldChar w:fldCharType="end"/>
        </w:r>
      </w:hyperlink>
    </w:p>
    <w:p w14:paraId="0D89E846" w14:textId="4D166A5B"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1" w:history="1">
        <w:r w:rsidR="00637325" w:rsidRPr="00B13A92">
          <w:rPr>
            <w:rStyle w:val="Hyperlink"/>
            <w:rFonts w:ascii="Arial" w:hAnsi="Arial" w:cs="Arial"/>
            <w:noProof/>
          </w:rPr>
          <w:t>Figure 66.</w:t>
        </w:r>
        <w:r w:rsidR="00637325" w:rsidRPr="00B13A92">
          <w:rPr>
            <w:rStyle w:val="Hyperlink"/>
            <w:rFonts w:ascii="Arial" w:hAnsi="Arial" w:cs="Arial"/>
            <w:i/>
            <w:noProof/>
          </w:rPr>
          <w:t xml:space="preserve"> Change in spatial extent of seagrass meadows within monitoring sites for each inshore intertidal habitat and monitoring period across the </w:t>
        </w:r>
        <w:r w:rsidR="00637325">
          <w:rPr>
            <w:rStyle w:val="Hyperlink"/>
            <w:rFonts w:ascii="Arial" w:hAnsi="Arial" w:cs="Arial"/>
            <w:i/>
            <w:noProof/>
          </w:rPr>
          <w:t>Mackay-Whitsunday</w:t>
        </w:r>
        <w:r w:rsidR="00637325" w:rsidRPr="00B13A92">
          <w:rPr>
            <w:rStyle w:val="Hyperlink"/>
            <w:rFonts w:ascii="Arial" w:hAnsi="Arial" w:cs="Arial"/>
            <w:i/>
            <w:noProof/>
          </w:rPr>
          <w:t xml:space="preserve"> NRM region.</w:t>
        </w:r>
        <w:r w:rsidR="00637325">
          <w:rPr>
            <w:noProof/>
            <w:webHidden/>
          </w:rPr>
          <w:tab/>
        </w:r>
        <w:r w:rsidR="00637325">
          <w:rPr>
            <w:noProof/>
            <w:webHidden/>
          </w:rPr>
          <w:fldChar w:fldCharType="begin"/>
        </w:r>
        <w:r w:rsidR="00637325">
          <w:rPr>
            <w:noProof/>
            <w:webHidden/>
          </w:rPr>
          <w:instrText xml:space="preserve"> PAGEREF _Toc6402831 \h </w:instrText>
        </w:r>
        <w:r w:rsidR="00637325">
          <w:rPr>
            <w:noProof/>
            <w:webHidden/>
          </w:rPr>
        </w:r>
        <w:r w:rsidR="00637325">
          <w:rPr>
            <w:noProof/>
            <w:webHidden/>
          </w:rPr>
          <w:fldChar w:fldCharType="separate"/>
        </w:r>
        <w:r w:rsidR="005F00D4">
          <w:rPr>
            <w:noProof/>
            <w:webHidden/>
          </w:rPr>
          <w:t>93</w:t>
        </w:r>
        <w:r w:rsidR="00637325">
          <w:rPr>
            <w:noProof/>
            <w:webHidden/>
          </w:rPr>
          <w:fldChar w:fldCharType="end"/>
        </w:r>
      </w:hyperlink>
    </w:p>
    <w:p w14:paraId="7EA08617" w14:textId="0E5BC956"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2" w:history="1">
        <w:r w:rsidR="00637325" w:rsidRPr="00B13A92">
          <w:rPr>
            <w:rStyle w:val="Hyperlink"/>
            <w:rFonts w:ascii="Arial" w:hAnsi="Arial" w:cs="Arial"/>
            <w:noProof/>
          </w:rPr>
          <w:t xml:space="preserve">Figure 67. </w:t>
        </w:r>
        <w:r w:rsidR="00637325" w:rsidRPr="00B13A92">
          <w:rPr>
            <w:rStyle w:val="Hyperlink"/>
            <w:rFonts w:ascii="Arial" w:hAnsi="Arial" w:cs="Arial"/>
            <w:i/>
            <w:noProof/>
          </w:rPr>
          <w:t xml:space="preserve">Seed bank and reproductive effort at inshore intertidal coast, estuary, and reef habitats in the </w:t>
        </w:r>
        <w:r w:rsidR="00637325">
          <w:rPr>
            <w:rStyle w:val="Hyperlink"/>
            <w:rFonts w:ascii="Arial" w:hAnsi="Arial" w:cs="Arial"/>
            <w:i/>
            <w:noProof/>
          </w:rPr>
          <w:t>Mackay-Whitsunday</w:t>
        </w:r>
        <w:r w:rsidR="00637325" w:rsidRPr="00B13A92">
          <w:rPr>
            <w:rStyle w:val="Hyperlink"/>
            <w:rFonts w:ascii="Arial" w:hAnsi="Arial" w:cs="Arial"/>
            <w:i/>
            <w:noProof/>
          </w:rPr>
          <w:t xml:space="preserve"> region, 2001–2018.</w:t>
        </w:r>
        <w:r w:rsidR="00637325">
          <w:rPr>
            <w:noProof/>
            <w:webHidden/>
          </w:rPr>
          <w:tab/>
        </w:r>
        <w:r w:rsidR="00637325">
          <w:rPr>
            <w:noProof/>
            <w:webHidden/>
          </w:rPr>
          <w:fldChar w:fldCharType="begin"/>
        </w:r>
        <w:r w:rsidR="00637325">
          <w:rPr>
            <w:noProof/>
            <w:webHidden/>
          </w:rPr>
          <w:instrText xml:space="preserve"> PAGEREF _Toc6402832 \h </w:instrText>
        </w:r>
        <w:r w:rsidR="00637325">
          <w:rPr>
            <w:noProof/>
            <w:webHidden/>
          </w:rPr>
        </w:r>
        <w:r w:rsidR="00637325">
          <w:rPr>
            <w:noProof/>
            <w:webHidden/>
          </w:rPr>
          <w:fldChar w:fldCharType="separate"/>
        </w:r>
        <w:r w:rsidR="005F00D4">
          <w:rPr>
            <w:noProof/>
            <w:webHidden/>
          </w:rPr>
          <w:t>94</w:t>
        </w:r>
        <w:r w:rsidR="00637325">
          <w:rPr>
            <w:noProof/>
            <w:webHidden/>
          </w:rPr>
          <w:fldChar w:fldCharType="end"/>
        </w:r>
      </w:hyperlink>
    </w:p>
    <w:p w14:paraId="6F451730" w14:textId="43249160"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3" w:history="1">
        <w:r w:rsidR="00637325" w:rsidRPr="00B13A92">
          <w:rPr>
            <w:rStyle w:val="Hyperlink"/>
            <w:rFonts w:ascii="Arial" w:hAnsi="Arial" w:cs="Arial"/>
            <w:noProof/>
          </w:rPr>
          <w:t xml:space="preserve">Figure 68. </w:t>
        </w:r>
        <w:r w:rsidR="00637325" w:rsidRPr="00B13A92">
          <w:rPr>
            <w:rStyle w:val="Hyperlink"/>
            <w:rFonts w:ascii="Arial" w:hAnsi="Arial" w:cs="Arial"/>
            <w:i/>
            <w:noProof/>
            <w:lang w:eastAsia="en-AU"/>
          </w:rPr>
          <w:t xml:space="preserve">Seagrass leaf tissue nutrient elemental ratios (C:N:P) and </w:t>
        </w:r>
        <w:r w:rsidR="00637325" w:rsidRPr="00B13A92">
          <w:rPr>
            <w:rStyle w:val="Hyperlink"/>
            <w:rFonts w:ascii="Arial" w:hAnsi="Arial" w:cs="Arial"/>
            <w:i/>
            <w:noProof/>
            <w:lang w:val="en-US"/>
          </w:rPr>
          <w:t>concentrations (</w:t>
        </w:r>
        <w:r w:rsidR="00637325" w:rsidRPr="00B13A92">
          <w:rPr>
            <w:rStyle w:val="Hyperlink"/>
            <w:rFonts w:ascii="Arial" w:hAnsi="Arial" w:cs="Arial"/>
            <w:i/>
            <w:noProof/>
            <w:lang w:eastAsia="en-AU"/>
          </w:rPr>
          <w:t xml:space="preserve">%N, %P,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13</w:t>
        </w:r>
        <w:r w:rsidR="00637325" w:rsidRPr="00B13A92">
          <w:rPr>
            <w:rStyle w:val="Hyperlink"/>
            <w:rFonts w:ascii="Arial" w:hAnsi="Arial" w:cs="Arial"/>
            <w:i/>
            <w:noProof/>
          </w:rPr>
          <w:t>C</w:t>
        </w:r>
        <w:r w:rsidR="00637325" w:rsidRPr="00B13A92">
          <w:rPr>
            <w:rStyle w:val="Hyperlink"/>
            <w:rFonts w:ascii="Arial" w:hAnsi="Arial" w:cs="Arial"/>
            <w:i/>
            <w:noProof/>
            <w:lang w:val="en-US"/>
          </w:rPr>
          <w:t xml:space="preserve"> and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15</w:t>
        </w:r>
        <w:r w:rsidR="00637325" w:rsidRPr="00B13A92">
          <w:rPr>
            <w:rStyle w:val="Hyperlink"/>
            <w:rFonts w:ascii="Arial" w:hAnsi="Arial" w:cs="Arial"/>
            <w:i/>
            <w:noProof/>
          </w:rPr>
          <w:t>N)</w:t>
        </w:r>
        <w:r w:rsidR="00637325" w:rsidRPr="00B13A92">
          <w:rPr>
            <w:rStyle w:val="Hyperlink"/>
            <w:rFonts w:ascii="Arial" w:hAnsi="Arial" w:cs="Arial"/>
            <w:i/>
            <w:noProof/>
            <w:lang w:val="en-US"/>
          </w:rPr>
          <w:t xml:space="preserve"> </w:t>
        </w:r>
        <w:r w:rsidR="00637325" w:rsidRPr="00B13A92">
          <w:rPr>
            <w:rStyle w:val="Hyperlink"/>
            <w:rFonts w:ascii="Arial" w:hAnsi="Arial" w:cs="Arial"/>
            <w:i/>
            <w:noProof/>
            <w:lang w:eastAsia="en-AU"/>
          </w:rPr>
          <w:t xml:space="preserve">for each habitat in the </w:t>
        </w:r>
        <w:r w:rsidR="00637325">
          <w:rPr>
            <w:rStyle w:val="Hyperlink"/>
            <w:rFonts w:ascii="Arial" w:hAnsi="Arial" w:cs="Arial"/>
            <w:i/>
            <w:noProof/>
            <w:lang w:eastAsia="en-AU"/>
          </w:rPr>
          <w:t>Mackay-Whitsunday</w:t>
        </w:r>
        <w:r w:rsidR="00637325" w:rsidRPr="00B13A92">
          <w:rPr>
            <w:rStyle w:val="Hyperlink"/>
            <w:rFonts w:ascii="Arial" w:hAnsi="Arial" w:cs="Arial"/>
            <w:i/>
            <w:noProof/>
            <w:lang w:eastAsia="en-AU"/>
          </w:rPr>
          <w:t xml:space="preserve"> region</w:t>
        </w:r>
        <w:r w:rsidR="00637325">
          <w:rPr>
            <w:noProof/>
            <w:webHidden/>
          </w:rPr>
          <w:tab/>
        </w:r>
        <w:r w:rsidR="00637325">
          <w:rPr>
            <w:noProof/>
            <w:webHidden/>
          </w:rPr>
          <w:fldChar w:fldCharType="begin"/>
        </w:r>
        <w:r w:rsidR="00637325">
          <w:rPr>
            <w:noProof/>
            <w:webHidden/>
          </w:rPr>
          <w:instrText xml:space="preserve"> PAGEREF _Toc6402833 \h </w:instrText>
        </w:r>
        <w:r w:rsidR="00637325">
          <w:rPr>
            <w:noProof/>
            <w:webHidden/>
          </w:rPr>
        </w:r>
        <w:r w:rsidR="00637325">
          <w:rPr>
            <w:noProof/>
            <w:webHidden/>
          </w:rPr>
          <w:fldChar w:fldCharType="separate"/>
        </w:r>
        <w:r w:rsidR="005F00D4">
          <w:rPr>
            <w:noProof/>
            <w:webHidden/>
          </w:rPr>
          <w:t>95</w:t>
        </w:r>
        <w:r w:rsidR="00637325">
          <w:rPr>
            <w:noProof/>
            <w:webHidden/>
          </w:rPr>
          <w:fldChar w:fldCharType="end"/>
        </w:r>
      </w:hyperlink>
    </w:p>
    <w:p w14:paraId="48978FF0" w14:textId="629B7B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4" w:history="1">
        <w:r w:rsidR="00637325" w:rsidRPr="00B13A92">
          <w:rPr>
            <w:rStyle w:val="Hyperlink"/>
            <w:rFonts w:ascii="Arial" w:hAnsi="Arial" w:cs="Arial"/>
            <w:noProof/>
          </w:rPr>
          <w:t xml:space="preserve">Figure 69. </w:t>
        </w:r>
        <w:r w:rsidR="00637325" w:rsidRPr="00B13A92">
          <w:rPr>
            <w:rStyle w:val="Hyperlink"/>
            <w:rFonts w:ascii="Arial" w:hAnsi="Arial" w:cs="Arial"/>
            <w:i/>
            <w:noProof/>
          </w:rPr>
          <w:t xml:space="preserve">Long-term trend in mean epiphyte and macroalgae abundance (% cover) relative to the long-term average for each inshore intertidal habitat in the </w:t>
        </w:r>
        <w:r w:rsidR="00637325">
          <w:rPr>
            <w:rStyle w:val="Hyperlink"/>
            <w:rFonts w:ascii="Arial" w:hAnsi="Arial" w:cs="Arial"/>
            <w:i/>
            <w:noProof/>
          </w:rPr>
          <w:t>Mackay-Whitsunday</w:t>
        </w:r>
        <w:r w:rsidR="00637325" w:rsidRPr="00B13A92">
          <w:rPr>
            <w:rStyle w:val="Hyperlink"/>
            <w:rFonts w:ascii="Arial" w:hAnsi="Arial" w:cs="Arial"/>
            <w:i/>
            <w:noProof/>
          </w:rPr>
          <w:t xml:space="preserve"> region, 1999–2018</w:t>
        </w:r>
        <w:r w:rsidR="00637325">
          <w:rPr>
            <w:noProof/>
            <w:webHidden/>
          </w:rPr>
          <w:tab/>
        </w:r>
        <w:r w:rsidR="00637325">
          <w:rPr>
            <w:noProof/>
            <w:webHidden/>
          </w:rPr>
          <w:fldChar w:fldCharType="begin"/>
        </w:r>
        <w:r w:rsidR="00637325">
          <w:rPr>
            <w:noProof/>
            <w:webHidden/>
          </w:rPr>
          <w:instrText xml:space="preserve"> PAGEREF _Toc6402834 \h </w:instrText>
        </w:r>
        <w:r w:rsidR="00637325">
          <w:rPr>
            <w:noProof/>
            <w:webHidden/>
          </w:rPr>
        </w:r>
        <w:r w:rsidR="00637325">
          <w:rPr>
            <w:noProof/>
            <w:webHidden/>
          </w:rPr>
          <w:fldChar w:fldCharType="separate"/>
        </w:r>
        <w:r w:rsidR="005F00D4">
          <w:rPr>
            <w:noProof/>
            <w:webHidden/>
          </w:rPr>
          <w:t>96</w:t>
        </w:r>
        <w:r w:rsidR="00637325">
          <w:rPr>
            <w:noProof/>
            <w:webHidden/>
          </w:rPr>
          <w:fldChar w:fldCharType="end"/>
        </w:r>
      </w:hyperlink>
    </w:p>
    <w:p w14:paraId="7979BBA2"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5" w:history="1">
        <w:r w:rsidR="00637325" w:rsidRPr="00B13A92">
          <w:rPr>
            <w:rStyle w:val="Hyperlink"/>
            <w:rFonts w:ascii="Arial" w:hAnsi="Arial" w:cs="Arial"/>
            <w:noProof/>
          </w:rPr>
          <w:t xml:space="preserve">Figure 70. </w:t>
        </w:r>
        <w:r w:rsidR="00637325" w:rsidRPr="00B13A92">
          <w:rPr>
            <w:rStyle w:val="Hyperlink"/>
            <w:rFonts w:ascii="Arial" w:hAnsi="Arial" w:cs="Arial"/>
            <w:i/>
            <w:noProof/>
          </w:rPr>
          <w:t>Report card of seagrass status index and indicators for the Fitzroy NRM region</w:t>
        </w:r>
        <w:r w:rsidR="00637325">
          <w:rPr>
            <w:noProof/>
            <w:webHidden/>
          </w:rPr>
          <w:tab/>
        </w:r>
        <w:r w:rsidR="00637325">
          <w:rPr>
            <w:noProof/>
            <w:webHidden/>
          </w:rPr>
          <w:fldChar w:fldCharType="begin"/>
        </w:r>
        <w:r w:rsidR="00637325">
          <w:rPr>
            <w:noProof/>
            <w:webHidden/>
          </w:rPr>
          <w:instrText xml:space="preserve"> PAGEREF _Toc6402835 \h </w:instrText>
        </w:r>
        <w:r w:rsidR="00637325">
          <w:rPr>
            <w:noProof/>
            <w:webHidden/>
          </w:rPr>
        </w:r>
        <w:r w:rsidR="00637325">
          <w:rPr>
            <w:noProof/>
            <w:webHidden/>
          </w:rPr>
          <w:fldChar w:fldCharType="separate"/>
        </w:r>
        <w:r w:rsidR="005F00D4">
          <w:rPr>
            <w:noProof/>
            <w:webHidden/>
          </w:rPr>
          <w:t>97</w:t>
        </w:r>
        <w:r w:rsidR="00637325">
          <w:rPr>
            <w:noProof/>
            <w:webHidden/>
          </w:rPr>
          <w:fldChar w:fldCharType="end"/>
        </w:r>
      </w:hyperlink>
    </w:p>
    <w:p w14:paraId="4E2020B3"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6" w:history="1">
        <w:r w:rsidR="00637325" w:rsidRPr="00B13A92">
          <w:rPr>
            <w:rStyle w:val="Hyperlink"/>
            <w:rFonts w:ascii="Arial" w:hAnsi="Arial" w:cs="Arial"/>
            <w:noProof/>
          </w:rPr>
          <w:t xml:space="preserve">Figure 71. </w:t>
        </w:r>
        <w:r w:rsidR="00637325" w:rsidRPr="00B13A92">
          <w:rPr>
            <w:rStyle w:val="Hyperlink"/>
            <w:rFonts w:ascii="Arial" w:hAnsi="Arial" w:cs="Arial"/>
            <w:i/>
            <w:noProof/>
          </w:rPr>
          <w:t>Environmental pressures in the Fitzroy region</w:t>
        </w:r>
        <w:r w:rsidR="00637325">
          <w:rPr>
            <w:noProof/>
            <w:webHidden/>
          </w:rPr>
          <w:tab/>
        </w:r>
        <w:r w:rsidR="00637325">
          <w:rPr>
            <w:noProof/>
            <w:webHidden/>
          </w:rPr>
          <w:fldChar w:fldCharType="begin"/>
        </w:r>
        <w:r w:rsidR="00637325">
          <w:rPr>
            <w:noProof/>
            <w:webHidden/>
          </w:rPr>
          <w:instrText xml:space="preserve"> PAGEREF _Toc6402836 \h </w:instrText>
        </w:r>
        <w:r w:rsidR="00637325">
          <w:rPr>
            <w:noProof/>
            <w:webHidden/>
          </w:rPr>
        </w:r>
        <w:r w:rsidR="00637325">
          <w:rPr>
            <w:noProof/>
            <w:webHidden/>
          </w:rPr>
          <w:fldChar w:fldCharType="separate"/>
        </w:r>
        <w:r w:rsidR="005F00D4">
          <w:rPr>
            <w:noProof/>
            <w:webHidden/>
          </w:rPr>
          <w:t>99</w:t>
        </w:r>
        <w:r w:rsidR="00637325">
          <w:rPr>
            <w:noProof/>
            <w:webHidden/>
          </w:rPr>
          <w:fldChar w:fldCharType="end"/>
        </w:r>
      </w:hyperlink>
    </w:p>
    <w:p w14:paraId="41934DC4"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7" w:history="1">
        <w:r w:rsidR="00637325" w:rsidRPr="00B13A92">
          <w:rPr>
            <w:rStyle w:val="Hyperlink"/>
            <w:rFonts w:ascii="Arial" w:hAnsi="Arial" w:cs="Arial"/>
            <w:noProof/>
          </w:rPr>
          <w:t xml:space="preserve">Figure 72.  </w:t>
        </w:r>
        <w:r w:rsidR="00637325" w:rsidRPr="00B13A92">
          <w:rPr>
            <w:rStyle w:val="Hyperlink"/>
            <w:rFonts w:ascii="Arial" w:hAnsi="Arial" w:cs="Arial"/>
            <w:i/>
            <w:noProof/>
          </w:rPr>
          <w:t>Temporal trends in the Fitzroy seagrass condition index and the indicators used to calculate the index</w:t>
        </w:r>
        <w:r w:rsidR="00637325">
          <w:rPr>
            <w:noProof/>
            <w:webHidden/>
          </w:rPr>
          <w:tab/>
        </w:r>
        <w:r w:rsidR="00637325">
          <w:rPr>
            <w:noProof/>
            <w:webHidden/>
          </w:rPr>
          <w:fldChar w:fldCharType="begin"/>
        </w:r>
        <w:r w:rsidR="00637325">
          <w:rPr>
            <w:noProof/>
            <w:webHidden/>
          </w:rPr>
          <w:instrText xml:space="preserve"> PAGEREF _Toc6402837 \h </w:instrText>
        </w:r>
        <w:r w:rsidR="00637325">
          <w:rPr>
            <w:noProof/>
            <w:webHidden/>
          </w:rPr>
        </w:r>
        <w:r w:rsidR="00637325">
          <w:rPr>
            <w:noProof/>
            <w:webHidden/>
          </w:rPr>
          <w:fldChar w:fldCharType="separate"/>
        </w:r>
        <w:r w:rsidR="005F00D4">
          <w:rPr>
            <w:noProof/>
            <w:webHidden/>
          </w:rPr>
          <w:t>101</w:t>
        </w:r>
        <w:r w:rsidR="00637325">
          <w:rPr>
            <w:noProof/>
            <w:webHidden/>
          </w:rPr>
          <w:fldChar w:fldCharType="end"/>
        </w:r>
      </w:hyperlink>
    </w:p>
    <w:p w14:paraId="4B1B30C5"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8" w:history="1">
        <w:r w:rsidR="00637325" w:rsidRPr="00B13A92">
          <w:rPr>
            <w:rStyle w:val="Hyperlink"/>
            <w:rFonts w:ascii="Arial" w:hAnsi="Arial" w:cs="Arial"/>
            <w:noProof/>
          </w:rPr>
          <w:t xml:space="preserve">Figure 73. </w:t>
        </w:r>
        <w:r w:rsidR="00637325" w:rsidRPr="00B13A92">
          <w:rPr>
            <w:rStyle w:val="Hyperlink"/>
            <w:rFonts w:ascii="Arial" w:hAnsi="Arial" w:cs="Arial"/>
            <w:i/>
            <w:noProof/>
          </w:rPr>
          <w:t>Seagrass per cent cover measures per quadrat (sites pooled) and long-term trends, for each habitat monitored in the Fitzroy NRM region from 2002 to 2018.</w:t>
        </w:r>
        <w:r w:rsidR="00637325">
          <w:rPr>
            <w:noProof/>
            <w:webHidden/>
          </w:rPr>
          <w:tab/>
        </w:r>
        <w:r w:rsidR="00637325">
          <w:rPr>
            <w:noProof/>
            <w:webHidden/>
          </w:rPr>
          <w:fldChar w:fldCharType="begin"/>
        </w:r>
        <w:r w:rsidR="00637325">
          <w:rPr>
            <w:noProof/>
            <w:webHidden/>
          </w:rPr>
          <w:instrText xml:space="preserve"> PAGEREF _Toc6402838 \h </w:instrText>
        </w:r>
        <w:r w:rsidR="00637325">
          <w:rPr>
            <w:noProof/>
            <w:webHidden/>
          </w:rPr>
        </w:r>
        <w:r w:rsidR="00637325">
          <w:rPr>
            <w:noProof/>
            <w:webHidden/>
          </w:rPr>
          <w:fldChar w:fldCharType="separate"/>
        </w:r>
        <w:r w:rsidR="005F00D4">
          <w:rPr>
            <w:noProof/>
            <w:webHidden/>
          </w:rPr>
          <w:t>102</w:t>
        </w:r>
        <w:r w:rsidR="00637325">
          <w:rPr>
            <w:noProof/>
            <w:webHidden/>
          </w:rPr>
          <w:fldChar w:fldCharType="end"/>
        </w:r>
      </w:hyperlink>
    </w:p>
    <w:p w14:paraId="6D2AC3DD"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39" w:history="1">
        <w:r w:rsidR="00637325" w:rsidRPr="00B13A92">
          <w:rPr>
            <w:rStyle w:val="Hyperlink"/>
            <w:rFonts w:ascii="Arial" w:hAnsi="Arial" w:cs="Arial"/>
            <w:noProof/>
          </w:rPr>
          <w:t xml:space="preserve">Figure 74. </w:t>
        </w:r>
        <w:r w:rsidR="00637325" w:rsidRPr="00B13A92">
          <w:rPr>
            <w:rStyle w:val="Hyperlink"/>
            <w:rFonts w:ascii="Arial" w:hAnsi="Arial" w:cs="Arial"/>
            <w:i/>
            <w:noProof/>
          </w:rPr>
          <w:t>Proportion of seagrass abundance composed of colonising species in inshore intertidal habitats of the Fitzroy region, 2001–2018.</w:t>
        </w:r>
        <w:r w:rsidR="00637325">
          <w:rPr>
            <w:noProof/>
            <w:webHidden/>
          </w:rPr>
          <w:tab/>
        </w:r>
        <w:r w:rsidR="00637325">
          <w:rPr>
            <w:noProof/>
            <w:webHidden/>
          </w:rPr>
          <w:fldChar w:fldCharType="begin"/>
        </w:r>
        <w:r w:rsidR="00637325">
          <w:rPr>
            <w:noProof/>
            <w:webHidden/>
          </w:rPr>
          <w:instrText xml:space="preserve"> PAGEREF _Toc6402839 \h </w:instrText>
        </w:r>
        <w:r w:rsidR="00637325">
          <w:rPr>
            <w:noProof/>
            <w:webHidden/>
          </w:rPr>
        </w:r>
        <w:r w:rsidR="00637325">
          <w:rPr>
            <w:noProof/>
            <w:webHidden/>
          </w:rPr>
          <w:fldChar w:fldCharType="separate"/>
        </w:r>
        <w:r w:rsidR="005F00D4">
          <w:rPr>
            <w:noProof/>
            <w:webHidden/>
          </w:rPr>
          <w:t>103</w:t>
        </w:r>
        <w:r w:rsidR="00637325">
          <w:rPr>
            <w:noProof/>
            <w:webHidden/>
          </w:rPr>
          <w:fldChar w:fldCharType="end"/>
        </w:r>
      </w:hyperlink>
    </w:p>
    <w:p w14:paraId="1CA8EE5F"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0" w:history="1">
        <w:r w:rsidR="00637325" w:rsidRPr="00B13A92">
          <w:rPr>
            <w:rStyle w:val="Hyperlink"/>
            <w:rFonts w:ascii="Arial" w:hAnsi="Arial" w:cs="Arial"/>
            <w:noProof/>
          </w:rPr>
          <w:t xml:space="preserve">Figure 75. </w:t>
        </w:r>
        <w:r w:rsidR="00637325" w:rsidRPr="00B13A92">
          <w:rPr>
            <w:rStyle w:val="Hyperlink"/>
            <w:rFonts w:ascii="Arial" w:hAnsi="Arial" w:cs="Arial"/>
            <w:i/>
            <w:noProof/>
          </w:rPr>
          <w:t>Change in spatial extent of seagrass meadows within monitoring sites for each inshore intertidal habitat across the Fitzroy NRM region, 2005–2018.</w:t>
        </w:r>
        <w:r w:rsidR="00637325">
          <w:rPr>
            <w:noProof/>
            <w:webHidden/>
          </w:rPr>
          <w:tab/>
        </w:r>
        <w:r w:rsidR="00637325">
          <w:rPr>
            <w:noProof/>
            <w:webHidden/>
          </w:rPr>
          <w:fldChar w:fldCharType="begin"/>
        </w:r>
        <w:r w:rsidR="00637325">
          <w:rPr>
            <w:noProof/>
            <w:webHidden/>
          </w:rPr>
          <w:instrText xml:space="preserve"> PAGEREF _Toc6402840 \h </w:instrText>
        </w:r>
        <w:r w:rsidR="00637325">
          <w:rPr>
            <w:noProof/>
            <w:webHidden/>
          </w:rPr>
        </w:r>
        <w:r w:rsidR="00637325">
          <w:rPr>
            <w:noProof/>
            <w:webHidden/>
          </w:rPr>
          <w:fldChar w:fldCharType="separate"/>
        </w:r>
        <w:r w:rsidR="005F00D4">
          <w:rPr>
            <w:noProof/>
            <w:webHidden/>
          </w:rPr>
          <w:t>103</w:t>
        </w:r>
        <w:r w:rsidR="00637325">
          <w:rPr>
            <w:noProof/>
            <w:webHidden/>
          </w:rPr>
          <w:fldChar w:fldCharType="end"/>
        </w:r>
      </w:hyperlink>
    </w:p>
    <w:p w14:paraId="17CD7A5F"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1" w:history="1">
        <w:r w:rsidR="00637325" w:rsidRPr="00B13A92">
          <w:rPr>
            <w:rStyle w:val="Hyperlink"/>
            <w:rFonts w:ascii="Arial" w:hAnsi="Arial" w:cs="Arial"/>
            <w:noProof/>
          </w:rPr>
          <w:t>Figure 76.</w:t>
        </w:r>
        <w:r w:rsidR="00637325" w:rsidRPr="00B13A92">
          <w:rPr>
            <w:rStyle w:val="Hyperlink"/>
            <w:rFonts w:ascii="Arial" w:hAnsi="Arial" w:cs="Arial"/>
            <w:i/>
            <w:noProof/>
          </w:rPr>
          <w:t xml:space="preserve"> Reproductive effort for inshore intertidal coastal, estuary and reef habitats in the Fitzroy region, 2005–2017.</w:t>
        </w:r>
        <w:r w:rsidR="00637325">
          <w:rPr>
            <w:noProof/>
            <w:webHidden/>
          </w:rPr>
          <w:tab/>
        </w:r>
        <w:r w:rsidR="00637325">
          <w:rPr>
            <w:noProof/>
            <w:webHidden/>
          </w:rPr>
          <w:fldChar w:fldCharType="begin"/>
        </w:r>
        <w:r w:rsidR="00637325">
          <w:rPr>
            <w:noProof/>
            <w:webHidden/>
          </w:rPr>
          <w:instrText xml:space="preserve"> PAGEREF _Toc6402841 \h </w:instrText>
        </w:r>
        <w:r w:rsidR="00637325">
          <w:rPr>
            <w:noProof/>
            <w:webHidden/>
          </w:rPr>
        </w:r>
        <w:r w:rsidR="00637325">
          <w:rPr>
            <w:noProof/>
            <w:webHidden/>
          </w:rPr>
          <w:fldChar w:fldCharType="separate"/>
        </w:r>
        <w:r w:rsidR="005F00D4">
          <w:rPr>
            <w:noProof/>
            <w:webHidden/>
          </w:rPr>
          <w:t>104</w:t>
        </w:r>
        <w:r w:rsidR="00637325">
          <w:rPr>
            <w:noProof/>
            <w:webHidden/>
          </w:rPr>
          <w:fldChar w:fldCharType="end"/>
        </w:r>
      </w:hyperlink>
    </w:p>
    <w:p w14:paraId="40DC4968"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2" w:history="1">
        <w:r w:rsidR="00637325" w:rsidRPr="00B13A92">
          <w:rPr>
            <w:rStyle w:val="Hyperlink"/>
            <w:rFonts w:ascii="Arial" w:hAnsi="Arial" w:cs="Arial"/>
            <w:noProof/>
          </w:rPr>
          <w:t xml:space="preserve">Figure 77. </w:t>
        </w:r>
        <w:r w:rsidR="00637325" w:rsidRPr="00B13A92">
          <w:rPr>
            <w:rStyle w:val="Hyperlink"/>
            <w:rFonts w:ascii="Arial" w:hAnsi="Arial" w:cs="Arial"/>
            <w:i/>
            <w:noProof/>
            <w:lang w:eastAsia="en-AU"/>
          </w:rPr>
          <w:t xml:space="preserve">Seagrass leaf tissue nutrient elemental ratios (C:N:P) and </w:t>
        </w:r>
        <w:r w:rsidR="00637325" w:rsidRPr="00B13A92">
          <w:rPr>
            <w:rStyle w:val="Hyperlink"/>
            <w:rFonts w:ascii="Arial" w:hAnsi="Arial" w:cs="Arial"/>
            <w:i/>
            <w:noProof/>
            <w:lang w:val="en-US"/>
          </w:rPr>
          <w:t>concentrations (</w:t>
        </w:r>
        <w:r w:rsidR="00637325" w:rsidRPr="00B13A92">
          <w:rPr>
            <w:rStyle w:val="Hyperlink"/>
            <w:rFonts w:ascii="Arial" w:hAnsi="Arial" w:cs="Arial"/>
            <w:i/>
            <w:noProof/>
            <w:lang w:eastAsia="en-AU"/>
          </w:rPr>
          <w:t xml:space="preserve">%N, %P,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13</w:t>
        </w:r>
        <w:r w:rsidR="00637325" w:rsidRPr="00B13A92">
          <w:rPr>
            <w:rStyle w:val="Hyperlink"/>
            <w:rFonts w:ascii="Arial" w:hAnsi="Arial" w:cs="Arial"/>
            <w:i/>
            <w:noProof/>
          </w:rPr>
          <w:t>C</w:t>
        </w:r>
        <w:r w:rsidR="00637325" w:rsidRPr="00B13A92">
          <w:rPr>
            <w:rStyle w:val="Hyperlink"/>
            <w:rFonts w:ascii="Arial" w:hAnsi="Arial" w:cs="Arial"/>
            <w:i/>
            <w:noProof/>
            <w:lang w:val="en-US"/>
          </w:rPr>
          <w:t xml:space="preserve"> and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15</w:t>
        </w:r>
        <w:r w:rsidR="00637325" w:rsidRPr="00B13A92">
          <w:rPr>
            <w:rStyle w:val="Hyperlink"/>
            <w:rFonts w:ascii="Arial" w:hAnsi="Arial" w:cs="Arial"/>
            <w:i/>
            <w:noProof/>
          </w:rPr>
          <w:t>N)</w:t>
        </w:r>
        <w:r w:rsidR="00637325" w:rsidRPr="00B13A92">
          <w:rPr>
            <w:rStyle w:val="Hyperlink"/>
            <w:rFonts w:ascii="Arial" w:hAnsi="Arial" w:cs="Arial"/>
            <w:i/>
            <w:noProof/>
            <w:lang w:val="en-US"/>
          </w:rPr>
          <w:t xml:space="preserve"> </w:t>
        </w:r>
        <w:r w:rsidR="00637325" w:rsidRPr="00B13A92">
          <w:rPr>
            <w:rStyle w:val="Hyperlink"/>
            <w:rFonts w:ascii="Arial" w:hAnsi="Arial" w:cs="Arial"/>
            <w:i/>
            <w:noProof/>
            <w:lang w:eastAsia="en-AU"/>
          </w:rPr>
          <w:t>for each habitat in the Fitzroy region</w:t>
        </w:r>
        <w:r w:rsidR="00637325">
          <w:rPr>
            <w:noProof/>
            <w:webHidden/>
          </w:rPr>
          <w:tab/>
        </w:r>
        <w:r w:rsidR="00637325">
          <w:rPr>
            <w:noProof/>
            <w:webHidden/>
          </w:rPr>
          <w:fldChar w:fldCharType="begin"/>
        </w:r>
        <w:r w:rsidR="00637325">
          <w:rPr>
            <w:noProof/>
            <w:webHidden/>
          </w:rPr>
          <w:instrText xml:space="preserve"> PAGEREF _Toc6402842 \h </w:instrText>
        </w:r>
        <w:r w:rsidR="00637325">
          <w:rPr>
            <w:noProof/>
            <w:webHidden/>
          </w:rPr>
        </w:r>
        <w:r w:rsidR="00637325">
          <w:rPr>
            <w:noProof/>
            <w:webHidden/>
          </w:rPr>
          <w:fldChar w:fldCharType="separate"/>
        </w:r>
        <w:r w:rsidR="005F00D4">
          <w:rPr>
            <w:noProof/>
            <w:webHidden/>
          </w:rPr>
          <w:t>105</w:t>
        </w:r>
        <w:r w:rsidR="00637325">
          <w:rPr>
            <w:noProof/>
            <w:webHidden/>
          </w:rPr>
          <w:fldChar w:fldCharType="end"/>
        </w:r>
      </w:hyperlink>
    </w:p>
    <w:p w14:paraId="5DF8EBC7"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3" w:history="1">
        <w:r w:rsidR="00637325" w:rsidRPr="00B13A92">
          <w:rPr>
            <w:rStyle w:val="Hyperlink"/>
            <w:rFonts w:ascii="Arial" w:hAnsi="Arial" w:cs="Arial"/>
            <w:noProof/>
          </w:rPr>
          <w:t xml:space="preserve">Figure 78. </w:t>
        </w:r>
        <w:r w:rsidR="00637325" w:rsidRPr="00B13A92">
          <w:rPr>
            <w:rStyle w:val="Hyperlink"/>
            <w:rFonts w:ascii="Arial" w:hAnsi="Arial" w:cs="Arial"/>
            <w:i/>
            <w:noProof/>
          </w:rPr>
          <w:t>Long-term trend in mean epiphyte and macroalgae abundance (% cover) relative to the long-term average for each inshore intertidal seagrass habitat in the Fitzroy region, 2005–2018</w:t>
        </w:r>
        <w:r w:rsidR="00637325">
          <w:rPr>
            <w:noProof/>
            <w:webHidden/>
          </w:rPr>
          <w:tab/>
        </w:r>
        <w:r w:rsidR="00637325">
          <w:rPr>
            <w:noProof/>
            <w:webHidden/>
          </w:rPr>
          <w:fldChar w:fldCharType="begin"/>
        </w:r>
        <w:r w:rsidR="00637325">
          <w:rPr>
            <w:noProof/>
            <w:webHidden/>
          </w:rPr>
          <w:instrText xml:space="preserve"> PAGEREF _Toc6402843 \h </w:instrText>
        </w:r>
        <w:r w:rsidR="00637325">
          <w:rPr>
            <w:noProof/>
            <w:webHidden/>
          </w:rPr>
        </w:r>
        <w:r w:rsidR="00637325">
          <w:rPr>
            <w:noProof/>
            <w:webHidden/>
          </w:rPr>
          <w:fldChar w:fldCharType="separate"/>
        </w:r>
        <w:r w:rsidR="005F00D4">
          <w:rPr>
            <w:noProof/>
            <w:webHidden/>
          </w:rPr>
          <w:t>106</w:t>
        </w:r>
        <w:r w:rsidR="00637325">
          <w:rPr>
            <w:noProof/>
            <w:webHidden/>
          </w:rPr>
          <w:fldChar w:fldCharType="end"/>
        </w:r>
      </w:hyperlink>
    </w:p>
    <w:p w14:paraId="317A18B2"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4" w:history="1">
        <w:r w:rsidR="00637325" w:rsidRPr="00B13A92">
          <w:rPr>
            <w:rStyle w:val="Hyperlink"/>
            <w:rFonts w:ascii="Arial" w:hAnsi="Arial" w:cs="Arial"/>
            <w:noProof/>
          </w:rPr>
          <w:t xml:space="preserve">Figure 79. </w:t>
        </w:r>
        <w:r w:rsidR="00637325" w:rsidRPr="00B13A92">
          <w:rPr>
            <w:rStyle w:val="Hyperlink"/>
            <w:rFonts w:ascii="Arial" w:hAnsi="Arial" w:cs="Arial"/>
            <w:i/>
            <w:noProof/>
          </w:rPr>
          <w:t>Report card of seagrass index and indicators for the Burnett Mary region</w:t>
        </w:r>
        <w:r w:rsidR="00637325">
          <w:rPr>
            <w:noProof/>
            <w:webHidden/>
          </w:rPr>
          <w:tab/>
        </w:r>
        <w:r w:rsidR="00637325">
          <w:rPr>
            <w:noProof/>
            <w:webHidden/>
          </w:rPr>
          <w:fldChar w:fldCharType="begin"/>
        </w:r>
        <w:r w:rsidR="00637325">
          <w:rPr>
            <w:noProof/>
            <w:webHidden/>
          </w:rPr>
          <w:instrText xml:space="preserve"> PAGEREF _Toc6402844 \h </w:instrText>
        </w:r>
        <w:r w:rsidR="00637325">
          <w:rPr>
            <w:noProof/>
            <w:webHidden/>
          </w:rPr>
        </w:r>
        <w:r w:rsidR="00637325">
          <w:rPr>
            <w:noProof/>
            <w:webHidden/>
          </w:rPr>
          <w:fldChar w:fldCharType="separate"/>
        </w:r>
        <w:r w:rsidR="005F00D4">
          <w:rPr>
            <w:noProof/>
            <w:webHidden/>
          </w:rPr>
          <w:t>108</w:t>
        </w:r>
        <w:r w:rsidR="00637325">
          <w:rPr>
            <w:noProof/>
            <w:webHidden/>
          </w:rPr>
          <w:fldChar w:fldCharType="end"/>
        </w:r>
      </w:hyperlink>
    </w:p>
    <w:p w14:paraId="3412319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5" w:history="1">
        <w:r w:rsidR="00637325" w:rsidRPr="00B13A92">
          <w:rPr>
            <w:rStyle w:val="Hyperlink"/>
            <w:rFonts w:ascii="Arial" w:hAnsi="Arial" w:cs="Arial"/>
            <w:noProof/>
          </w:rPr>
          <w:t xml:space="preserve">Figure 80. </w:t>
        </w:r>
        <w:r w:rsidR="00637325" w:rsidRPr="00B13A92">
          <w:rPr>
            <w:rStyle w:val="Hyperlink"/>
            <w:rFonts w:ascii="Arial" w:hAnsi="Arial" w:cs="Arial"/>
            <w:i/>
            <w:noProof/>
          </w:rPr>
          <w:t>Environmental pressures in the Burnett Mary region</w:t>
        </w:r>
        <w:r w:rsidR="00637325">
          <w:rPr>
            <w:noProof/>
            <w:webHidden/>
          </w:rPr>
          <w:tab/>
        </w:r>
        <w:r w:rsidR="00637325">
          <w:rPr>
            <w:noProof/>
            <w:webHidden/>
          </w:rPr>
          <w:fldChar w:fldCharType="begin"/>
        </w:r>
        <w:r w:rsidR="00637325">
          <w:rPr>
            <w:noProof/>
            <w:webHidden/>
          </w:rPr>
          <w:instrText xml:space="preserve"> PAGEREF _Toc6402845 \h </w:instrText>
        </w:r>
        <w:r w:rsidR="00637325">
          <w:rPr>
            <w:noProof/>
            <w:webHidden/>
          </w:rPr>
        </w:r>
        <w:r w:rsidR="00637325">
          <w:rPr>
            <w:noProof/>
            <w:webHidden/>
          </w:rPr>
          <w:fldChar w:fldCharType="separate"/>
        </w:r>
        <w:r w:rsidR="005F00D4">
          <w:rPr>
            <w:noProof/>
            <w:webHidden/>
          </w:rPr>
          <w:t>109</w:t>
        </w:r>
        <w:r w:rsidR="00637325">
          <w:rPr>
            <w:noProof/>
            <w:webHidden/>
          </w:rPr>
          <w:fldChar w:fldCharType="end"/>
        </w:r>
      </w:hyperlink>
    </w:p>
    <w:p w14:paraId="390642C8"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6" w:history="1">
        <w:r w:rsidR="00637325" w:rsidRPr="00B13A92">
          <w:rPr>
            <w:rStyle w:val="Hyperlink"/>
            <w:rFonts w:ascii="Arial" w:hAnsi="Arial" w:cs="Arial"/>
            <w:noProof/>
          </w:rPr>
          <w:t xml:space="preserve">Figure 81.  </w:t>
        </w:r>
        <w:r w:rsidR="00637325" w:rsidRPr="00B13A92">
          <w:rPr>
            <w:rStyle w:val="Hyperlink"/>
            <w:rFonts w:ascii="Arial" w:hAnsi="Arial" w:cs="Arial"/>
            <w:i/>
            <w:noProof/>
          </w:rPr>
          <w:t>Temporal trends in the Burnett Mary seagrass condition index and the indicators used to calculate the index</w:t>
        </w:r>
        <w:r w:rsidR="00637325">
          <w:rPr>
            <w:noProof/>
            <w:webHidden/>
          </w:rPr>
          <w:tab/>
        </w:r>
        <w:r w:rsidR="00637325">
          <w:rPr>
            <w:noProof/>
            <w:webHidden/>
          </w:rPr>
          <w:fldChar w:fldCharType="begin"/>
        </w:r>
        <w:r w:rsidR="00637325">
          <w:rPr>
            <w:noProof/>
            <w:webHidden/>
          </w:rPr>
          <w:instrText xml:space="preserve"> PAGEREF _Toc6402846 \h </w:instrText>
        </w:r>
        <w:r w:rsidR="00637325">
          <w:rPr>
            <w:noProof/>
            <w:webHidden/>
          </w:rPr>
        </w:r>
        <w:r w:rsidR="00637325">
          <w:rPr>
            <w:noProof/>
            <w:webHidden/>
          </w:rPr>
          <w:fldChar w:fldCharType="separate"/>
        </w:r>
        <w:r w:rsidR="005F00D4">
          <w:rPr>
            <w:noProof/>
            <w:webHidden/>
          </w:rPr>
          <w:t>111</w:t>
        </w:r>
        <w:r w:rsidR="00637325">
          <w:rPr>
            <w:noProof/>
            <w:webHidden/>
          </w:rPr>
          <w:fldChar w:fldCharType="end"/>
        </w:r>
      </w:hyperlink>
    </w:p>
    <w:p w14:paraId="403CB7F7"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7" w:history="1">
        <w:r w:rsidR="00637325" w:rsidRPr="00B13A92">
          <w:rPr>
            <w:rStyle w:val="Hyperlink"/>
            <w:rFonts w:ascii="Arial" w:hAnsi="Arial" w:cs="Arial"/>
            <w:noProof/>
          </w:rPr>
          <w:t xml:space="preserve">Figure 82. </w:t>
        </w:r>
        <w:r w:rsidR="00637325" w:rsidRPr="00B13A92">
          <w:rPr>
            <w:rStyle w:val="Hyperlink"/>
            <w:rFonts w:ascii="Arial" w:hAnsi="Arial" w:cs="Arial"/>
            <w:i/>
            <w:noProof/>
          </w:rPr>
          <w:t>Seagrass per cent cover measures per quadrat (sites pooled) and long-term trends, for each habitat monitored in the Burnett Mary NRM region from 1999 to 2018.</w:t>
        </w:r>
        <w:r w:rsidR="00637325">
          <w:rPr>
            <w:noProof/>
            <w:webHidden/>
          </w:rPr>
          <w:tab/>
        </w:r>
        <w:r w:rsidR="00637325">
          <w:rPr>
            <w:noProof/>
            <w:webHidden/>
          </w:rPr>
          <w:fldChar w:fldCharType="begin"/>
        </w:r>
        <w:r w:rsidR="00637325">
          <w:rPr>
            <w:noProof/>
            <w:webHidden/>
          </w:rPr>
          <w:instrText xml:space="preserve"> PAGEREF _Toc6402847 \h </w:instrText>
        </w:r>
        <w:r w:rsidR="00637325">
          <w:rPr>
            <w:noProof/>
            <w:webHidden/>
          </w:rPr>
        </w:r>
        <w:r w:rsidR="00637325">
          <w:rPr>
            <w:noProof/>
            <w:webHidden/>
          </w:rPr>
          <w:fldChar w:fldCharType="separate"/>
        </w:r>
        <w:r w:rsidR="005F00D4">
          <w:rPr>
            <w:noProof/>
            <w:webHidden/>
          </w:rPr>
          <w:t>112</w:t>
        </w:r>
        <w:r w:rsidR="00637325">
          <w:rPr>
            <w:noProof/>
            <w:webHidden/>
          </w:rPr>
          <w:fldChar w:fldCharType="end"/>
        </w:r>
      </w:hyperlink>
    </w:p>
    <w:p w14:paraId="746A593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8" w:history="1">
        <w:r w:rsidR="00637325" w:rsidRPr="00B13A92">
          <w:rPr>
            <w:rStyle w:val="Hyperlink"/>
            <w:rFonts w:ascii="Arial" w:hAnsi="Arial" w:cs="Arial"/>
            <w:noProof/>
          </w:rPr>
          <w:t xml:space="preserve">Figure 83. </w:t>
        </w:r>
        <w:r w:rsidR="00637325" w:rsidRPr="00B13A92">
          <w:rPr>
            <w:rStyle w:val="Hyperlink"/>
            <w:rFonts w:ascii="Arial" w:hAnsi="Arial" w:cs="Arial"/>
            <w:i/>
            <w:noProof/>
          </w:rPr>
          <w:t>Proportion of seagrass abundance composed of colonising species at: a. estuary and b. coastal habitats in the Burnett Mary region, 1998–2018.</w:t>
        </w:r>
        <w:r w:rsidR="00637325">
          <w:rPr>
            <w:noProof/>
            <w:webHidden/>
          </w:rPr>
          <w:tab/>
        </w:r>
        <w:r w:rsidR="00637325">
          <w:rPr>
            <w:noProof/>
            <w:webHidden/>
          </w:rPr>
          <w:fldChar w:fldCharType="begin"/>
        </w:r>
        <w:r w:rsidR="00637325">
          <w:rPr>
            <w:noProof/>
            <w:webHidden/>
          </w:rPr>
          <w:instrText xml:space="preserve"> PAGEREF _Toc6402848 \h </w:instrText>
        </w:r>
        <w:r w:rsidR="00637325">
          <w:rPr>
            <w:noProof/>
            <w:webHidden/>
          </w:rPr>
        </w:r>
        <w:r w:rsidR="00637325">
          <w:rPr>
            <w:noProof/>
            <w:webHidden/>
          </w:rPr>
          <w:fldChar w:fldCharType="separate"/>
        </w:r>
        <w:r w:rsidR="005F00D4">
          <w:rPr>
            <w:noProof/>
            <w:webHidden/>
          </w:rPr>
          <w:t>112</w:t>
        </w:r>
        <w:r w:rsidR="00637325">
          <w:rPr>
            <w:noProof/>
            <w:webHidden/>
          </w:rPr>
          <w:fldChar w:fldCharType="end"/>
        </w:r>
      </w:hyperlink>
    </w:p>
    <w:p w14:paraId="2EEE898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49" w:history="1">
        <w:r w:rsidR="00637325" w:rsidRPr="00B13A92">
          <w:rPr>
            <w:rStyle w:val="Hyperlink"/>
            <w:rFonts w:ascii="Arial" w:hAnsi="Arial" w:cs="Arial"/>
            <w:noProof/>
            <w:lang w:val="en-US"/>
          </w:rPr>
          <w:t xml:space="preserve">Figure 84. </w:t>
        </w:r>
        <w:r w:rsidR="00637325" w:rsidRPr="00B13A92">
          <w:rPr>
            <w:rStyle w:val="Hyperlink"/>
            <w:rFonts w:ascii="Arial" w:hAnsi="Arial" w:cs="Arial"/>
            <w:i/>
            <w:noProof/>
            <w:lang w:val="en-US"/>
          </w:rPr>
          <w:t>Change in spatial extent of estuary seagrass meadows within monitoring sites for each habitat and monitoring period across the Burnett Mary NRM region.</w:t>
        </w:r>
        <w:r w:rsidR="00637325">
          <w:rPr>
            <w:noProof/>
            <w:webHidden/>
          </w:rPr>
          <w:tab/>
        </w:r>
        <w:r w:rsidR="00637325">
          <w:rPr>
            <w:noProof/>
            <w:webHidden/>
          </w:rPr>
          <w:fldChar w:fldCharType="begin"/>
        </w:r>
        <w:r w:rsidR="00637325">
          <w:rPr>
            <w:noProof/>
            <w:webHidden/>
          </w:rPr>
          <w:instrText xml:space="preserve"> PAGEREF _Toc6402849 \h </w:instrText>
        </w:r>
        <w:r w:rsidR="00637325">
          <w:rPr>
            <w:noProof/>
            <w:webHidden/>
          </w:rPr>
        </w:r>
        <w:r w:rsidR="00637325">
          <w:rPr>
            <w:noProof/>
            <w:webHidden/>
          </w:rPr>
          <w:fldChar w:fldCharType="separate"/>
        </w:r>
        <w:r w:rsidR="005F00D4">
          <w:rPr>
            <w:noProof/>
            <w:webHidden/>
          </w:rPr>
          <w:t>113</w:t>
        </w:r>
        <w:r w:rsidR="00637325">
          <w:rPr>
            <w:noProof/>
            <w:webHidden/>
          </w:rPr>
          <w:fldChar w:fldCharType="end"/>
        </w:r>
      </w:hyperlink>
    </w:p>
    <w:p w14:paraId="101F9A9A"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0" w:history="1">
        <w:r w:rsidR="00637325" w:rsidRPr="00B13A92">
          <w:rPr>
            <w:rStyle w:val="Hyperlink"/>
            <w:rFonts w:ascii="Arial" w:hAnsi="Arial" w:cs="Arial"/>
            <w:noProof/>
          </w:rPr>
          <w:t xml:space="preserve">Figure 85. </w:t>
        </w:r>
        <w:r w:rsidR="00637325" w:rsidRPr="00B13A92">
          <w:rPr>
            <w:rStyle w:val="Hyperlink"/>
            <w:rFonts w:ascii="Arial" w:hAnsi="Arial" w:cs="Arial"/>
            <w:i/>
            <w:noProof/>
          </w:rPr>
          <w:t>Burnett Mary estuary seed bank and reproductive effort.</w:t>
        </w:r>
        <w:r w:rsidR="00637325">
          <w:rPr>
            <w:noProof/>
            <w:webHidden/>
          </w:rPr>
          <w:tab/>
        </w:r>
        <w:r w:rsidR="00637325">
          <w:rPr>
            <w:noProof/>
            <w:webHidden/>
          </w:rPr>
          <w:fldChar w:fldCharType="begin"/>
        </w:r>
        <w:r w:rsidR="00637325">
          <w:rPr>
            <w:noProof/>
            <w:webHidden/>
          </w:rPr>
          <w:instrText xml:space="preserve"> PAGEREF _Toc6402850 \h </w:instrText>
        </w:r>
        <w:r w:rsidR="00637325">
          <w:rPr>
            <w:noProof/>
            <w:webHidden/>
          </w:rPr>
        </w:r>
        <w:r w:rsidR="00637325">
          <w:rPr>
            <w:noProof/>
            <w:webHidden/>
          </w:rPr>
          <w:fldChar w:fldCharType="separate"/>
        </w:r>
        <w:r w:rsidR="005F00D4">
          <w:rPr>
            <w:noProof/>
            <w:webHidden/>
          </w:rPr>
          <w:t>113</w:t>
        </w:r>
        <w:r w:rsidR="00637325">
          <w:rPr>
            <w:noProof/>
            <w:webHidden/>
          </w:rPr>
          <w:fldChar w:fldCharType="end"/>
        </w:r>
      </w:hyperlink>
    </w:p>
    <w:p w14:paraId="277AB826"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1" w:history="1">
        <w:r w:rsidR="00637325" w:rsidRPr="00B13A92">
          <w:rPr>
            <w:rStyle w:val="Hyperlink"/>
            <w:rFonts w:ascii="Arial" w:hAnsi="Arial" w:cs="Arial"/>
            <w:noProof/>
          </w:rPr>
          <w:t xml:space="preserve">Figure 86. </w:t>
        </w:r>
        <w:r w:rsidR="00637325" w:rsidRPr="00B13A92">
          <w:rPr>
            <w:rStyle w:val="Hyperlink"/>
            <w:rFonts w:ascii="Arial" w:hAnsi="Arial" w:cs="Arial"/>
            <w:i/>
            <w:noProof/>
            <w:lang w:eastAsia="en-AU"/>
          </w:rPr>
          <w:t xml:space="preserve">Seagrass leaf tissue nutrient elemental ratios (C:N:P) and </w:t>
        </w:r>
        <w:r w:rsidR="00637325" w:rsidRPr="00B13A92">
          <w:rPr>
            <w:rStyle w:val="Hyperlink"/>
            <w:rFonts w:ascii="Arial" w:hAnsi="Arial" w:cs="Arial"/>
            <w:i/>
            <w:noProof/>
            <w:lang w:val="en-US"/>
          </w:rPr>
          <w:t>concentrations (</w:t>
        </w:r>
        <w:r w:rsidR="00637325" w:rsidRPr="00B13A92">
          <w:rPr>
            <w:rStyle w:val="Hyperlink"/>
            <w:rFonts w:ascii="Arial" w:hAnsi="Arial" w:cs="Arial"/>
            <w:i/>
            <w:noProof/>
            <w:lang w:eastAsia="en-AU"/>
          </w:rPr>
          <w:t xml:space="preserve">%N, %P,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13</w:t>
        </w:r>
        <w:r w:rsidR="00637325" w:rsidRPr="00B13A92">
          <w:rPr>
            <w:rStyle w:val="Hyperlink"/>
            <w:rFonts w:ascii="Arial" w:hAnsi="Arial" w:cs="Arial"/>
            <w:i/>
            <w:noProof/>
          </w:rPr>
          <w:t>C</w:t>
        </w:r>
        <w:r w:rsidR="00637325" w:rsidRPr="00B13A92">
          <w:rPr>
            <w:rStyle w:val="Hyperlink"/>
            <w:rFonts w:ascii="Arial" w:hAnsi="Arial" w:cs="Arial"/>
            <w:i/>
            <w:noProof/>
            <w:lang w:val="en-US"/>
          </w:rPr>
          <w:t xml:space="preserve"> and </w:t>
        </w:r>
        <w:r w:rsidR="00637325" w:rsidRPr="00B13A92">
          <w:rPr>
            <w:rStyle w:val="Hyperlink"/>
            <w:rFonts w:ascii="Arial" w:hAnsi="Arial" w:cs="Arial"/>
            <w:i/>
            <w:noProof/>
          </w:rPr>
          <w:t>δ</w:t>
        </w:r>
        <w:r w:rsidR="00637325" w:rsidRPr="00B13A92">
          <w:rPr>
            <w:rStyle w:val="Hyperlink"/>
            <w:rFonts w:ascii="Arial" w:hAnsi="Arial" w:cs="Arial"/>
            <w:i/>
            <w:noProof/>
            <w:vertAlign w:val="superscript"/>
          </w:rPr>
          <w:t>15</w:t>
        </w:r>
        <w:r w:rsidR="00637325" w:rsidRPr="00B13A92">
          <w:rPr>
            <w:rStyle w:val="Hyperlink"/>
            <w:rFonts w:ascii="Arial" w:hAnsi="Arial" w:cs="Arial"/>
            <w:i/>
            <w:noProof/>
          </w:rPr>
          <w:t>N)</w:t>
        </w:r>
        <w:r w:rsidR="00637325" w:rsidRPr="00B13A92">
          <w:rPr>
            <w:rStyle w:val="Hyperlink"/>
            <w:rFonts w:ascii="Arial" w:hAnsi="Arial" w:cs="Arial"/>
            <w:i/>
            <w:noProof/>
            <w:lang w:val="en-US"/>
          </w:rPr>
          <w:t xml:space="preserve"> </w:t>
        </w:r>
        <w:r w:rsidR="00637325" w:rsidRPr="00B13A92">
          <w:rPr>
            <w:rStyle w:val="Hyperlink"/>
            <w:rFonts w:ascii="Arial" w:hAnsi="Arial" w:cs="Arial"/>
            <w:i/>
            <w:noProof/>
            <w:lang w:eastAsia="en-AU"/>
          </w:rPr>
          <w:t>for each habitat in the Burnett Mary region</w:t>
        </w:r>
        <w:r w:rsidR="00637325">
          <w:rPr>
            <w:noProof/>
            <w:webHidden/>
          </w:rPr>
          <w:tab/>
        </w:r>
        <w:r w:rsidR="00637325">
          <w:rPr>
            <w:noProof/>
            <w:webHidden/>
          </w:rPr>
          <w:fldChar w:fldCharType="begin"/>
        </w:r>
        <w:r w:rsidR="00637325">
          <w:rPr>
            <w:noProof/>
            <w:webHidden/>
          </w:rPr>
          <w:instrText xml:space="preserve"> PAGEREF _Toc6402851 \h </w:instrText>
        </w:r>
        <w:r w:rsidR="00637325">
          <w:rPr>
            <w:noProof/>
            <w:webHidden/>
          </w:rPr>
        </w:r>
        <w:r w:rsidR="00637325">
          <w:rPr>
            <w:noProof/>
            <w:webHidden/>
          </w:rPr>
          <w:fldChar w:fldCharType="separate"/>
        </w:r>
        <w:r w:rsidR="005F00D4">
          <w:rPr>
            <w:noProof/>
            <w:webHidden/>
          </w:rPr>
          <w:t>115</w:t>
        </w:r>
        <w:r w:rsidR="00637325">
          <w:rPr>
            <w:noProof/>
            <w:webHidden/>
          </w:rPr>
          <w:fldChar w:fldCharType="end"/>
        </w:r>
      </w:hyperlink>
    </w:p>
    <w:p w14:paraId="29F7581B"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2" w:history="1">
        <w:r w:rsidR="00637325" w:rsidRPr="00B13A92">
          <w:rPr>
            <w:rStyle w:val="Hyperlink"/>
            <w:rFonts w:ascii="Arial" w:hAnsi="Arial" w:cs="Arial"/>
            <w:noProof/>
          </w:rPr>
          <w:t xml:space="preserve">Figure 87. </w:t>
        </w:r>
        <w:r w:rsidR="00637325" w:rsidRPr="00B13A92">
          <w:rPr>
            <w:rStyle w:val="Hyperlink"/>
            <w:rFonts w:ascii="Arial" w:hAnsi="Arial" w:cs="Arial"/>
            <w:i/>
            <w:noProof/>
          </w:rPr>
          <w:t>Long-term trend in mean epiphyte and macroalgae abundance (% cover) relative to the long-term average for each seagrass habitat in the Burnett Mary NRM region</w:t>
        </w:r>
        <w:r w:rsidR="00637325">
          <w:rPr>
            <w:noProof/>
            <w:webHidden/>
          </w:rPr>
          <w:tab/>
        </w:r>
        <w:r w:rsidR="00637325">
          <w:rPr>
            <w:noProof/>
            <w:webHidden/>
          </w:rPr>
          <w:fldChar w:fldCharType="begin"/>
        </w:r>
        <w:r w:rsidR="00637325">
          <w:rPr>
            <w:noProof/>
            <w:webHidden/>
          </w:rPr>
          <w:instrText xml:space="preserve"> PAGEREF _Toc6402852 \h </w:instrText>
        </w:r>
        <w:r w:rsidR="00637325">
          <w:rPr>
            <w:noProof/>
            <w:webHidden/>
          </w:rPr>
        </w:r>
        <w:r w:rsidR="00637325">
          <w:rPr>
            <w:noProof/>
            <w:webHidden/>
          </w:rPr>
          <w:fldChar w:fldCharType="separate"/>
        </w:r>
        <w:r w:rsidR="005F00D4">
          <w:rPr>
            <w:noProof/>
            <w:webHidden/>
          </w:rPr>
          <w:t>115</w:t>
        </w:r>
        <w:r w:rsidR="00637325">
          <w:rPr>
            <w:noProof/>
            <w:webHidden/>
          </w:rPr>
          <w:fldChar w:fldCharType="end"/>
        </w:r>
      </w:hyperlink>
    </w:p>
    <w:p w14:paraId="10FBD688"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3" w:history="1">
        <w:r w:rsidR="00637325" w:rsidRPr="00B13A92">
          <w:rPr>
            <w:rStyle w:val="Hyperlink"/>
            <w:rFonts w:ascii="Arial" w:hAnsi="Arial" w:cs="Arial"/>
            <w:noProof/>
          </w:rPr>
          <w:t xml:space="preserve">Figure 88. </w:t>
        </w:r>
        <w:r w:rsidR="00637325" w:rsidRPr="00B13A92">
          <w:rPr>
            <w:rStyle w:val="Hyperlink"/>
            <w:rFonts w:ascii="Arial" w:hAnsi="Arial" w:cs="Arial"/>
            <w:i/>
            <w:noProof/>
          </w:rPr>
          <w:t>Summary of inshore seagrass state illustrating pressures, abundance of foundation / colonising species, seed banks and reproductive effort from 2005 to 2018</w:t>
        </w:r>
        <w:r w:rsidR="00637325">
          <w:rPr>
            <w:noProof/>
            <w:webHidden/>
          </w:rPr>
          <w:tab/>
        </w:r>
        <w:r w:rsidR="00637325">
          <w:rPr>
            <w:noProof/>
            <w:webHidden/>
          </w:rPr>
          <w:fldChar w:fldCharType="begin"/>
        </w:r>
        <w:r w:rsidR="00637325">
          <w:rPr>
            <w:noProof/>
            <w:webHidden/>
          </w:rPr>
          <w:instrText xml:space="preserve"> PAGEREF _Toc6402853 \h </w:instrText>
        </w:r>
        <w:r w:rsidR="00637325">
          <w:rPr>
            <w:noProof/>
            <w:webHidden/>
          </w:rPr>
        </w:r>
        <w:r w:rsidR="00637325">
          <w:rPr>
            <w:noProof/>
            <w:webHidden/>
          </w:rPr>
          <w:fldChar w:fldCharType="separate"/>
        </w:r>
        <w:r w:rsidR="005F00D4">
          <w:rPr>
            <w:noProof/>
            <w:webHidden/>
          </w:rPr>
          <w:t>120</w:t>
        </w:r>
        <w:r w:rsidR="00637325">
          <w:rPr>
            <w:noProof/>
            <w:webHidden/>
          </w:rPr>
          <w:fldChar w:fldCharType="end"/>
        </w:r>
      </w:hyperlink>
    </w:p>
    <w:p w14:paraId="2861E744"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4" w:history="1">
        <w:r w:rsidR="00637325" w:rsidRPr="00B13A92">
          <w:rPr>
            <w:rStyle w:val="Hyperlink"/>
            <w:rFonts w:ascii="Arial" w:hAnsi="Arial" w:cs="Arial"/>
            <w:noProof/>
          </w:rPr>
          <w:t>Figure 89. Variability importance ranking of the Random forest model for M4. Variables higher in the list are more important in predicting percent cover.</w:t>
        </w:r>
        <w:r w:rsidR="00637325">
          <w:rPr>
            <w:noProof/>
            <w:webHidden/>
          </w:rPr>
          <w:tab/>
        </w:r>
        <w:r w:rsidR="00637325">
          <w:rPr>
            <w:noProof/>
            <w:webHidden/>
          </w:rPr>
          <w:fldChar w:fldCharType="begin"/>
        </w:r>
        <w:r w:rsidR="00637325">
          <w:rPr>
            <w:noProof/>
            <w:webHidden/>
          </w:rPr>
          <w:instrText xml:space="preserve"> PAGEREF _Toc6402854 \h </w:instrText>
        </w:r>
        <w:r w:rsidR="00637325">
          <w:rPr>
            <w:noProof/>
            <w:webHidden/>
          </w:rPr>
        </w:r>
        <w:r w:rsidR="00637325">
          <w:rPr>
            <w:noProof/>
            <w:webHidden/>
          </w:rPr>
          <w:fldChar w:fldCharType="separate"/>
        </w:r>
        <w:r w:rsidR="005F00D4">
          <w:rPr>
            <w:noProof/>
            <w:webHidden/>
          </w:rPr>
          <w:t>145</w:t>
        </w:r>
        <w:r w:rsidR="00637325">
          <w:rPr>
            <w:noProof/>
            <w:webHidden/>
          </w:rPr>
          <w:fldChar w:fldCharType="end"/>
        </w:r>
      </w:hyperlink>
    </w:p>
    <w:p w14:paraId="4EF1D699"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5" w:history="1">
        <w:r w:rsidR="00637325" w:rsidRPr="00B13A92">
          <w:rPr>
            <w:rStyle w:val="Hyperlink"/>
            <w:rFonts w:ascii="Arial" w:hAnsi="Arial" w:cs="Arial"/>
            <w:noProof/>
          </w:rPr>
          <w:t xml:space="preserve">Figure 90. </w:t>
        </w:r>
        <w:r w:rsidR="00637325" w:rsidRPr="00B13A92">
          <w:rPr>
            <w:rStyle w:val="Hyperlink"/>
            <w:rFonts w:ascii="Arial" w:hAnsi="Arial" w:cs="Arial"/>
            <w:i/>
            <w:noProof/>
          </w:rPr>
          <w:t>Relationship between sample size and the error in estimation of percentile values for seagrass abundance ( % cover) in coastal and reef seagrass habitats in the Wet Tropics NRM.</w:t>
        </w:r>
        <w:r w:rsidR="00637325">
          <w:rPr>
            <w:noProof/>
            <w:webHidden/>
          </w:rPr>
          <w:tab/>
        </w:r>
        <w:r w:rsidR="00637325">
          <w:rPr>
            <w:noProof/>
            <w:webHidden/>
          </w:rPr>
          <w:fldChar w:fldCharType="begin"/>
        </w:r>
        <w:r w:rsidR="00637325">
          <w:rPr>
            <w:noProof/>
            <w:webHidden/>
          </w:rPr>
          <w:instrText xml:space="preserve"> PAGEREF _Toc6402855 \h </w:instrText>
        </w:r>
        <w:r w:rsidR="00637325">
          <w:rPr>
            <w:noProof/>
            <w:webHidden/>
          </w:rPr>
        </w:r>
        <w:r w:rsidR="00637325">
          <w:rPr>
            <w:noProof/>
            <w:webHidden/>
          </w:rPr>
          <w:fldChar w:fldCharType="separate"/>
        </w:r>
        <w:r w:rsidR="005F00D4">
          <w:rPr>
            <w:noProof/>
            <w:webHidden/>
          </w:rPr>
          <w:t>152</w:t>
        </w:r>
        <w:r w:rsidR="00637325">
          <w:rPr>
            <w:noProof/>
            <w:webHidden/>
          </w:rPr>
          <w:fldChar w:fldCharType="end"/>
        </w:r>
      </w:hyperlink>
    </w:p>
    <w:p w14:paraId="2EC27C95"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6" w:history="1">
        <w:r w:rsidR="00637325" w:rsidRPr="00B13A92">
          <w:rPr>
            <w:rStyle w:val="Hyperlink"/>
            <w:rFonts w:ascii="Arial" w:hAnsi="Arial" w:cs="Arial"/>
            <w:noProof/>
          </w:rPr>
          <w:t>Figure 91.</w:t>
        </w:r>
        <w:r w:rsidR="00637325" w:rsidRPr="00B13A92">
          <w:rPr>
            <w:rStyle w:val="Hyperlink"/>
            <w:rFonts w:ascii="Arial" w:hAnsi="Arial" w:cs="Arial"/>
            <w:i/>
            <w:noProof/>
          </w:rPr>
          <w:t xml:space="preserve"> Median seagrass abundance ( % cover) at Yule Point (left) and Green Island (right) plotted against the 50</w:t>
        </w:r>
        <w:r w:rsidR="00637325" w:rsidRPr="00B13A92">
          <w:rPr>
            <w:rStyle w:val="Hyperlink"/>
            <w:rFonts w:ascii="Arial" w:hAnsi="Arial" w:cs="Arial"/>
            <w:i/>
            <w:noProof/>
            <w:vertAlign w:val="superscript"/>
          </w:rPr>
          <w:t>th</w:t>
        </w:r>
        <w:r w:rsidR="00637325" w:rsidRPr="00B13A92">
          <w:rPr>
            <w:rStyle w:val="Hyperlink"/>
            <w:rFonts w:ascii="Arial" w:hAnsi="Arial" w:cs="Arial"/>
            <w:i/>
            <w:noProof/>
          </w:rPr>
          <w:t xml:space="preserve"> and 20</w:t>
        </w:r>
        <w:r w:rsidR="00637325" w:rsidRPr="00B13A92">
          <w:rPr>
            <w:rStyle w:val="Hyperlink"/>
            <w:rFonts w:ascii="Arial" w:hAnsi="Arial" w:cs="Arial"/>
            <w:i/>
            <w:noProof/>
            <w:vertAlign w:val="superscript"/>
          </w:rPr>
          <w:t>th</w:t>
        </w:r>
        <w:r w:rsidR="00637325" w:rsidRPr="00B13A92">
          <w:rPr>
            <w:rStyle w:val="Hyperlink"/>
            <w:rFonts w:ascii="Arial" w:hAnsi="Arial" w:cs="Arial"/>
            <w:i/>
            <w:noProof/>
          </w:rPr>
          <w:t xml:space="preserve"> percentiles for coastal and intertidal reef seagrass habitat in the Wet Tropics.</w:t>
        </w:r>
        <w:r w:rsidR="00637325">
          <w:rPr>
            <w:noProof/>
            <w:webHidden/>
          </w:rPr>
          <w:tab/>
        </w:r>
        <w:r w:rsidR="00637325">
          <w:rPr>
            <w:noProof/>
            <w:webHidden/>
          </w:rPr>
          <w:fldChar w:fldCharType="begin"/>
        </w:r>
        <w:r w:rsidR="00637325">
          <w:rPr>
            <w:noProof/>
            <w:webHidden/>
          </w:rPr>
          <w:instrText xml:space="preserve"> PAGEREF _Toc6402856 \h </w:instrText>
        </w:r>
        <w:r w:rsidR="00637325">
          <w:rPr>
            <w:noProof/>
            <w:webHidden/>
          </w:rPr>
        </w:r>
        <w:r w:rsidR="00637325">
          <w:rPr>
            <w:noProof/>
            <w:webHidden/>
          </w:rPr>
          <w:fldChar w:fldCharType="separate"/>
        </w:r>
        <w:r w:rsidR="005F00D4">
          <w:rPr>
            <w:noProof/>
            <w:webHidden/>
          </w:rPr>
          <w:t>153</w:t>
        </w:r>
        <w:r w:rsidR="00637325">
          <w:rPr>
            <w:noProof/>
            <w:webHidden/>
          </w:rPr>
          <w:fldChar w:fldCharType="end"/>
        </w:r>
      </w:hyperlink>
    </w:p>
    <w:p w14:paraId="7632212A"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7" w:history="1">
        <w:r w:rsidR="00637325" w:rsidRPr="00B13A92">
          <w:rPr>
            <w:rStyle w:val="Hyperlink"/>
            <w:rFonts w:ascii="Arial" w:hAnsi="Arial" w:cs="Arial"/>
            <w:noProof/>
            <w:lang w:val="en-GB"/>
          </w:rPr>
          <w:t xml:space="preserve">Figure 92. </w:t>
        </w:r>
        <w:r w:rsidR="00637325" w:rsidRPr="00B13A92">
          <w:rPr>
            <w:rStyle w:val="Hyperlink"/>
            <w:rFonts w:ascii="Arial" w:hAnsi="Arial" w:cs="Arial"/>
            <w:i/>
            <w:noProof/>
            <w:lang w:val="en-GB"/>
          </w:rPr>
          <w:t>Number of days wind speed is above 25 km hr</w:t>
        </w:r>
        <w:r w:rsidR="00637325" w:rsidRPr="00B13A92">
          <w:rPr>
            <w:rStyle w:val="Hyperlink"/>
            <w:rFonts w:ascii="Arial" w:hAnsi="Arial" w:cs="Arial"/>
            <w:i/>
            <w:noProof/>
            <w:vertAlign w:val="superscript"/>
            <w:lang w:val="en-GB"/>
          </w:rPr>
          <w:t>-1</w:t>
        </w:r>
        <w:r w:rsidR="00637325" w:rsidRPr="00B13A92">
          <w:rPr>
            <w:rStyle w:val="Hyperlink"/>
            <w:rFonts w:ascii="Arial" w:hAnsi="Arial" w:cs="Arial"/>
            <w:i/>
            <w:noProof/>
            <w:lang w:val="en-GB"/>
          </w:rPr>
          <w:t xml:space="preserve"> each monitoring period in the Cape York NRM region.</w:t>
        </w:r>
        <w:r w:rsidR="00637325">
          <w:rPr>
            <w:noProof/>
            <w:webHidden/>
          </w:rPr>
          <w:tab/>
        </w:r>
        <w:r w:rsidR="00637325">
          <w:rPr>
            <w:noProof/>
            <w:webHidden/>
          </w:rPr>
          <w:fldChar w:fldCharType="begin"/>
        </w:r>
        <w:r w:rsidR="00637325">
          <w:rPr>
            <w:noProof/>
            <w:webHidden/>
          </w:rPr>
          <w:instrText xml:space="preserve"> PAGEREF _Toc6402857 \h </w:instrText>
        </w:r>
        <w:r w:rsidR="00637325">
          <w:rPr>
            <w:noProof/>
            <w:webHidden/>
          </w:rPr>
        </w:r>
        <w:r w:rsidR="00637325">
          <w:rPr>
            <w:noProof/>
            <w:webHidden/>
          </w:rPr>
          <w:fldChar w:fldCharType="separate"/>
        </w:r>
        <w:r w:rsidR="005F00D4">
          <w:rPr>
            <w:noProof/>
            <w:webHidden/>
          </w:rPr>
          <w:t>162</w:t>
        </w:r>
        <w:r w:rsidR="00637325">
          <w:rPr>
            <w:noProof/>
            <w:webHidden/>
          </w:rPr>
          <w:fldChar w:fldCharType="end"/>
        </w:r>
      </w:hyperlink>
    </w:p>
    <w:p w14:paraId="7C2F3B92"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8" w:history="1">
        <w:r w:rsidR="00637325" w:rsidRPr="00B13A92">
          <w:rPr>
            <w:rStyle w:val="Hyperlink"/>
            <w:rFonts w:ascii="Arial" w:hAnsi="Arial" w:cs="Arial"/>
            <w:noProof/>
          </w:rPr>
          <w:t xml:space="preserve">Figure 93. </w:t>
        </w:r>
        <w:r w:rsidR="00637325" w:rsidRPr="00B13A92">
          <w:rPr>
            <w:rStyle w:val="Hyperlink"/>
            <w:rFonts w:ascii="Arial" w:hAnsi="Arial" w:cs="Arial"/>
            <w:i/>
            <w:noProof/>
          </w:rPr>
          <w:t>Number of days wind speed is above 25 km hr</w:t>
        </w:r>
        <w:r w:rsidR="00637325" w:rsidRPr="00B13A92">
          <w:rPr>
            <w:rStyle w:val="Hyperlink"/>
            <w:rFonts w:ascii="Arial" w:hAnsi="Arial" w:cs="Arial"/>
            <w:i/>
            <w:noProof/>
            <w:vertAlign w:val="superscript"/>
          </w:rPr>
          <w:t>-1</w:t>
        </w:r>
        <w:r w:rsidR="00637325" w:rsidRPr="00B13A92">
          <w:rPr>
            <w:rStyle w:val="Hyperlink"/>
            <w:rFonts w:ascii="Arial" w:hAnsi="Arial" w:cs="Arial"/>
            <w:i/>
            <w:noProof/>
          </w:rPr>
          <w:t xml:space="preserve"> each monitoring period in the Wet Tropics NRM region.</w:t>
        </w:r>
        <w:r w:rsidR="00637325">
          <w:rPr>
            <w:noProof/>
            <w:webHidden/>
          </w:rPr>
          <w:tab/>
        </w:r>
        <w:r w:rsidR="00637325">
          <w:rPr>
            <w:noProof/>
            <w:webHidden/>
          </w:rPr>
          <w:fldChar w:fldCharType="begin"/>
        </w:r>
        <w:r w:rsidR="00637325">
          <w:rPr>
            <w:noProof/>
            <w:webHidden/>
          </w:rPr>
          <w:instrText xml:space="preserve"> PAGEREF _Toc6402858 \h </w:instrText>
        </w:r>
        <w:r w:rsidR="00637325">
          <w:rPr>
            <w:noProof/>
            <w:webHidden/>
          </w:rPr>
        </w:r>
        <w:r w:rsidR="00637325">
          <w:rPr>
            <w:noProof/>
            <w:webHidden/>
          </w:rPr>
          <w:fldChar w:fldCharType="separate"/>
        </w:r>
        <w:r w:rsidR="005F00D4">
          <w:rPr>
            <w:noProof/>
            <w:webHidden/>
          </w:rPr>
          <w:t>162</w:t>
        </w:r>
        <w:r w:rsidR="00637325">
          <w:rPr>
            <w:noProof/>
            <w:webHidden/>
          </w:rPr>
          <w:fldChar w:fldCharType="end"/>
        </w:r>
      </w:hyperlink>
    </w:p>
    <w:p w14:paraId="3B0D3ED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59" w:history="1">
        <w:r w:rsidR="00637325" w:rsidRPr="00B13A92">
          <w:rPr>
            <w:rStyle w:val="Hyperlink"/>
            <w:rFonts w:ascii="Arial" w:hAnsi="Arial" w:cs="Arial"/>
            <w:noProof/>
            <w:lang w:val="en-GB"/>
          </w:rPr>
          <w:t xml:space="preserve">Figure 94. </w:t>
        </w:r>
        <w:r w:rsidR="00637325" w:rsidRPr="00B13A92">
          <w:rPr>
            <w:rStyle w:val="Hyperlink"/>
            <w:rFonts w:ascii="Arial" w:hAnsi="Arial" w:cs="Arial"/>
            <w:i/>
            <w:noProof/>
            <w:lang w:val="en-GB"/>
          </w:rPr>
          <w:t>Number of days wind speed is above 25 km hr</w:t>
        </w:r>
        <w:r w:rsidR="00637325" w:rsidRPr="00B13A92">
          <w:rPr>
            <w:rStyle w:val="Hyperlink"/>
            <w:rFonts w:ascii="Arial" w:hAnsi="Arial" w:cs="Arial"/>
            <w:i/>
            <w:noProof/>
            <w:vertAlign w:val="superscript"/>
            <w:lang w:val="en-GB"/>
          </w:rPr>
          <w:t>-1</w:t>
        </w:r>
        <w:r w:rsidR="00637325" w:rsidRPr="00B13A92">
          <w:rPr>
            <w:rStyle w:val="Hyperlink"/>
            <w:rFonts w:ascii="Arial" w:hAnsi="Arial" w:cs="Arial"/>
            <w:i/>
            <w:noProof/>
            <w:lang w:val="en-GB"/>
          </w:rPr>
          <w:t xml:space="preserve"> each monitoring period in the Burdekin NRM region.</w:t>
        </w:r>
        <w:r w:rsidR="00637325">
          <w:rPr>
            <w:noProof/>
            <w:webHidden/>
          </w:rPr>
          <w:tab/>
        </w:r>
        <w:r w:rsidR="00637325">
          <w:rPr>
            <w:noProof/>
            <w:webHidden/>
          </w:rPr>
          <w:fldChar w:fldCharType="begin"/>
        </w:r>
        <w:r w:rsidR="00637325">
          <w:rPr>
            <w:noProof/>
            <w:webHidden/>
          </w:rPr>
          <w:instrText xml:space="preserve"> PAGEREF _Toc6402859 \h </w:instrText>
        </w:r>
        <w:r w:rsidR="00637325">
          <w:rPr>
            <w:noProof/>
            <w:webHidden/>
          </w:rPr>
        </w:r>
        <w:r w:rsidR="00637325">
          <w:rPr>
            <w:noProof/>
            <w:webHidden/>
          </w:rPr>
          <w:fldChar w:fldCharType="separate"/>
        </w:r>
        <w:r w:rsidR="005F00D4">
          <w:rPr>
            <w:noProof/>
            <w:webHidden/>
          </w:rPr>
          <w:t>163</w:t>
        </w:r>
        <w:r w:rsidR="00637325">
          <w:rPr>
            <w:noProof/>
            <w:webHidden/>
          </w:rPr>
          <w:fldChar w:fldCharType="end"/>
        </w:r>
      </w:hyperlink>
    </w:p>
    <w:p w14:paraId="06314A47" w14:textId="7F259DCB"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0" w:history="1">
        <w:r w:rsidR="00637325" w:rsidRPr="00B13A92">
          <w:rPr>
            <w:rStyle w:val="Hyperlink"/>
            <w:rFonts w:ascii="Arial" w:hAnsi="Arial" w:cs="Arial"/>
            <w:noProof/>
            <w:lang w:val="en-GB"/>
          </w:rPr>
          <w:t xml:space="preserve">Figure 95. </w:t>
        </w:r>
        <w:r w:rsidR="00637325" w:rsidRPr="00B13A92">
          <w:rPr>
            <w:rStyle w:val="Hyperlink"/>
            <w:rFonts w:ascii="Arial" w:hAnsi="Arial" w:cs="Arial"/>
            <w:i/>
            <w:noProof/>
            <w:lang w:val="en-GB"/>
          </w:rPr>
          <w:t>Number of days wind speed is above 25 km hr</w:t>
        </w:r>
        <w:r w:rsidR="00637325" w:rsidRPr="00B13A92">
          <w:rPr>
            <w:rStyle w:val="Hyperlink"/>
            <w:rFonts w:ascii="Arial" w:hAnsi="Arial" w:cs="Arial"/>
            <w:i/>
            <w:noProof/>
            <w:vertAlign w:val="superscript"/>
            <w:lang w:val="en-GB"/>
          </w:rPr>
          <w:t>-1</w:t>
        </w:r>
        <w:r w:rsidR="00637325" w:rsidRPr="00B13A92">
          <w:rPr>
            <w:rStyle w:val="Hyperlink"/>
            <w:rFonts w:ascii="Arial" w:hAnsi="Arial" w:cs="Arial"/>
            <w:i/>
            <w:noProof/>
            <w:lang w:val="en-GB"/>
          </w:rPr>
          <w:t xml:space="preserve"> each monitoring period in the </w:t>
        </w:r>
        <w:r w:rsidR="00637325">
          <w:rPr>
            <w:rStyle w:val="Hyperlink"/>
            <w:rFonts w:ascii="Arial" w:hAnsi="Arial" w:cs="Arial"/>
            <w:i/>
            <w:noProof/>
            <w:lang w:val="en-GB"/>
          </w:rPr>
          <w:t>Mackay-Whitsunday</w:t>
        </w:r>
        <w:r w:rsidR="00637325" w:rsidRPr="00B13A92">
          <w:rPr>
            <w:rStyle w:val="Hyperlink"/>
            <w:rFonts w:ascii="Arial" w:hAnsi="Arial" w:cs="Arial"/>
            <w:i/>
            <w:noProof/>
            <w:lang w:val="en-GB"/>
          </w:rPr>
          <w:t xml:space="preserve"> NRM region.</w:t>
        </w:r>
        <w:r w:rsidR="00637325">
          <w:rPr>
            <w:noProof/>
            <w:webHidden/>
          </w:rPr>
          <w:tab/>
        </w:r>
        <w:r w:rsidR="00637325">
          <w:rPr>
            <w:noProof/>
            <w:webHidden/>
          </w:rPr>
          <w:fldChar w:fldCharType="begin"/>
        </w:r>
        <w:r w:rsidR="00637325">
          <w:rPr>
            <w:noProof/>
            <w:webHidden/>
          </w:rPr>
          <w:instrText xml:space="preserve"> PAGEREF _Toc6402860 \h </w:instrText>
        </w:r>
        <w:r w:rsidR="00637325">
          <w:rPr>
            <w:noProof/>
            <w:webHidden/>
          </w:rPr>
        </w:r>
        <w:r w:rsidR="00637325">
          <w:rPr>
            <w:noProof/>
            <w:webHidden/>
          </w:rPr>
          <w:fldChar w:fldCharType="separate"/>
        </w:r>
        <w:r w:rsidR="005F00D4">
          <w:rPr>
            <w:noProof/>
            <w:webHidden/>
          </w:rPr>
          <w:t>163</w:t>
        </w:r>
        <w:r w:rsidR="00637325">
          <w:rPr>
            <w:noProof/>
            <w:webHidden/>
          </w:rPr>
          <w:fldChar w:fldCharType="end"/>
        </w:r>
      </w:hyperlink>
    </w:p>
    <w:p w14:paraId="2BFB3CCB"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1" w:history="1">
        <w:r w:rsidR="00637325" w:rsidRPr="00B13A92">
          <w:rPr>
            <w:rStyle w:val="Hyperlink"/>
            <w:rFonts w:ascii="Arial" w:hAnsi="Arial" w:cs="Arial"/>
            <w:noProof/>
            <w:lang w:val="en-GB"/>
          </w:rPr>
          <w:t xml:space="preserve">Figure 96. </w:t>
        </w:r>
        <w:r w:rsidR="00637325" w:rsidRPr="00B13A92">
          <w:rPr>
            <w:rStyle w:val="Hyperlink"/>
            <w:rFonts w:ascii="Arial" w:hAnsi="Arial" w:cs="Arial"/>
            <w:i/>
            <w:noProof/>
            <w:lang w:val="en-GB"/>
          </w:rPr>
          <w:t>Number of days wind speed is above 25 km hr</w:t>
        </w:r>
        <w:r w:rsidR="00637325" w:rsidRPr="00B13A92">
          <w:rPr>
            <w:rStyle w:val="Hyperlink"/>
            <w:rFonts w:ascii="Arial" w:hAnsi="Arial" w:cs="Arial"/>
            <w:i/>
            <w:noProof/>
            <w:vertAlign w:val="superscript"/>
            <w:lang w:val="en-GB"/>
          </w:rPr>
          <w:t>-1</w:t>
        </w:r>
        <w:r w:rsidR="00637325" w:rsidRPr="00B13A92">
          <w:rPr>
            <w:rStyle w:val="Hyperlink"/>
            <w:rFonts w:ascii="Arial" w:hAnsi="Arial" w:cs="Arial"/>
            <w:i/>
            <w:noProof/>
            <w:lang w:val="en-GB"/>
          </w:rPr>
          <w:t xml:space="preserve"> each monitoring period in the Fitzroy NRM region.</w:t>
        </w:r>
        <w:r w:rsidR="00637325">
          <w:rPr>
            <w:noProof/>
            <w:webHidden/>
          </w:rPr>
          <w:tab/>
        </w:r>
        <w:r w:rsidR="00637325">
          <w:rPr>
            <w:noProof/>
            <w:webHidden/>
          </w:rPr>
          <w:fldChar w:fldCharType="begin"/>
        </w:r>
        <w:r w:rsidR="00637325">
          <w:rPr>
            <w:noProof/>
            <w:webHidden/>
          </w:rPr>
          <w:instrText xml:space="preserve"> PAGEREF _Toc6402861 \h </w:instrText>
        </w:r>
        <w:r w:rsidR="00637325">
          <w:rPr>
            <w:noProof/>
            <w:webHidden/>
          </w:rPr>
        </w:r>
        <w:r w:rsidR="00637325">
          <w:rPr>
            <w:noProof/>
            <w:webHidden/>
          </w:rPr>
          <w:fldChar w:fldCharType="separate"/>
        </w:r>
        <w:r w:rsidR="005F00D4">
          <w:rPr>
            <w:noProof/>
            <w:webHidden/>
          </w:rPr>
          <w:t>164</w:t>
        </w:r>
        <w:r w:rsidR="00637325">
          <w:rPr>
            <w:noProof/>
            <w:webHidden/>
          </w:rPr>
          <w:fldChar w:fldCharType="end"/>
        </w:r>
      </w:hyperlink>
    </w:p>
    <w:p w14:paraId="6057F7A9"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2" w:history="1">
        <w:r w:rsidR="00637325" w:rsidRPr="00B13A92">
          <w:rPr>
            <w:rStyle w:val="Hyperlink"/>
            <w:rFonts w:ascii="Arial" w:hAnsi="Arial" w:cs="Arial"/>
            <w:noProof/>
            <w:lang w:val="en-GB"/>
          </w:rPr>
          <w:t xml:space="preserve">Figure 97. </w:t>
        </w:r>
        <w:r w:rsidR="00637325" w:rsidRPr="00B13A92">
          <w:rPr>
            <w:rStyle w:val="Hyperlink"/>
            <w:rFonts w:ascii="Arial" w:hAnsi="Arial" w:cs="Arial"/>
            <w:i/>
            <w:noProof/>
            <w:lang w:val="en-GB"/>
          </w:rPr>
          <w:t>Number of days wind speed is above 25 km hr</w:t>
        </w:r>
        <w:r w:rsidR="00637325" w:rsidRPr="00B13A92">
          <w:rPr>
            <w:rStyle w:val="Hyperlink"/>
            <w:rFonts w:ascii="Arial" w:hAnsi="Arial" w:cs="Arial"/>
            <w:i/>
            <w:noProof/>
            <w:vertAlign w:val="superscript"/>
            <w:lang w:val="en-GB"/>
          </w:rPr>
          <w:t>-1</w:t>
        </w:r>
        <w:r w:rsidR="00637325" w:rsidRPr="00B13A92">
          <w:rPr>
            <w:rStyle w:val="Hyperlink"/>
            <w:rFonts w:ascii="Arial" w:hAnsi="Arial" w:cs="Arial"/>
            <w:i/>
            <w:noProof/>
            <w:lang w:val="en-GB"/>
          </w:rPr>
          <w:t xml:space="preserve"> each monitoring period in the Burnett Mary NRM region.</w:t>
        </w:r>
        <w:r w:rsidR="00637325">
          <w:rPr>
            <w:noProof/>
            <w:webHidden/>
          </w:rPr>
          <w:tab/>
        </w:r>
        <w:r w:rsidR="00637325">
          <w:rPr>
            <w:noProof/>
            <w:webHidden/>
          </w:rPr>
          <w:fldChar w:fldCharType="begin"/>
        </w:r>
        <w:r w:rsidR="00637325">
          <w:rPr>
            <w:noProof/>
            <w:webHidden/>
          </w:rPr>
          <w:instrText xml:space="preserve"> PAGEREF _Toc6402862 \h </w:instrText>
        </w:r>
        <w:r w:rsidR="00637325">
          <w:rPr>
            <w:noProof/>
            <w:webHidden/>
          </w:rPr>
        </w:r>
        <w:r w:rsidR="00637325">
          <w:rPr>
            <w:noProof/>
            <w:webHidden/>
          </w:rPr>
          <w:fldChar w:fldCharType="separate"/>
        </w:r>
        <w:r w:rsidR="005F00D4">
          <w:rPr>
            <w:noProof/>
            <w:webHidden/>
          </w:rPr>
          <w:t>164</w:t>
        </w:r>
        <w:r w:rsidR="00637325">
          <w:rPr>
            <w:noProof/>
            <w:webHidden/>
          </w:rPr>
          <w:fldChar w:fldCharType="end"/>
        </w:r>
      </w:hyperlink>
    </w:p>
    <w:p w14:paraId="29C4E5EA"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3" w:history="1">
        <w:r w:rsidR="00637325" w:rsidRPr="00B13A92">
          <w:rPr>
            <w:rStyle w:val="Hyperlink"/>
            <w:rFonts w:ascii="Arial" w:hAnsi="Arial" w:cs="Arial"/>
            <w:noProof/>
          </w:rPr>
          <w:t xml:space="preserve">Figure 98. </w:t>
        </w:r>
        <w:r w:rsidR="00637325" w:rsidRPr="00B13A92">
          <w:rPr>
            <w:rStyle w:val="Hyperlink"/>
            <w:rFonts w:ascii="Arial" w:hAnsi="Arial" w:cs="Arial"/>
            <w:i/>
            <w:noProof/>
          </w:rPr>
          <w:t>Annual daytime tidal exposure (total hours) and long-term median (dashed line) of intertidal reef seagrass meadows at Archer Point, Cape York NRM region; 2011–2018</w:t>
        </w:r>
        <w:r w:rsidR="00637325">
          <w:rPr>
            <w:noProof/>
            <w:webHidden/>
          </w:rPr>
          <w:tab/>
        </w:r>
        <w:r w:rsidR="00637325">
          <w:rPr>
            <w:noProof/>
            <w:webHidden/>
          </w:rPr>
          <w:fldChar w:fldCharType="begin"/>
        </w:r>
        <w:r w:rsidR="00637325">
          <w:rPr>
            <w:noProof/>
            <w:webHidden/>
          </w:rPr>
          <w:instrText xml:space="preserve"> PAGEREF _Toc6402863 \h </w:instrText>
        </w:r>
        <w:r w:rsidR="00637325">
          <w:rPr>
            <w:noProof/>
            <w:webHidden/>
          </w:rPr>
        </w:r>
        <w:r w:rsidR="00637325">
          <w:rPr>
            <w:noProof/>
            <w:webHidden/>
          </w:rPr>
          <w:fldChar w:fldCharType="separate"/>
        </w:r>
        <w:r w:rsidR="005F00D4">
          <w:rPr>
            <w:noProof/>
            <w:webHidden/>
          </w:rPr>
          <w:t>166</w:t>
        </w:r>
        <w:r w:rsidR="00637325">
          <w:rPr>
            <w:noProof/>
            <w:webHidden/>
          </w:rPr>
          <w:fldChar w:fldCharType="end"/>
        </w:r>
      </w:hyperlink>
    </w:p>
    <w:p w14:paraId="01B4FB7B"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4" w:history="1">
        <w:r w:rsidR="00637325" w:rsidRPr="00B13A92">
          <w:rPr>
            <w:rStyle w:val="Hyperlink"/>
            <w:rFonts w:ascii="Arial" w:hAnsi="Arial" w:cs="Arial"/>
            <w:noProof/>
          </w:rPr>
          <w:t xml:space="preserve">Figure 99. </w:t>
        </w:r>
        <w:r w:rsidR="00637325" w:rsidRPr="00B13A92">
          <w:rPr>
            <w:rStyle w:val="Hyperlink"/>
            <w:rFonts w:ascii="Arial" w:hAnsi="Arial" w:cs="Arial"/>
            <w:i/>
            <w:noProof/>
          </w:rPr>
          <w:t>Annual daytime tidal exposure (total hours) and long-term median (dashed line) of intertidal reef seagrass meadows in the Wet Tropics NRM region; 1999–2018.</w:t>
        </w:r>
        <w:r w:rsidR="00637325">
          <w:rPr>
            <w:noProof/>
            <w:webHidden/>
          </w:rPr>
          <w:tab/>
        </w:r>
        <w:r w:rsidR="00637325">
          <w:rPr>
            <w:noProof/>
            <w:webHidden/>
          </w:rPr>
          <w:fldChar w:fldCharType="begin"/>
        </w:r>
        <w:r w:rsidR="00637325">
          <w:rPr>
            <w:noProof/>
            <w:webHidden/>
          </w:rPr>
          <w:instrText xml:space="preserve"> PAGEREF _Toc6402864 \h </w:instrText>
        </w:r>
        <w:r w:rsidR="00637325">
          <w:rPr>
            <w:noProof/>
            <w:webHidden/>
          </w:rPr>
        </w:r>
        <w:r w:rsidR="00637325">
          <w:rPr>
            <w:noProof/>
            <w:webHidden/>
          </w:rPr>
          <w:fldChar w:fldCharType="separate"/>
        </w:r>
        <w:r w:rsidR="005F00D4">
          <w:rPr>
            <w:noProof/>
            <w:webHidden/>
          </w:rPr>
          <w:t>166</w:t>
        </w:r>
        <w:r w:rsidR="00637325">
          <w:rPr>
            <w:noProof/>
            <w:webHidden/>
          </w:rPr>
          <w:fldChar w:fldCharType="end"/>
        </w:r>
      </w:hyperlink>
    </w:p>
    <w:p w14:paraId="17205D60"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5" w:history="1">
        <w:r w:rsidR="00637325" w:rsidRPr="00B13A92">
          <w:rPr>
            <w:rStyle w:val="Hyperlink"/>
            <w:rFonts w:ascii="Arial" w:hAnsi="Arial" w:cs="Arial"/>
            <w:noProof/>
          </w:rPr>
          <w:t xml:space="preserve">Figure 100. </w:t>
        </w:r>
        <w:r w:rsidR="00637325" w:rsidRPr="00B13A92">
          <w:rPr>
            <w:rStyle w:val="Hyperlink"/>
            <w:rFonts w:ascii="Arial" w:hAnsi="Arial" w:cs="Arial"/>
            <w:i/>
            <w:noProof/>
          </w:rPr>
          <w:t>Annual daytime tidal exposure (total hours) and long-term median (dashed line) of intertidal coastal seagrass meadows in Wet Tropics NRM region; 1999–2018.</w:t>
        </w:r>
        <w:r w:rsidR="00637325">
          <w:rPr>
            <w:noProof/>
            <w:webHidden/>
          </w:rPr>
          <w:tab/>
        </w:r>
        <w:r w:rsidR="00637325">
          <w:rPr>
            <w:noProof/>
            <w:webHidden/>
          </w:rPr>
          <w:fldChar w:fldCharType="begin"/>
        </w:r>
        <w:r w:rsidR="00637325">
          <w:rPr>
            <w:noProof/>
            <w:webHidden/>
          </w:rPr>
          <w:instrText xml:space="preserve"> PAGEREF _Toc6402865 \h </w:instrText>
        </w:r>
        <w:r w:rsidR="00637325">
          <w:rPr>
            <w:noProof/>
            <w:webHidden/>
          </w:rPr>
        </w:r>
        <w:r w:rsidR="00637325">
          <w:rPr>
            <w:noProof/>
            <w:webHidden/>
          </w:rPr>
          <w:fldChar w:fldCharType="separate"/>
        </w:r>
        <w:r w:rsidR="005F00D4">
          <w:rPr>
            <w:noProof/>
            <w:webHidden/>
          </w:rPr>
          <w:t>166</w:t>
        </w:r>
        <w:r w:rsidR="00637325">
          <w:rPr>
            <w:noProof/>
            <w:webHidden/>
          </w:rPr>
          <w:fldChar w:fldCharType="end"/>
        </w:r>
      </w:hyperlink>
    </w:p>
    <w:p w14:paraId="4FAAEE7D"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6" w:history="1">
        <w:r w:rsidR="00637325" w:rsidRPr="00B13A92">
          <w:rPr>
            <w:rStyle w:val="Hyperlink"/>
            <w:rFonts w:ascii="Arial" w:hAnsi="Arial" w:cs="Arial"/>
            <w:noProof/>
          </w:rPr>
          <w:t xml:space="preserve">Figure 101. </w:t>
        </w:r>
        <w:r w:rsidR="00637325" w:rsidRPr="00B13A92">
          <w:rPr>
            <w:rStyle w:val="Hyperlink"/>
            <w:rFonts w:ascii="Arial" w:hAnsi="Arial" w:cs="Arial"/>
            <w:i/>
            <w:noProof/>
          </w:rPr>
          <w:t>Annual daytime tidal exposure (total hours) and long-term median (dashed line) of intertidal coastal seagrass meadows in Burdekin NRM region; 2000–2018.</w:t>
        </w:r>
        <w:r w:rsidR="00637325">
          <w:rPr>
            <w:noProof/>
            <w:webHidden/>
          </w:rPr>
          <w:tab/>
        </w:r>
        <w:r w:rsidR="00637325">
          <w:rPr>
            <w:noProof/>
            <w:webHidden/>
          </w:rPr>
          <w:fldChar w:fldCharType="begin"/>
        </w:r>
        <w:r w:rsidR="00637325">
          <w:rPr>
            <w:noProof/>
            <w:webHidden/>
          </w:rPr>
          <w:instrText xml:space="preserve"> PAGEREF _Toc6402866 \h </w:instrText>
        </w:r>
        <w:r w:rsidR="00637325">
          <w:rPr>
            <w:noProof/>
            <w:webHidden/>
          </w:rPr>
        </w:r>
        <w:r w:rsidR="00637325">
          <w:rPr>
            <w:noProof/>
            <w:webHidden/>
          </w:rPr>
          <w:fldChar w:fldCharType="separate"/>
        </w:r>
        <w:r w:rsidR="005F00D4">
          <w:rPr>
            <w:noProof/>
            <w:webHidden/>
          </w:rPr>
          <w:t>167</w:t>
        </w:r>
        <w:r w:rsidR="00637325">
          <w:rPr>
            <w:noProof/>
            <w:webHidden/>
          </w:rPr>
          <w:fldChar w:fldCharType="end"/>
        </w:r>
      </w:hyperlink>
    </w:p>
    <w:p w14:paraId="6B8C0E3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7" w:history="1">
        <w:r w:rsidR="00637325" w:rsidRPr="00B13A92">
          <w:rPr>
            <w:rStyle w:val="Hyperlink"/>
            <w:rFonts w:ascii="Arial" w:hAnsi="Arial" w:cs="Arial"/>
            <w:noProof/>
          </w:rPr>
          <w:t xml:space="preserve">Figure 102. </w:t>
        </w:r>
        <w:r w:rsidR="00637325" w:rsidRPr="00B13A92">
          <w:rPr>
            <w:rStyle w:val="Hyperlink"/>
            <w:rFonts w:ascii="Arial" w:hAnsi="Arial" w:cs="Arial"/>
            <w:i/>
            <w:noProof/>
          </w:rPr>
          <w:t>Annual daytime tidal exposure (total hours) and long-term median (dashed line) of intertidal reef seagrass meadows in Burdekin NRM region; 2000–2018.</w:t>
        </w:r>
        <w:r w:rsidR="00637325">
          <w:rPr>
            <w:noProof/>
            <w:webHidden/>
          </w:rPr>
          <w:tab/>
        </w:r>
        <w:r w:rsidR="00637325">
          <w:rPr>
            <w:noProof/>
            <w:webHidden/>
          </w:rPr>
          <w:fldChar w:fldCharType="begin"/>
        </w:r>
        <w:r w:rsidR="00637325">
          <w:rPr>
            <w:noProof/>
            <w:webHidden/>
          </w:rPr>
          <w:instrText xml:space="preserve"> PAGEREF _Toc6402867 \h </w:instrText>
        </w:r>
        <w:r w:rsidR="00637325">
          <w:rPr>
            <w:noProof/>
            <w:webHidden/>
          </w:rPr>
        </w:r>
        <w:r w:rsidR="00637325">
          <w:rPr>
            <w:noProof/>
            <w:webHidden/>
          </w:rPr>
          <w:fldChar w:fldCharType="separate"/>
        </w:r>
        <w:r w:rsidR="005F00D4">
          <w:rPr>
            <w:noProof/>
            <w:webHidden/>
          </w:rPr>
          <w:t>167</w:t>
        </w:r>
        <w:r w:rsidR="00637325">
          <w:rPr>
            <w:noProof/>
            <w:webHidden/>
          </w:rPr>
          <w:fldChar w:fldCharType="end"/>
        </w:r>
      </w:hyperlink>
    </w:p>
    <w:p w14:paraId="770B62BF" w14:textId="266D4C6C"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8" w:history="1">
        <w:r w:rsidR="00637325" w:rsidRPr="00B13A92">
          <w:rPr>
            <w:rStyle w:val="Hyperlink"/>
            <w:rFonts w:ascii="Arial" w:hAnsi="Arial" w:cs="Arial"/>
            <w:noProof/>
          </w:rPr>
          <w:t xml:space="preserve">Figure 103. </w:t>
        </w:r>
        <w:r w:rsidR="00637325" w:rsidRPr="00B13A92">
          <w:rPr>
            <w:rStyle w:val="Hyperlink"/>
            <w:rFonts w:ascii="Arial" w:hAnsi="Arial" w:cs="Arial"/>
            <w:i/>
            <w:noProof/>
          </w:rPr>
          <w:t xml:space="preserve">Annual daytime tidal exposure (total hours) and long-term median (dashed line) of intertidal estuarine (a, b) coastal (c, d) and reef (e, f) seagrass meadows in </w:t>
        </w:r>
        <w:r w:rsidR="00637325">
          <w:rPr>
            <w:rStyle w:val="Hyperlink"/>
            <w:rFonts w:ascii="Arial" w:hAnsi="Arial" w:cs="Arial"/>
            <w:i/>
            <w:noProof/>
          </w:rPr>
          <w:t>Mackay-Whitsunday</w:t>
        </w:r>
        <w:r w:rsidR="00637325" w:rsidRPr="00B13A92">
          <w:rPr>
            <w:rStyle w:val="Hyperlink"/>
            <w:rFonts w:ascii="Arial" w:hAnsi="Arial" w:cs="Arial"/>
            <w:i/>
            <w:noProof/>
          </w:rPr>
          <w:t xml:space="preserve"> NRM region; 1999–2018.</w:t>
        </w:r>
        <w:r w:rsidR="00637325">
          <w:rPr>
            <w:noProof/>
            <w:webHidden/>
          </w:rPr>
          <w:tab/>
        </w:r>
        <w:r w:rsidR="00637325">
          <w:rPr>
            <w:noProof/>
            <w:webHidden/>
          </w:rPr>
          <w:fldChar w:fldCharType="begin"/>
        </w:r>
        <w:r w:rsidR="00637325">
          <w:rPr>
            <w:noProof/>
            <w:webHidden/>
          </w:rPr>
          <w:instrText xml:space="preserve"> PAGEREF _Toc6402868 \h </w:instrText>
        </w:r>
        <w:r w:rsidR="00637325">
          <w:rPr>
            <w:noProof/>
            <w:webHidden/>
          </w:rPr>
        </w:r>
        <w:r w:rsidR="00637325">
          <w:rPr>
            <w:noProof/>
            <w:webHidden/>
          </w:rPr>
          <w:fldChar w:fldCharType="separate"/>
        </w:r>
        <w:r w:rsidR="005F00D4">
          <w:rPr>
            <w:noProof/>
            <w:webHidden/>
          </w:rPr>
          <w:t>167</w:t>
        </w:r>
        <w:r w:rsidR="00637325">
          <w:rPr>
            <w:noProof/>
            <w:webHidden/>
          </w:rPr>
          <w:fldChar w:fldCharType="end"/>
        </w:r>
      </w:hyperlink>
    </w:p>
    <w:p w14:paraId="0AD82DE7"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69" w:history="1">
        <w:r w:rsidR="00637325" w:rsidRPr="00B13A92">
          <w:rPr>
            <w:rStyle w:val="Hyperlink"/>
            <w:rFonts w:ascii="Arial" w:hAnsi="Arial" w:cs="Arial"/>
            <w:noProof/>
          </w:rPr>
          <w:t xml:space="preserve">Figure 104. </w:t>
        </w:r>
        <w:r w:rsidR="00637325" w:rsidRPr="00B13A92">
          <w:rPr>
            <w:rStyle w:val="Hyperlink"/>
            <w:rFonts w:ascii="Arial" w:hAnsi="Arial" w:cs="Arial"/>
            <w:i/>
            <w:noProof/>
          </w:rPr>
          <w:t>Annual daytime tidal exposure (total hours) and long-term median (dashed line) of intertidal estuarine (a, b) coastal (c, d) and reef (e, f) seagrass meadows in the Fitzroy NRM region; 1999–2018.</w:t>
        </w:r>
        <w:r w:rsidR="00637325">
          <w:rPr>
            <w:noProof/>
            <w:webHidden/>
          </w:rPr>
          <w:tab/>
        </w:r>
        <w:r w:rsidR="00637325">
          <w:rPr>
            <w:noProof/>
            <w:webHidden/>
          </w:rPr>
          <w:fldChar w:fldCharType="begin"/>
        </w:r>
        <w:r w:rsidR="00637325">
          <w:rPr>
            <w:noProof/>
            <w:webHidden/>
          </w:rPr>
          <w:instrText xml:space="preserve"> PAGEREF _Toc6402869 \h </w:instrText>
        </w:r>
        <w:r w:rsidR="00637325">
          <w:rPr>
            <w:noProof/>
            <w:webHidden/>
          </w:rPr>
        </w:r>
        <w:r w:rsidR="00637325">
          <w:rPr>
            <w:noProof/>
            <w:webHidden/>
          </w:rPr>
          <w:fldChar w:fldCharType="separate"/>
        </w:r>
        <w:r w:rsidR="005F00D4">
          <w:rPr>
            <w:noProof/>
            <w:webHidden/>
          </w:rPr>
          <w:t>168</w:t>
        </w:r>
        <w:r w:rsidR="00637325">
          <w:rPr>
            <w:noProof/>
            <w:webHidden/>
          </w:rPr>
          <w:fldChar w:fldCharType="end"/>
        </w:r>
      </w:hyperlink>
    </w:p>
    <w:p w14:paraId="2265BBC7"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0" w:history="1">
        <w:r w:rsidR="00637325" w:rsidRPr="00B13A92">
          <w:rPr>
            <w:rStyle w:val="Hyperlink"/>
            <w:rFonts w:ascii="Arial" w:hAnsi="Arial" w:cs="Arial"/>
            <w:noProof/>
          </w:rPr>
          <w:t xml:space="preserve">Figure 105. </w:t>
        </w:r>
        <w:r w:rsidR="00637325" w:rsidRPr="00B13A92">
          <w:rPr>
            <w:rStyle w:val="Hyperlink"/>
            <w:rFonts w:ascii="Arial" w:hAnsi="Arial" w:cs="Arial"/>
            <w:i/>
            <w:noProof/>
          </w:rPr>
          <w:t>Annual daytime tidal exposure (total hours) and long-term median (dashed line) of intertidal estuarine seagrass meadows in the Burnett Mary NRM region; 1999–2018.</w:t>
        </w:r>
        <w:r w:rsidR="00637325">
          <w:rPr>
            <w:noProof/>
            <w:webHidden/>
          </w:rPr>
          <w:tab/>
        </w:r>
        <w:r w:rsidR="00637325">
          <w:rPr>
            <w:noProof/>
            <w:webHidden/>
          </w:rPr>
          <w:fldChar w:fldCharType="begin"/>
        </w:r>
        <w:r w:rsidR="00637325">
          <w:rPr>
            <w:noProof/>
            <w:webHidden/>
          </w:rPr>
          <w:instrText xml:space="preserve"> PAGEREF _Toc6402870 \h </w:instrText>
        </w:r>
        <w:r w:rsidR="00637325">
          <w:rPr>
            <w:noProof/>
            <w:webHidden/>
          </w:rPr>
        </w:r>
        <w:r w:rsidR="00637325">
          <w:rPr>
            <w:noProof/>
            <w:webHidden/>
          </w:rPr>
          <w:fldChar w:fldCharType="separate"/>
        </w:r>
        <w:r w:rsidR="005F00D4">
          <w:rPr>
            <w:noProof/>
            <w:webHidden/>
          </w:rPr>
          <w:t>168</w:t>
        </w:r>
        <w:r w:rsidR="00637325">
          <w:rPr>
            <w:noProof/>
            <w:webHidden/>
          </w:rPr>
          <w:fldChar w:fldCharType="end"/>
        </w:r>
      </w:hyperlink>
    </w:p>
    <w:p w14:paraId="33E1985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1" w:history="1">
        <w:r w:rsidR="00637325" w:rsidRPr="00B13A92">
          <w:rPr>
            <w:rStyle w:val="Hyperlink"/>
            <w:rFonts w:ascii="Arial" w:hAnsi="Arial" w:cs="Arial"/>
            <w:noProof/>
          </w:rPr>
          <w:t xml:space="preserve">Figure 106. </w:t>
        </w:r>
        <w:r w:rsidR="00637325" w:rsidRPr="00B13A92">
          <w:rPr>
            <w:rStyle w:val="Hyperlink"/>
            <w:rFonts w:ascii="Arial" w:hAnsi="Arial" w:cs="Arial"/>
            <w:i/>
            <w:noProof/>
          </w:rPr>
          <w:t>Daily light and 28-day rolling average at Cape York locations.</w:t>
        </w:r>
        <w:r w:rsidR="00637325">
          <w:rPr>
            <w:noProof/>
            <w:webHidden/>
          </w:rPr>
          <w:tab/>
        </w:r>
        <w:r w:rsidR="00637325">
          <w:rPr>
            <w:noProof/>
            <w:webHidden/>
          </w:rPr>
          <w:fldChar w:fldCharType="begin"/>
        </w:r>
        <w:r w:rsidR="00637325">
          <w:rPr>
            <w:noProof/>
            <w:webHidden/>
          </w:rPr>
          <w:instrText xml:space="preserve"> PAGEREF _Toc6402871 \h </w:instrText>
        </w:r>
        <w:r w:rsidR="00637325">
          <w:rPr>
            <w:noProof/>
            <w:webHidden/>
          </w:rPr>
        </w:r>
        <w:r w:rsidR="00637325">
          <w:rPr>
            <w:noProof/>
            <w:webHidden/>
          </w:rPr>
          <w:fldChar w:fldCharType="separate"/>
        </w:r>
        <w:r w:rsidR="005F00D4">
          <w:rPr>
            <w:noProof/>
            <w:webHidden/>
          </w:rPr>
          <w:t>169</w:t>
        </w:r>
        <w:r w:rsidR="00637325">
          <w:rPr>
            <w:noProof/>
            <w:webHidden/>
          </w:rPr>
          <w:fldChar w:fldCharType="end"/>
        </w:r>
      </w:hyperlink>
    </w:p>
    <w:p w14:paraId="709EDDC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2" w:history="1">
        <w:r w:rsidR="00637325" w:rsidRPr="00B13A92">
          <w:rPr>
            <w:rStyle w:val="Hyperlink"/>
            <w:rFonts w:ascii="Arial" w:hAnsi="Arial" w:cs="Arial"/>
            <w:noProof/>
          </w:rPr>
          <w:t xml:space="preserve">Figure 107. </w:t>
        </w:r>
        <w:r w:rsidR="00637325" w:rsidRPr="00B13A92">
          <w:rPr>
            <w:rStyle w:val="Hyperlink"/>
            <w:rFonts w:ascii="Arial" w:hAnsi="Arial" w:cs="Arial"/>
            <w:i/>
            <w:noProof/>
          </w:rPr>
          <w:t>Daily light (yellow line) and 28-day rolling average (orange, bold line) for locations in the northern Wet Tropics.</w:t>
        </w:r>
        <w:r w:rsidR="00637325">
          <w:rPr>
            <w:noProof/>
            <w:webHidden/>
          </w:rPr>
          <w:tab/>
        </w:r>
        <w:r w:rsidR="00637325">
          <w:rPr>
            <w:noProof/>
            <w:webHidden/>
          </w:rPr>
          <w:fldChar w:fldCharType="begin"/>
        </w:r>
        <w:r w:rsidR="00637325">
          <w:rPr>
            <w:noProof/>
            <w:webHidden/>
          </w:rPr>
          <w:instrText xml:space="preserve"> PAGEREF _Toc6402872 \h </w:instrText>
        </w:r>
        <w:r w:rsidR="00637325">
          <w:rPr>
            <w:noProof/>
            <w:webHidden/>
          </w:rPr>
        </w:r>
        <w:r w:rsidR="00637325">
          <w:rPr>
            <w:noProof/>
            <w:webHidden/>
          </w:rPr>
          <w:fldChar w:fldCharType="separate"/>
        </w:r>
        <w:r w:rsidR="005F00D4">
          <w:rPr>
            <w:noProof/>
            <w:webHidden/>
          </w:rPr>
          <w:t>169</w:t>
        </w:r>
        <w:r w:rsidR="00637325">
          <w:rPr>
            <w:noProof/>
            <w:webHidden/>
          </w:rPr>
          <w:fldChar w:fldCharType="end"/>
        </w:r>
      </w:hyperlink>
    </w:p>
    <w:p w14:paraId="19B0269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3" w:history="1">
        <w:r w:rsidR="00637325" w:rsidRPr="00B13A92">
          <w:rPr>
            <w:rStyle w:val="Hyperlink"/>
            <w:rFonts w:ascii="Arial" w:hAnsi="Arial" w:cs="Arial"/>
            <w:noProof/>
          </w:rPr>
          <w:t xml:space="preserve">Figure 108. </w:t>
        </w:r>
        <w:r w:rsidR="00637325" w:rsidRPr="00B13A92">
          <w:rPr>
            <w:rStyle w:val="Hyperlink"/>
            <w:rFonts w:ascii="Arial" w:hAnsi="Arial" w:cs="Arial"/>
            <w:i/>
            <w:noProof/>
          </w:rPr>
          <w:t>Daily light (yellow line) and 28-day rolling average (orange, bold line) for locations in the southern Wet Tropics.</w:t>
        </w:r>
        <w:r w:rsidR="00637325">
          <w:rPr>
            <w:noProof/>
            <w:webHidden/>
          </w:rPr>
          <w:tab/>
        </w:r>
        <w:r w:rsidR="00637325">
          <w:rPr>
            <w:noProof/>
            <w:webHidden/>
          </w:rPr>
          <w:fldChar w:fldCharType="begin"/>
        </w:r>
        <w:r w:rsidR="00637325">
          <w:rPr>
            <w:noProof/>
            <w:webHidden/>
          </w:rPr>
          <w:instrText xml:space="preserve"> PAGEREF _Toc6402873 \h </w:instrText>
        </w:r>
        <w:r w:rsidR="00637325">
          <w:rPr>
            <w:noProof/>
            <w:webHidden/>
          </w:rPr>
        </w:r>
        <w:r w:rsidR="00637325">
          <w:rPr>
            <w:noProof/>
            <w:webHidden/>
          </w:rPr>
          <w:fldChar w:fldCharType="separate"/>
        </w:r>
        <w:r w:rsidR="005F00D4">
          <w:rPr>
            <w:noProof/>
            <w:webHidden/>
          </w:rPr>
          <w:t>170</w:t>
        </w:r>
        <w:r w:rsidR="00637325">
          <w:rPr>
            <w:noProof/>
            <w:webHidden/>
          </w:rPr>
          <w:fldChar w:fldCharType="end"/>
        </w:r>
      </w:hyperlink>
    </w:p>
    <w:p w14:paraId="15C63BC4"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4" w:history="1">
        <w:r w:rsidR="00637325" w:rsidRPr="00B13A92">
          <w:rPr>
            <w:rStyle w:val="Hyperlink"/>
            <w:rFonts w:ascii="Arial" w:hAnsi="Arial" w:cs="Arial"/>
            <w:noProof/>
          </w:rPr>
          <w:t xml:space="preserve">Figure 109. </w:t>
        </w:r>
        <w:r w:rsidR="00637325" w:rsidRPr="00B13A92">
          <w:rPr>
            <w:rStyle w:val="Hyperlink"/>
            <w:rFonts w:ascii="Arial" w:hAnsi="Arial" w:cs="Arial"/>
            <w:i/>
            <w:noProof/>
          </w:rPr>
          <w:t>Daily light (yellow line) and 28-day rolling average (orange, bold line) at locations in the Burdekin region.</w:t>
        </w:r>
        <w:r w:rsidR="00637325">
          <w:rPr>
            <w:noProof/>
            <w:webHidden/>
          </w:rPr>
          <w:tab/>
        </w:r>
        <w:r w:rsidR="00637325">
          <w:rPr>
            <w:noProof/>
            <w:webHidden/>
          </w:rPr>
          <w:fldChar w:fldCharType="begin"/>
        </w:r>
        <w:r w:rsidR="00637325">
          <w:rPr>
            <w:noProof/>
            <w:webHidden/>
          </w:rPr>
          <w:instrText xml:space="preserve"> PAGEREF _Toc6402874 \h </w:instrText>
        </w:r>
        <w:r w:rsidR="00637325">
          <w:rPr>
            <w:noProof/>
            <w:webHidden/>
          </w:rPr>
        </w:r>
        <w:r w:rsidR="00637325">
          <w:rPr>
            <w:noProof/>
            <w:webHidden/>
          </w:rPr>
          <w:fldChar w:fldCharType="separate"/>
        </w:r>
        <w:r w:rsidR="005F00D4">
          <w:rPr>
            <w:noProof/>
            <w:webHidden/>
          </w:rPr>
          <w:t>170</w:t>
        </w:r>
        <w:r w:rsidR="00637325">
          <w:rPr>
            <w:noProof/>
            <w:webHidden/>
          </w:rPr>
          <w:fldChar w:fldCharType="end"/>
        </w:r>
      </w:hyperlink>
    </w:p>
    <w:p w14:paraId="70EF82CD" w14:textId="527A571F"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5" w:history="1">
        <w:r w:rsidR="00637325" w:rsidRPr="00B13A92">
          <w:rPr>
            <w:rStyle w:val="Hyperlink"/>
            <w:rFonts w:ascii="Arial" w:hAnsi="Arial" w:cs="Arial"/>
            <w:noProof/>
            <w:lang w:val="en-GB"/>
          </w:rPr>
          <w:t>Figure 110.</w:t>
        </w:r>
        <w:r w:rsidR="00637325" w:rsidRPr="00B13A92">
          <w:rPr>
            <w:rStyle w:val="Hyperlink"/>
            <w:rFonts w:ascii="Arial" w:hAnsi="Arial" w:cs="Arial"/>
            <w:i/>
            <w:noProof/>
          </w:rPr>
          <w:t xml:space="preserve"> Daily light (yellow line) and 28-day rolling average (orange, bold line) at </w:t>
        </w:r>
        <w:r w:rsidR="00637325">
          <w:rPr>
            <w:rStyle w:val="Hyperlink"/>
            <w:rFonts w:ascii="Arial" w:hAnsi="Arial" w:cs="Arial"/>
            <w:i/>
            <w:noProof/>
          </w:rPr>
          <w:t>Mackay-Whitsunday</w:t>
        </w:r>
        <w:r w:rsidR="00637325" w:rsidRPr="00B13A92">
          <w:rPr>
            <w:rStyle w:val="Hyperlink"/>
            <w:rFonts w:ascii="Arial" w:hAnsi="Arial" w:cs="Arial"/>
            <w:i/>
            <w:noProof/>
          </w:rPr>
          <w:t xml:space="preserve"> habitats.</w:t>
        </w:r>
        <w:r w:rsidR="00637325">
          <w:rPr>
            <w:noProof/>
            <w:webHidden/>
          </w:rPr>
          <w:tab/>
        </w:r>
        <w:r w:rsidR="00637325">
          <w:rPr>
            <w:noProof/>
            <w:webHidden/>
          </w:rPr>
          <w:fldChar w:fldCharType="begin"/>
        </w:r>
        <w:r w:rsidR="00637325">
          <w:rPr>
            <w:noProof/>
            <w:webHidden/>
          </w:rPr>
          <w:instrText xml:space="preserve"> PAGEREF _Toc6402875 \h </w:instrText>
        </w:r>
        <w:r w:rsidR="00637325">
          <w:rPr>
            <w:noProof/>
            <w:webHidden/>
          </w:rPr>
        </w:r>
        <w:r w:rsidR="00637325">
          <w:rPr>
            <w:noProof/>
            <w:webHidden/>
          </w:rPr>
          <w:fldChar w:fldCharType="separate"/>
        </w:r>
        <w:r w:rsidR="005F00D4">
          <w:rPr>
            <w:noProof/>
            <w:webHidden/>
          </w:rPr>
          <w:t>171</w:t>
        </w:r>
        <w:r w:rsidR="00637325">
          <w:rPr>
            <w:noProof/>
            <w:webHidden/>
          </w:rPr>
          <w:fldChar w:fldCharType="end"/>
        </w:r>
      </w:hyperlink>
    </w:p>
    <w:p w14:paraId="2F79DFF2"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6" w:history="1">
        <w:r w:rsidR="00637325" w:rsidRPr="00B13A92">
          <w:rPr>
            <w:rStyle w:val="Hyperlink"/>
            <w:rFonts w:ascii="Arial" w:hAnsi="Arial" w:cs="Arial"/>
            <w:noProof/>
          </w:rPr>
          <w:t xml:space="preserve">Figure 111. </w:t>
        </w:r>
        <w:r w:rsidR="00637325" w:rsidRPr="00B13A92">
          <w:rPr>
            <w:rStyle w:val="Hyperlink"/>
            <w:rFonts w:ascii="Arial" w:hAnsi="Arial" w:cs="Arial"/>
            <w:i/>
            <w:noProof/>
          </w:rPr>
          <w:t>Daily light (yellow line) and 28-day rolling average (orange, bold line) at monitoring locations in the Fitzroy NRM region.</w:t>
        </w:r>
        <w:r w:rsidR="00637325">
          <w:rPr>
            <w:noProof/>
            <w:webHidden/>
          </w:rPr>
          <w:tab/>
        </w:r>
        <w:r w:rsidR="00637325">
          <w:rPr>
            <w:noProof/>
            <w:webHidden/>
          </w:rPr>
          <w:fldChar w:fldCharType="begin"/>
        </w:r>
        <w:r w:rsidR="00637325">
          <w:rPr>
            <w:noProof/>
            <w:webHidden/>
          </w:rPr>
          <w:instrText xml:space="preserve"> PAGEREF _Toc6402876 \h </w:instrText>
        </w:r>
        <w:r w:rsidR="00637325">
          <w:rPr>
            <w:noProof/>
            <w:webHidden/>
          </w:rPr>
        </w:r>
        <w:r w:rsidR="00637325">
          <w:rPr>
            <w:noProof/>
            <w:webHidden/>
          </w:rPr>
          <w:fldChar w:fldCharType="separate"/>
        </w:r>
        <w:r w:rsidR="005F00D4">
          <w:rPr>
            <w:noProof/>
            <w:webHidden/>
          </w:rPr>
          <w:t>171</w:t>
        </w:r>
        <w:r w:rsidR="00637325">
          <w:rPr>
            <w:noProof/>
            <w:webHidden/>
          </w:rPr>
          <w:fldChar w:fldCharType="end"/>
        </w:r>
      </w:hyperlink>
    </w:p>
    <w:p w14:paraId="719108EC"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7" w:history="1">
        <w:r w:rsidR="00637325" w:rsidRPr="00B13A92">
          <w:rPr>
            <w:rStyle w:val="Hyperlink"/>
            <w:rFonts w:ascii="Arial" w:hAnsi="Arial" w:cs="Arial"/>
            <w:noProof/>
            <w:lang w:val="en-GB"/>
          </w:rPr>
          <w:t xml:space="preserve">Figure 112. </w:t>
        </w:r>
        <w:r w:rsidR="00637325" w:rsidRPr="00B13A92">
          <w:rPr>
            <w:rStyle w:val="Hyperlink"/>
            <w:rFonts w:ascii="Arial" w:hAnsi="Arial" w:cs="Arial"/>
            <w:i/>
            <w:noProof/>
          </w:rPr>
          <w:t>Daily light (yellow line) and 28-day rolling average (orange, bold line) at monitoring locations in the Burnett Mary NRM region.</w:t>
        </w:r>
        <w:r w:rsidR="00637325">
          <w:rPr>
            <w:noProof/>
            <w:webHidden/>
          </w:rPr>
          <w:tab/>
        </w:r>
        <w:r w:rsidR="00637325">
          <w:rPr>
            <w:noProof/>
            <w:webHidden/>
          </w:rPr>
          <w:fldChar w:fldCharType="begin"/>
        </w:r>
        <w:r w:rsidR="00637325">
          <w:rPr>
            <w:noProof/>
            <w:webHidden/>
          </w:rPr>
          <w:instrText xml:space="preserve"> PAGEREF _Toc6402877 \h </w:instrText>
        </w:r>
        <w:r w:rsidR="00637325">
          <w:rPr>
            <w:noProof/>
            <w:webHidden/>
          </w:rPr>
        </w:r>
        <w:r w:rsidR="00637325">
          <w:rPr>
            <w:noProof/>
            <w:webHidden/>
          </w:rPr>
          <w:fldChar w:fldCharType="separate"/>
        </w:r>
        <w:r w:rsidR="005F00D4">
          <w:rPr>
            <w:noProof/>
            <w:webHidden/>
          </w:rPr>
          <w:t>172</w:t>
        </w:r>
        <w:r w:rsidR="00637325">
          <w:rPr>
            <w:noProof/>
            <w:webHidden/>
          </w:rPr>
          <w:fldChar w:fldCharType="end"/>
        </w:r>
      </w:hyperlink>
    </w:p>
    <w:p w14:paraId="641046E9"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8" w:history="1">
        <w:r w:rsidR="00637325" w:rsidRPr="00B13A92">
          <w:rPr>
            <w:rStyle w:val="Hyperlink"/>
            <w:rFonts w:ascii="Arial" w:hAnsi="Arial" w:cs="Arial"/>
            <w:noProof/>
          </w:rPr>
          <w:t xml:space="preserve">Figure 113. </w:t>
        </w:r>
        <w:r w:rsidR="00637325" w:rsidRPr="00B13A92">
          <w:rPr>
            <w:rStyle w:val="Hyperlink"/>
            <w:rFonts w:ascii="Arial" w:hAnsi="Arial" w:cs="Arial"/>
            <w:i/>
            <w:noProof/>
          </w:rPr>
          <w:t>Sediment grain size composition at reef habitat monitoring sites in the Cape York region, 2003–2018.</w:t>
        </w:r>
        <w:r w:rsidR="00637325">
          <w:rPr>
            <w:noProof/>
            <w:webHidden/>
          </w:rPr>
          <w:tab/>
        </w:r>
        <w:r w:rsidR="00637325">
          <w:rPr>
            <w:noProof/>
            <w:webHidden/>
          </w:rPr>
          <w:fldChar w:fldCharType="begin"/>
        </w:r>
        <w:r w:rsidR="00637325">
          <w:rPr>
            <w:noProof/>
            <w:webHidden/>
          </w:rPr>
          <w:instrText xml:space="preserve"> PAGEREF _Toc6402878 \h </w:instrText>
        </w:r>
        <w:r w:rsidR="00637325">
          <w:rPr>
            <w:noProof/>
            <w:webHidden/>
          </w:rPr>
        </w:r>
        <w:r w:rsidR="00637325">
          <w:rPr>
            <w:noProof/>
            <w:webHidden/>
          </w:rPr>
          <w:fldChar w:fldCharType="separate"/>
        </w:r>
        <w:r w:rsidR="005F00D4">
          <w:rPr>
            <w:noProof/>
            <w:webHidden/>
          </w:rPr>
          <w:t>173</w:t>
        </w:r>
        <w:r w:rsidR="00637325">
          <w:rPr>
            <w:noProof/>
            <w:webHidden/>
          </w:rPr>
          <w:fldChar w:fldCharType="end"/>
        </w:r>
      </w:hyperlink>
    </w:p>
    <w:p w14:paraId="5F7D382D"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79" w:history="1">
        <w:r w:rsidR="00637325" w:rsidRPr="00B13A92">
          <w:rPr>
            <w:rStyle w:val="Hyperlink"/>
            <w:rFonts w:ascii="Arial" w:hAnsi="Arial" w:cs="Arial"/>
            <w:noProof/>
          </w:rPr>
          <w:t xml:space="preserve">Figure 114. </w:t>
        </w:r>
        <w:r w:rsidR="00637325" w:rsidRPr="00B13A92">
          <w:rPr>
            <w:rStyle w:val="Hyperlink"/>
            <w:rFonts w:ascii="Arial" w:hAnsi="Arial" w:cs="Arial"/>
            <w:i/>
            <w:noProof/>
          </w:rPr>
          <w:t>Sediment grain size composition at coastal habitat monitoring sites in the Cape York region, 2010–-2018.</w:t>
        </w:r>
        <w:r w:rsidR="00637325">
          <w:rPr>
            <w:noProof/>
            <w:webHidden/>
          </w:rPr>
          <w:tab/>
        </w:r>
        <w:r w:rsidR="00637325">
          <w:rPr>
            <w:noProof/>
            <w:webHidden/>
          </w:rPr>
          <w:fldChar w:fldCharType="begin"/>
        </w:r>
        <w:r w:rsidR="00637325">
          <w:rPr>
            <w:noProof/>
            <w:webHidden/>
          </w:rPr>
          <w:instrText xml:space="preserve"> PAGEREF _Toc6402879 \h </w:instrText>
        </w:r>
        <w:r w:rsidR="00637325">
          <w:rPr>
            <w:noProof/>
            <w:webHidden/>
          </w:rPr>
        </w:r>
        <w:r w:rsidR="00637325">
          <w:rPr>
            <w:noProof/>
            <w:webHidden/>
          </w:rPr>
          <w:fldChar w:fldCharType="separate"/>
        </w:r>
        <w:r w:rsidR="005F00D4">
          <w:rPr>
            <w:noProof/>
            <w:webHidden/>
          </w:rPr>
          <w:t>174</w:t>
        </w:r>
        <w:r w:rsidR="00637325">
          <w:rPr>
            <w:noProof/>
            <w:webHidden/>
          </w:rPr>
          <w:fldChar w:fldCharType="end"/>
        </w:r>
      </w:hyperlink>
    </w:p>
    <w:p w14:paraId="61E106E3"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0" w:history="1">
        <w:r w:rsidR="00637325" w:rsidRPr="00B13A92">
          <w:rPr>
            <w:rStyle w:val="Hyperlink"/>
            <w:rFonts w:ascii="Arial" w:hAnsi="Arial" w:cs="Arial"/>
            <w:noProof/>
          </w:rPr>
          <w:t xml:space="preserve">Figure 115.  </w:t>
        </w:r>
        <w:r w:rsidR="00637325" w:rsidRPr="00B13A92">
          <w:rPr>
            <w:rStyle w:val="Hyperlink"/>
            <w:rFonts w:ascii="Arial" w:hAnsi="Arial" w:cs="Arial"/>
            <w:i/>
            <w:noProof/>
          </w:rPr>
          <w:t>Sediment grain size composition at intertidal coastal habitat monitoring sites in the Wet Tropics region, 2001–2018.</w:t>
        </w:r>
        <w:r w:rsidR="00637325">
          <w:rPr>
            <w:noProof/>
            <w:webHidden/>
          </w:rPr>
          <w:tab/>
        </w:r>
        <w:r w:rsidR="00637325">
          <w:rPr>
            <w:noProof/>
            <w:webHidden/>
          </w:rPr>
          <w:fldChar w:fldCharType="begin"/>
        </w:r>
        <w:r w:rsidR="00637325">
          <w:rPr>
            <w:noProof/>
            <w:webHidden/>
          </w:rPr>
          <w:instrText xml:space="preserve"> PAGEREF _Toc6402880 \h </w:instrText>
        </w:r>
        <w:r w:rsidR="00637325">
          <w:rPr>
            <w:noProof/>
            <w:webHidden/>
          </w:rPr>
        </w:r>
        <w:r w:rsidR="00637325">
          <w:rPr>
            <w:noProof/>
            <w:webHidden/>
          </w:rPr>
          <w:fldChar w:fldCharType="separate"/>
        </w:r>
        <w:r w:rsidR="005F00D4">
          <w:rPr>
            <w:noProof/>
            <w:webHidden/>
          </w:rPr>
          <w:t>175</w:t>
        </w:r>
        <w:r w:rsidR="00637325">
          <w:rPr>
            <w:noProof/>
            <w:webHidden/>
          </w:rPr>
          <w:fldChar w:fldCharType="end"/>
        </w:r>
      </w:hyperlink>
    </w:p>
    <w:p w14:paraId="10D22BED"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1" w:history="1">
        <w:r w:rsidR="00637325" w:rsidRPr="00B13A92">
          <w:rPr>
            <w:rStyle w:val="Hyperlink"/>
            <w:rFonts w:ascii="Arial" w:hAnsi="Arial" w:cs="Arial"/>
            <w:noProof/>
          </w:rPr>
          <w:t xml:space="preserve">Figure 116.  </w:t>
        </w:r>
        <w:r w:rsidR="00637325" w:rsidRPr="00B13A92">
          <w:rPr>
            <w:rStyle w:val="Hyperlink"/>
            <w:rFonts w:ascii="Arial" w:hAnsi="Arial" w:cs="Arial"/>
            <w:i/>
            <w:noProof/>
          </w:rPr>
          <w:t>Sediment grain size composition at intertidal reef habitat monitoring sites in the Wet Tropics region, 2001–2018.</w:t>
        </w:r>
        <w:r w:rsidR="00637325">
          <w:rPr>
            <w:noProof/>
            <w:webHidden/>
          </w:rPr>
          <w:tab/>
        </w:r>
        <w:r w:rsidR="00637325">
          <w:rPr>
            <w:noProof/>
            <w:webHidden/>
          </w:rPr>
          <w:fldChar w:fldCharType="begin"/>
        </w:r>
        <w:r w:rsidR="00637325">
          <w:rPr>
            <w:noProof/>
            <w:webHidden/>
          </w:rPr>
          <w:instrText xml:space="preserve"> PAGEREF _Toc6402881 \h </w:instrText>
        </w:r>
        <w:r w:rsidR="00637325">
          <w:rPr>
            <w:noProof/>
            <w:webHidden/>
          </w:rPr>
        </w:r>
        <w:r w:rsidR="00637325">
          <w:rPr>
            <w:noProof/>
            <w:webHidden/>
          </w:rPr>
          <w:fldChar w:fldCharType="separate"/>
        </w:r>
        <w:r w:rsidR="005F00D4">
          <w:rPr>
            <w:noProof/>
            <w:webHidden/>
          </w:rPr>
          <w:t>176</w:t>
        </w:r>
        <w:r w:rsidR="00637325">
          <w:rPr>
            <w:noProof/>
            <w:webHidden/>
          </w:rPr>
          <w:fldChar w:fldCharType="end"/>
        </w:r>
      </w:hyperlink>
    </w:p>
    <w:p w14:paraId="69EBE76E"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2" w:history="1">
        <w:r w:rsidR="00637325" w:rsidRPr="00B13A92">
          <w:rPr>
            <w:rStyle w:val="Hyperlink"/>
            <w:rFonts w:ascii="Arial" w:hAnsi="Arial" w:cs="Arial"/>
            <w:noProof/>
          </w:rPr>
          <w:t xml:space="preserve">Figure 117.  </w:t>
        </w:r>
        <w:r w:rsidR="00637325" w:rsidRPr="00B13A92">
          <w:rPr>
            <w:rStyle w:val="Hyperlink"/>
            <w:rFonts w:ascii="Arial" w:hAnsi="Arial" w:cs="Arial"/>
            <w:i/>
            <w:noProof/>
          </w:rPr>
          <w:t>Sediment grain size composition at subtidal reef habitat monitoring sites in the Wet Tropics region, 2008–2018.</w:t>
        </w:r>
        <w:r w:rsidR="00637325">
          <w:rPr>
            <w:noProof/>
            <w:webHidden/>
          </w:rPr>
          <w:tab/>
        </w:r>
        <w:r w:rsidR="00637325">
          <w:rPr>
            <w:noProof/>
            <w:webHidden/>
          </w:rPr>
          <w:fldChar w:fldCharType="begin"/>
        </w:r>
        <w:r w:rsidR="00637325">
          <w:rPr>
            <w:noProof/>
            <w:webHidden/>
          </w:rPr>
          <w:instrText xml:space="preserve"> PAGEREF _Toc6402882 \h </w:instrText>
        </w:r>
        <w:r w:rsidR="00637325">
          <w:rPr>
            <w:noProof/>
            <w:webHidden/>
          </w:rPr>
        </w:r>
        <w:r w:rsidR="00637325">
          <w:rPr>
            <w:noProof/>
            <w:webHidden/>
          </w:rPr>
          <w:fldChar w:fldCharType="separate"/>
        </w:r>
        <w:r w:rsidR="005F00D4">
          <w:rPr>
            <w:noProof/>
            <w:webHidden/>
          </w:rPr>
          <w:t>177</w:t>
        </w:r>
        <w:r w:rsidR="00637325">
          <w:rPr>
            <w:noProof/>
            <w:webHidden/>
          </w:rPr>
          <w:fldChar w:fldCharType="end"/>
        </w:r>
      </w:hyperlink>
    </w:p>
    <w:p w14:paraId="1A1A59FA"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3" w:history="1">
        <w:r w:rsidR="00637325" w:rsidRPr="00B13A92">
          <w:rPr>
            <w:rStyle w:val="Hyperlink"/>
            <w:rFonts w:ascii="Arial" w:hAnsi="Arial" w:cs="Arial"/>
            <w:noProof/>
          </w:rPr>
          <w:t xml:space="preserve">Figure 118. </w:t>
        </w:r>
        <w:r w:rsidR="00637325" w:rsidRPr="00B13A92">
          <w:rPr>
            <w:rStyle w:val="Hyperlink"/>
            <w:rFonts w:ascii="Arial" w:hAnsi="Arial" w:cs="Arial"/>
            <w:i/>
            <w:noProof/>
          </w:rPr>
          <w:t>Sediment grain size composition at intertidal coastal habitat monitoring sites in the Burdekin region, 2001–2018.</w:t>
        </w:r>
        <w:r w:rsidR="00637325">
          <w:rPr>
            <w:noProof/>
            <w:webHidden/>
          </w:rPr>
          <w:tab/>
        </w:r>
        <w:r w:rsidR="00637325">
          <w:rPr>
            <w:noProof/>
            <w:webHidden/>
          </w:rPr>
          <w:fldChar w:fldCharType="begin"/>
        </w:r>
        <w:r w:rsidR="00637325">
          <w:rPr>
            <w:noProof/>
            <w:webHidden/>
          </w:rPr>
          <w:instrText xml:space="preserve"> PAGEREF _Toc6402883 \h </w:instrText>
        </w:r>
        <w:r w:rsidR="00637325">
          <w:rPr>
            <w:noProof/>
            <w:webHidden/>
          </w:rPr>
        </w:r>
        <w:r w:rsidR="00637325">
          <w:rPr>
            <w:noProof/>
            <w:webHidden/>
          </w:rPr>
          <w:fldChar w:fldCharType="separate"/>
        </w:r>
        <w:r w:rsidR="005F00D4">
          <w:rPr>
            <w:noProof/>
            <w:webHidden/>
          </w:rPr>
          <w:t>178</w:t>
        </w:r>
        <w:r w:rsidR="00637325">
          <w:rPr>
            <w:noProof/>
            <w:webHidden/>
          </w:rPr>
          <w:fldChar w:fldCharType="end"/>
        </w:r>
      </w:hyperlink>
    </w:p>
    <w:p w14:paraId="7FFA9EB0"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4" w:history="1">
        <w:r w:rsidR="00637325" w:rsidRPr="00B13A92">
          <w:rPr>
            <w:rStyle w:val="Hyperlink"/>
            <w:rFonts w:ascii="Arial" w:hAnsi="Arial" w:cs="Arial"/>
            <w:noProof/>
          </w:rPr>
          <w:t xml:space="preserve">Figure 119. </w:t>
        </w:r>
        <w:r w:rsidR="00637325" w:rsidRPr="00B13A92">
          <w:rPr>
            <w:rStyle w:val="Hyperlink"/>
            <w:rFonts w:ascii="Arial" w:hAnsi="Arial" w:cs="Arial"/>
            <w:i/>
            <w:noProof/>
          </w:rPr>
          <w:t>Sediment grain size composition at intertidal reef habitat monitoring sites in the Burdekin region, 2004–2018.</w:t>
        </w:r>
        <w:r w:rsidR="00637325">
          <w:rPr>
            <w:noProof/>
            <w:webHidden/>
          </w:rPr>
          <w:tab/>
        </w:r>
        <w:r w:rsidR="00637325">
          <w:rPr>
            <w:noProof/>
            <w:webHidden/>
          </w:rPr>
          <w:fldChar w:fldCharType="begin"/>
        </w:r>
        <w:r w:rsidR="00637325">
          <w:rPr>
            <w:noProof/>
            <w:webHidden/>
          </w:rPr>
          <w:instrText xml:space="preserve"> PAGEREF _Toc6402884 \h </w:instrText>
        </w:r>
        <w:r w:rsidR="00637325">
          <w:rPr>
            <w:noProof/>
            <w:webHidden/>
          </w:rPr>
        </w:r>
        <w:r w:rsidR="00637325">
          <w:rPr>
            <w:noProof/>
            <w:webHidden/>
          </w:rPr>
          <w:fldChar w:fldCharType="separate"/>
        </w:r>
        <w:r w:rsidR="005F00D4">
          <w:rPr>
            <w:noProof/>
            <w:webHidden/>
          </w:rPr>
          <w:t>178</w:t>
        </w:r>
        <w:r w:rsidR="00637325">
          <w:rPr>
            <w:noProof/>
            <w:webHidden/>
          </w:rPr>
          <w:fldChar w:fldCharType="end"/>
        </w:r>
      </w:hyperlink>
    </w:p>
    <w:p w14:paraId="4CA6C218"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5" w:history="1">
        <w:r w:rsidR="00637325" w:rsidRPr="00B13A92">
          <w:rPr>
            <w:rStyle w:val="Hyperlink"/>
            <w:rFonts w:ascii="Arial" w:hAnsi="Arial" w:cs="Arial"/>
            <w:noProof/>
          </w:rPr>
          <w:t xml:space="preserve">Figure 120.  </w:t>
        </w:r>
        <w:r w:rsidR="00637325" w:rsidRPr="00B13A92">
          <w:rPr>
            <w:rStyle w:val="Hyperlink"/>
            <w:rFonts w:ascii="Arial" w:hAnsi="Arial" w:cs="Arial"/>
            <w:i/>
            <w:noProof/>
          </w:rPr>
          <w:t>Sediment grain size composition at subtidal reef habitat monitoring sites in the Burdekin region, 2010–2018.</w:t>
        </w:r>
        <w:r w:rsidR="00637325">
          <w:rPr>
            <w:noProof/>
            <w:webHidden/>
          </w:rPr>
          <w:tab/>
        </w:r>
        <w:r w:rsidR="00637325">
          <w:rPr>
            <w:noProof/>
            <w:webHidden/>
          </w:rPr>
          <w:fldChar w:fldCharType="begin"/>
        </w:r>
        <w:r w:rsidR="00637325">
          <w:rPr>
            <w:noProof/>
            <w:webHidden/>
          </w:rPr>
          <w:instrText xml:space="preserve"> PAGEREF _Toc6402885 \h </w:instrText>
        </w:r>
        <w:r w:rsidR="00637325">
          <w:rPr>
            <w:noProof/>
            <w:webHidden/>
          </w:rPr>
        </w:r>
        <w:r w:rsidR="00637325">
          <w:rPr>
            <w:noProof/>
            <w:webHidden/>
          </w:rPr>
          <w:fldChar w:fldCharType="separate"/>
        </w:r>
        <w:r w:rsidR="005F00D4">
          <w:rPr>
            <w:noProof/>
            <w:webHidden/>
          </w:rPr>
          <w:t>179</w:t>
        </w:r>
        <w:r w:rsidR="00637325">
          <w:rPr>
            <w:noProof/>
            <w:webHidden/>
          </w:rPr>
          <w:fldChar w:fldCharType="end"/>
        </w:r>
      </w:hyperlink>
    </w:p>
    <w:p w14:paraId="3470EBCF" w14:textId="05CE91C9"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6" w:history="1">
        <w:r w:rsidR="00637325" w:rsidRPr="00B13A92">
          <w:rPr>
            <w:rStyle w:val="Hyperlink"/>
            <w:rFonts w:ascii="Arial" w:hAnsi="Arial" w:cs="Arial"/>
            <w:noProof/>
          </w:rPr>
          <w:t xml:space="preserve">Figure 121.  </w:t>
        </w:r>
        <w:r w:rsidR="00637325" w:rsidRPr="00B13A92">
          <w:rPr>
            <w:rStyle w:val="Hyperlink"/>
            <w:rFonts w:ascii="Arial" w:hAnsi="Arial" w:cs="Arial"/>
            <w:i/>
            <w:noProof/>
          </w:rPr>
          <w:t xml:space="preserve">Sediment grain size composition at intertidal estuary habitat monitoring sites in the </w:t>
        </w:r>
        <w:r w:rsidR="00637325">
          <w:rPr>
            <w:rStyle w:val="Hyperlink"/>
            <w:rFonts w:ascii="Arial" w:hAnsi="Arial" w:cs="Arial"/>
            <w:i/>
            <w:noProof/>
          </w:rPr>
          <w:t>Mackay-Whitsunday</w:t>
        </w:r>
        <w:r w:rsidR="00637325" w:rsidRPr="00B13A92">
          <w:rPr>
            <w:rStyle w:val="Hyperlink"/>
            <w:rFonts w:ascii="Arial" w:hAnsi="Arial" w:cs="Arial"/>
            <w:i/>
            <w:noProof/>
          </w:rPr>
          <w:t xml:space="preserve"> region, 2005–2018.</w:t>
        </w:r>
        <w:r w:rsidR="00637325">
          <w:rPr>
            <w:noProof/>
            <w:webHidden/>
          </w:rPr>
          <w:tab/>
        </w:r>
        <w:r w:rsidR="00637325">
          <w:rPr>
            <w:noProof/>
            <w:webHidden/>
          </w:rPr>
          <w:fldChar w:fldCharType="begin"/>
        </w:r>
        <w:r w:rsidR="00637325">
          <w:rPr>
            <w:noProof/>
            <w:webHidden/>
          </w:rPr>
          <w:instrText xml:space="preserve"> PAGEREF _Toc6402886 \h </w:instrText>
        </w:r>
        <w:r w:rsidR="00637325">
          <w:rPr>
            <w:noProof/>
            <w:webHidden/>
          </w:rPr>
        </w:r>
        <w:r w:rsidR="00637325">
          <w:rPr>
            <w:noProof/>
            <w:webHidden/>
          </w:rPr>
          <w:fldChar w:fldCharType="separate"/>
        </w:r>
        <w:r w:rsidR="005F00D4">
          <w:rPr>
            <w:noProof/>
            <w:webHidden/>
          </w:rPr>
          <w:t>179</w:t>
        </w:r>
        <w:r w:rsidR="00637325">
          <w:rPr>
            <w:noProof/>
            <w:webHidden/>
          </w:rPr>
          <w:fldChar w:fldCharType="end"/>
        </w:r>
      </w:hyperlink>
    </w:p>
    <w:p w14:paraId="6B133CE9" w14:textId="1528108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7" w:history="1">
        <w:r w:rsidR="00637325" w:rsidRPr="00B13A92">
          <w:rPr>
            <w:rStyle w:val="Hyperlink"/>
            <w:rFonts w:ascii="Arial" w:hAnsi="Arial" w:cs="Arial"/>
            <w:noProof/>
          </w:rPr>
          <w:t xml:space="preserve">Figure 122.  </w:t>
        </w:r>
        <w:r w:rsidR="00637325" w:rsidRPr="00B13A92">
          <w:rPr>
            <w:rStyle w:val="Hyperlink"/>
            <w:rFonts w:ascii="Arial" w:hAnsi="Arial" w:cs="Arial"/>
            <w:i/>
            <w:noProof/>
          </w:rPr>
          <w:t xml:space="preserve">Sediment grain size composition at intertidal coastal habitat monitoring sites in the </w:t>
        </w:r>
        <w:r w:rsidR="00637325">
          <w:rPr>
            <w:rStyle w:val="Hyperlink"/>
            <w:rFonts w:ascii="Arial" w:hAnsi="Arial" w:cs="Arial"/>
            <w:i/>
            <w:noProof/>
          </w:rPr>
          <w:t>Mackay-Whitsunday</w:t>
        </w:r>
        <w:r w:rsidR="00637325" w:rsidRPr="00B13A92">
          <w:rPr>
            <w:rStyle w:val="Hyperlink"/>
            <w:rFonts w:ascii="Arial" w:hAnsi="Arial" w:cs="Arial"/>
            <w:i/>
            <w:noProof/>
          </w:rPr>
          <w:t xml:space="preserve"> region, 1999–2018.</w:t>
        </w:r>
        <w:r w:rsidR="00637325">
          <w:rPr>
            <w:noProof/>
            <w:webHidden/>
          </w:rPr>
          <w:tab/>
        </w:r>
        <w:r w:rsidR="00637325">
          <w:rPr>
            <w:noProof/>
            <w:webHidden/>
          </w:rPr>
          <w:fldChar w:fldCharType="begin"/>
        </w:r>
        <w:r w:rsidR="00637325">
          <w:rPr>
            <w:noProof/>
            <w:webHidden/>
          </w:rPr>
          <w:instrText xml:space="preserve"> PAGEREF _Toc6402887 \h </w:instrText>
        </w:r>
        <w:r w:rsidR="00637325">
          <w:rPr>
            <w:noProof/>
            <w:webHidden/>
          </w:rPr>
        </w:r>
        <w:r w:rsidR="00637325">
          <w:rPr>
            <w:noProof/>
            <w:webHidden/>
          </w:rPr>
          <w:fldChar w:fldCharType="separate"/>
        </w:r>
        <w:r w:rsidR="005F00D4">
          <w:rPr>
            <w:noProof/>
            <w:webHidden/>
          </w:rPr>
          <w:t>180</w:t>
        </w:r>
        <w:r w:rsidR="00637325">
          <w:rPr>
            <w:noProof/>
            <w:webHidden/>
          </w:rPr>
          <w:fldChar w:fldCharType="end"/>
        </w:r>
      </w:hyperlink>
    </w:p>
    <w:p w14:paraId="5C14B93E" w14:textId="7870B45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8" w:history="1">
        <w:r w:rsidR="00637325" w:rsidRPr="00B13A92">
          <w:rPr>
            <w:rStyle w:val="Hyperlink"/>
            <w:rFonts w:ascii="Arial" w:hAnsi="Arial" w:cs="Arial"/>
            <w:noProof/>
          </w:rPr>
          <w:t xml:space="preserve">Figure 123.  </w:t>
        </w:r>
        <w:r w:rsidR="00637325" w:rsidRPr="00B13A92">
          <w:rPr>
            <w:rStyle w:val="Hyperlink"/>
            <w:rFonts w:ascii="Arial" w:hAnsi="Arial" w:cs="Arial"/>
            <w:i/>
            <w:noProof/>
          </w:rPr>
          <w:t xml:space="preserve">Sediment grain size composition at intertidal reef habitat monitoring sites in the </w:t>
        </w:r>
        <w:r w:rsidR="00637325">
          <w:rPr>
            <w:rStyle w:val="Hyperlink"/>
            <w:rFonts w:ascii="Arial" w:hAnsi="Arial" w:cs="Arial"/>
            <w:i/>
            <w:noProof/>
          </w:rPr>
          <w:t>Mackay-Whitsunday</w:t>
        </w:r>
        <w:r w:rsidR="00637325" w:rsidRPr="00B13A92">
          <w:rPr>
            <w:rStyle w:val="Hyperlink"/>
            <w:rFonts w:ascii="Arial" w:hAnsi="Arial" w:cs="Arial"/>
            <w:i/>
            <w:noProof/>
          </w:rPr>
          <w:t xml:space="preserve"> region, 2007–2018.</w:t>
        </w:r>
        <w:r w:rsidR="00637325">
          <w:rPr>
            <w:noProof/>
            <w:webHidden/>
          </w:rPr>
          <w:tab/>
        </w:r>
        <w:r w:rsidR="00637325">
          <w:rPr>
            <w:noProof/>
            <w:webHidden/>
          </w:rPr>
          <w:fldChar w:fldCharType="begin"/>
        </w:r>
        <w:r w:rsidR="00637325">
          <w:rPr>
            <w:noProof/>
            <w:webHidden/>
          </w:rPr>
          <w:instrText xml:space="preserve"> PAGEREF _Toc6402888 \h </w:instrText>
        </w:r>
        <w:r w:rsidR="00637325">
          <w:rPr>
            <w:noProof/>
            <w:webHidden/>
          </w:rPr>
        </w:r>
        <w:r w:rsidR="00637325">
          <w:rPr>
            <w:noProof/>
            <w:webHidden/>
          </w:rPr>
          <w:fldChar w:fldCharType="separate"/>
        </w:r>
        <w:r w:rsidR="005F00D4">
          <w:rPr>
            <w:noProof/>
            <w:webHidden/>
          </w:rPr>
          <w:t>180</w:t>
        </w:r>
        <w:r w:rsidR="00637325">
          <w:rPr>
            <w:noProof/>
            <w:webHidden/>
          </w:rPr>
          <w:fldChar w:fldCharType="end"/>
        </w:r>
      </w:hyperlink>
    </w:p>
    <w:p w14:paraId="22137071"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89" w:history="1">
        <w:r w:rsidR="00637325" w:rsidRPr="00B13A92">
          <w:rPr>
            <w:rStyle w:val="Hyperlink"/>
            <w:rFonts w:ascii="Arial" w:hAnsi="Arial" w:cs="Arial"/>
            <w:noProof/>
          </w:rPr>
          <w:t xml:space="preserve">Figure 124.  </w:t>
        </w:r>
        <w:r w:rsidR="00637325" w:rsidRPr="00B13A92">
          <w:rPr>
            <w:rStyle w:val="Hyperlink"/>
            <w:rFonts w:ascii="Arial" w:hAnsi="Arial" w:cs="Arial"/>
            <w:i/>
            <w:noProof/>
          </w:rPr>
          <w:t>Sediment grain size composition at intertidal estuary habitat monitoring sites in the Fitzroy region, 2005–2018.</w:t>
        </w:r>
        <w:r w:rsidR="00637325">
          <w:rPr>
            <w:noProof/>
            <w:webHidden/>
          </w:rPr>
          <w:tab/>
        </w:r>
        <w:r w:rsidR="00637325">
          <w:rPr>
            <w:noProof/>
            <w:webHidden/>
          </w:rPr>
          <w:fldChar w:fldCharType="begin"/>
        </w:r>
        <w:r w:rsidR="00637325">
          <w:rPr>
            <w:noProof/>
            <w:webHidden/>
          </w:rPr>
          <w:instrText xml:space="preserve"> PAGEREF _Toc6402889 \h </w:instrText>
        </w:r>
        <w:r w:rsidR="00637325">
          <w:rPr>
            <w:noProof/>
            <w:webHidden/>
          </w:rPr>
        </w:r>
        <w:r w:rsidR="00637325">
          <w:rPr>
            <w:noProof/>
            <w:webHidden/>
          </w:rPr>
          <w:fldChar w:fldCharType="separate"/>
        </w:r>
        <w:r w:rsidR="005F00D4">
          <w:rPr>
            <w:noProof/>
            <w:webHidden/>
          </w:rPr>
          <w:t>181</w:t>
        </w:r>
        <w:r w:rsidR="00637325">
          <w:rPr>
            <w:noProof/>
            <w:webHidden/>
          </w:rPr>
          <w:fldChar w:fldCharType="end"/>
        </w:r>
      </w:hyperlink>
    </w:p>
    <w:p w14:paraId="5ECD6EA0"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90" w:history="1">
        <w:r w:rsidR="00637325" w:rsidRPr="00B13A92">
          <w:rPr>
            <w:rStyle w:val="Hyperlink"/>
            <w:rFonts w:ascii="Arial" w:hAnsi="Arial" w:cs="Arial"/>
            <w:noProof/>
          </w:rPr>
          <w:t xml:space="preserve">Figure 125.  </w:t>
        </w:r>
        <w:r w:rsidR="00637325" w:rsidRPr="00B13A92">
          <w:rPr>
            <w:rStyle w:val="Hyperlink"/>
            <w:rFonts w:ascii="Arial" w:hAnsi="Arial" w:cs="Arial"/>
            <w:i/>
            <w:noProof/>
          </w:rPr>
          <w:t>Sediment grain size composition at intertidal coastal habitat monitoring sites in the Fitzroy region, 2005–2018.</w:t>
        </w:r>
        <w:r w:rsidR="00637325">
          <w:rPr>
            <w:noProof/>
            <w:webHidden/>
          </w:rPr>
          <w:tab/>
        </w:r>
        <w:r w:rsidR="00637325">
          <w:rPr>
            <w:noProof/>
            <w:webHidden/>
          </w:rPr>
          <w:fldChar w:fldCharType="begin"/>
        </w:r>
        <w:r w:rsidR="00637325">
          <w:rPr>
            <w:noProof/>
            <w:webHidden/>
          </w:rPr>
          <w:instrText xml:space="preserve"> PAGEREF _Toc6402890 \h </w:instrText>
        </w:r>
        <w:r w:rsidR="00637325">
          <w:rPr>
            <w:noProof/>
            <w:webHidden/>
          </w:rPr>
        </w:r>
        <w:r w:rsidR="00637325">
          <w:rPr>
            <w:noProof/>
            <w:webHidden/>
          </w:rPr>
          <w:fldChar w:fldCharType="separate"/>
        </w:r>
        <w:r w:rsidR="005F00D4">
          <w:rPr>
            <w:noProof/>
            <w:webHidden/>
          </w:rPr>
          <w:t>181</w:t>
        </w:r>
        <w:r w:rsidR="00637325">
          <w:rPr>
            <w:noProof/>
            <w:webHidden/>
          </w:rPr>
          <w:fldChar w:fldCharType="end"/>
        </w:r>
      </w:hyperlink>
    </w:p>
    <w:p w14:paraId="0A19C639"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91" w:history="1">
        <w:r w:rsidR="00637325" w:rsidRPr="00B13A92">
          <w:rPr>
            <w:rStyle w:val="Hyperlink"/>
            <w:rFonts w:ascii="Arial" w:hAnsi="Arial" w:cs="Arial"/>
            <w:noProof/>
          </w:rPr>
          <w:t xml:space="preserve">Figure 126.  </w:t>
        </w:r>
        <w:r w:rsidR="00637325" w:rsidRPr="00B13A92">
          <w:rPr>
            <w:rStyle w:val="Hyperlink"/>
            <w:rFonts w:ascii="Arial" w:hAnsi="Arial" w:cs="Arial"/>
            <w:i/>
            <w:noProof/>
          </w:rPr>
          <w:t>Sediment grain size composition at intertidal reef habitat monitoring sites in the Fitzroy region, 2007–2018.</w:t>
        </w:r>
        <w:r w:rsidR="00637325">
          <w:rPr>
            <w:noProof/>
            <w:webHidden/>
          </w:rPr>
          <w:tab/>
        </w:r>
        <w:r w:rsidR="00637325">
          <w:rPr>
            <w:noProof/>
            <w:webHidden/>
          </w:rPr>
          <w:fldChar w:fldCharType="begin"/>
        </w:r>
        <w:r w:rsidR="00637325">
          <w:rPr>
            <w:noProof/>
            <w:webHidden/>
          </w:rPr>
          <w:instrText xml:space="preserve"> PAGEREF _Toc6402891 \h </w:instrText>
        </w:r>
        <w:r w:rsidR="00637325">
          <w:rPr>
            <w:noProof/>
            <w:webHidden/>
          </w:rPr>
        </w:r>
        <w:r w:rsidR="00637325">
          <w:rPr>
            <w:noProof/>
            <w:webHidden/>
          </w:rPr>
          <w:fldChar w:fldCharType="separate"/>
        </w:r>
        <w:r w:rsidR="005F00D4">
          <w:rPr>
            <w:noProof/>
            <w:webHidden/>
          </w:rPr>
          <w:t>182</w:t>
        </w:r>
        <w:r w:rsidR="00637325">
          <w:rPr>
            <w:noProof/>
            <w:webHidden/>
          </w:rPr>
          <w:fldChar w:fldCharType="end"/>
        </w:r>
      </w:hyperlink>
    </w:p>
    <w:p w14:paraId="19D620DF"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92" w:history="1">
        <w:r w:rsidR="00637325" w:rsidRPr="00B13A92">
          <w:rPr>
            <w:rStyle w:val="Hyperlink"/>
            <w:rFonts w:ascii="Arial" w:hAnsi="Arial" w:cs="Arial"/>
            <w:noProof/>
          </w:rPr>
          <w:t xml:space="preserve">Figure 127.  </w:t>
        </w:r>
        <w:r w:rsidR="00637325" w:rsidRPr="00B13A92">
          <w:rPr>
            <w:rStyle w:val="Hyperlink"/>
            <w:rFonts w:ascii="Arial" w:hAnsi="Arial" w:cs="Arial"/>
            <w:i/>
            <w:noProof/>
          </w:rPr>
          <w:t>Sediment grain size composition at intertidal estuary habitat monitoring sites in the Burnett Mary region, 1999–2018.</w:t>
        </w:r>
        <w:r w:rsidR="00637325">
          <w:rPr>
            <w:noProof/>
            <w:webHidden/>
          </w:rPr>
          <w:tab/>
        </w:r>
        <w:r w:rsidR="00637325">
          <w:rPr>
            <w:noProof/>
            <w:webHidden/>
          </w:rPr>
          <w:fldChar w:fldCharType="begin"/>
        </w:r>
        <w:r w:rsidR="00637325">
          <w:rPr>
            <w:noProof/>
            <w:webHidden/>
          </w:rPr>
          <w:instrText xml:space="preserve"> PAGEREF _Toc6402892 \h </w:instrText>
        </w:r>
        <w:r w:rsidR="00637325">
          <w:rPr>
            <w:noProof/>
            <w:webHidden/>
          </w:rPr>
        </w:r>
        <w:r w:rsidR="00637325">
          <w:rPr>
            <w:noProof/>
            <w:webHidden/>
          </w:rPr>
          <w:fldChar w:fldCharType="separate"/>
        </w:r>
        <w:r w:rsidR="005F00D4">
          <w:rPr>
            <w:noProof/>
            <w:webHidden/>
          </w:rPr>
          <w:t>182</w:t>
        </w:r>
        <w:r w:rsidR="00637325">
          <w:rPr>
            <w:noProof/>
            <w:webHidden/>
          </w:rPr>
          <w:fldChar w:fldCharType="end"/>
        </w:r>
      </w:hyperlink>
    </w:p>
    <w:p w14:paraId="46B7CC46" w14:textId="77777777" w:rsidR="00637325" w:rsidRDefault="00C911E4">
      <w:pPr>
        <w:pStyle w:val="TableofFigures"/>
        <w:tabs>
          <w:tab w:val="right" w:leader="dot" w:pos="9060"/>
        </w:tabs>
        <w:rPr>
          <w:rFonts w:asciiTheme="minorHAnsi" w:eastAsiaTheme="minorEastAsia" w:hAnsiTheme="minorHAnsi" w:cstheme="minorBidi"/>
          <w:noProof/>
          <w:szCs w:val="22"/>
          <w:lang w:eastAsia="en-AU"/>
        </w:rPr>
      </w:pPr>
      <w:hyperlink w:anchor="_Toc6402893" w:history="1">
        <w:r w:rsidR="00637325" w:rsidRPr="00B13A92">
          <w:rPr>
            <w:rStyle w:val="Hyperlink"/>
            <w:rFonts w:ascii="Arial" w:hAnsi="Arial" w:cs="Arial"/>
            <w:noProof/>
          </w:rPr>
          <w:t xml:space="preserve">Figure 128. </w:t>
        </w:r>
        <w:r w:rsidR="00637325" w:rsidRPr="00B13A92">
          <w:rPr>
            <w:rStyle w:val="Hyperlink"/>
            <w:rFonts w:ascii="Arial" w:hAnsi="Arial" w:cs="Arial"/>
            <w:i/>
            <w:noProof/>
          </w:rPr>
          <w:t>Sediment grain size composition at intertidal coastal habitat monitoring sites in the Burnett Mary region, 1999–2018.</w:t>
        </w:r>
        <w:r w:rsidR="00637325">
          <w:rPr>
            <w:noProof/>
            <w:webHidden/>
          </w:rPr>
          <w:tab/>
        </w:r>
        <w:r w:rsidR="00637325">
          <w:rPr>
            <w:noProof/>
            <w:webHidden/>
          </w:rPr>
          <w:fldChar w:fldCharType="begin"/>
        </w:r>
        <w:r w:rsidR="00637325">
          <w:rPr>
            <w:noProof/>
            <w:webHidden/>
          </w:rPr>
          <w:instrText xml:space="preserve"> PAGEREF _Toc6402893 \h </w:instrText>
        </w:r>
        <w:r w:rsidR="00637325">
          <w:rPr>
            <w:noProof/>
            <w:webHidden/>
          </w:rPr>
        </w:r>
        <w:r w:rsidR="00637325">
          <w:rPr>
            <w:noProof/>
            <w:webHidden/>
          </w:rPr>
          <w:fldChar w:fldCharType="separate"/>
        </w:r>
        <w:r w:rsidR="005F00D4">
          <w:rPr>
            <w:noProof/>
            <w:webHidden/>
          </w:rPr>
          <w:t>183</w:t>
        </w:r>
        <w:r w:rsidR="00637325">
          <w:rPr>
            <w:noProof/>
            <w:webHidden/>
          </w:rPr>
          <w:fldChar w:fldCharType="end"/>
        </w:r>
      </w:hyperlink>
    </w:p>
    <w:p w14:paraId="5168C8BC" w14:textId="52B4861D" w:rsidR="001F4593" w:rsidRPr="00DA741D" w:rsidRDefault="001F4593" w:rsidP="001F4593">
      <w:pPr>
        <w:tabs>
          <w:tab w:val="left" w:pos="1134"/>
          <w:tab w:val="left" w:pos="1418"/>
          <w:tab w:val="right" w:leader="dot" w:pos="9072"/>
        </w:tabs>
        <w:ind w:left="567" w:hanging="567"/>
        <w:rPr>
          <w:color w:val="000000"/>
        </w:rPr>
      </w:pPr>
      <w:r w:rsidRPr="005D79A9">
        <w:rPr>
          <w:rFonts w:ascii="Arial" w:hAnsi="Arial" w:cs="Arial"/>
          <w:color w:val="000000"/>
          <w:sz w:val="20"/>
          <w:szCs w:val="20"/>
        </w:rPr>
        <w:fldChar w:fldCharType="end"/>
      </w:r>
      <w:r w:rsidRPr="00DA741D">
        <w:rPr>
          <w:color w:val="000000"/>
        </w:rPr>
        <w:br w:type="page"/>
      </w:r>
    </w:p>
    <w:p w14:paraId="3BE9C271" w14:textId="618301DF" w:rsidR="001F4593" w:rsidRPr="00DA741D" w:rsidRDefault="001F4593" w:rsidP="0015509E">
      <w:pPr>
        <w:pStyle w:val="Heading1"/>
        <w:numPr>
          <w:ilvl w:val="0"/>
          <w:numId w:val="0"/>
        </w:numPr>
        <w:ind w:left="432"/>
      </w:pPr>
      <w:bookmarkStart w:id="1" w:name="_Toc11394684"/>
      <w:r w:rsidRPr="00DA741D">
        <w:lastRenderedPageBreak/>
        <w:t xml:space="preserve">List of </w:t>
      </w:r>
      <w:r w:rsidR="00BE4012">
        <w:t>t</w:t>
      </w:r>
      <w:r w:rsidRPr="00DA741D">
        <w:t>ables</w:t>
      </w:r>
      <w:bookmarkEnd w:id="1"/>
    </w:p>
    <w:p w14:paraId="549892B8" w14:textId="23227AED" w:rsidR="001D65F9" w:rsidRPr="005D79A9" w:rsidRDefault="001F4593">
      <w:pPr>
        <w:pStyle w:val="TableofFigures"/>
        <w:tabs>
          <w:tab w:val="right" w:leader="dot" w:pos="9060"/>
        </w:tabs>
        <w:rPr>
          <w:rFonts w:ascii="Arial" w:eastAsiaTheme="minorEastAsia" w:hAnsi="Arial" w:cs="Arial"/>
          <w:noProof/>
          <w:szCs w:val="22"/>
          <w:lang w:eastAsia="en-AU"/>
        </w:rPr>
      </w:pPr>
      <w:r w:rsidRPr="005D79A9">
        <w:rPr>
          <w:rFonts w:ascii="Arial" w:hAnsi="Arial" w:cs="Arial"/>
          <w:color w:val="000000"/>
          <w:sz w:val="20"/>
          <w:szCs w:val="20"/>
        </w:rPr>
        <w:fldChar w:fldCharType="begin"/>
      </w:r>
      <w:r w:rsidRPr="005D79A9">
        <w:rPr>
          <w:rFonts w:ascii="Arial" w:hAnsi="Arial" w:cs="Arial"/>
          <w:color w:val="000000"/>
          <w:sz w:val="20"/>
          <w:szCs w:val="20"/>
        </w:rPr>
        <w:instrText xml:space="preserve"> TOC \h \z \c "Table" </w:instrText>
      </w:r>
      <w:r w:rsidRPr="005D79A9">
        <w:rPr>
          <w:rFonts w:ascii="Arial" w:hAnsi="Arial" w:cs="Arial"/>
          <w:color w:val="000000"/>
          <w:sz w:val="20"/>
          <w:szCs w:val="20"/>
        </w:rPr>
        <w:fldChar w:fldCharType="separate"/>
      </w:r>
      <w:hyperlink w:anchor="_Toc5616029" w:history="1">
        <w:r w:rsidR="001D65F9" w:rsidRPr="005D79A9">
          <w:rPr>
            <w:rStyle w:val="Hyperlink"/>
            <w:rFonts w:ascii="Arial" w:hAnsi="Arial" w:cs="Arial"/>
            <w:noProof/>
          </w:rPr>
          <w:t xml:space="preserve">Table 1. </w:t>
        </w:r>
        <w:r w:rsidR="001D65F9" w:rsidRPr="005D79A9">
          <w:rPr>
            <w:rStyle w:val="Hyperlink"/>
            <w:rFonts w:ascii="Arial" w:hAnsi="Arial" w:cs="Arial"/>
            <w:i/>
            <w:noProof/>
          </w:rPr>
          <w:t xml:space="preserve"> Summary of climate and environment data included in this report</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_Toc5616029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13</w:t>
        </w:r>
        <w:r w:rsidR="001D65F9" w:rsidRPr="005D79A9">
          <w:rPr>
            <w:rFonts w:ascii="Arial" w:hAnsi="Arial" w:cs="Arial"/>
            <w:noProof/>
            <w:webHidden/>
          </w:rPr>
          <w:fldChar w:fldCharType="end"/>
        </w:r>
      </w:hyperlink>
    </w:p>
    <w:p w14:paraId="7C41788D" w14:textId="73F02296"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0" w:history="1">
        <w:r w:rsidR="001D65F9" w:rsidRPr="005D79A9">
          <w:rPr>
            <w:rStyle w:val="Hyperlink"/>
            <w:rFonts w:ascii="Arial" w:hAnsi="Arial" w:cs="Arial"/>
            <w:noProof/>
          </w:rPr>
          <w:t>Table 2</w:t>
        </w:r>
        <w:r w:rsidR="001D65F9" w:rsidRPr="005D79A9">
          <w:rPr>
            <w:rStyle w:val="Hyperlink"/>
            <w:rFonts w:ascii="Arial" w:hAnsi="Arial" w:cs="Arial"/>
            <w:i/>
            <w:noProof/>
          </w:rPr>
          <w:t>. Inshore seagrass long-term monitoring site details including presence of foundation (</w:t>
        </w:r>
        <w:r w:rsidR="001D65F9" w:rsidRPr="005D79A9">
          <w:rPr>
            <w:rStyle w:val="Hyperlink"/>
            <w:rFonts w:ascii="Arial" w:hAnsi="Arial" w:cs="Arial"/>
            <w:noProof/>
            <w:sz w:val="16"/>
            <w:szCs w:val="16"/>
          </w:rPr>
          <w:sym w:font="Wingdings" w:char="F06E"/>
        </w:r>
        <w:r w:rsidR="001D65F9" w:rsidRPr="005D79A9">
          <w:rPr>
            <w:rStyle w:val="Hyperlink"/>
            <w:rFonts w:ascii="Arial" w:hAnsi="Arial" w:cs="Arial"/>
            <w:i/>
            <w:noProof/>
          </w:rPr>
          <w:t>) and other (</w:t>
        </w:r>
        <w:r w:rsidR="001D65F9" w:rsidRPr="005D79A9">
          <w:rPr>
            <w:rStyle w:val="Hyperlink"/>
            <w:rFonts w:ascii="Arial" w:hAnsi="Arial" w:cs="Arial"/>
            <w:noProof/>
            <w:sz w:val="16"/>
            <w:szCs w:val="16"/>
          </w:rPr>
          <w:sym w:font="Wingdings" w:char="F0A8"/>
        </w:r>
        <w:r w:rsidR="001D65F9" w:rsidRPr="005D79A9">
          <w:rPr>
            <w:rStyle w:val="Hyperlink"/>
            <w:rFonts w:ascii="Arial" w:hAnsi="Arial" w:cs="Arial"/>
            <w:i/>
            <w:noProof/>
          </w:rPr>
          <w:t>) seagrass species</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_Toc5616030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17</w:t>
        </w:r>
        <w:r w:rsidR="001D65F9" w:rsidRPr="005D79A9">
          <w:rPr>
            <w:rFonts w:ascii="Arial" w:hAnsi="Arial" w:cs="Arial"/>
            <w:noProof/>
            <w:webHidden/>
          </w:rPr>
          <w:fldChar w:fldCharType="end"/>
        </w:r>
      </w:hyperlink>
    </w:p>
    <w:p w14:paraId="76BAC603" w14:textId="4D8E5BB1"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1" w:history="1">
        <w:r w:rsidR="001D65F9" w:rsidRPr="005D79A9">
          <w:rPr>
            <w:rStyle w:val="Hyperlink"/>
            <w:rFonts w:ascii="Arial" w:hAnsi="Arial" w:cs="Arial"/>
            <w:noProof/>
          </w:rPr>
          <w:t>Table 3</w:t>
        </w:r>
        <w:r w:rsidR="001D65F9" w:rsidRPr="005D79A9">
          <w:rPr>
            <w:rStyle w:val="Hyperlink"/>
            <w:rFonts w:ascii="Arial" w:hAnsi="Arial" w:cs="Arial"/>
            <w:i/>
            <w:noProof/>
          </w:rPr>
          <w:t>. Additional inshore seagrass long-term monitoring sites from the Seagrass-Watch and QPWS drop-camera programs, including presence of foundation (</w:t>
        </w:r>
        <w:r w:rsidR="001D65F9" w:rsidRPr="005D79A9">
          <w:rPr>
            <w:rStyle w:val="Hyperlink"/>
            <w:rFonts w:ascii="Arial" w:hAnsi="Arial" w:cs="Arial"/>
            <w:noProof/>
            <w:sz w:val="16"/>
            <w:szCs w:val="16"/>
          </w:rPr>
          <w:sym w:font="Wingdings" w:char="F06E"/>
        </w:r>
        <w:r w:rsidR="001D65F9" w:rsidRPr="005D79A9">
          <w:rPr>
            <w:rStyle w:val="Hyperlink"/>
            <w:rFonts w:ascii="Arial" w:hAnsi="Arial" w:cs="Arial"/>
            <w:i/>
            <w:noProof/>
          </w:rPr>
          <w:t>) and other (</w:t>
        </w:r>
        <w:r w:rsidR="001D65F9" w:rsidRPr="005D79A9">
          <w:rPr>
            <w:rStyle w:val="Hyperlink"/>
            <w:rFonts w:ascii="Arial" w:hAnsi="Arial" w:cs="Arial"/>
            <w:noProof/>
            <w:sz w:val="16"/>
            <w:szCs w:val="16"/>
          </w:rPr>
          <w:sym w:font="Wingdings" w:char="F0A8"/>
        </w:r>
        <w:r w:rsidR="001D65F9" w:rsidRPr="005D79A9">
          <w:rPr>
            <w:rStyle w:val="Hyperlink"/>
            <w:rFonts w:ascii="Arial" w:hAnsi="Arial" w:cs="Arial"/>
            <w:i/>
            <w:noProof/>
          </w:rPr>
          <w:t>) seagrass species.</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_Toc5616031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19</w:t>
        </w:r>
        <w:r w:rsidR="001D65F9" w:rsidRPr="005D79A9">
          <w:rPr>
            <w:rFonts w:ascii="Arial" w:hAnsi="Arial" w:cs="Arial"/>
            <w:noProof/>
            <w:webHidden/>
          </w:rPr>
          <w:fldChar w:fldCharType="end"/>
        </w:r>
      </w:hyperlink>
    </w:p>
    <w:p w14:paraId="764B469D" w14:textId="745DF581"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2" w:history="1">
        <w:r w:rsidR="001D65F9" w:rsidRPr="005D79A9">
          <w:rPr>
            <w:rStyle w:val="Hyperlink"/>
            <w:rFonts w:ascii="Arial" w:hAnsi="Arial" w:cs="Arial"/>
            <w:noProof/>
          </w:rPr>
          <w:t xml:space="preserve">Table 4. </w:t>
        </w:r>
        <w:r w:rsidR="001D65F9" w:rsidRPr="005D79A9">
          <w:rPr>
            <w:rStyle w:val="Hyperlink"/>
            <w:rFonts w:ascii="Arial" w:hAnsi="Arial" w:cs="Arial"/>
            <w:i/>
            <w:noProof/>
          </w:rPr>
          <w:t>Scoring threshold table to determine seagrass abundance status.</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_Toc5616032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24</w:t>
        </w:r>
        <w:r w:rsidR="001D65F9" w:rsidRPr="005D79A9">
          <w:rPr>
            <w:rFonts w:ascii="Arial" w:hAnsi="Arial" w:cs="Arial"/>
            <w:noProof/>
            <w:webHidden/>
          </w:rPr>
          <w:fldChar w:fldCharType="end"/>
        </w:r>
      </w:hyperlink>
    </w:p>
    <w:p w14:paraId="40E0FA08" w14:textId="46E25F3C"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3" w:history="1">
        <w:r w:rsidR="001D65F9" w:rsidRPr="005D79A9">
          <w:rPr>
            <w:rStyle w:val="Hyperlink"/>
            <w:rFonts w:ascii="Arial" w:hAnsi="Arial" w:cs="Arial"/>
            <w:noProof/>
          </w:rPr>
          <w:t xml:space="preserve">Table 5. </w:t>
        </w:r>
        <w:r w:rsidR="001D65F9" w:rsidRPr="005D79A9">
          <w:rPr>
            <w:rStyle w:val="Hyperlink"/>
            <w:rFonts w:ascii="Arial" w:hAnsi="Arial" w:cs="Arial"/>
            <w:i/>
            <w:noProof/>
          </w:rPr>
          <w:t xml:space="preserve">Scores for </w:t>
        </w:r>
        <w:r w:rsidR="001D65F9" w:rsidRPr="005D79A9">
          <w:rPr>
            <w:rStyle w:val="Hyperlink"/>
            <w:rFonts w:ascii="Arial" w:hAnsi="Arial" w:cs="Arial"/>
            <w:i/>
            <w:iCs/>
            <w:noProof/>
            <w:lang w:eastAsia="en-AU"/>
          </w:rPr>
          <w:t xml:space="preserve">late dry </w:t>
        </w:r>
        <w:r w:rsidR="001D65F9" w:rsidRPr="005D79A9">
          <w:rPr>
            <w:rStyle w:val="Hyperlink"/>
            <w:rFonts w:ascii="Arial" w:hAnsi="Arial" w:cs="Arial"/>
            <w:i/>
            <w:noProof/>
          </w:rPr>
          <w:t>monitoring period reproductive effort average against Reef habitat baseline. NB: scores are unitless.</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_Toc5616033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25</w:t>
        </w:r>
        <w:r w:rsidR="001D65F9" w:rsidRPr="005D79A9">
          <w:rPr>
            <w:rFonts w:ascii="Arial" w:hAnsi="Arial" w:cs="Arial"/>
            <w:noProof/>
            <w:webHidden/>
          </w:rPr>
          <w:fldChar w:fldCharType="end"/>
        </w:r>
      </w:hyperlink>
    </w:p>
    <w:p w14:paraId="11E4EEA2" w14:textId="5B3C4C5E"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4" w:history="1">
        <w:r w:rsidR="001D65F9" w:rsidRPr="005D79A9">
          <w:rPr>
            <w:rStyle w:val="Hyperlink"/>
            <w:rFonts w:ascii="Arial" w:hAnsi="Arial" w:cs="Arial"/>
            <w:noProof/>
          </w:rPr>
          <w:t xml:space="preserve">Table 6. </w:t>
        </w:r>
        <w:r w:rsidR="001D65F9" w:rsidRPr="005D79A9">
          <w:rPr>
            <w:rStyle w:val="Hyperlink"/>
            <w:rFonts w:ascii="Arial" w:hAnsi="Arial" w:cs="Arial"/>
            <w:i/>
            <w:noProof/>
          </w:rPr>
          <w:t>Scores for leaf tissue C:N against guideline to determine light and nutrient availability. NB: scores are unitless.</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_Toc5616034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25</w:t>
        </w:r>
        <w:r w:rsidR="001D65F9" w:rsidRPr="005D79A9">
          <w:rPr>
            <w:rFonts w:ascii="Arial" w:hAnsi="Arial" w:cs="Arial"/>
            <w:noProof/>
            <w:webHidden/>
          </w:rPr>
          <w:fldChar w:fldCharType="end"/>
        </w:r>
      </w:hyperlink>
    </w:p>
    <w:p w14:paraId="16A37BA5" w14:textId="0D731776"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5" w:history="1">
        <w:r w:rsidR="001D65F9" w:rsidRPr="005D79A9">
          <w:rPr>
            <w:rStyle w:val="Hyperlink"/>
            <w:rFonts w:ascii="Arial" w:hAnsi="Arial" w:cs="Arial"/>
            <w:noProof/>
          </w:rPr>
          <w:t xml:space="preserve">Table 7. </w:t>
        </w:r>
        <w:r w:rsidR="001D65F9" w:rsidRPr="005D79A9">
          <w:rPr>
            <w:rStyle w:val="Hyperlink"/>
            <w:rFonts w:ascii="Arial" w:hAnsi="Arial" w:cs="Arial"/>
            <w:i/>
            <w:noProof/>
          </w:rPr>
          <w:t>Area of seagrass shallower than 15 m in each region within the boundaries of the World Heritage Area.</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_Toc5616035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26</w:t>
        </w:r>
        <w:r w:rsidR="001D65F9" w:rsidRPr="005D79A9">
          <w:rPr>
            <w:rFonts w:ascii="Arial" w:hAnsi="Arial" w:cs="Arial"/>
            <w:noProof/>
            <w:webHidden/>
          </w:rPr>
          <w:fldChar w:fldCharType="end"/>
        </w:r>
      </w:hyperlink>
    </w:p>
    <w:p w14:paraId="18CB24A9" w14:textId="64353ED5"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6" w:history="1">
        <w:r w:rsidR="001D65F9" w:rsidRPr="005D79A9">
          <w:rPr>
            <w:rStyle w:val="Hyperlink"/>
            <w:rFonts w:ascii="Arial" w:hAnsi="Arial" w:cs="Arial"/>
            <w:noProof/>
          </w:rPr>
          <w:t xml:space="preserve">Table 8. </w:t>
        </w:r>
        <w:r w:rsidR="001D65F9" w:rsidRPr="005D79A9">
          <w:rPr>
            <w:rStyle w:val="Hyperlink"/>
            <w:rFonts w:ascii="Arial" w:hAnsi="Arial" w:cs="Arial"/>
            <w:i/>
            <w:noProof/>
          </w:rPr>
          <w:t>Summary of environmental conditions at monitoring sites across the Reef in 20172018 compared to the long-term average</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_Toc5616036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27</w:t>
        </w:r>
        <w:r w:rsidR="001D65F9" w:rsidRPr="005D79A9">
          <w:rPr>
            <w:rFonts w:ascii="Arial" w:hAnsi="Arial" w:cs="Arial"/>
            <w:noProof/>
            <w:webHidden/>
          </w:rPr>
          <w:fldChar w:fldCharType="end"/>
        </w:r>
      </w:hyperlink>
    </w:p>
    <w:p w14:paraId="444A3851" w14:textId="77D499E3"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7" w:history="1">
        <w:r w:rsidR="001D65F9" w:rsidRPr="005D79A9">
          <w:rPr>
            <w:rStyle w:val="Hyperlink"/>
            <w:rFonts w:ascii="Arial" w:hAnsi="Arial" w:cs="Arial"/>
            <w:i/>
            <w:noProof/>
          </w:rPr>
          <w:t>Table 9.</w:t>
        </w:r>
        <w:r w:rsidR="001D65F9" w:rsidRPr="005D79A9">
          <w:rPr>
            <w:rStyle w:val="Hyperlink"/>
            <w:rFonts w:ascii="Arial" w:hAnsi="Arial" w:cs="Arial"/>
            <w:noProof/>
          </w:rPr>
          <w:t xml:space="preserve"> </w:t>
        </w:r>
        <w:r w:rsidR="001D65F9" w:rsidRPr="005D79A9">
          <w:rPr>
            <w:rStyle w:val="Hyperlink"/>
            <w:rFonts w:ascii="Arial" w:hAnsi="Arial" w:cs="Arial"/>
            <w:i/>
            <w:noProof/>
          </w:rPr>
          <w:t>Annual water year discharge (ML) of the main GBR rivers (1 October 2017 to 30 September 2018, inclusive) compared to the previous seven wet seasons and long-term (LT) median discharge (1986–87 to 2017–18).</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_Toc5616037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30</w:t>
        </w:r>
        <w:r w:rsidR="001D65F9" w:rsidRPr="005D79A9">
          <w:rPr>
            <w:rFonts w:ascii="Arial" w:hAnsi="Arial" w:cs="Arial"/>
            <w:noProof/>
            <w:webHidden/>
          </w:rPr>
          <w:fldChar w:fldCharType="end"/>
        </w:r>
      </w:hyperlink>
    </w:p>
    <w:p w14:paraId="6E5F5BDB" w14:textId="5F9545F5"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8" w:history="1">
        <w:r w:rsidR="001D65F9" w:rsidRPr="005D79A9">
          <w:rPr>
            <w:rStyle w:val="Hyperlink"/>
            <w:rFonts w:ascii="Arial" w:hAnsi="Arial" w:cs="Arial"/>
            <w:noProof/>
          </w:rPr>
          <w:t xml:space="preserve">Table 10. </w:t>
        </w:r>
        <w:r w:rsidR="001D65F9" w:rsidRPr="005D79A9">
          <w:rPr>
            <w:rStyle w:val="Hyperlink"/>
            <w:rFonts w:ascii="Arial" w:hAnsi="Arial" w:cs="Arial"/>
            <w:i/>
            <w:noProof/>
          </w:rPr>
          <w:t>Long-term average (±SE) sediment composition for each seagrass habitat (pooled across regions and time) monitoring within the Reef (1999–2018)</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_Toc5616038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35</w:t>
        </w:r>
        <w:r w:rsidR="001D65F9" w:rsidRPr="005D79A9">
          <w:rPr>
            <w:rFonts w:ascii="Arial" w:hAnsi="Arial" w:cs="Arial"/>
            <w:noProof/>
            <w:webHidden/>
          </w:rPr>
          <w:fldChar w:fldCharType="end"/>
        </w:r>
      </w:hyperlink>
    </w:p>
    <w:p w14:paraId="5B53D7FE" w14:textId="2FDA2554"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39" w:history="1">
        <w:r w:rsidR="001D65F9" w:rsidRPr="005D79A9">
          <w:rPr>
            <w:rStyle w:val="Hyperlink"/>
            <w:rFonts w:ascii="Arial" w:hAnsi="Arial" w:cs="Arial"/>
            <w:noProof/>
          </w:rPr>
          <w:t xml:space="preserve">Table 11. </w:t>
        </w:r>
        <w:r w:rsidR="001D65F9" w:rsidRPr="005D79A9">
          <w:rPr>
            <w:rStyle w:val="Hyperlink"/>
            <w:rFonts w:ascii="Arial" w:hAnsi="Arial" w:cs="Arial"/>
            <w:i/>
            <w:noProof/>
          </w:rPr>
          <w:t>List of data sources of seagrass and environmental condition indicators for each seagrass habitat type in the Cape York NRM region</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_Toc5616039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52</w:t>
        </w:r>
        <w:r w:rsidR="001D65F9" w:rsidRPr="005D79A9">
          <w:rPr>
            <w:rFonts w:ascii="Arial" w:hAnsi="Arial" w:cs="Arial"/>
            <w:noProof/>
            <w:webHidden/>
          </w:rPr>
          <w:fldChar w:fldCharType="end"/>
        </w:r>
      </w:hyperlink>
    </w:p>
    <w:p w14:paraId="3A9219CB" w14:textId="0EA3FA95"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0" w:history="1">
        <w:r w:rsidR="001D65F9" w:rsidRPr="005D79A9">
          <w:rPr>
            <w:rStyle w:val="Hyperlink"/>
            <w:rFonts w:ascii="Arial" w:hAnsi="Arial" w:cs="Arial"/>
            <w:noProof/>
          </w:rPr>
          <w:t xml:space="preserve">Table 12. </w:t>
        </w:r>
        <w:r w:rsidR="001D65F9" w:rsidRPr="005D79A9">
          <w:rPr>
            <w:rStyle w:val="Hyperlink"/>
            <w:rFonts w:ascii="Arial" w:hAnsi="Arial" w:cs="Arial"/>
            <w:i/>
            <w:noProof/>
          </w:rPr>
          <w:t>List of data sources of seagrass and environmental condition indicators for each seagrass habitat type in the Wet Tropics NRM region.</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_Toc5616040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65</w:t>
        </w:r>
        <w:r w:rsidR="001D65F9" w:rsidRPr="005D79A9">
          <w:rPr>
            <w:rFonts w:ascii="Arial" w:hAnsi="Arial" w:cs="Arial"/>
            <w:noProof/>
            <w:webHidden/>
          </w:rPr>
          <w:fldChar w:fldCharType="end"/>
        </w:r>
      </w:hyperlink>
    </w:p>
    <w:p w14:paraId="11F45784" w14:textId="6A9E4F01"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1" w:history="1">
        <w:r w:rsidR="001D65F9" w:rsidRPr="005D79A9">
          <w:rPr>
            <w:rStyle w:val="Hyperlink"/>
            <w:rFonts w:ascii="Arial" w:hAnsi="Arial" w:cs="Arial"/>
            <w:noProof/>
          </w:rPr>
          <w:t xml:space="preserve">Table 13. </w:t>
        </w:r>
        <w:r w:rsidR="001D65F9" w:rsidRPr="005D79A9">
          <w:rPr>
            <w:rStyle w:val="Hyperlink"/>
            <w:rFonts w:ascii="Arial" w:hAnsi="Arial" w:cs="Arial"/>
            <w:i/>
            <w:noProof/>
          </w:rPr>
          <w:t>List of data sources of seagrass and environmental condition indicators for each seagrass habitat type in the Burdekin NRM region.</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_Toc5616041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80</w:t>
        </w:r>
        <w:r w:rsidR="001D65F9" w:rsidRPr="005D79A9">
          <w:rPr>
            <w:rFonts w:ascii="Arial" w:hAnsi="Arial" w:cs="Arial"/>
            <w:noProof/>
            <w:webHidden/>
          </w:rPr>
          <w:fldChar w:fldCharType="end"/>
        </w:r>
      </w:hyperlink>
    </w:p>
    <w:p w14:paraId="65CE2377" w14:textId="61D715D7"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2" w:history="1">
        <w:r w:rsidR="001D65F9" w:rsidRPr="005D79A9">
          <w:rPr>
            <w:rStyle w:val="Hyperlink"/>
            <w:rFonts w:ascii="Arial" w:hAnsi="Arial" w:cs="Arial"/>
            <w:noProof/>
          </w:rPr>
          <w:t xml:space="preserve">Table 14. </w:t>
        </w:r>
        <w:r w:rsidR="001D65F9" w:rsidRPr="005D79A9">
          <w:rPr>
            <w:rStyle w:val="Hyperlink"/>
            <w:rFonts w:ascii="Arial" w:hAnsi="Arial" w:cs="Arial"/>
            <w:i/>
            <w:noProof/>
          </w:rPr>
          <w:t xml:space="preserve">List of data sources of seagrass and environmental condition indicators for each seagrass habitat type in the </w:t>
        </w:r>
        <w:r w:rsidR="00637325">
          <w:rPr>
            <w:rStyle w:val="Hyperlink"/>
            <w:rFonts w:ascii="Arial" w:hAnsi="Arial" w:cs="Arial"/>
            <w:i/>
            <w:noProof/>
          </w:rPr>
          <w:t>Mackay-Whitsunday</w:t>
        </w:r>
        <w:r w:rsidR="001D65F9" w:rsidRPr="005D79A9">
          <w:rPr>
            <w:rStyle w:val="Hyperlink"/>
            <w:rFonts w:ascii="Arial" w:hAnsi="Arial" w:cs="Arial"/>
            <w:i/>
            <w:noProof/>
          </w:rPr>
          <w:t xml:space="preserve"> NRM region.</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_Toc5616042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90</w:t>
        </w:r>
        <w:r w:rsidR="001D65F9" w:rsidRPr="005D79A9">
          <w:rPr>
            <w:rFonts w:ascii="Arial" w:hAnsi="Arial" w:cs="Arial"/>
            <w:noProof/>
            <w:webHidden/>
          </w:rPr>
          <w:fldChar w:fldCharType="end"/>
        </w:r>
      </w:hyperlink>
    </w:p>
    <w:p w14:paraId="30337522" w14:textId="3915BB26"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3" w:history="1">
        <w:r w:rsidR="001D65F9" w:rsidRPr="005D79A9">
          <w:rPr>
            <w:rStyle w:val="Hyperlink"/>
            <w:rFonts w:ascii="Arial" w:hAnsi="Arial" w:cs="Arial"/>
            <w:noProof/>
          </w:rPr>
          <w:t xml:space="preserve">Table 15. </w:t>
        </w:r>
        <w:r w:rsidR="001D65F9" w:rsidRPr="005D79A9">
          <w:rPr>
            <w:rStyle w:val="Hyperlink"/>
            <w:rFonts w:ascii="Arial" w:hAnsi="Arial" w:cs="Arial"/>
            <w:i/>
            <w:noProof/>
          </w:rPr>
          <w:t>List of data sources of seagrass and environmental condition indicators for each seagrass habitat type in the Fitzroy NRM region.</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_Toc5616043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100</w:t>
        </w:r>
        <w:r w:rsidR="001D65F9" w:rsidRPr="005D79A9">
          <w:rPr>
            <w:rFonts w:ascii="Arial" w:hAnsi="Arial" w:cs="Arial"/>
            <w:noProof/>
            <w:webHidden/>
          </w:rPr>
          <w:fldChar w:fldCharType="end"/>
        </w:r>
      </w:hyperlink>
    </w:p>
    <w:p w14:paraId="41215837" w14:textId="795E073F"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4" w:history="1">
        <w:r w:rsidR="001D65F9" w:rsidRPr="005D79A9">
          <w:rPr>
            <w:rStyle w:val="Hyperlink"/>
            <w:rFonts w:ascii="Arial" w:hAnsi="Arial" w:cs="Arial"/>
            <w:noProof/>
          </w:rPr>
          <w:t xml:space="preserve">Table 16. </w:t>
        </w:r>
        <w:r w:rsidR="001D65F9" w:rsidRPr="005D79A9">
          <w:rPr>
            <w:rStyle w:val="Hyperlink"/>
            <w:rFonts w:ascii="Arial" w:hAnsi="Arial" w:cs="Arial"/>
            <w:i/>
            <w:noProof/>
          </w:rPr>
          <w:t>List of data sources of seagrass and environmental condition indicators for each seagrass habitat type in the Burnett Mary NRM region.</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_Toc5616044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110</w:t>
        </w:r>
        <w:r w:rsidR="001D65F9" w:rsidRPr="005D79A9">
          <w:rPr>
            <w:rFonts w:ascii="Arial" w:hAnsi="Arial" w:cs="Arial"/>
            <w:noProof/>
            <w:webHidden/>
          </w:rPr>
          <w:fldChar w:fldCharType="end"/>
        </w:r>
      </w:hyperlink>
    </w:p>
    <w:p w14:paraId="37421F08" w14:textId="2AEF7DD3"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5" w:history="1">
        <w:r w:rsidR="001D65F9" w:rsidRPr="005D79A9">
          <w:rPr>
            <w:rStyle w:val="Hyperlink"/>
            <w:rFonts w:ascii="Arial" w:hAnsi="Arial" w:cs="Arial"/>
            <w:noProof/>
          </w:rPr>
          <w:t xml:space="preserve">Table 17. </w:t>
        </w:r>
        <w:r w:rsidR="001D65F9" w:rsidRPr="005D79A9">
          <w:rPr>
            <w:rStyle w:val="Hyperlink"/>
            <w:rFonts w:ascii="Arial" w:hAnsi="Arial" w:cs="Arial"/>
            <w:i/>
            <w:noProof/>
          </w:rPr>
          <w:t>List of variables used for statistical modelling from Lawrence and Gladish (2018)</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_Toc5616045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142</w:t>
        </w:r>
        <w:r w:rsidR="001D65F9" w:rsidRPr="005D79A9">
          <w:rPr>
            <w:rFonts w:ascii="Arial" w:hAnsi="Arial" w:cs="Arial"/>
            <w:noProof/>
            <w:webHidden/>
          </w:rPr>
          <w:fldChar w:fldCharType="end"/>
        </w:r>
      </w:hyperlink>
    </w:p>
    <w:p w14:paraId="7EAD42B4" w14:textId="736DCE4B"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6" w:history="1">
        <w:r w:rsidR="001D65F9" w:rsidRPr="005D79A9">
          <w:rPr>
            <w:rStyle w:val="Hyperlink"/>
            <w:rFonts w:ascii="Arial" w:hAnsi="Arial" w:cs="Arial"/>
            <w:noProof/>
          </w:rPr>
          <w:t xml:space="preserve">Table 18. </w:t>
        </w:r>
        <w:r w:rsidR="001D65F9" w:rsidRPr="005D79A9">
          <w:rPr>
            <w:rStyle w:val="Hyperlink"/>
            <w:rFonts w:ascii="Arial" w:hAnsi="Arial" w:cs="Arial"/>
            <w:i/>
            <w:noProof/>
          </w:rPr>
          <w:t>R-squared values for models M1 – M4 using both the zero-inflated beta regression models and Random forest models, also testing different definitions of reproductive effort in the previous period.</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_Toc5616046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143</w:t>
        </w:r>
        <w:r w:rsidR="001D65F9" w:rsidRPr="005D79A9">
          <w:rPr>
            <w:rFonts w:ascii="Arial" w:hAnsi="Arial" w:cs="Arial"/>
            <w:noProof/>
            <w:webHidden/>
          </w:rPr>
          <w:fldChar w:fldCharType="end"/>
        </w:r>
      </w:hyperlink>
    </w:p>
    <w:p w14:paraId="57E4FA8F" w14:textId="4B83966D"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7" w:history="1">
        <w:r w:rsidR="001D65F9" w:rsidRPr="005D79A9">
          <w:rPr>
            <w:rStyle w:val="Hyperlink"/>
            <w:rFonts w:ascii="Arial" w:hAnsi="Arial" w:cs="Arial"/>
            <w:noProof/>
          </w:rPr>
          <w:t xml:space="preserve">Table 19. </w:t>
        </w:r>
        <w:r w:rsidR="001D65F9" w:rsidRPr="005D79A9">
          <w:rPr>
            <w:rStyle w:val="Hyperlink"/>
            <w:rFonts w:ascii="Arial" w:hAnsi="Arial" w:cs="Arial"/>
            <w:i/>
            <w:noProof/>
          </w:rPr>
          <w:t>Coefficients and p-values for the Zero-inflated beta regression for percent cover response under formulations M1-M4 (model and data treatment c).  The p-value is in the brackets and bold indicates p-value less than 0.05.</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_Toc5616047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144</w:t>
        </w:r>
        <w:r w:rsidR="001D65F9" w:rsidRPr="005D79A9">
          <w:rPr>
            <w:rFonts w:ascii="Arial" w:hAnsi="Arial" w:cs="Arial"/>
            <w:noProof/>
            <w:webHidden/>
          </w:rPr>
          <w:fldChar w:fldCharType="end"/>
        </w:r>
      </w:hyperlink>
    </w:p>
    <w:p w14:paraId="066D33DE" w14:textId="66238674"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8" w:history="1">
        <w:r w:rsidR="001D65F9" w:rsidRPr="005D79A9">
          <w:rPr>
            <w:rStyle w:val="Hyperlink"/>
            <w:rFonts w:ascii="Arial" w:hAnsi="Arial" w:cs="Arial"/>
            <w:noProof/>
          </w:rPr>
          <w:t xml:space="preserve">Table 20. </w:t>
        </w:r>
        <w:r w:rsidR="001D65F9" w:rsidRPr="005D79A9">
          <w:rPr>
            <w:rStyle w:val="Hyperlink"/>
            <w:rFonts w:ascii="Arial" w:hAnsi="Arial" w:cs="Arial"/>
            <w:i/>
            <w:noProof/>
          </w:rPr>
          <w:t>Seagrass percentage cover guidelines (“the seagrass guidelines”) for each site/location and the subregional guidelines (bold) for each NRM habitat.</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_Toc5616048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154</w:t>
        </w:r>
        <w:r w:rsidR="001D65F9" w:rsidRPr="005D79A9">
          <w:rPr>
            <w:rFonts w:ascii="Arial" w:hAnsi="Arial" w:cs="Arial"/>
            <w:noProof/>
            <w:webHidden/>
          </w:rPr>
          <w:fldChar w:fldCharType="end"/>
        </w:r>
      </w:hyperlink>
    </w:p>
    <w:p w14:paraId="266B7F0D" w14:textId="5948D4C7"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49" w:history="1">
        <w:r w:rsidR="001D65F9" w:rsidRPr="005D79A9">
          <w:rPr>
            <w:rStyle w:val="Hyperlink"/>
            <w:rFonts w:ascii="Arial" w:hAnsi="Arial" w:cs="Arial"/>
            <w:noProof/>
          </w:rPr>
          <w:t xml:space="preserve">Table 21. </w:t>
        </w:r>
        <w:r w:rsidR="001D65F9" w:rsidRPr="005D79A9">
          <w:rPr>
            <w:rStyle w:val="Hyperlink"/>
            <w:rFonts w:ascii="Arial" w:hAnsi="Arial" w:cs="Arial"/>
            <w:i/>
            <w:noProof/>
          </w:rPr>
          <w:t>Samples collected at each MMP inshore monitoring site per parameter for each season</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_Toc5616049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159</w:t>
        </w:r>
        <w:r w:rsidR="001D65F9" w:rsidRPr="005D79A9">
          <w:rPr>
            <w:rFonts w:ascii="Arial" w:hAnsi="Arial" w:cs="Arial"/>
            <w:noProof/>
            <w:webHidden/>
          </w:rPr>
          <w:fldChar w:fldCharType="end"/>
        </w:r>
      </w:hyperlink>
    </w:p>
    <w:p w14:paraId="04F5E06E" w14:textId="141DB8C0"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50" w:history="1">
        <w:r w:rsidR="001D65F9" w:rsidRPr="005D79A9">
          <w:rPr>
            <w:rStyle w:val="Hyperlink"/>
            <w:rFonts w:ascii="Arial" w:hAnsi="Arial" w:cs="Arial"/>
            <w:noProof/>
          </w:rPr>
          <w:t xml:space="preserve">Table 22. </w:t>
        </w:r>
        <w:r w:rsidR="001D65F9" w:rsidRPr="005D79A9">
          <w:rPr>
            <w:rStyle w:val="Hyperlink"/>
            <w:rFonts w:ascii="Arial" w:hAnsi="Arial" w:cs="Arial"/>
            <w:i/>
            <w:noProof/>
          </w:rPr>
          <w:t>Height of intertidal monitoring meadows/sites above lowest astronomical tide (LAT) and annual daytime tidal exposure (total hours) when meadows become exposed at a low tide.</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_Toc5616050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165</w:t>
        </w:r>
        <w:r w:rsidR="001D65F9" w:rsidRPr="005D79A9">
          <w:rPr>
            <w:rFonts w:ascii="Arial" w:hAnsi="Arial" w:cs="Arial"/>
            <w:noProof/>
            <w:webHidden/>
          </w:rPr>
          <w:fldChar w:fldCharType="end"/>
        </w:r>
      </w:hyperlink>
    </w:p>
    <w:p w14:paraId="67AF931B" w14:textId="6473D1A4" w:rsidR="001D65F9" w:rsidRPr="005D79A9" w:rsidRDefault="00C911E4">
      <w:pPr>
        <w:pStyle w:val="TableofFigures"/>
        <w:tabs>
          <w:tab w:val="right" w:leader="dot" w:pos="9060"/>
        </w:tabs>
        <w:rPr>
          <w:rFonts w:ascii="Arial" w:eastAsiaTheme="minorEastAsia" w:hAnsi="Arial" w:cs="Arial"/>
          <w:noProof/>
          <w:szCs w:val="22"/>
          <w:lang w:eastAsia="en-AU"/>
        </w:rPr>
      </w:pPr>
      <w:hyperlink w:anchor="_Toc5616051" w:history="1">
        <w:r w:rsidR="001D65F9" w:rsidRPr="005D79A9">
          <w:rPr>
            <w:rStyle w:val="Hyperlink"/>
            <w:rFonts w:ascii="Arial" w:hAnsi="Arial" w:cs="Arial"/>
            <w:noProof/>
          </w:rPr>
          <w:t xml:space="preserve">Table 23. </w:t>
        </w:r>
        <w:r w:rsidR="001D65F9" w:rsidRPr="005D79A9">
          <w:rPr>
            <w:rStyle w:val="Hyperlink"/>
            <w:rFonts w:ascii="Arial" w:hAnsi="Arial" w:cs="Arial"/>
            <w:i/>
            <w:noProof/>
          </w:rPr>
          <w:t>Results of</w:t>
        </w:r>
        <w:r w:rsidR="001D65F9" w:rsidRPr="005D79A9">
          <w:rPr>
            <w:rStyle w:val="Hyperlink"/>
            <w:rFonts w:ascii="Arial" w:hAnsi="Arial" w:cs="Arial"/>
            <w:noProof/>
          </w:rPr>
          <w:t xml:space="preserve"> </w:t>
        </w:r>
        <w:r w:rsidR="001D65F9" w:rsidRPr="005D79A9">
          <w:rPr>
            <w:rStyle w:val="Hyperlink"/>
            <w:rFonts w:ascii="Arial" w:hAnsi="Arial" w:cs="Arial"/>
            <w:i/>
            <w:noProof/>
          </w:rPr>
          <w:t>Mann­Kendall analysis to assess if there was a significant trend (decline or increase) over time in seagrass abundance (% cover).</w:t>
        </w:r>
        <w:r w:rsidR="001D65F9" w:rsidRPr="005D79A9">
          <w:rPr>
            <w:rFonts w:ascii="Arial" w:hAnsi="Arial" w:cs="Arial"/>
            <w:noProof/>
            <w:webHidden/>
          </w:rPr>
          <w:tab/>
        </w:r>
        <w:r w:rsidR="001D65F9" w:rsidRPr="005D79A9">
          <w:rPr>
            <w:rFonts w:ascii="Arial" w:hAnsi="Arial" w:cs="Arial"/>
            <w:noProof/>
            <w:webHidden/>
          </w:rPr>
          <w:fldChar w:fldCharType="begin"/>
        </w:r>
        <w:r w:rsidR="001D65F9" w:rsidRPr="005D79A9">
          <w:rPr>
            <w:rFonts w:ascii="Arial" w:hAnsi="Arial" w:cs="Arial"/>
            <w:noProof/>
            <w:webHidden/>
          </w:rPr>
          <w:instrText xml:space="preserve"> PAGEREF _Toc5616051 \h </w:instrText>
        </w:r>
        <w:r w:rsidR="001D65F9" w:rsidRPr="005D79A9">
          <w:rPr>
            <w:rFonts w:ascii="Arial" w:hAnsi="Arial" w:cs="Arial"/>
            <w:noProof/>
            <w:webHidden/>
          </w:rPr>
        </w:r>
        <w:r w:rsidR="001D65F9" w:rsidRPr="005D79A9">
          <w:rPr>
            <w:rFonts w:ascii="Arial" w:hAnsi="Arial" w:cs="Arial"/>
            <w:noProof/>
            <w:webHidden/>
          </w:rPr>
          <w:fldChar w:fldCharType="separate"/>
        </w:r>
        <w:r w:rsidR="005F00D4">
          <w:rPr>
            <w:rFonts w:ascii="Arial" w:hAnsi="Arial" w:cs="Arial"/>
            <w:noProof/>
            <w:webHidden/>
          </w:rPr>
          <w:t>186</w:t>
        </w:r>
        <w:r w:rsidR="001D65F9" w:rsidRPr="005D79A9">
          <w:rPr>
            <w:rFonts w:ascii="Arial" w:hAnsi="Arial" w:cs="Arial"/>
            <w:noProof/>
            <w:webHidden/>
          </w:rPr>
          <w:fldChar w:fldCharType="end"/>
        </w:r>
      </w:hyperlink>
    </w:p>
    <w:p w14:paraId="7BC9B810" w14:textId="33A61037" w:rsidR="001F4593" w:rsidRPr="00DA741D" w:rsidRDefault="001F4593" w:rsidP="005F00D4">
      <w:pPr>
        <w:pStyle w:val="Heading1"/>
        <w:numPr>
          <w:ilvl w:val="0"/>
          <w:numId w:val="0"/>
        </w:numPr>
        <w:ind w:left="432"/>
      </w:pPr>
      <w:r w:rsidRPr="005D79A9">
        <w:rPr>
          <w:color w:val="000000"/>
        </w:rPr>
        <w:lastRenderedPageBreak/>
        <w:fldChar w:fldCharType="end"/>
      </w:r>
      <w:bookmarkStart w:id="2" w:name="_Toc265677012"/>
      <w:bookmarkStart w:id="3" w:name="_Toc184101939"/>
      <w:bookmarkStart w:id="4" w:name="_Toc11394685"/>
      <w:r w:rsidRPr="00DA741D">
        <w:t>Acronyms</w:t>
      </w:r>
      <w:r w:rsidR="001D19FF">
        <w:t>,</w:t>
      </w:r>
      <w:r w:rsidRPr="00DA741D">
        <w:t xml:space="preserve"> </w:t>
      </w:r>
      <w:r w:rsidR="001D19FF">
        <w:t>a</w:t>
      </w:r>
      <w:r w:rsidRPr="00DA741D">
        <w:t xml:space="preserve">bbreviations </w:t>
      </w:r>
      <w:r w:rsidR="001D19FF">
        <w:t xml:space="preserve">and units </w:t>
      </w:r>
      <w:bookmarkEnd w:id="2"/>
      <w:bookmarkEnd w:id="3"/>
      <w:bookmarkEnd w:id="4"/>
    </w:p>
    <w:p w14:paraId="352B2AA0" w14:textId="3CA36EDE" w:rsidR="00854CC7" w:rsidRPr="005D79A9" w:rsidRDefault="00854CC7" w:rsidP="005D79A9">
      <w:pPr>
        <w:tabs>
          <w:tab w:val="left" w:pos="2835"/>
        </w:tabs>
        <w:ind w:left="2694" w:hanging="2694"/>
        <w:rPr>
          <w:rFonts w:ascii="Arial" w:hAnsi="Arial" w:cs="Arial"/>
          <w:color w:val="000000"/>
          <w:szCs w:val="22"/>
        </w:rPr>
      </w:pPr>
      <w:r w:rsidRPr="005D79A9">
        <w:rPr>
          <w:rFonts w:ascii="Arial" w:hAnsi="Arial" w:cs="Arial"/>
          <w:color w:val="000000"/>
          <w:szCs w:val="22"/>
        </w:rPr>
        <w:t>Authority</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Great Barrier Reef Marine Park Authority</w:t>
      </w:r>
    </w:p>
    <w:p w14:paraId="04A726F1" w14:textId="07D20157" w:rsidR="001F4593" w:rsidRPr="005D79A9" w:rsidRDefault="001F4593" w:rsidP="005D79A9">
      <w:pPr>
        <w:tabs>
          <w:tab w:val="left" w:pos="2694"/>
        </w:tabs>
        <w:ind w:left="2552" w:hanging="2552"/>
        <w:rPr>
          <w:rFonts w:ascii="Arial" w:hAnsi="Arial" w:cs="Arial"/>
          <w:color w:val="000000"/>
          <w:szCs w:val="22"/>
          <w:lang w:val="en-GB" w:eastAsia="en-AU"/>
        </w:rPr>
      </w:pPr>
      <w:r w:rsidRPr="005D79A9">
        <w:rPr>
          <w:rFonts w:ascii="Arial" w:hAnsi="Arial" w:cs="Arial"/>
          <w:color w:val="000000"/>
          <w:szCs w:val="22"/>
          <w:lang w:val="en-GB" w:eastAsia="en-AU"/>
        </w:rPr>
        <w:t>CV</w:t>
      </w:r>
      <w:r w:rsidRPr="005D79A9">
        <w:rPr>
          <w:rFonts w:ascii="Arial" w:hAnsi="Arial" w:cs="Arial"/>
          <w:color w:val="000000"/>
          <w:szCs w:val="22"/>
          <w:lang w:val="en-GB" w:eastAsia="en-AU"/>
        </w:rPr>
        <w:tab/>
      </w:r>
      <w:r w:rsidR="005D79A9">
        <w:rPr>
          <w:rFonts w:ascii="Arial" w:hAnsi="Arial" w:cs="Arial"/>
          <w:color w:val="000000"/>
          <w:szCs w:val="22"/>
          <w:lang w:val="en-GB" w:eastAsia="en-AU"/>
        </w:rPr>
        <w:tab/>
      </w:r>
      <w:r w:rsidR="005D79A9">
        <w:rPr>
          <w:rFonts w:ascii="Arial" w:hAnsi="Arial" w:cs="Arial"/>
          <w:color w:val="000000"/>
          <w:szCs w:val="22"/>
          <w:lang w:val="en-GB" w:eastAsia="en-AU"/>
        </w:rPr>
        <w:tab/>
      </w:r>
      <w:r w:rsidRPr="005D79A9">
        <w:rPr>
          <w:rFonts w:ascii="Arial" w:hAnsi="Arial" w:cs="Arial"/>
          <w:color w:val="000000"/>
          <w:szCs w:val="22"/>
          <w:lang w:val="en-GB" w:eastAsia="en-AU"/>
        </w:rPr>
        <w:t>coefficient of variation</w:t>
      </w:r>
    </w:p>
    <w:p w14:paraId="2234AB90" w14:textId="5A245350" w:rsidR="001F4593" w:rsidRPr="005D79A9" w:rsidRDefault="001F4593" w:rsidP="00883A72">
      <w:pPr>
        <w:tabs>
          <w:tab w:val="left" w:pos="2552"/>
        </w:tabs>
        <w:ind w:left="2552" w:hanging="2552"/>
        <w:rPr>
          <w:rFonts w:ascii="Arial" w:hAnsi="Arial" w:cs="Arial"/>
          <w:color w:val="000000"/>
          <w:szCs w:val="22"/>
        </w:rPr>
      </w:pPr>
      <w:r w:rsidRPr="005D79A9">
        <w:rPr>
          <w:rFonts w:ascii="Arial" w:hAnsi="Arial" w:cs="Arial"/>
          <w:color w:val="000000"/>
          <w:szCs w:val="22"/>
        </w:rPr>
        <w:t>DE</w:t>
      </w:r>
      <w:r w:rsidR="0018318B" w:rsidRPr="005D79A9">
        <w:rPr>
          <w:rFonts w:ascii="Arial" w:hAnsi="Arial" w:cs="Arial"/>
          <w:color w:val="000000"/>
          <w:szCs w:val="22"/>
        </w:rPr>
        <w:t>S</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 xml:space="preserve">Department of Environment and </w:t>
      </w:r>
      <w:r w:rsidR="0018318B" w:rsidRPr="005D79A9">
        <w:rPr>
          <w:rFonts w:ascii="Arial" w:hAnsi="Arial" w:cs="Arial"/>
          <w:color w:val="000000"/>
          <w:szCs w:val="22"/>
        </w:rPr>
        <w:t>Science, Queensland</w:t>
      </w:r>
    </w:p>
    <w:p w14:paraId="1E0E69F9" w14:textId="3004A72A" w:rsidR="001F4593" w:rsidRPr="005D79A9" w:rsidRDefault="001F4593" w:rsidP="00883A72">
      <w:pPr>
        <w:tabs>
          <w:tab w:val="left" w:pos="2552"/>
        </w:tabs>
        <w:ind w:left="2552" w:hanging="2552"/>
        <w:rPr>
          <w:rFonts w:ascii="Arial" w:hAnsi="Arial" w:cs="Arial"/>
          <w:color w:val="000000"/>
          <w:szCs w:val="22"/>
        </w:rPr>
      </w:pPr>
      <w:r w:rsidRPr="005D79A9">
        <w:rPr>
          <w:rFonts w:ascii="Arial" w:hAnsi="Arial" w:cs="Arial"/>
          <w:color w:val="000000"/>
          <w:szCs w:val="22"/>
        </w:rPr>
        <w:t>JCU</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 xml:space="preserve">James Cook University </w:t>
      </w:r>
    </w:p>
    <w:p w14:paraId="2A043393" w14:textId="46C242E9" w:rsidR="001F4593" w:rsidRPr="005D79A9" w:rsidRDefault="001F4593" w:rsidP="00883A72">
      <w:pPr>
        <w:tabs>
          <w:tab w:val="left" w:pos="2552"/>
        </w:tabs>
        <w:ind w:left="2552" w:hanging="2552"/>
        <w:rPr>
          <w:rFonts w:ascii="Arial" w:hAnsi="Arial" w:cs="Arial"/>
          <w:color w:val="000000"/>
          <w:szCs w:val="22"/>
        </w:rPr>
      </w:pPr>
      <w:r w:rsidRPr="005D79A9">
        <w:rPr>
          <w:rFonts w:ascii="Arial" w:hAnsi="Arial" w:cs="Arial"/>
          <w:color w:val="000000"/>
          <w:szCs w:val="22"/>
        </w:rPr>
        <w:t>km</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kilometre</w:t>
      </w:r>
    </w:p>
    <w:p w14:paraId="7E3B5821" w14:textId="15A5916F" w:rsidR="001F4593" w:rsidRPr="005D79A9" w:rsidRDefault="001F4593" w:rsidP="00883A72">
      <w:pPr>
        <w:tabs>
          <w:tab w:val="left" w:pos="2552"/>
        </w:tabs>
        <w:ind w:left="2552" w:hanging="2552"/>
        <w:rPr>
          <w:rFonts w:ascii="Arial" w:hAnsi="Arial" w:cs="Arial"/>
          <w:color w:val="000000"/>
          <w:szCs w:val="22"/>
        </w:rPr>
      </w:pPr>
      <w:r w:rsidRPr="005D79A9">
        <w:rPr>
          <w:rFonts w:ascii="Arial" w:hAnsi="Arial" w:cs="Arial"/>
          <w:color w:val="000000"/>
          <w:szCs w:val="22"/>
        </w:rPr>
        <w:t>m</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metre</w:t>
      </w:r>
    </w:p>
    <w:p w14:paraId="45B0E000" w14:textId="2D5F45DB" w:rsidR="001F4593" w:rsidRPr="005D79A9" w:rsidRDefault="001F4593" w:rsidP="00883A72">
      <w:pPr>
        <w:tabs>
          <w:tab w:val="left" w:pos="2552"/>
        </w:tabs>
        <w:ind w:left="2552" w:hanging="2552"/>
        <w:rPr>
          <w:rFonts w:ascii="Arial" w:hAnsi="Arial" w:cs="Arial"/>
          <w:color w:val="000000"/>
          <w:szCs w:val="22"/>
        </w:rPr>
      </w:pPr>
      <w:r w:rsidRPr="005D79A9">
        <w:rPr>
          <w:rFonts w:ascii="Arial" w:hAnsi="Arial" w:cs="Arial"/>
          <w:color w:val="000000"/>
          <w:szCs w:val="22"/>
        </w:rPr>
        <w:t>MMP</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Marine Monitoring Program</w:t>
      </w:r>
    </w:p>
    <w:p w14:paraId="16745642" w14:textId="35C68C7B" w:rsidR="00306220" w:rsidRPr="005D79A9" w:rsidRDefault="00306220" w:rsidP="00883A72">
      <w:pPr>
        <w:tabs>
          <w:tab w:val="left" w:pos="2552"/>
        </w:tabs>
        <w:ind w:left="2552" w:hanging="2552"/>
        <w:rPr>
          <w:rFonts w:ascii="Arial" w:hAnsi="Arial" w:cs="Arial"/>
          <w:color w:val="000000"/>
          <w:szCs w:val="22"/>
        </w:rPr>
      </w:pPr>
      <w:r w:rsidRPr="005D79A9">
        <w:rPr>
          <w:rFonts w:ascii="Arial" w:hAnsi="Arial" w:cs="Arial"/>
          <w:color w:val="000000"/>
          <w:szCs w:val="22"/>
        </w:rPr>
        <w:t>MTSRF</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Marine and Tropical Sciences Research Facility</w:t>
      </w:r>
    </w:p>
    <w:p w14:paraId="2D8E3D23" w14:textId="06FA7AAC" w:rsidR="001F4593" w:rsidRPr="005D79A9" w:rsidRDefault="001F4593" w:rsidP="00883A72">
      <w:pPr>
        <w:tabs>
          <w:tab w:val="left" w:pos="2552"/>
        </w:tabs>
        <w:ind w:left="2552" w:hanging="2552"/>
        <w:rPr>
          <w:rFonts w:ascii="Arial" w:hAnsi="Arial" w:cs="Arial"/>
          <w:color w:val="000000"/>
          <w:szCs w:val="22"/>
        </w:rPr>
      </w:pPr>
      <w:r w:rsidRPr="005D79A9">
        <w:rPr>
          <w:rFonts w:ascii="Arial" w:hAnsi="Arial" w:cs="Arial"/>
          <w:color w:val="000000"/>
          <w:szCs w:val="22"/>
        </w:rPr>
        <w:t>NRM</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 xml:space="preserve">Natural Resource Management </w:t>
      </w:r>
    </w:p>
    <w:p w14:paraId="0E9D8305" w14:textId="2FDD5274" w:rsidR="00883A72" w:rsidRPr="005D79A9" w:rsidRDefault="00883A72" w:rsidP="005D79A9">
      <w:pPr>
        <w:tabs>
          <w:tab w:val="left" w:pos="2977"/>
        </w:tabs>
        <w:ind w:left="2880" w:hanging="2880"/>
        <w:rPr>
          <w:rFonts w:ascii="Arial" w:hAnsi="Arial" w:cs="Arial"/>
          <w:color w:val="000000"/>
          <w:szCs w:val="22"/>
          <w:lang w:eastAsia="en-AU"/>
        </w:rPr>
      </w:pPr>
      <w:r w:rsidRPr="005D79A9">
        <w:rPr>
          <w:rFonts w:ascii="Arial" w:hAnsi="Arial" w:cs="Arial"/>
          <w:color w:val="000000"/>
          <w:szCs w:val="22"/>
          <w:lang w:eastAsia="en-AU"/>
        </w:rPr>
        <w:t>Paddock to Reef program</w:t>
      </w:r>
      <w:r w:rsidRPr="005D79A9">
        <w:rPr>
          <w:rFonts w:ascii="Arial" w:hAnsi="Arial" w:cs="Arial"/>
          <w:color w:val="000000"/>
          <w:szCs w:val="22"/>
          <w:lang w:eastAsia="en-AU"/>
        </w:rPr>
        <w:tab/>
        <w:t>Paddock to Reef Integrated Monitoring, Modelling and Reporting Program</w:t>
      </w:r>
    </w:p>
    <w:p w14:paraId="4BB7FF81" w14:textId="26ACED2A" w:rsidR="00883A72" w:rsidRPr="005D79A9" w:rsidRDefault="00883A72" w:rsidP="00883A72">
      <w:pPr>
        <w:tabs>
          <w:tab w:val="left" w:pos="2552"/>
        </w:tabs>
        <w:ind w:left="2552" w:hanging="2552"/>
        <w:rPr>
          <w:rFonts w:ascii="Arial" w:hAnsi="Arial" w:cs="Arial"/>
          <w:color w:val="000000"/>
          <w:szCs w:val="22"/>
          <w:lang w:eastAsia="en-AU"/>
        </w:rPr>
      </w:pPr>
      <w:r w:rsidRPr="005D79A9">
        <w:rPr>
          <w:rFonts w:ascii="Arial" w:hAnsi="Arial" w:cs="Arial"/>
          <w:color w:val="000000"/>
          <w:szCs w:val="22"/>
          <w:lang w:eastAsia="en-AU"/>
        </w:rPr>
        <w:t>QPWS</w:t>
      </w:r>
      <w:r w:rsidRPr="005D79A9">
        <w:rPr>
          <w:rFonts w:ascii="Arial" w:hAnsi="Arial" w:cs="Arial"/>
          <w:color w:val="000000"/>
          <w:szCs w:val="22"/>
          <w:lang w:eastAsia="en-AU"/>
        </w:rPr>
        <w:tab/>
      </w:r>
      <w:r w:rsidR="005D79A9">
        <w:rPr>
          <w:rFonts w:ascii="Arial" w:hAnsi="Arial" w:cs="Arial"/>
          <w:color w:val="000000"/>
          <w:szCs w:val="22"/>
          <w:lang w:eastAsia="en-AU"/>
        </w:rPr>
        <w:tab/>
      </w:r>
      <w:r w:rsidRPr="005D79A9">
        <w:rPr>
          <w:rFonts w:ascii="Arial" w:hAnsi="Arial" w:cs="Arial"/>
          <w:color w:val="000000"/>
          <w:szCs w:val="22"/>
          <w:lang w:eastAsia="en-AU"/>
        </w:rPr>
        <w:t>Queensland Park and Wildlife Service</w:t>
      </w:r>
    </w:p>
    <w:p w14:paraId="5A313542" w14:textId="0BF5ED6E" w:rsidR="00854CC7" w:rsidRPr="005D79A9" w:rsidRDefault="00854CC7" w:rsidP="00854CC7">
      <w:pPr>
        <w:tabs>
          <w:tab w:val="left" w:pos="2552"/>
        </w:tabs>
        <w:ind w:left="2552" w:hanging="2552"/>
        <w:rPr>
          <w:rFonts w:ascii="Arial" w:hAnsi="Arial" w:cs="Arial"/>
          <w:color w:val="000000"/>
          <w:szCs w:val="22"/>
        </w:rPr>
      </w:pPr>
      <w:r w:rsidRPr="005D79A9">
        <w:rPr>
          <w:rFonts w:ascii="Arial" w:hAnsi="Arial" w:cs="Arial"/>
          <w:color w:val="000000"/>
          <w:szCs w:val="22"/>
        </w:rPr>
        <w:t>Reef</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Great Barrier Reef</w:t>
      </w:r>
    </w:p>
    <w:p w14:paraId="6CD1C38A" w14:textId="1A3D26F2" w:rsidR="00883A72" w:rsidRPr="005D79A9" w:rsidRDefault="00883A72" w:rsidP="00854CC7">
      <w:pPr>
        <w:tabs>
          <w:tab w:val="left" w:pos="2552"/>
        </w:tabs>
        <w:ind w:left="2552" w:hanging="2552"/>
        <w:rPr>
          <w:rFonts w:ascii="Arial" w:hAnsi="Arial" w:cs="Arial"/>
          <w:color w:val="000000"/>
          <w:szCs w:val="22"/>
          <w:lang w:eastAsia="en-AU"/>
        </w:rPr>
      </w:pPr>
      <w:r w:rsidRPr="005D79A9">
        <w:rPr>
          <w:rFonts w:ascii="Arial" w:hAnsi="Arial" w:cs="Arial"/>
          <w:color w:val="000000" w:themeColor="text1"/>
          <w:szCs w:val="22"/>
        </w:rPr>
        <w:t>Reef 2050 WQIP</w:t>
      </w:r>
      <w:r w:rsidRPr="005D79A9">
        <w:rPr>
          <w:rFonts w:ascii="Arial" w:hAnsi="Arial" w:cs="Arial"/>
          <w:color w:val="000000" w:themeColor="text1"/>
          <w:szCs w:val="22"/>
        </w:rPr>
        <w:tab/>
      </w:r>
      <w:r w:rsidR="005D79A9">
        <w:rPr>
          <w:rFonts w:ascii="Arial" w:hAnsi="Arial" w:cs="Arial"/>
          <w:color w:val="000000" w:themeColor="text1"/>
          <w:szCs w:val="22"/>
        </w:rPr>
        <w:tab/>
      </w:r>
      <w:r w:rsidRPr="00420933">
        <w:rPr>
          <w:rFonts w:ascii="Arial" w:hAnsi="Arial" w:cs="Arial"/>
          <w:i/>
          <w:color w:val="000000"/>
          <w:szCs w:val="22"/>
          <w:lang w:eastAsia="en-AU"/>
        </w:rPr>
        <w:t>Reef 2050 Water Quality Improvement Plan</w:t>
      </w:r>
    </w:p>
    <w:p w14:paraId="46477081" w14:textId="608D1554" w:rsidR="00883A72" w:rsidRPr="005D79A9" w:rsidRDefault="00883A72" w:rsidP="00883A72">
      <w:pPr>
        <w:tabs>
          <w:tab w:val="left" w:pos="2552"/>
        </w:tabs>
        <w:ind w:left="2552" w:hanging="2552"/>
        <w:rPr>
          <w:rFonts w:ascii="Arial" w:hAnsi="Arial" w:cs="Arial"/>
          <w:color w:val="000000"/>
          <w:szCs w:val="22"/>
          <w:lang w:eastAsia="en-AU"/>
        </w:rPr>
      </w:pPr>
      <w:r w:rsidRPr="005D79A9">
        <w:rPr>
          <w:rFonts w:ascii="Arial" w:hAnsi="Arial" w:cs="Arial"/>
          <w:color w:val="000000"/>
          <w:szCs w:val="22"/>
          <w:lang w:eastAsia="en-AU"/>
        </w:rPr>
        <w:t>Reef 2050 Plan</w:t>
      </w:r>
      <w:r w:rsidRPr="005D79A9">
        <w:rPr>
          <w:rFonts w:ascii="Arial" w:hAnsi="Arial" w:cs="Arial"/>
          <w:color w:val="000000"/>
          <w:szCs w:val="22"/>
          <w:lang w:eastAsia="en-AU"/>
        </w:rPr>
        <w:tab/>
      </w:r>
      <w:r w:rsidR="005D79A9">
        <w:rPr>
          <w:rFonts w:ascii="Arial" w:hAnsi="Arial" w:cs="Arial"/>
          <w:color w:val="000000"/>
          <w:szCs w:val="22"/>
          <w:lang w:eastAsia="en-AU"/>
        </w:rPr>
        <w:tab/>
      </w:r>
      <w:r w:rsidRPr="00420933">
        <w:rPr>
          <w:rFonts w:ascii="Arial" w:hAnsi="Arial" w:cs="Arial"/>
          <w:i/>
          <w:color w:val="000000"/>
          <w:szCs w:val="22"/>
          <w:lang w:eastAsia="en-AU"/>
        </w:rPr>
        <w:t>Reef 2050 Long-Term Sustainability Plan</w:t>
      </w:r>
    </w:p>
    <w:p w14:paraId="3DB3E9F1" w14:textId="2A696370" w:rsidR="00883A72" w:rsidRPr="005D79A9" w:rsidRDefault="00883A72" w:rsidP="00883A72">
      <w:pPr>
        <w:tabs>
          <w:tab w:val="left" w:pos="2552"/>
        </w:tabs>
        <w:ind w:left="2552" w:hanging="2552"/>
        <w:rPr>
          <w:rFonts w:ascii="Arial" w:hAnsi="Arial" w:cs="Arial"/>
          <w:color w:val="000000"/>
          <w:szCs w:val="22"/>
          <w:lang w:eastAsia="en-AU"/>
        </w:rPr>
      </w:pPr>
      <w:r w:rsidRPr="005D79A9">
        <w:rPr>
          <w:rFonts w:ascii="Arial" w:hAnsi="Arial" w:cs="Arial"/>
          <w:color w:val="000000"/>
          <w:szCs w:val="22"/>
          <w:lang w:eastAsia="en-AU"/>
        </w:rPr>
        <w:t>RIMReP</w:t>
      </w:r>
      <w:r w:rsidRPr="005D79A9">
        <w:rPr>
          <w:rFonts w:ascii="Arial" w:hAnsi="Arial" w:cs="Arial"/>
          <w:color w:val="000000"/>
          <w:szCs w:val="22"/>
          <w:lang w:eastAsia="en-AU"/>
        </w:rPr>
        <w:tab/>
      </w:r>
      <w:r w:rsidR="005D79A9">
        <w:rPr>
          <w:rFonts w:ascii="Arial" w:hAnsi="Arial" w:cs="Arial"/>
          <w:color w:val="000000"/>
          <w:szCs w:val="22"/>
          <w:lang w:eastAsia="en-AU"/>
        </w:rPr>
        <w:tab/>
      </w:r>
      <w:r w:rsidRPr="005D79A9">
        <w:rPr>
          <w:rFonts w:ascii="Arial" w:hAnsi="Arial" w:cs="Arial"/>
          <w:color w:val="000000"/>
          <w:szCs w:val="22"/>
          <w:lang w:eastAsia="en-AU"/>
        </w:rPr>
        <w:t>Reef 2050 Integrated Monitoring and Reporting Program</w:t>
      </w:r>
    </w:p>
    <w:p w14:paraId="69B6E4DF" w14:textId="5A4EF963" w:rsidR="001F4593" w:rsidRPr="005D79A9" w:rsidRDefault="001F4593" w:rsidP="00883A72">
      <w:pPr>
        <w:tabs>
          <w:tab w:val="left" w:pos="2552"/>
        </w:tabs>
        <w:ind w:left="2552" w:hanging="2552"/>
        <w:rPr>
          <w:rFonts w:ascii="Arial" w:hAnsi="Arial" w:cs="Arial"/>
          <w:color w:val="000000"/>
          <w:szCs w:val="22"/>
        </w:rPr>
      </w:pPr>
      <w:r w:rsidRPr="005D79A9">
        <w:rPr>
          <w:rFonts w:ascii="Arial" w:hAnsi="Arial" w:cs="Arial"/>
          <w:color w:val="000000"/>
          <w:szCs w:val="22"/>
        </w:rPr>
        <w:t>SE</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Standard Error</w:t>
      </w:r>
    </w:p>
    <w:p w14:paraId="28771DB9" w14:textId="3DC8C4DA" w:rsidR="001F4593" w:rsidRPr="005D79A9" w:rsidRDefault="001F4593" w:rsidP="00883A72">
      <w:pPr>
        <w:tabs>
          <w:tab w:val="left" w:pos="2552"/>
        </w:tabs>
        <w:ind w:left="2552" w:hanging="2552"/>
        <w:rPr>
          <w:rFonts w:ascii="Arial" w:hAnsi="Arial" w:cs="Arial"/>
          <w:color w:val="000000"/>
          <w:szCs w:val="22"/>
        </w:rPr>
      </w:pPr>
      <w:r w:rsidRPr="005D79A9">
        <w:rPr>
          <w:rFonts w:ascii="Arial" w:hAnsi="Arial" w:cs="Arial"/>
          <w:color w:val="000000"/>
          <w:szCs w:val="22"/>
        </w:rPr>
        <w:t>TropWATER</w:t>
      </w:r>
      <w:r w:rsidRPr="005D79A9">
        <w:rPr>
          <w:rFonts w:ascii="Arial" w:hAnsi="Arial" w:cs="Arial"/>
          <w:color w:val="000000"/>
          <w:szCs w:val="22"/>
        </w:rPr>
        <w:tab/>
      </w:r>
      <w:r w:rsidR="005D79A9">
        <w:rPr>
          <w:rFonts w:ascii="Arial" w:hAnsi="Arial" w:cs="Arial"/>
          <w:color w:val="000000"/>
          <w:szCs w:val="22"/>
        </w:rPr>
        <w:tab/>
      </w:r>
      <w:r w:rsidRPr="005D79A9">
        <w:rPr>
          <w:rFonts w:ascii="Arial" w:hAnsi="Arial" w:cs="Arial"/>
          <w:color w:val="000000"/>
          <w:szCs w:val="22"/>
        </w:rPr>
        <w:t>Centre for Tropical Water &amp; Aquatic Ecosystem Research</w:t>
      </w:r>
    </w:p>
    <w:p w14:paraId="3BABBD67" w14:textId="61E31744" w:rsidR="001F4593" w:rsidRPr="00DA741D" w:rsidRDefault="001F4593" w:rsidP="0015509E">
      <w:pPr>
        <w:pStyle w:val="Heading1"/>
        <w:numPr>
          <w:ilvl w:val="0"/>
          <w:numId w:val="0"/>
        </w:numPr>
      </w:pPr>
      <w:bookmarkStart w:id="5" w:name="_Toc11394686"/>
      <w:r w:rsidRPr="00DA741D">
        <w:lastRenderedPageBreak/>
        <w:t>Acknowledgements</w:t>
      </w:r>
      <w:bookmarkEnd w:id="5"/>
    </w:p>
    <w:p w14:paraId="468DDF86" w14:textId="7387D34C" w:rsidR="001F4593" w:rsidRPr="00CB093C" w:rsidRDefault="001B60D4" w:rsidP="001F4593">
      <w:pPr>
        <w:rPr>
          <w:rFonts w:ascii="Arial" w:hAnsi="Arial" w:cs="Arial"/>
          <w:color w:val="000000" w:themeColor="text1"/>
          <w:szCs w:val="22"/>
        </w:rPr>
      </w:pPr>
      <w:r w:rsidRPr="00CB093C">
        <w:rPr>
          <w:rFonts w:ascii="Arial" w:hAnsi="Arial" w:cs="Arial"/>
          <w:color w:val="000000" w:themeColor="text1"/>
          <w:szCs w:val="22"/>
        </w:rPr>
        <w:t xml:space="preserve">We thank Louise Johns, Alice White, Cassie Peters, Abby Fatland, Tom Stevens, Sally Troy, Tegan Hartley, Satoshi Shiratsuchi, Abbi Scott, Mike Whiting, Antoinette de Wilde, Jenny Sebba, Yaiza Onoria, and Julia Hazel who assisted with field monitoring. We thank Mark Connell and the QPWS rangers who conducted the subtidal drop camera field monitoring in Cape York, southern Wet Tropics and </w:t>
      </w:r>
      <w:r w:rsidR="00637325">
        <w:rPr>
          <w:rFonts w:ascii="Arial" w:hAnsi="Arial" w:cs="Arial"/>
          <w:color w:val="000000" w:themeColor="text1"/>
          <w:szCs w:val="22"/>
        </w:rPr>
        <w:t>Mackay-Whitsunday</w:t>
      </w:r>
      <w:r w:rsidRPr="00CB093C">
        <w:rPr>
          <w:rFonts w:ascii="Arial" w:hAnsi="Arial" w:cs="Arial"/>
          <w:color w:val="000000" w:themeColor="text1"/>
          <w:szCs w:val="22"/>
        </w:rPr>
        <w:t>. We also thank Nicky Yoshida for assisting with the processing of laboratory samples and the many Seagrass-Watch volunteers who assisted and shared their data with us from Shelley Beach, Pioneer Bay, Hydeaway Bay and Clairview. We thank the water quality team at TropWATER (</w:t>
      </w:r>
      <w:hyperlink w:anchor="_ENREF_65" w:tooltip="Gruber, 2019 #11860" w:history="1">
        <w:r w:rsidR="00513C39" w:rsidRPr="00CB093C">
          <w:rPr>
            <w:rFonts w:ascii="Arial" w:hAnsi="Arial" w:cs="Arial"/>
          </w:rPr>
          <w:fldChar w:fldCharType="begin"/>
        </w:r>
        <w:r w:rsidR="00513C39" w:rsidRPr="00CB093C">
          <w:rPr>
            <w:rFonts w:ascii="Arial" w:hAnsi="Arial" w:cs="Arial"/>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rPr>
          <w:fldChar w:fldCharType="separate"/>
        </w:r>
        <w:r w:rsidR="00513C39" w:rsidRPr="00CB093C">
          <w:rPr>
            <w:rFonts w:ascii="Arial" w:hAnsi="Arial" w:cs="Arial"/>
            <w:noProof/>
          </w:rPr>
          <w:t>Gruber</w:t>
        </w:r>
        <w:r w:rsidR="00513C39" w:rsidRPr="00CB093C">
          <w:rPr>
            <w:rFonts w:ascii="Arial" w:hAnsi="Arial" w:cs="Arial"/>
            <w:i/>
            <w:noProof/>
          </w:rPr>
          <w:t xml:space="preserve"> et al.</w:t>
        </w:r>
        <w:r w:rsidR="00513C39" w:rsidRPr="00CB093C">
          <w:rPr>
            <w:rFonts w:ascii="Arial" w:hAnsi="Arial" w:cs="Arial"/>
            <w:noProof/>
          </w:rPr>
          <w:t xml:space="preserve"> 2019</w:t>
        </w:r>
        <w:r w:rsidR="00513C39" w:rsidRPr="00CB093C">
          <w:rPr>
            <w:rFonts w:ascii="Arial" w:hAnsi="Arial" w:cs="Arial"/>
          </w:rPr>
          <w:fldChar w:fldCharType="end"/>
        </w:r>
      </w:hyperlink>
      <w:r w:rsidRPr="00CB093C">
        <w:rPr>
          <w:rFonts w:ascii="Arial" w:hAnsi="Arial" w:cs="Arial"/>
          <w:color w:val="000000" w:themeColor="text1"/>
          <w:szCs w:val="22"/>
        </w:rPr>
        <w:t xml:space="preserve">) for climate data including rainfall, river discharge and turbid water exposure maps included in this report. </w:t>
      </w:r>
      <w:r w:rsidR="00B20DDB" w:rsidRPr="00CB093C">
        <w:rPr>
          <w:rFonts w:ascii="Arial" w:hAnsi="Arial" w:cs="Arial"/>
          <w:color w:val="000000" w:themeColor="text1"/>
          <w:szCs w:val="22"/>
        </w:rPr>
        <w:t xml:space="preserve">We also thank </w:t>
      </w:r>
      <w:r w:rsidR="00B20DDB" w:rsidRPr="00CB093C">
        <w:rPr>
          <w:rFonts w:ascii="Arial" w:hAnsi="Arial" w:cs="Arial"/>
          <w:color w:val="000000" w:themeColor="text1"/>
          <w:szCs w:val="22"/>
          <w:lang w:eastAsia="en-AU"/>
        </w:rPr>
        <w:t>the Traditional Owners of the Sea Countries we visited to conduct our monitoring.</w:t>
      </w:r>
      <w:r w:rsidR="00D15D2B" w:rsidRPr="00CB093C">
        <w:rPr>
          <w:rFonts w:ascii="Arial" w:hAnsi="Arial" w:cs="Arial"/>
          <w:color w:val="000000" w:themeColor="text1"/>
          <w:szCs w:val="22"/>
          <w:lang w:eastAsia="en-AU"/>
        </w:rPr>
        <w:t xml:space="preserve"> In particular, we would like to thank the Wuthathi, Kuku Yau, Yuku Baja Muliku and Girringun groups for assisting in the field.</w:t>
      </w:r>
    </w:p>
    <w:p w14:paraId="4BC4FFFB" w14:textId="342A988A" w:rsidR="001F4593" w:rsidRPr="00CB093C" w:rsidRDefault="001F4593" w:rsidP="001F4593">
      <w:pPr>
        <w:rPr>
          <w:rFonts w:ascii="Arial" w:hAnsi="Arial" w:cs="Arial"/>
          <w:color w:val="000000" w:themeColor="text1"/>
          <w:szCs w:val="22"/>
          <w:lang w:eastAsia="en-AU"/>
        </w:rPr>
      </w:pPr>
      <w:r w:rsidRPr="00CB093C">
        <w:rPr>
          <w:rFonts w:ascii="Arial" w:hAnsi="Arial" w:cs="Arial"/>
          <w:color w:val="000000" w:themeColor="text1"/>
          <w:szCs w:val="22"/>
        </w:rPr>
        <w:t>We thank the Range Control Officer (Department of Defence) for providing support and access to the Shoalwater Bay Training Area to conduct biannual monitoring;</w:t>
      </w:r>
      <w:r w:rsidRPr="00CB093C">
        <w:rPr>
          <w:rFonts w:ascii="Arial" w:hAnsi="Arial" w:cs="Arial"/>
          <w:color w:val="000000" w:themeColor="text1"/>
          <w:szCs w:val="22"/>
          <w:lang w:eastAsia="en-AU"/>
        </w:rPr>
        <w:t xml:space="preserve"> Great Adventures (part of the Quicksilver Group) for providing discounted transfers to Green Island; and </w:t>
      </w:r>
      <w:r w:rsidR="0091359C" w:rsidRPr="00CB093C">
        <w:rPr>
          <w:rFonts w:ascii="Arial" w:hAnsi="Arial" w:cs="Arial"/>
          <w:color w:val="000000" w:themeColor="text1"/>
          <w:szCs w:val="22"/>
          <w:lang w:eastAsia="en-AU"/>
        </w:rPr>
        <w:t xml:space="preserve">Nancy Lowe </w:t>
      </w:r>
      <w:r w:rsidR="00216E1F" w:rsidRPr="00CB093C">
        <w:rPr>
          <w:rFonts w:ascii="Arial" w:hAnsi="Arial" w:cs="Arial"/>
          <w:color w:val="000000" w:themeColor="text1"/>
          <w:szCs w:val="22"/>
          <w:lang w:eastAsia="en-AU"/>
        </w:rPr>
        <w:t xml:space="preserve">of </w:t>
      </w:r>
      <w:r w:rsidRPr="00CB093C">
        <w:rPr>
          <w:rFonts w:ascii="Arial" w:hAnsi="Arial" w:cs="Arial"/>
          <w:color w:val="000000" w:themeColor="text1"/>
          <w:szCs w:val="22"/>
          <w:lang w:eastAsia="en-AU"/>
        </w:rPr>
        <w:t xml:space="preserve">Dunk Island </w:t>
      </w:r>
      <w:r w:rsidR="00216E1F" w:rsidRPr="00CB093C">
        <w:rPr>
          <w:rFonts w:ascii="Arial" w:hAnsi="Arial" w:cs="Arial"/>
          <w:color w:val="000000" w:themeColor="text1"/>
          <w:szCs w:val="22"/>
          <w:lang w:eastAsia="en-AU"/>
        </w:rPr>
        <w:t>W</w:t>
      </w:r>
      <w:r w:rsidRPr="00CB093C">
        <w:rPr>
          <w:rFonts w:ascii="Arial" w:hAnsi="Arial" w:cs="Arial"/>
          <w:color w:val="000000" w:themeColor="text1"/>
          <w:szCs w:val="22"/>
          <w:lang w:eastAsia="en-AU"/>
        </w:rPr>
        <w:t xml:space="preserve">ater </w:t>
      </w:r>
      <w:r w:rsidR="00216E1F" w:rsidRPr="00CB093C">
        <w:rPr>
          <w:rFonts w:ascii="Arial" w:hAnsi="Arial" w:cs="Arial"/>
          <w:color w:val="000000" w:themeColor="text1"/>
          <w:szCs w:val="22"/>
          <w:lang w:eastAsia="en-AU"/>
        </w:rPr>
        <w:t>T</w:t>
      </w:r>
      <w:r w:rsidRPr="00CB093C">
        <w:rPr>
          <w:rFonts w:ascii="Arial" w:hAnsi="Arial" w:cs="Arial"/>
          <w:color w:val="000000" w:themeColor="text1"/>
          <w:szCs w:val="22"/>
          <w:lang w:eastAsia="en-AU"/>
        </w:rPr>
        <w:t>axi for assistance with the maintenance of light loggers at Mission Beach.</w:t>
      </w:r>
    </w:p>
    <w:p w14:paraId="5F9D1407" w14:textId="4902E0E2" w:rsidR="001F4593" w:rsidRPr="00CB093C" w:rsidRDefault="001F4593" w:rsidP="001F4593">
      <w:pPr>
        <w:spacing w:after="0"/>
        <w:rPr>
          <w:rFonts w:ascii="Arial" w:hAnsi="Arial" w:cs="Arial"/>
          <w:color w:val="000000" w:themeColor="text1"/>
          <w:szCs w:val="22"/>
        </w:rPr>
      </w:pPr>
      <w:r w:rsidRPr="00CB093C">
        <w:rPr>
          <w:rFonts w:ascii="Arial" w:hAnsi="Arial" w:cs="Arial"/>
          <w:color w:val="000000" w:themeColor="text1"/>
          <w:szCs w:val="22"/>
        </w:rPr>
        <w:t>River discharge data provided by the State of Queensland (Department of Natural Resources</w:t>
      </w:r>
      <w:r w:rsidR="003E679B" w:rsidRPr="00CB093C">
        <w:rPr>
          <w:rFonts w:ascii="Arial" w:hAnsi="Arial" w:cs="Arial"/>
          <w:color w:val="000000" w:themeColor="text1"/>
          <w:szCs w:val="22"/>
        </w:rPr>
        <w:t>,</w:t>
      </w:r>
      <w:r w:rsidRPr="00CB093C">
        <w:rPr>
          <w:rFonts w:ascii="Arial" w:hAnsi="Arial" w:cs="Arial"/>
          <w:color w:val="000000" w:themeColor="text1"/>
          <w:szCs w:val="22"/>
        </w:rPr>
        <w:t xml:space="preserve"> Mines</w:t>
      </w:r>
      <w:r w:rsidR="003E679B" w:rsidRPr="00CB093C">
        <w:rPr>
          <w:rFonts w:ascii="Arial" w:hAnsi="Arial" w:cs="Arial"/>
          <w:color w:val="000000" w:themeColor="text1"/>
          <w:szCs w:val="22"/>
        </w:rPr>
        <w:t xml:space="preserve"> and Energy</w:t>
      </w:r>
      <w:r w:rsidRPr="00CB093C">
        <w:rPr>
          <w:rFonts w:ascii="Arial" w:hAnsi="Arial" w:cs="Arial"/>
          <w:color w:val="000000" w:themeColor="text1"/>
          <w:szCs w:val="22"/>
        </w:rPr>
        <w:t>) 201</w:t>
      </w:r>
      <w:r w:rsidR="00197A1C" w:rsidRPr="00CB093C">
        <w:rPr>
          <w:rFonts w:ascii="Arial" w:hAnsi="Arial" w:cs="Arial"/>
          <w:color w:val="000000" w:themeColor="text1"/>
          <w:szCs w:val="22"/>
        </w:rPr>
        <w:t>8</w:t>
      </w:r>
      <w:r w:rsidRPr="00CB093C">
        <w:rPr>
          <w:rFonts w:ascii="Arial" w:hAnsi="Arial" w:cs="Arial"/>
          <w:color w:val="000000" w:themeColor="text1"/>
          <w:szCs w:val="22"/>
        </w:rPr>
        <w:t>. The conceptual diagram symbols are courtesy of the Integration and Application Network (ian.umces.edu/symbols/), University of Maryland Center for Environmental Science. Climate data courtesy of the Australian Bureau of Meteorology, and tide data courtesy Maritime Safety Queensland, Department of Transport and Main Roads.</w:t>
      </w:r>
    </w:p>
    <w:p w14:paraId="28163433" w14:textId="77777777" w:rsidR="001F4593" w:rsidRPr="00DA741D" w:rsidRDefault="001F4593" w:rsidP="001F4593">
      <w:pPr>
        <w:rPr>
          <w:szCs w:val="22"/>
        </w:rPr>
      </w:pPr>
    </w:p>
    <w:p w14:paraId="76DD5254" w14:textId="77777777" w:rsidR="001F4593" w:rsidRPr="00DA741D" w:rsidRDefault="001F4593" w:rsidP="001F4593">
      <w:pPr>
        <w:rPr>
          <w:color w:val="000000"/>
          <w:szCs w:val="22"/>
        </w:rPr>
      </w:pPr>
    </w:p>
    <w:p w14:paraId="23AC5D80" w14:textId="77777777" w:rsidR="001F4593" w:rsidRPr="00DA741D" w:rsidRDefault="001F4593" w:rsidP="001F4593">
      <w:pPr>
        <w:rPr>
          <w:color w:val="000000"/>
          <w:szCs w:val="22"/>
        </w:rPr>
      </w:pPr>
    </w:p>
    <w:p w14:paraId="268BAA14" w14:textId="77777777" w:rsidR="005132EF" w:rsidRPr="00DA741D" w:rsidRDefault="005132EF" w:rsidP="00034AD4">
      <w:pPr>
        <w:rPr>
          <w:color w:val="000000"/>
        </w:rPr>
      </w:pPr>
    </w:p>
    <w:p w14:paraId="57088C0B" w14:textId="77777777" w:rsidR="005132EF" w:rsidRPr="00A96E9E" w:rsidRDefault="005132EF" w:rsidP="00034AD4">
      <w:pPr>
        <w:sectPr w:rsidR="005132EF" w:rsidRPr="00A96E9E" w:rsidSect="005A5A65">
          <w:headerReference w:type="even" r:id="rId27"/>
          <w:headerReference w:type="default" r:id="rId28"/>
          <w:footerReference w:type="even" r:id="rId29"/>
          <w:footerReference w:type="default" r:id="rId30"/>
          <w:headerReference w:type="first" r:id="rId31"/>
          <w:pgSz w:w="11906" w:h="16838" w:code="9"/>
          <w:pgMar w:top="1418" w:right="1418" w:bottom="1418" w:left="1418" w:header="709" w:footer="709" w:gutter="0"/>
          <w:pgNumType w:fmt="lowerRoman" w:start="1"/>
          <w:cols w:space="708"/>
          <w:docGrid w:linePitch="360"/>
        </w:sectPr>
      </w:pPr>
    </w:p>
    <w:p w14:paraId="7DF16679" w14:textId="77777777" w:rsidR="005132EF" w:rsidRPr="00DA741D" w:rsidRDefault="005132EF" w:rsidP="0015509E">
      <w:pPr>
        <w:pStyle w:val="Heading1"/>
        <w:numPr>
          <w:ilvl w:val="0"/>
          <w:numId w:val="0"/>
        </w:numPr>
      </w:pPr>
      <w:bookmarkStart w:id="6" w:name="_Toc176079531"/>
      <w:bookmarkStart w:id="7" w:name="_Toc232845888"/>
      <w:bookmarkStart w:id="8" w:name="_Toc184101941"/>
      <w:bookmarkStart w:id="9" w:name="_Toc431493732"/>
      <w:bookmarkStart w:id="10" w:name="_Toc11394687"/>
      <w:bookmarkStart w:id="11" w:name="OLE_LINK1"/>
      <w:bookmarkStart w:id="12" w:name="OLE_LINK2"/>
      <w:bookmarkStart w:id="13" w:name="_Toc175991037"/>
      <w:r w:rsidRPr="00DA741D">
        <w:lastRenderedPageBreak/>
        <w:t>Executive summary</w:t>
      </w:r>
      <w:bookmarkEnd w:id="6"/>
      <w:bookmarkEnd w:id="7"/>
      <w:bookmarkEnd w:id="8"/>
      <w:bookmarkEnd w:id="9"/>
      <w:bookmarkEnd w:id="10"/>
      <w:r w:rsidRPr="00DA741D">
        <w:t xml:space="preserve"> </w:t>
      </w:r>
    </w:p>
    <w:p w14:paraId="1B9F5576" w14:textId="7B5FFAE8" w:rsidR="003B78E3" w:rsidRPr="00CB093C" w:rsidRDefault="00637325" w:rsidP="00C84483">
      <w:pPr>
        <w:tabs>
          <w:tab w:val="left" w:pos="6804"/>
        </w:tabs>
        <w:rPr>
          <w:rFonts w:ascii="Arial" w:hAnsi="Arial" w:cs="Arial"/>
          <w:color w:val="000000" w:themeColor="text1"/>
          <w:szCs w:val="22"/>
        </w:rPr>
      </w:pPr>
      <w:r w:rsidRPr="00637325">
        <w:rPr>
          <w:rFonts w:ascii="Arial" w:eastAsia="MS Mincho" w:hAnsi="Arial" w:cs="Arial"/>
        </w:rPr>
        <w:t xml:space="preserve">The Marine Monitoring Program was established in 2005 to monitor the inshore health of the Great Barrier Reef. </w:t>
      </w:r>
      <w:r w:rsidR="003B78E3" w:rsidRPr="00CB093C">
        <w:rPr>
          <w:rFonts w:ascii="Arial" w:eastAsia="MS Mincho" w:hAnsi="Arial" w:cs="Arial"/>
        </w:rPr>
        <w:t xml:space="preserve">This </w:t>
      </w:r>
      <w:r>
        <w:rPr>
          <w:rFonts w:ascii="Arial" w:eastAsia="MS Mincho" w:hAnsi="Arial" w:cs="Arial"/>
        </w:rPr>
        <w:t>document reports</w:t>
      </w:r>
      <w:r w:rsidR="003B78E3" w:rsidRPr="00637325">
        <w:rPr>
          <w:rFonts w:ascii="Arial" w:eastAsia="MS Mincho" w:hAnsi="Arial" w:cs="Arial"/>
        </w:rPr>
        <w:t xml:space="preserve"> </w:t>
      </w:r>
      <w:r w:rsidR="00420933">
        <w:rPr>
          <w:rFonts w:ascii="Arial" w:eastAsia="MS Mincho" w:hAnsi="Arial" w:cs="Arial"/>
        </w:rPr>
        <w:t xml:space="preserve">on </w:t>
      </w:r>
      <w:r w:rsidR="003B78E3" w:rsidRPr="00637325">
        <w:rPr>
          <w:rFonts w:ascii="Arial" w:eastAsia="MS Mincho" w:hAnsi="Arial" w:cs="Arial"/>
        </w:rPr>
        <w:t>the long-term health</w:t>
      </w:r>
      <w:r w:rsidR="003B78E3" w:rsidRPr="00CB093C">
        <w:rPr>
          <w:rFonts w:ascii="Arial" w:hAnsi="Arial" w:cs="Arial"/>
        </w:rPr>
        <w:t xml:space="preserve"> of inshore seagrass meadows and presents the findings in the context of the pressures faced by the ecosystem.</w:t>
      </w:r>
    </w:p>
    <w:p w14:paraId="0ED70A69" w14:textId="3B9B9810" w:rsidR="00A55C45" w:rsidRPr="00CB093C" w:rsidRDefault="003B78E3" w:rsidP="00A55C45">
      <w:pPr>
        <w:rPr>
          <w:rFonts w:ascii="Arial" w:hAnsi="Arial" w:cs="Arial"/>
          <w:szCs w:val="22"/>
        </w:rPr>
      </w:pPr>
      <w:r w:rsidRPr="00CB093C">
        <w:rPr>
          <w:rFonts w:ascii="Arial" w:hAnsi="Arial" w:cs="Arial"/>
          <w:szCs w:val="22"/>
        </w:rPr>
        <w:t xml:space="preserve">Inshore seagrass meadows across the Great Barrier Reef </w:t>
      </w:r>
      <w:r w:rsidR="00415782" w:rsidRPr="00CB093C">
        <w:rPr>
          <w:rFonts w:ascii="Arial" w:hAnsi="Arial" w:cs="Arial"/>
          <w:color w:val="000000" w:themeColor="text1"/>
          <w:szCs w:val="22"/>
        </w:rPr>
        <w:t xml:space="preserve">(the Reef) </w:t>
      </w:r>
      <w:r w:rsidRPr="00CB093C">
        <w:rPr>
          <w:rFonts w:ascii="Arial" w:hAnsi="Arial" w:cs="Arial"/>
          <w:szCs w:val="22"/>
        </w:rPr>
        <w:t xml:space="preserve">declined in overall condition in 2017–18, overturning some of the recovery experienced since 2011, </w:t>
      </w:r>
      <w:r w:rsidR="00E1607B" w:rsidRPr="00CB093C">
        <w:rPr>
          <w:rFonts w:ascii="Arial" w:hAnsi="Arial" w:cs="Arial"/>
          <w:color w:val="000000" w:themeColor="text1"/>
          <w:szCs w:val="22"/>
        </w:rPr>
        <w:t>with</w:t>
      </w:r>
      <w:r w:rsidRPr="00CB093C">
        <w:rPr>
          <w:rFonts w:ascii="Arial" w:hAnsi="Arial" w:cs="Arial"/>
          <w:color w:val="000000" w:themeColor="text1"/>
          <w:szCs w:val="22"/>
        </w:rPr>
        <w:t xml:space="preserve"> the condition grade remaining </w:t>
      </w:r>
      <w:r w:rsidRPr="00CB093C">
        <w:rPr>
          <w:rFonts w:ascii="Arial" w:hAnsi="Arial" w:cs="Arial"/>
          <w:b/>
          <w:color w:val="000000" w:themeColor="text1"/>
          <w:szCs w:val="22"/>
        </w:rPr>
        <w:t>poor</w:t>
      </w:r>
      <w:r w:rsidRPr="00CB093C">
        <w:rPr>
          <w:rFonts w:ascii="Arial" w:hAnsi="Arial" w:cs="Arial"/>
          <w:szCs w:val="22"/>
        </w:rPr>
        <w:t>.</w:t>
      </w:r>
    </w:p>
    <w:p w14:paraId="1148C6EC" w14:textId="77777777" w:rsidR="00402F09" w:rsidRDefault="00402F09" w:rsidP="00A55C45">
      <w:pPr>
        <w:rPr>
          <w:color w:val="000000" w:themeColor="text1"/>
          <w:szCs w:val="22"/>
        </w:rPr>
      </w:pPr>
    </w:p>
    <w:p w14:paraId="482B8BAC" w14:textId="77777777" w:rsidR="00402F09" w:rsidRPr="00DA741D" w:rsidRDefault="00402F09" w:rsidP="00402F09">
      <w:pPr>
        <w:keepNext/>
        <w:jc w:val="center"/>
        <w:rPr>
          <w:color w:val="000000"/>
          <w:szCs w:val="22"/>
        </w:rPr>
      </w:pPr>
      <w:r w:rsidRPr="00DA741D">
        <w:rPr>
          <w:noProof/>
          <w:color w:val="000000"/>
          <w:szCs w:val="22"/>
          <w:lang w:val="en-US"/>
        </w:rPr>
        <w:drawing>
          <wp:inline distT="0" distB="0" distL="0" distR="0" wp14:anchorId="28353565" wp14:editId="0AD7D3DC">
            <wp:extent cx="4715801" cy="3007895"/>
            <wp:effectExtent l="0" t="0" r="8890" b="2540"/>
            <wp:docPr id="13" name="Picture 13" descr="Scatter plot with straight lines and markers showing the Reef-wide seagrass condition index (including standard errors), with contributing indicator scores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NDEX_GBR_2016.png"/>
                    <pic:cNvPicPr/>
                  </pic:nvPicPr>
                  <pic:blipFill>
                    <a:blip r:embed="rId32">
                      <a:extLst>
                        <a:ext uri="{28A0092B-C50C-407E-A947-70E740481C1C}">
                          <a14:useLocalDpi xmlns:a14="http://schemas.microsoft.com/office/drawing/2010/main" val="0"/>
                        </a:ext>
                      </a:extLst>
                    </a:blip>
                    <a:stretch>
                      <a:fillRect/>
                    </a:stretch>
                  </pic:blipFill>
                  <pic:spPr>
                    <a:xfrm>
                      <a:off x="0" y="0"/>
                      <a:ext cx="4716641" cy="3008431"/>
                    </a:xfrm>
                    <a:prstGeom prst="rect">
                      <a:avLst/>
                    </a:prstGeom>
                  </pic:spPr>
                </pic:pic>
              </a:graphicData>
            </a:graphic>
          </wp:inline>
        </w:drawing>
      </w:r>
    </w:p>
    <w:p w14:paraId="499A1210" w14:textId="77777777" w:rsidR="00402F09" w:rsidRPr="000E4688" w:rsidRDefault="00402F09" w:rsidP="00402F09">
      <w:pPr>
        <w:pStyle w:val="Caption"/>
        <w:rPr>
          <w:i/>
          <w:vanish/>
          <w:color w:val="000000"/>
          <w:szCs w:val="22"/>
          <w:specVanish/>
        </w:rPr>
      </w:pPr>
      <w:bookmarkStart w:id="14" w:name="_Ref533006358"/>
      <w:bookmarkStart w:id="15" w:name="_Toc6402766"/>
      <w:r w:rsidRPr="00DA741D">
        <w:t xml:space="preserve">Figure </w:t>
      </w:r>
      <w:r w:rsidRPr="00DA741D">
        <w:fldChar w:fldCharType="begin"/>
      </w:r>
      <w:r w:rsidRPr="00DA741D">
        <w:instrText xml:space="preserve"> SEQ Figure \* ARABIC </w:instrText>
      </w:r>
      <w:r w:rsidRPr="00DA741D">
        <w:fldChar w:fldCharType="separate"/>
      </w:r>
      <w:r w:rsidR="005F00D4">
        <w:rPr>
          <w:noProof/>
        </w:rPr>
        <w:t>1</w:t>
      </w:r>
      <w:r w:rsidRPr="00DA741D">
        <w:fldChar w:fldCharType="end"/>
      </w:r>
      <w:bookmarkEnd w:id="14"/>
      <w:r w:rsidRPr="00DA741D">
        <w:t xml:space="preserve">. </w:t>
      </w:r>
      <w:r>
        <w:rPr>
          <w:i/>
        </w:rPr>
        <w:t>Reef</w:t>
      </w:r>
      <w:r w:rsidRPr="000E4688">
        <w:rPr>
          <w:i/>
        </w:rPr>
        <w:t xml:space="preserve">-wide seagrass condition index </w:t>
      </w:r>
      <w:r>
        <w:rPr>
          <w:i/>
        </w:rPr>
        <w:t>(</w:t>
      </w:r>
      <w:r>
        <w:rPr>
          <w:rFonts w:cs="Calibri"/>
          <w:i/>
        </w:rPr>
        <w:t>±</w:t>
      </w:r>
      <w:r>
        <w:rPr>
          <w:i/>
        </w:rPr>
        <w:t xml:space="preserve">SE) </w:t>
      </w:r>
      <w:r w:rsidRPr="000E4688">
        <w:rPr>
          <w:i/>
        </w:rPr>
        <w:t>with contributing indicator scores over the life of the MMP</w:t>
      </w:r>
      <w:bookmarkEnd w:id="15"/>
    </w:p>
    <w:p w14:paraId="36B3BBB7" w14:textId="1FD6A9F0" w:rsidR="00402F09" w:rsidRPr="00DA741D" w:rsidRDefault="00402F09" w:rsidP="00402F09">
      <w:pPr>
        <w:pStyle w:val="Caption"/>
      </w:pPr>
      <w:r w:rsidRPr="000E4688">
        <w:rPr>
          <w:i/>
        </w:rPr>
        <w:t>. The index is derived from the aggregate of metric scores for indicators of seagrass community health.</w:t>
      </w:r>
      <w:r w:rsidRPr="00DA741D">
        <w:rPr>
          <w:i/>
          <w:vanish/>
          <w:color w:val="000000"/>
          <w:szCs w:val="22"/>
          <w:specVanish/>
        </w:rPr>
        <w:t xml:space="preserve"> </w:t>
      </w:r>
      <w:r>
        <w:rPr>
          <w:i/>
          <w:color w:val="000000"/>
          <w:szCs w:val="22"/>
        </w:rPr>
        <w:t>I</w:t>
      </w:r>
      <w:r w:rsidRPr="00DA741D">
        <w:rPr>
          <w:i/>
          <w:szCs w:val="22"/>
        </w:rPr>
        <w:t>ndex scores scaled from 0</w:t>
      </w:r>
      <w:r>
        <w:rPr>
          <w:i/>
          <w:szCs w:val="22"/>
        </w:rPr>
        <w:t>–</w:t>
      </w:r>
      <w:r w:rsidRPr="00DA741D">
        <w:rPr>
          <w:i/>
          <w:szCs w:val="22"/>
        </w:rPr>
        <w:t>100</w:t>
      </w:r>
      <w:r w:rsidRPr="000E4688">
        <w:rPr>
          <w:i/>
        </w:rPr>
        <w:t xml:space="preserve"> </w:t>
      </w:r>
      <w:r>
        <w:rPr>
          <w:i/>
        </w:rPr>
        <w:t xml:space="preserve">and </w:t>
      </w:r>
      <w:r w:rsidRPr="000E4688">
        <w:rPr>
          <w:i/>
        </w:rPr>
        <w:t>grade</w:t>
      </w:r>
      <w:r>
        <w:rPr>
          <w:i/>
        </w:rPr>
        <w:t>d:</w:t>
      </w:r>
      <w:r w:rsidRPr="00DA741D">
        <w:rPr>
          <w:i/>
          <w:szCs w:val="22"/>
        </w:rPr>
        <w:t xml:space="preserve"> </w:t>
      </w:r>
      <w:r>
        <w:rPr>
          <w:rFonts w:ascii="Arial" w:hAnsi="Arial" w:cs="Arial"/>
          <w:color w:val="008000"/>
          <w:szCs w:val="22"/>
        </w:rPr>
        <w:t>●</w:t>
      </w:r>
      <w:r w:rsidRPr="00402F09">
        <w:rPr>
          <w:rFonts w:cs="Arial"/>
          <w:i/>
          <w:szCs w:val="22"/>
        </w:rPr>
        <w:t> </w:t>
      </w:r>
      <w:r w:rsidRPr="00DA741D">
        <w:rPr>
          <w:i/>
          <w:szCs w:val="22"/>
        </w:rPr>
        <w:t xml:space="preserve">= very good (81-100), </w:t>
      </w:r>
      <w:r>
        <w:rPr>
          <w:rFonts w:ascii="Arial" w:hAnsi="Arial" w:cs="Arial"/>
          <w:color w:val="92D050"/>
          <w:szCs w:val="22"/>
        </w:rPr>
        <w:t>●</w:t>
      </w:r>
      <w:r w:rsidRPr="00DA741D">
        <w:rPr>
          <w:i/>
          <w:szCs w:val="22"/>
        </w:rPr>
        <w:t xml:space="preserve"> = good (61 - 80), </w:t>
      </w:r>
      <w:r>
        <w:rPr>
          <w:rFonts w:ascii="Arial" w:hAnsi="Arial" w:cs="Arial"/>
          <w:color w:val="FFFF00"/>
          <w:szCs w:val="22"/>
        </w:rPr>
        <w:t>●</w:t>
      </w:r>
      <w:r w:rsidRPr="00DA741D">
        <w:rPr>
          <w:i/>
          <w:szCs w:val="22"/>
        </w:rPr>
        <w:t xml:space="preserve"> = moderate (41 - 60), </w:t>
      </w:r>
      <w:r>
        <w:rPr>
          <w:rFonts w:ascii="Arial" w:hAnsi="Arial" w:cs="Arial"/>
          <w:i/>
          <w:color w:val="FFC000"/>
          <w:szCs w:val="22"/>
        </w:rPr>
        <w:t>●</w:t>
      </w:r>
      <w:r w:rsidRPr="00DA741D">
        <w:rPr>
          <w:i/>
          <w:szCs w:val="22"/>
        </w:rPr>
        <w:t xml:space="preserve"> = poor (21 - 40), </w:t>
      </w:r>
      <w:r>
        <w:rPr>
          <w:rFonts w:ascii="Arial" w:hAnsi="Arial" w:cs="Arial"/>
          <w:i/>
          <w:color w:val="FF0000"/>
          <w:szCs w:val="22"/>
        </w:rPr>
        <w:t>●</w:t>
      </w:r>
      <w:r w:rsidRPr="00DA741D">
        <w:rPr>
          <w:i/>
          <w:szCs w:val="22"/>
        </w:rPr>
        <w:t> = very poor (0 - 20).</w:t>
      </w:r>
      <w:r w:rsidRPr="00DA741D">
        <w:rPr>
          <w:i/>
          <w:color w:val="000000"/>
          <w:szCs w:val="22"/>
        </w:rPr>
        <w:t xml:space="preserve"> NB: Scores</w:t>
      </w:r>
      <w:r w:rsidRPr="00DA741D">
        <w:rPr>
          <w:i/>
          <w:szCs w:val="22"/>
        </w:rPr>
        <w:t xml:space="preserve"> are unitless.</w:t>
      </w:r>
    </w:p>
    <w:p w14:paraId="3F5466DC" w14:textId="77777777" w:rsidR="00402F09" w:rsidRPr="00CB093C" w:rsidRDefault="00402F09" w:rsidP="00A55C45">
      <w:pPr>
        <w:rPr>
          <w:rFonts w:ascii="Arial" w:hAnsi="Arial" w:cs="Arial"/>
          <w:color w:val="000000" w:themeColor="text1"/>
          <w:szCs w:val="22"/>
        </w:rPr>
      </w:pPr>
    </w:p>
    <w:p w14:paraId="338B5BD6" w14:textId="16A68124" w:rsidR="00A55C45" w:rsidRPr="00CB093C" w:rsidRDefault="00A55C45" w:rsidP="00A55C45">
      <w:pPr>
        <w:rPr>
          <w:rFonts w:ascii="Arial" w:hAnsi="Arial" w:cs="Arial"/>
        </w:rPr>
      </w:pPr>
      <w:r w:rsidRPr="00CB093C">
        <w:rPr>
          <w:rFonts w:ascii="Arial" w:hAnsi="Arial" w:cs="Arial"/>
        </w:rPr>
        <w:t xml:space="preserve">Seagrass abundance had been increasing at most locations since 2010–11. Prior to that, there were widespread declines in seagrass condition, which were the result of </w:t>
      </w:r>
      <w:r w:rsidRPr="00CB093C">
        <w:rPr>
          <w:rFonts w:ascii="Arial" w:hAnsi="Arial" w:cs="Arial"/>
          <w:lang w:eastAsia="en-AU"/>
        </w:rPr>
        <w:t xml:space="preserve">above-average rainfall and climate-related impacts </w:t>
      </w:r>
      <w:r w:rsidRPr="00CB093C">
        <w:rPr>
          <w:rFonts w:ascii="Arial" w:hAnsi="Arial" w:cs="Arial"/>
        </w:rPr>
        <w:t>(2008–11)</w:t>
      </w:r>
      <w:r w:rsidRPr="00CB093C">
        <w:rPr>
          <w:rFonts w:ascii="Arial" w:hAnsi="Arial" w:cs="Arial"/>
          <w:lang w:eastAsia="en-AU"/>
        </w:rPr>
        <w:t xml:space="preserve">. </w:t>
      </w:r>
    </w:p>
    <w:p w14:paraId="76BB1264" w14:textId="2FDB4683" w:rsidR="008B4E3E" w:rsidRPr="00CB093C" w:rsidRDefault="00F122CE" w:rsidP="003B78E3">
      <w:pPr>
        <w:tabs>
          <w:tab w:val="left" w:pos="6804"/>
        </w:tabs>
        <w:rPr>
          <w:rFonts w:ascii="Arial" w:hAnsi="Arial" w:cs="Arial"/>
          <w:color w:val="000000" w:themeColor="text1"/>
          <w:szCs w:val="22"/>
        </w:rPr>
      </w:pPr>
      <w:r w:rsidRPr="00CB093C">
        <w:rPr>
          <w:rFonts w:ascii="Arial" w:hAnsi="Arial" w:cs="Arial"/>
          <w:color w:val="000000" w:themeColor="text1"/>
          <w:szCs w:val="22"/>
        </w:rPr>
        <w:t>Seagrass condition is a composite of three ind</w:t>
      </w:r>
      <w:r w:rsidR="008B4E3E" w:rsidRPr="00CB093C">
        <w:rPr>
          <w:rFonts w:ascii="Arial" w:hAnsi="Arial" w:cs="Arial"/>
          <w:color w:val="000000" w:themeColor="text1"/>
          <w:szCs w:val="22"/>
        </w:rPr>
        <w:t>i</w:t>
      </w:r>
      <w:r w:rsidRPr="00CB093C">
        <w:rPr>
          <w:rFonts w:ascii="Arial" w:hAnsi="Arial" w:cs="Arial"/>
          <w:color w:val="000000" w:themeColor="text1"/>
          <w:szCs w:val="22"/>
        </w:rPr>
        <w:t>cators which are measured at</w:t>
      </w:r>
      <w:r w:rsidR="008B4E3E" w:rsidRPr="00CB093C">
        <w:rPr>
          <w:rFonts w:ascii="Arial" w:hAnsi="Arial" w:cs="Arial"/>
          <w:color w:val="000000" w:themeColor="text1"/>
          <w:szCs w:val="22"/>
        </w:rPr>
        <w:t xml:space="preserve"> 23 locations (with duplicate sites nested within most locations) across the Reef. Combining these scores </w:t>
      </w:r>
      <w:r w:rsidR="008B4E3E" w:rsidRPr="00CB093C">
        <w:rPr>
          <w:rFonts w:ascii="Arial" w:hAnsi="Arial" w:cs="Arial"/>
          <w:color w:val="000000" w:themeColor="text1"/>
          <w:szCs w:val="22"/>
        </w:rPr>
        <w:lastRenderedPageBreak/>
        <w:t xml:space="preserve">for all monitored seagrass meadows in a </w:t>
      </w:r>
      <w:r w:rsidR="00CB093C">
        <w:rPr>
          <w:rFonts w:ascii="Arial" w:hAnsi="Arial" w:cs="Arial"/>
          <w:color w:val="000000" w:themeColor="text1"/>
          <w:szCs w:val="22"/>
        </w:rPr>
        <w:t>n</w:t>
      </w:r>
      <w:r w:rsidR="00CB093C" w:rsidRPr="00CB093C">
        <w:rPr>
          <w:rFonts w:ascii="Arial" w:hAnsi="Arial" w:cs="Arial"/>
          <w:color w:val="000000" w:themeColor="text1"/>
          <w:szCs w:val="22"/>
        </w:rPr>
        <w:t xml:space="preserve">atural </w:t>
      </w:r>
      <w:r w:rsidR="00CB093C">
        <w:rPr>
          <w:rFonts w:ascii="Arial" w:hAnsi="Arial" w:cs="Arial"/>
          <w:color w:val="000000" w:themeColor="text1"/>
          <w:szCs w:val="22"/>
        </w:rPr>
        <w:t>r</w:t>
      </w:r>
      <w:r w:rsidR="00CB093C" w:rsidRPr="00CB093C">
        <w:rPr>
          <w:rFonts w:ascii="Arial" w:hAnsi="Arial" w:cs="Arial"/>
          <w:color w:val="000000" w:themeColor="text1"/>
          <w:szCs w:val="22"/>
        </w:rPr>
        <w:t xml:space="preserve">esource </w:t>
      </w:r>
      <w:r w:rsidR="00CB093C">
        <w:rPr>
          <w:rFonts w:ascii="Arial" w:hAnsi="Arial" w:cs="Arial"/>
          <w:color w:val="000000" w:themeColor="text1"/>
          <w:szCs w:val="22"/>
        </w:rPr>
        <w:t>m</w:t>
      </w:r>
      <w:r w:rsidR="00CB093C" w:rsidRPr="00CB093C">
        <w:rPr>
          <w:rFonts w:ascii="Arial" w:hAnsi="Arial" w:cs="Arial"/>
          <w:color w:val="000000" w:themeColor="text1"/>
          <w:szCs w:val="22"/>
        </w:rPr>
        <w:t xml:space="preserve">anagement </w:t>
      </w:r>
      <w:r w:rsidR="008B4E3E" w:rsidRPr="00CB093C">
        <w:rPr>
          <w:rFonts w:ascii="Arial" w:hAnsi="Arial" w:cs="Arial"/>
          <w:color w:val="000000" w:themeColor="text1"/>
          <w:szCs w:val="22"/>
        </w:rPr>
        <w:t>region</w:t>
      </w:r>
      <w:r w:rsidR="00C84483" w:rsidRPr="00CB093C">
        <w:rPr>
          <w:rFonts w:ascii="Arial" w:hAnsi="Arial" w:cs="Arial"/>
          <w:color w:val="000000" w:themeColor="text1"/>
          <w:szCs w:val="22"/>
        </w:rPr>
        <w:t xml:space="preserve"> </w:t>
      </w:r>
      <w:r w:rsidR="008B4E3E" w:rsidRPr="00CB093C">
        <w:rPr>
          <w:rFonts w:ascii="Arial" w:hAnsi="Arial" w:cs="Arial"/>
          <w:color w:val="000000" w:themeColor="text1"/>
          <w:szCs w:val="22"/>
        </w:rPr>
        <w:t>gives a rating for seagrass condition. Indicators are:</w:t>
      </w:r>
    </w:p>
    <w:p w14:paraId="5DF32BC2" w14:textId="415E14FF" w:rsidR="008B4E3E" w:rsidRPr="00CB093C" w:rsidRDefault="00C84483" w:rsidP="00AD06D4">
      <w:pPr>
        <w:pStyle w:val="ListParagraph"/>
        <w:numPr>
          <w:ilvl w:val="0"/>
          <w:numId w:val="15"/>
        </w:numPr>
        <w:tabs>
          <w:tab w:val="left" w:pos="6804"/>
        </w:tabs>
        <w:rPr>
          <w:rFonts w:ascii="Arial" w:hAnsi="Arial" w:cs="Arial"/>
          <w:color w:val="000000" w:themeColor="text1"/>
          <w:szCs w:val="22"/>
        </w:rPr>
      </w:pPr>
      <w:r w:rsidRPr="00CB093C">
        <w:rPr>
          <w:rFonts w:ascii="Arial" w:hAnsi="Arial" w:cs="Arial"/>
          <w:color w:val="000000" w:themeColor="text1"/>
          <w:szCs w:val="22"/>
        </w:rPr>
        <w:t>seagrass abundance (</w:t>
      </w:r>
      <w:r w:rsidR="004D733E" w:rsidRPr="00CB093C">
        <w:rPr>
          <w:rFonts w:ascii="Arial" w:hAnsi="Arial" w:cs="Arial"/>
          <w:color w:val="000000" w:themeColor="text1"/>
          <w:szCs w:val="22"/>
        </w:rPr>
        <w:t>per </w:t>
      </w:r>
      <w:r w:rsidR="00882B72" w:rsidRPr="00CB093C">
        <w:rPr>
          <w:rFonts w:ascii="Arial" w:hAnsi="Arial" w:cs="Arial"/>
          <w:color w:val="000000" w:themeColor="text1"/>
          <w:szCs w:val="22"/>
        </w:rPr>
        <w:t>cent</w:t>
      </w:r>
      <w:r w:rsidRPr="00CB093C">
        <w:rPr>
          <w:rFonts w:ascii="Arial" w:hAnsi="Arial" w:cs="Arial"/>
          <w:color w:val="000000" w:themeColor="text1"/>
          <w:szCs w:val="22"/>
        </w:rPr>
        <w:t xml:space="preserve"> cover)</w:t>
      </w:r>
    </w:p>
    <w:p w14:paraId="5696721E" w14:textId="20518AA6" w:rsidR="001D19FF" w:rsidRPr="00CB093C" w:rsidRDefault="00C84483" w:rsidP="00AD06D4">
      <w:pPr>
        <w:pStyle w:val="ListParagraph"/>
        <w:numPr>
          <w:ilvl w:val="0"/>
          <w:numId w:val="15"/>
        </w:numPr>
        <w:tabs>
          <w:tab w:val="left" w:pos="6804"/>
        </w:tabs>
        <w:rPr>
          <w:rFonts w:ascii="Arial" w:hAnsi="Arial" w:cs="Arial"/>
          <w:color w:val="000000" w:themeColor="text1"/>
          <w:szCs w:val="22"/>
        </w:rPr>
      </w:pPr>
      <w:r w:rsidRPr="00CB093C">
        <w:rPr>
          <w:rFonts w:ascii="Arial" w:hAnsi="Arial" w:cs="Arial"/>
          <w:color w:val="000000" w:themeColor="text1"/>
          <w:szCs w:val="22"/>
        </w:rPr>
        <w:t>reproductive effort</w:t>
      </w:r>
    </w:p>
    <w:p w14:paraId="247F2C00" w14:textId="3C6F01D3" w:rsidR="001D19FF" w:rsidRPr="00CB093C" w:rsidRDefault="00C84483" w:rsidP="00AD06D4">
      <w:pPr>
        <w:pStyle w:val="ListParagraph"/>
        <w:numPr>
          <w:ilvl w:val="0"/>
          <w:numId w:val="15"/>
        </w:numPr>
        <w:tabs>
          <w:tab w:val="left" w:pos="6804"/>
        </w:tabs>
        <w:rPr>
          <w:rFonts w:ascii="Arial" w:hAnsi="Arial" w:cs="Arial"/>
          <w:color w:val="000000" w:themeColor="text1"/>
          <w:szCs w:val="22"/>
        </w:rPr>
      </w:pPr>
      <w:r w:rsidRPr="00CB093C">
        <w:rPr>
          <w:rFonts w:ascii="Arial" w:hAnsi="Arial" w:cs="Arial"/>
          <w:color w:val="000000" w:themeColor="text1"/>
          <w:szCs w:val="22"/>
        </w:rPr>
        <w:t>leaf tissue nutrients</w:t>
      </w:r>
      <w:r w:rsidR="005E43D1" w:rsidRPr="00CB093C">
        <w:rPr>
          <w:rFonts w:ascii="Arial" w:hAnsi="Arial" w:cs="Arial"/>
          <w:color w:val="000000" w:themeColor="text1"/>
          <w:szCs w:val="22"/>
        </w:rPr>
        <w:t>.</w:t>
      </w:r>
      <w:r w:rsidRPr="00CB093C">
        <w:rPr>
          <w:rFonts w:ascii="Arial" w:hAnsi="Arial" w:cs="Arial"/>
          <w:color w:val="000000" w:themeColor="text1"/>
          <w:szCs w:val="22"/>
        </w:rPr>
        <w:t xml:space="preserve"> </w:t>
      </w:r>
    </w:p>
    <w:p w14:paraId="4DE95944" w14:textId="51ABF089" w:rsidR="008B4E3E" w:rsidRPr="00CB093C" w:rsidRDefault="00C84483" w:rsidP="00C84483">
      <w:pPr>
        <w:tabs>
          <w:tab w:val="left" w:pos="6804"/>
        </w:tabs>
        <w:rPr>
          <w:rFonts w:ascii="Arial" w:hAnsi="Arial" w:cs="Arial"/>
          <w:color w:val="000000" w:themeColor="text1"/>
          <w:szCs w:val="22"/>
        </w:rPr>
      </w:pPr>
      <w:r w:rsidRPr="00CB093C">
        <w:rPr>
          <w:rFonts w:ascii="Arial" w:hAnsi="Arial" w:cs="Arial"/>
          <w:color w:val="000000" w:themeColor="text1"/>
          <w:szCs w:val="22"/>
        </w:rPr>
        <w:t xml:space="preserve">Additional indicators of seagrass condition and resilience </w:t>
      </w:r>
      <w:r w:rsidR="00514689" w:rsidRPr="00CB093C">
        <w:rPr>
          <w:rFonts w:ascii="Arial" w:hAnsi="Arial" w:cs="Arial"/>
          <w:color w:val="000000" w:themeColor="text1"/>
          <w:szCs w:val="22"/>
        </w:rPr>
        <w:t xml:space="preserve">are assessed and used to assist with the interpretation of </w:t>
      </w:r>
      <w:r w:rsidR="008B4E3E" w:rsidRPr="00CB093C">
        <w:rPr>
          <w:rFonts w:ascii="Arial" w:hAnsi="Arial" w:cs="Arial"/>
          <w:color w:val="000000" w:themeColor="text1"/>
          <w:szCs w:val="22"/>
        </w:rPr>
        <w:t>condition</w:t>
      </w:r>
      <w:r w:rsidR="00514689" w:rsidRPr="00CB093C">
        <w:rPr>
          <w:rFonts w:ascii="Arial" w:hAnsi="Arial" w:cs="Arial"/>
          <w:color w:val="000000" w:themeColor="text1"/>
          <w:szCs w:val="22"/>
        </w:rPr>
        <w:t xml:space="preserve"> including:</w:t>
      </w:r>
      <w:r w:rsidRPr="00CB093C">
        <w:rPr>
          <w:rFonts w:ascii="Arial" w:hAnsi="Arial" w:cs="Arial"/>
          <w:color w:val="000000" w:themeColor="text1"/>
          <w:szCs w:val="22"/>
        </w:rPr>
        <w:t xml:space="preserve"> </w:t>
      </w:r>
    </w:p>
    <w:p w14:paraId="36641AA1" w14:textId="4C37A311" w:rsidR="008B4E3E" w:rsidRPr="00CB093C" w:rsidRDefault="00C84483" w:rsidP="00AD06D4">
      <w:pPr>
        <w:pStyle w:val="ListParagraph"/>
        <w:numPr>
          <w:ilvl w:val="0"/>
          <w:numId w:val="16"/>
        </w:numPr>
        <w:tabs>
          <w:tab w:val="left" w:pos="6804"/>
        </w:tabs>
        <w:rPr>
          <w:rFonts w:ascii="Arial" w:hAnsi="Arial" w:cs="Arial"/>
          <w:color w:val="000000" w:themeColor="text1"/>
          <w:szCs w:val="22"/>
        </w:rPr>
      </w:pPr>
      <w:r w:rsidRPr="00CB093C">
        <w:rPr>
          <w:rFonts w:ascii="Arial" w:hAnsi="Arial" w:cs="Arial"/>
          <w:color w:val="000000" w:themeColor="text1"/>
          <w:szCs w:val="22"/>
        </w:rPr>
        <w:t xml:space="preserve">seagrass species composition </w:t>
      </w:r>
    </w:p>
    <w:p w14:paraId="738065F0" w14:textId="0D77A137" w:rsidR="008B4E3E" w:rsidRPr="00CB093C" w:rsidRDefault="00C84483" w:rsidP="00AD06D4">
      <w:pPr>
        <w:pStyle w:val="ListParagraph"/>
        <w:numPr>
          <w:ilvl w:val="0"/>
          <w:numId w:val="16"/>
        </w:numPr>
        <w:tabs>
          <w:tab w:val="left" w:pos="6804"/>
        </w:tabs>
        <w:rPr>
          <w:rFonts w:ascii="Arial" w:hAnsi="Arial" w:cs="Arial"/>
          <w:color w:val="000000" w:themeColor="text1"/>
          <w:szCs w:val="22"/>
        </w:rPr>
      </w:pPr>
      <w:r w:rsidRPr="00CB093C">
        <w:rPr>
          <w:rFonts w:ascii="Arial" w:hAnsi="Arial" w:cs="Arial"/>
          <w:color w:val="000000" w:themeColor="text1"/>
          <w:szCs w:val="22"/>
        </w:rPr>
        <w:t xml:space="preserve">relative meadow extent </w:t>
      </w:r>
    </w:p>
    <w:p w14:paraId="16153452" w14:textId="09A5E082" w:rsidR="008B4E3E" w:rsidRPr="00CB093C" w:rsidRDefault="00C84483" w:rsidP="00AD06D4">
      <w:pPr>
        <w:pStyle w:val="ListParagraph"/>
        <w:numPr>
          <w:ilvl w:val="0"/>
          <w:numId w:val="16"/>
        </w:numPr>
        <w:tabs>
          <w:tab w:val="left" w:pos="6804"/>
        </w:tabs>
        <w:rPr>
          <w:rFonts w:ascii="Arial" w:hAnsi="Arial" w:cs="Arial"/>
          <w:color w:val="000000" w:themeColor="text1"/>
          <w:szCs w:val="22"/>
        </w:rPr>
      </w:pPr>
      <w:r w:rsidRPr="00CB093C">
        <w:rPr>
          <w:rFonts w:ascii="Arial" w:hAnsi="Arial" w:cs="Arial"/>
          <w:color w:val="000000" w:themeColor="text1"/>
          <w:szCs w:val="22"/>
        </w:rPr>
        <w:t>density of seeds in the seed bank</w:t>
      </w:r>
      <w:r w:rsidR="005E43D1" w:rsidRPr="00CB093C">
        <w:rPr>
          <w:rFonts w:ascii="Arial" w:hAnsi="Arial" w:cs="Arial"/>
          <w:color w:val="000000" w:themeColor="text1"/>
          <w:szCs w:val="22"/>
        </w:rPr>
        <w:t>.</w:t>
      </w:r>
      <w:r w:rsidRPr="00CB093C">
        <w:rPr>
          <w:rFonts w:ascii="Arial" w:hAnsi="Arial" w:cs="Arial"/>
          <w:color w:val="000000" w:themeColor="text1"/>
          <w:szCs w:val="22"/>
        </w:rPr>
        <w:t xml:space="preserve"> </w:t>
      </w:r>
    </w:p>
    <w:p w14:paraId="194E521D" w14:textId="77777777" w:rsidR="00402F09" w:rsidRPr="00CB093C" w:rsidRDefault="00402F09" w:rsidP="00C84483">
      <w:pPr>
        <w:tabs>
          <w:tab w:val="left" w:pos="6804"/>
        </w:tabs>
        <w:rPr>
          <w:rFonts w:ascii="Arial" w:hAnsi="Arial" w:cs="Arial"/>
          <w:color w:val="000000" w:themeColor="text1"/>
          <w:szCs w:val="22"/>
        </w:rPr>
      </w:pPr>
    </w:p>
    <w:p w14:paraId="51E0B60C" w14:textId="2C677DB5" w:rsidR="008B4E3E" w:rsidRPr="00CB093C" w:rsidRDefault="00C84483" w:rsidP="00C84483">
      <w:pPr>
        <w:tabs>
          <w:tab w:val="left" w:pos="6804"/>
        </w:tabs>
        <w:rPr>
          <w:rFonts w:ascii="Arial" w:hAnsi="Arial" w:cs="Arial"/>
          <w:color w:val="000000" w:themeColor="text1"/>
          <w:szCs w:val="22"/>
        </w:rPr>
      </w:pPr>
      <w:r w:rsidRPr="00CB093C">
        <w:rPr>
          <w:rFonts w:ascii="Arial" w:hAnsi="Arial" w:cs="Arial"/>
          <w:color w:val="000000" w:themeColor="text1"/>
          <w:szCs w:val="22"/>
        </w:rPr>
        <w:t>Environmental pressures are also recorded including</w:t>
      </w:r>
      <w:r w:rsidR="008B4E3E" w:rsidRPr="00CB093C">
        <w:rPr>
          <w:rFonts w:ascii="Arial" w:hAnsi="Arial" w:cs="Arial"/>
          <w:color w:val="000000" w:themeColor="text1"/>
          <w:szCs w:val="22"/>
        </w:rPr>
        <w:t>:</w:t>
      </w:r>
      <w:r w:rsidRPr="00CB093C">
        <w:rPr>
          <w:rFonts w:ascii="Arial" w:hAnsi="Arial" w:cs="Arial"/>
          <w:color w:val="000000" w:themeColor="text1"/>
          <w:szCs w:val="22"/>
        </w:rPr>
        <w:t xml:space="preserve"> </w:t>
      </w:r>
    </w:p>
    <w:p w14:paraId="15C94AD9" w14:textId="110DF2E5" w:rsidR="008B4E3E" w:rsidRPr="00CB093C" w:rsidRDefault="00C84483" w:rsidP="00AD06D4">
      <w:pPr>
        <w:pStyle w:val="ListParagraph"/>
        <w:numPr>
          <w:ilvl w:val="0"/>
          <w:numId w:val="17"/>
        </w:numPr>
        <w:tabs>
          <w:tab w:val="left" w:pos="6804"/>
        </w:tabs>
        <w:rPr>
          <w:rFonts w:ascii="Arial" w:hAnsi="Arial" w:cs="Arial"/>
          <w:color w:val="000000" w:themeColor="text1"/>
          <w:szCs w:val="22"/>
        </w:rPr>
      </w:pPr>
      <w:r w:rsidRPr="00CB093C">
        <w:rPr>
          <w:rFonts w:ascii="Arial" w:hAnsi="Arial" w:cs="Arial"/>
          <w:color w:val="000000" w:themeColor="text1"/>
          <w:szCs w:val="22"/>
        </w:rPr>
        <w:t xml:space="preserve">within-canopy water temperature </w:t>
      </w:r>
    </w:p>
    <w:p w14:paraId="20885796" w14:textId="5F2BF808" w:rsidR="008B4E3E" w:rsidRPr="00CB093C" w:rsidRDefault="00C84483" w:rsidP="00AD06D4">
      <w:pPr>
        <w:pStyle w:val="ListParagraph"/>
        <w:numPr>
          <w:ilvl w:val="0"/>
          <w:numId w:val="17"/>
        </w:numPr>
        <w:tabs>
          <w:tab w:val="left" w:pos="6804"/>
        </w:tabs>
        <w:rPr>
          <w:rFonts w:ascii="Arial" w:hAnsi="Arial" w:cs="Arial"/>
          <w:color w:val="000000" w:themeColor="text1"/>
          <w:szCs w:val="22"/>
        </w:rPr>
      </w:pPr>
      <w:r w:rsidRPr="00CB093C">
        <w:rPr>
          <w:rFonts w:ascii="Arial" w:hAnsi="Arial" w:cs="Arial"/>
          <w:color w:val="000000" w:themeColor="text1"/>
          <w:szCs w:val="22"/>
        </w:rPr>
        <w:t xml:space="preserve">within-canopy benthic light </w:t>
      </w:r>
    </w:p>
    <w:p w14:paraId="4C75BDB0" w14:textId="34D737A1" w:rsidR="008B4E3E" w:rsidRPr="00CB093C" w:rsidRDefault="00C84483" w:rsidP="00AD06D4">
      <w:pPr>
        <w:pStyle w:val="ListParagraph"/>
        <w:numPr>
          <w:ilvl w:val="0"/>
          <w:numId w:val="17"/>
        </w:numPr>
        <w:tabs>
          <w:tab w:val="left" w:pos="6804"/>
        </w:tabs>
        <w:rPr>
          <w:rFonts w:ascii="Arial" w:hAnsi="Arial" w:cs="Arial"/>
          <w:color w:val="000000" w:themeColor="text1"/>
          <w:szCs w:val="22"/>
        </w:rPr>
      </w:pPr>
      <w:r w:rsidRPr="00CB093C">
        <w:rPr>
          <w:rFonts w:ascii="Arial" w:hAnsi="Arial" w:cs="Arial"/>
          <w:color w:val="000000" w:themeColor="text1"/>
          <w:szCs w:val="22"/>
        </w:rPr>
        <w:t xml:space="preserve">sediment composition </w:t>
      </w:r>
    </w:p>
    <w:p w14:paraId="4281A1F9" w14:textId="3BA2A16F" w:rsidR="008B4E3E" w:rsidRPr="00CB093C" w:rsidRDefault="00C84483" w:rsidP="00AD06D4">
      <w:pPr>
        <w:pStyle w:val="ListParagraph"/>
        <w:numPr>
          <w:ilvl w:val="0"/>
          <w:numId w:val="17"/>
        </w:numPr>
        <w:tabs>
          <w:tab w:val="left" w:pos="6804"/>
        </w:tabs>
        <w:rPr>
          <w:rFonts w:ascii="Arial" w:hAnsi="Arial" w:cs="Arial"/>
          <w:color w:val="000000" w:themeColor="text1"/>
          <w:szCs w:val="22"/>
        </w:rPr>
      </w:pPr>
      <w:r w:rsidRPr="00CB093C">
        <w:rPr>
          <w:rFonts w:ascii="Arial" w:hAnsi="Arial" w:cs="Arial"/>
          <w:color w:val="000000" w:themeColor="text1"/>
          <w:szCs w:val="22"/>
        </w:rPr>
        <w:t>macroalgae and epiphyte abundance</w:t>
      </w:r>
      <w:r w:rsidR="005E43D1" w:rsidRPr="00CB093C">
        <w:rPr>
          <w:rFonts w:ascii="Arial" w:hAnsi="Arial" w:cs="Arial"/>
          <w:color w:val="000000" w:themeColor="text1"/>
          <w:szCs w:val="22"/>
        </w:rPr>
        <w:t>.</w:t>
      </w:r>
      <w:r w:rsidRPr="00CB093C">
        <w:rPr>
          <w:rFonts w:ascii="Arial" w:hAnsi="Arial" w:cs="Arial"/>
          <w:color w:val="000000" w:themeColor="text1"/>
          <w:szCs w:val="22"/>
        </w:rPr>
        <w:t xml:space="preserve"> </w:t>
      </w:r>
    </w:p>
    <w:p w14:paraId="6BAB65C2" w14:textId="05011A55" w:rsidR="00C84483" w:rsidRPr="00CB093C" w:rsidRDefault="0082030C" w:rsidP="00C84483">
      <w:pPr>
        <w:tabs>
          <w:tab w:val="left" w:pos="6804"/>
        </w:tabs>
        <w:rPr>
          <w:rFonts w:ascii="Arial" w:hAnsi="Arial" w:cs="Arial"/>
          <w:color w:val="000000" w:themeColor="text1"/>
          <w:szCs w:val="22"/>
        </w:rPr>
      </w:pPr>
      <w:r w:rsidRPr="00CB093C">
        <w:rPr>
          <w:rFonts w:ascii="Arial" w:hAnsi="Arial" w:cs="Arial"/>
          <w:color w:val="000000" w:themeColor="text1"/>
          <w:szCs w:val="22"/>
        </w:rPr>
        <w:t>Inshore seagrass monitoring s</w:t>
      </w:r>
      <w:r w:rsidR="00C84483" w:rsidRPr="00CB093C">
        <w:rPr>
          <w:rFonts w:ascii="Arial" w:hAnsi="Arial" w:cs="Arial"/>
          <w:color w:val="000000" w:themeColor="text1"/>
          <w:szCs w:val="22"/>
        </w:rPr>
        <w:t xml:space="preserve">ites were predominately lower littoral (only exposed to air at the lowest of low tides), hereafter referred to as intertidal, although </w:t>
      </w:r>
      <w:r w:rsidR="008F624A" w:rsidRPr="00CB093C">
        <w:rPr>
          <w:rFonts w:ascii="Arial" w:hAnsi="Arial" w:cs="Arial"/>
          <w:color w:val="000000" w:themeColor="text1"/>
          <w:szCs w:val="22"/>
        </w:rPr>
        <w:t>eight</w:t>
      </w:r>
      <w:r w:rsidR="00C84483" w:rsidRPr="00CB093C">
        <w:rPr>
          <w:rFonts w:ascii="Arial" w:hAnsi="Arial" w:cs="Arial"/>
          <w:color w:val="000000" w:themeColor="text1"/>
          <w:szCs w:val="22"/>
        </w:rPr>
        <w:t xml:space="preserve"> locations also inc</w:t>
      </w:r>
      <w:r w:rsidR="00EE4726" w:rsidRPr="00CB093C">
        <w:rPr>
          <w:rFonts w:ascii="Arial" w:hAnsi="Arial" w:cs="Arial"/>
          <w:color w:val="000000" w:themeColor="text1"/>
          <w:szCs w:val="22"/>
        </w:rPr>
        <w:t>luded shallow subtidal meadows. E</w:t>
      </w:r>
      <w:r w:rsidR="00C84483" w:rsidRPr="00CB093C">
        <w:rPr>
          <w:rFonts w:ascii="Arial" w:hAnsi="Arial" w:cs="Arial"/>
          <w:color w:val="000000" w:themeColor="text1"/>
          <w:szCs w:val="22"/>
        </w:rPr>
        <w:t xml:space="preserve">ach of the major seagrass habitat types </w:t>
      </w:r>
      <w:r w:rsidR="00EE4726" w:rsidRPr="00CB093C">
        <w:rPr>
          <w:rFonts w:ascii="Arial" w:hAnsi="Arial" w:cs="Arial"/>
          <w:color w:val="000000" w:themeColor="text1"/>
          <w:szCs w:val="22"/>
        </w:rPr>
        <w:t xml:space="preserve">(estuarine, coastal, reef, subtidal) were assessed in each </w:t>
      </w:r>
      <w:r w:rsidR="008B4E3E" w:rsidRPr="00CB093C">
        <w:rPr>
          <w:rFonts w:ascii="Arial" w:hAnsi="Arial" w:cs="Arial"/>
          <w:color w:val="000000" w:themeColor="text1"/>
          <w:szCs w:val="22"/>
        </w:rPr>
        <w:t xml:space="preserve">region </w:t>
      </w:r>
      <w:r w:rsidR="00C84483" w:rsidRPr="00CB093C">
        <w:rPr>
          <w:rFonts w:ascii="Arial" w:hAnsi="Arial" w:cs="Arial"/>
          <w:color w:val="000000" w:themeColor="text1"/>
          <w:szCs w:val="22"/>
        </w:rPr>
        <w:t>where possible.</w:t>
      </w:r>
    </w:p>
    <w:p w14:paraId="701DBBF4" w14:textId="198F00AE" w:rsidR="00E1607B" w:rsidRPr="00CB093C" w:rsidRDefault="005F204E" w:rsidP="005F204E">
      <w:pPr>
        <w:rPr>
          <w:rFonts w:ascii="Arial" w:hAnsi="Arial" w:cs="Arial"/>
          <w:lang w:val="en-GB"/>
        </w:rPr>
      </w:pPr>
      <w:r w:rsidRPr="00CB093C">
        <w:rPr>
          <w:rFonts w:ascii="Arial" w:hAnsi="Arial" w:cs="Arial"/>
          <w:szCs w:val="22"/>
        </w:rPr>
        <w:t xml:space="preserve">Inshore seagrass condition </w:t>
      </w:r>
      <w:r w:rsidRPr="00637325">
        <w:rPr>
          <w:rFonts w:ascii="Arial" w:hAnsi="Arial" w:cs="Arial"/>
          <w:color w:val="000000" w:themeColor="text1"/>
          <w:szCs w:val="22"/>
        </w:rPr>
        <w:t>in 2017</w:t>
      </w:r>
      <w:r w:rsidR="00C81636" w:rsidRPr="00637325">
        <w:rPr>
          <w:rFonts w:ascii="Arial" w:hAnsi="Arial" w:cs="Arial"/>
          <w:color w:val="000000" w:themeColor="text1"/>
          <w:szCs w:val="22"/>
        </w:rPr>
        <w:t>–</w:t>
      </w:r>
      <w:r w:rsidRPr="00637325">
        <w:rPr>
          <w:rFonts w:ascii="Arial" w:hAnsi="Arial" w:cs="Arial"/>
          <w:color w:val="000000" w:themeColor="text1"/>
          <w:szCs w:val="22"/>
        </w:rPr>
        <w:t xml:space="preserve">18 </w:t>
      </w:r>
      <w:r w:rsidRPr="00637325">
        <w:rPr>
          <w:rFonts w:ascii="Arial" w:hAnsi="Arial" w:cs="Arial"/>
          <w:szCs w:val="22"/>
        </w:rPr>
        <w:t>declined</w:t>
      </w:r>
      <w:r w:rsidRPr="00CB093C">
        <w:rPr>
          <w:rFonts w:ascii="Arial" w:hAnsi="Arial" w:cs="Arial"/>
          <w:szCs w:val="22"/>
        </w:rPr>
        <w:t xml:space="preserve"> as a result of continued exposure to brown and green waters and the legacy of severe climate events in the previous year, e.g. </w:t>
      </w:r>
      <w:r w:rsidR="00E1607B" w:rsidRPr="00CB093C">
        <w:rPr>
          <w:rFonts w:ascii="Arial" w:hAnsi="Arial" w:cs="Arial"/>
          <w:szCs w:val="22"/>
        </w:rPr>
        <w:t xml:space="preserve">cyclone </w:t>
      </w:r>
      <w:r w:rsidRPr="00CB093C">
        <w:rPr>
          <w:rFonts w:ascii="Arial" w:hAnsi="Arial" w:cs="Arial"/>
          <w:szCs w:val="22"/>
        </w:rPr>
        <w:t>Debbie which crossed the coast near Airlie Beach in the M</w:t>
      </w:r>
      <w:r w:rsidR="00637325">
        <w:rPr>
          <w:rFonts w:ascii="Arial" w:hAnsi="Arial" w:cs="Arial"/>
          <w:szCs w:val="22"/>
        </w:rPr>
        <w:t>ackay-</w:t>
      </w:r>
      <w:r w:rsidRPr="00CB093C">
        <w:rPr>
          <w:rFonts w:ascii="Arial" w:hAnsi="Arial" w:cs="Arial"/>
          <w:szCs w:val="22"/>
        </w:rPr>
        <w:t xml:space="preserve">Whitsunday region and a marine heatwave that affected all inshore seagrass meadows. </w:t>
      </w:r>
    </w:p>
    <w:p w14:paraId="5723266B" w14:textId="25682B7D" w:rsidR="005F204E" w:rsidRPr="00CB093C" w:rsidRDefault="00E1607B" w:rsidP="005F204E">
      <w:pPr>
        <w:rPr>
          <w:rFonts w:ascii="Arial" w:hAnsi="Arial" w:cs="Arial"/>
          <w:szCs w:val="22"/>
        </w:rPr>
      </w:pPr>
      <w:r w:rsidRPr="00CB093C">
        <w:rPr>
          <w:rFonts w:ascii="Arial" w:hAnsi="Arial" w:cs="Arial"/>
          <w:lang w:val="en-GB"/>
        </w:rPr>
        <w:t>T</w:t>
      </w:r>
      <w:r w:rsidR="005F204E" w:rsidRPr="00CB093C">
        <w:rPr>
          <w:rFonts w:ascii="Arial" w:hAnsi="Arial" w:cs="Arial"/>
          <w:lang w:val="en-GB"/>
        </w:rPr>
        <w:t xml:space="preserve">here were indications that some seagrass meadows along the inshore developed coast had </w:t>
      </w:r>
      <w:r w:rsidR="005F204E" w:rsidRPr="00CB093C">
        <w:rPr>
          <w:rFonts w:ascii="Arial" w:hAnsi="Arial" w:cs="Arial"/>
          <w:szCs w:val="22"/>
        </w:rPr>
        <w:t>reduced resilience and increased their vulnerability to adverse environmental conditions in the near future.</w:t>
      </w:r>
    </w:p>
    <w:p w14:paraId="7A85C024" w14:textId="79AA829F" w:rsidR="005F204E" w:rsidRPr="00CB093C" w:rsidRDefault="005F204E" w:rsidP="005F204E">
      <w:pPr>
        <w:rPr>
          <w:rFonts w:ascii="Arial" w:hAnsi="Arial" w:cs="Arial"/>
          <w:szCs w:val="22"/>
        </w:rPr>
      </w:pPr>
      <w:r w:rsidRPr="00CB093C">
        <w:rPr>
          <w:rFonts w:ascii="Arial" w:hAnsi="Arial" w:cs="Arial"/>
          <w:szCs w:val="22"/>
        </w:rPr>
        <w:t>Reproductive effort is a measure of resilience where the production of new seeds or fruits by a meadow in each season provides the basis of new propagules for recruitment in the following year. As such, the likelihood that the meadows are able to recover will be informed by the measure of reproductive effort. In addition, sexual reproduction is likely to enhance meadow scale genetic diversity thus increasing ‘resistance’ of the meadow to disturbance.</w:t>
      </w:r>
    </w:p>
    <w:p w14:paraId="44FB68E1" w14:textId="5CBE88FD" w:rsidR="002454F4" w:rsidRPr="00CB093C" w:rsidRDefault="005F204E" w:rsidP="005F204E">
      <w:pPr>
        <w:rPr>
          <w:rFonts w:ascii="Arial" w:hAnsi="Arial" w:cs="Arial"/>
          <w:szCs w:val="22"/>
        </w:rPr>
      </w:pPr>
      <w:r w:rsidRPr="00CB093C">
        <w:rPr>
          <w:rFonts w:ascii="Arial" w:hAnsi="Arial" w:cs="Arial"/>
          <w:szCs w:val="22"/>
        </w:rPr>
        <w:lastRenderedPageBreak/>
        <w:t xml:space="preserve">Indicators of </w:t>
      </w:r>
      <w:r w:rsidR="004B40AF" w:rsidRPr="00CB093C">
        <w:rPr>
          <w:rFonts w:ascii="Arial" w:hAnsi="Arial" w:cs="Arial"/>
          <w:szCs w:val="22"/>
        </w:rPr>
        <w:t>reduced resilience</w:t>
      </w:r>
      <w:r w:rsidRPr="00CB093C">
        <w:rPr>
          <w:rFonts w:ascii="Arial" w:hAnsi="Arial" w:cs="Arial"/>
          <w:szCs w:val="22"/>
        </w:rPr>
        <w:t xml:space="preserve"> include: </w:t>
      </w:r>
    </w:p>
    <w:p w14:paraId="321E4B3C" w14:textId="565BE97B" w:rsidR="004B40AF" w:rsidRPr="00CB093C" w:rsidRDefault="005F204E" w:rsidP="00AD06D4">
      <w:pPr>
        <w:pStyle w:val="ListParagraph"/>
        <w:numPr>
          <w:ilvl w:val="0"/>
          <w:numId w:val="18"/>
        </w:numPr>
        <w:rPr>
          <w:rFonts w:ascii="Arial" w:hAnsi="Arial" w:cs="Arial"/>
          <w:lang w:val="en-GB"/>
        </w:rPr>
      </w:pPr>
      <w:r w:rsidRPr="00CB093C">
        <w:rPr>
          <w:rFonts w:ascii="Arial" w:hAnsi="Arial" w:cs="Arial"/>
          <w:lang w:val="en-GB"/>
        </w:rPr>
        <w:t xml:space="preserve">decreasing abundance at nearly half </w:t>
      </w:r>
      <w:r w:rsidR="007B29AA">
        <w:rPr>
          <w:rFonts w:ascii="Arial" w:hAnsi="Arial" w:cs="Arial"/>
          <w:lang w:val="en-GB"/>
        </w:rPr>
        <w:t xml:space="preserve">of the </w:t>
      </w:r>
      <w:r w:rsidRPr="00CB093C">
        <w:rPr>
          <w:rFonts w:ascii="Arial" w:hAnsi="Arial" w:cs="Arial"/>
          <w:lang w:val="en-GB"/>
        </w:rPr>
        <w:t xml:space="preserve">meadows monitored predominately </w:t>
      </w:r>
      <w:r w:rsidR="00266EB6" w:rsidRPr="00CB093C">
        <w:rPr>
          <w:rFonts w:ascii="Arial" w:hAnsi="Arial" w:cs="Arial"/>
          <w:lang w:val="en-GB"/>
        </w:rPr>
        <w:t xml:space="preserve">in the </w:t>
      </w:r>
      <w:r w:rsidRPr="00CB093C">
        <w:rPr>
          <w:rFonts w:ascii="Arial" w:hAnsi="Arial" w:cs="Arial"/>
          <w:lang w:val="en-GB"/>
        </w:rPr>
        <w:t>Burnett</w:t>
      </w:r>
      <w:r w:rsidR="007B29AA">
        <w:rPr>
          <w:rFonts w:ascii="Arial" w:hAnsi="Arial" w:cs="Arial"/>
          <w:lang w:val="en-GB"/>
        </w:rPr>
        <w:t>-</w:t>
      </w:r>
      <w:r w:rsidRPr="00CB093C">
        <w:rPr>
          <w:rFonts w:ascii="Arial" w:hAnsi="Arial" w:cs="Arial"/>
          <w:lang w:val="en-GB"/>
        </w:rPr>
        <w:t>Mary and Mackay</w:t>
      </w:r>
      <w:r w:rsidR="007B29AA">
        <w:rPr>
          <w:rFonts w:ascii="Arial" w:hAnsi="Arial" w:cs="Arial"/>
          <w:lang w:val="en-GB"/>
        </w:rPr>
        <w:t>-</w:t>
      </w:r>
      <w:r w:rsidRPr="00CB093C">
        <w:rPr>
          <w:rFonts w:ascii="Arial" w:hAnsi="Arial" w:cs="Arial"/>
          <w:lang w:val="en-GB"/>
        </w:rPr>
        <w:t>Whitsunday</w:t>
      </w:r>
      <w:r w:rsidR="00266EB6" w:rsidRPr="00CB093C">
        <w:rPr>
          <w:rFonts w:ascii="Arial" w:hAnsi="Arial" w:cs="Arial"/>
          <w:lang w:val="en-GB"/>
        </w:rPr>
        <w:t xml:space="preserve"> regions</w:t>
      </w:r>
    </w:p>
    <w:p w14:paraId="6601D69B" w14:textId="3308B140" w:rsidR="004B40AF" w:rsidRPr="00CB093C" w:rsidRDefault="005F204E" w:rsidP="00AD06D4">
      <w:pPr>
        <w:pStyle w:val="ListParagraph"/>
        <w:numPr>
          <w:ilvl w:val="0"/>
          <w:numId w:val="18"/>
        </w:numPr>
        <w:rPr>
          <w:rFonts w:ascii="Arial" w:hAnsi="Arial" w:cs="Arial"/>
          <w:lang w:val="en-GB"/>
        </w:rPr>
      </w:pPr>
      <w:r w:rsidRPr="00CB093C">
        <w:rPr>
          <w:rFonts w:ascii="Arial" w:hAnsi="Arial" w:cs="Arial"/>
          <w:lang w:val="en-GB"/>
        </w:rPr>
        <w:t>lower than average composition of foundational species at approximately 20</w:t>
      </w:r>
      <w:r w:rsidR="00882B72" w:rsidRPr="00CB093C">
        <w:rPr>
          <w:rFonts w:ascii="Arial" w:hAnsi="Arial" w:cs="Arial"/>
          <w:lang w:val="en-GB"/>
        </w:rPr>
        <w:t xml:space="preserve"> per cent</w:t>
      </w:r>
      <w:r w:rsidRPr="00CB093C">
        <w:rPr>
          <w:rFonts w:ascii="Arial" w:hAnsi="Arial" w:cs="Arial"/>
          <w:lang w:val="en-GB"/>
        </w:rPr>
        <w:t xml:space="preserve"> of sites</w:t>
      </w:r>
    </w:p>
    <w:p w14:paraId="371D9471" w14:textId="6434FF80" w:rsidR="004B40AF" w:rsidRPr="00CB093C" w:rsidRDefault="005F204E" w:rsidP="00AD06D4">
      <w:pPr>
        <w:pStyle w:val="ListParagraph"/>
        <w:numPr>
          <w:ilvl w:val="0"/>
          <w:numId w:val="18"/>
        </w:numPr>
        <w:rPr>
          <w:rFonts w:ascii="Arial" w:hAnsi="Arial" w:cs="Arial"/>
          <w:lang w:val="en-GB"/>
        </w:rPr>
      </w:pPr>
      <w:r w:rsidRPr="00CB093C">
        <w:rPr>
          <w:rFonts w:ascii="Arial" w:hAnsi="Arial" w:cs="Arial"/>
          <w:lang w:val="en-GB"/>
        </w:rPr>
        <w:t>declining extent at almost 20</w:t>
      </w:r>
      <w:r w:rsidR="00882B72" w:rsidRPr="00CB093C">
        <w:rPr>
          <w:rFonts w:ascii="Arial" w:hAnsi="Arial" w:cs="Arial"/>
          <w:lang w:val="en-GB"/>
        </w:rPr>
        <w:t xml:space="preserve"> per cent</w:t>
      </w:r>
      <w:r w:rsidRPr="00CB093C">
        <w:rPr>
          <w:rFonts w:ascii="Arial" w:hAnsi="Arial" w:cs="Arial"/>
          <w:lang w:val="en-GB"/>
        </w:rPr>
        <w:t xml:space="preserve"> of meadows, with subtidal meadows in the southern Wet Tropics and Burdekin regions showing the greatest decline </w:t>
      </w:r>
    </w:p>
    <w:p w14:paraId="6947B755" w14:textId="0AA4E382" w:rsidR="004B40AF" w:rsidRPr="00CB093C" w:rsidRDefault="005F204E" w:rsidP="00AD06D4">
      <w:pPr>
        <w:pStyle w:val="ListParagraph"/>
        <w:numPr>
          <w:ilvl w:val="0"/>
          <w:numId w:val="19"/>
        </w:numPr>
        <w:rPr>
          <w:rFonts w:ascii="Arial" w:hAnsi="Arial" w:cs="Arial"/>
        </w:rPr>
      </w:pPr>
      <w:r w:rsidRPr="00CB093C">
        <w:rPr>
          <w:rFonts w:ascii="Arial" w:hAnsi="Arial" w:cs="Arial"/>
        </w:rPr>
        <w:t xml:space="preserve">declining and </w:t>
      </w:r>
      <w:r w:rsidR="004F4EDD" w:rsidRPr="00CB093C">
        <w:rPr>
          <w:rFonts w:ascii="Arial" w:hAnsi="Arial" w:cs="Arial"/>
        </w:rPr>
        <w:t>very poor</w:t>
      </w:r>
      <w:r w:rsidRPr="00CB093C">
        <w:rPr>
          <w:rFonts w:ascii="Arial" w:hAnsi="Arial" w:cs="Arial"/>
        </w:rPr>
        <w:t xml:space="preserve"> reproductive effort at 90</w:t>
      </w:r>
      <w:r w:rsidR="00882B72" w:rsidRPr="00CB093C">
        <w:rPr>
          <w:rFonts w:ascii="Arial" w:hAnsi="Arial" w:cs="Arial"/>
        </w:rPr>
        <w:t xml:space="preserve"> per cent</w:t>
      </w:r>
      <w:r w:rsidRPr="00CB093C">
        <w:rPr>
          <w:rFonts w:ascii="Arial" w:hAnsi="Arial" w:cs="Arial"/>
        </w:rPr>
        <w:t xml:space="preserve"> of sites (with reproductive structures absent from nearly half); and </w:t>
      </w:r>
    </w:p>
    <w:p w14:paraId="6A00EDE0" w14:textId="7E75DA1D" w:rsidR="004B40AF" w:rsidRPr="00CB093C" w:rsidRDefault="005F204E" w:rsidP="00AD06D4">
      <w:pPr>
        <w:pStyle w:val="ListParagraph"/>
        <w:numPr>
          <w:ilvl w:val="0"/>
          <w:numId w:val="19"/>
        </w:numPr>
        <w:rPr>
          <w:rFonts w:ascii="Arial" w:hAnsi="Arial" w:cs="Arial"/>
          <w:lang w:val="en-GB"/>
        </w:rPr>
      </w:pPr>
      <w:r w:rsidRPr="00CB093C">
        <w:rPr>
          <w:rFonts w:ascii="Arial" w:hAnsi="Arial" w:cs="Arial"/>
          <w:lang w:val="en-GB"/>
        </w:rPr>
        <w:t>declining seed banks at 30</w:t>
      </w:r>
      <w:r w:rsidR="00882B72" w:rsidRPr="00CB093C">
        <w:rPr>
          <w:rFonts w:ascii="Arial" w:hAnsi="Arial" w:cs="Arial"/>
          <w:lang w:val="en-GB"/>
        </w:rPr>
        <w:t xml:space="preserve"> per cent</w:t>
      </w:r>
      <w:r w:rsidRPr="00CB093C">
        <w:rPr>
          <w:rFonts w:ascii="Arial" w:hAnsi="Arial" w:cs="Arial"/>
          <w:lang w:val="en-GB"/>
        </w:rPr>
        <w:t xml:space="preserve"> of sites</w:t>
      </w:r>
      <w:r w:rsidR="0082030C" w:rsidRPr="00CB093C">
        <w:rPr>
          <w:rFonts w:ascii="Arial" w:hAnsi="Arial" w:cs="Arial"/>
          <w:lang w:val="en-GB"/>
        </w:rPr>
        <w:t>,</w:t>
      </w:r>
      <w:r w:rsidRPr="00CB093C">
        <w:rPr>
          <w:rFonts w:ascii="Arial" w:hAnsi="Arial" w:cs="Arial"/>
          <w:lang w:val="en-GB"/>
        </w:rPr>
        <w:t xml:space="preserve"> with seed banks absent</w:t>
      </w:r>
      <w:r w:rsidRPr="00CB093C">
        <w:rPr>
          <w:rFonts w:ascii="Arial" w:hAnsi="Arial" w:cs="Arial"/>
        </w:rPr>
        <w:t xml:space="preserve"> from</w:t>
      </w:r>
      <w:r w:rsidRPr="00CB093C">
        <w:rPr>
          <w:rFonts w:ascii="Arial" w:hAnsi="Arial" w:cs="Arial"/>
          <w:lang w:val="en-GB"/>
        </w:rPr>
        <w:t xml:space="preserve"> another 40</w:t>
      </w:r>
      <w:r w:rsidR="00882B72" w:rsidRPr="00CB093C">
        <w:rPr>
          <w:rFonts w:ascii="Arial" w:hAnsi="Arial" w:cs="Arial"/>
          <w:lang w:val="en-GB"/>
        </w:rPr>
        <w:t xml:space="preserve"> per cent</w:t>
      </w:r>
      <w:r w:rsidRPr="00CB093C">
        <w:rPr>
          <w:rFonts w:ascii="Arial" w:hAnsi="Arial" w:cs="Arial"/>
          <w:lang w:val="en-GB"/>
        </w:rPr>
        <w:t xml:space="preserve"> of sites. </w:t>
      </w:r>
    </w:p>
    <w:p w14:paraId="5EB5DF3F" w14:textId="720A7436" w:rsidR="005F204E" w:rsidRPr="00CB093C" w:rsidRDefault="005F204E" w:rsidP="005F204E">
      <w:pPr>
        <w:rPr>
          <w:rFonts w:ascii="Arial" w:hAnsi="Arial" w:cs="Arial"/>
          <w:szCs w:val="22"/>
        </w:rPr>
      </w:pPr>
      <w:r w:rsidRPr="00CB093C">
        <w:rPr>
          <w:rFonts w:ascii="Arial" w:hAnsi="Arial" w:cs="Arial"/>
          <w:lang w:val="en-GB"/>
        </w:rPr>
        <w:t xml:space="preserve">The declines in seagrass condition and resilience </w:t>
      </w:r>
      <w:r w:rsidR="00293CEB" w:rsidRPr="00CB093C">
        <w:rPr>
          <w:rFonts w:ascii="Arial" w:hAnsi="Arial" w:cs="Arial"/>
          <w:lang w:val="en-GB"/>
        </w:rPr>
        <w:t>in 2017</w:t>
      </w:r>
      <w:r w:rsidR="00C81636" w:rsidRPr="00CB093C">
        <w:rPr>
          <w:rFonts w:ascii="Arial" w:hAnsi="Arial" w:cs="Arial"/>
          <w:lang w:val="en-GB"/>
        </w:rPr>
        <w:t>–</w:t>
      </w:r>
      <w:r w:rsidR="00293CEB" w:rsidRPr="00CB093C">
        <w:rPr>
          <w:rFonts w:ascii="Arial" w:hAnsi="Arial" w:cs="Arial"/>
          <w:lang w:val="en-GB"/>
        </w:rPr>
        <w:t>18</w:t>
      </w:r>
      <w:r w:rsidR="00B4388A" w:rsidRPr="00CB093C">
        <w:rPr>
          <w:rFonts w:ascii="Arial" w:hAnsi="Arial" w:cs="Arial"/>
          <w:lang w:val="en-GB"/>
        </w:rPr>
        <w:t xml:space="preserve"> </w:t>
      </w:r>
      <w:r w:rsidR="00293CEB" w:rsidRPr="00CB093C">
        <w:rPr>
          <w:rFonts w:ascii="Arial" w:hAnsi="Arial" w:cs="Arial"/>
          <w:lang w:val="en-GB"/>
        </w:rPr>
        <w:t xml:space="preserve">have </w:t>
      </w:r>
      <w:r w:rsidRPr="00CB093C">
        <w:rPr>
          <w:rFonts w:ascii="Arial" w:hAnsi="Arial" w:cs="Arial"/>
          <w:lang w:val="en-GB"/>
        </w:rPr>
        <w:t>occurred despite below-average wet season conditions. T</w:t>
      </w:r>
      <w:r w:rsidRPr="00CB093C">
        <w:rPr>
          <w:rFonts w:ascii="Arial" w:hAnsi="Arial" w:cs="Arial"/>
          <w:szCs w:val="22"/>
        </w:rPr>
        <w:t>he most significant environmental conditions affecting inshore seagrasses</w:t>
      </w:r>
      <w:r w:rsidRPr="00CB093C">
        <w:rPr>
          <w:rFonts w:ascii="Arial" w:hAnsi="Arial" w:cs="Arial"/>
          <w:lang w:val="en-GB"/>
        </w:rPr>
        <w:t xml:space="preserve"> in </w:t>
      </w:r>
      <w:r w:rsidR="00C81636" w:rsidRPr="00CB093C">
        <w:rPr>
          <w:rFonts w:ascii="Arial" w:hAnsi="Arial" w:cs="Arial"/>
          <w:lang w:val="en-GB"/>
        </w:rPr>
        <w:t xml:space="preserve">2017–18 </w:t>
      </w:r>
      <w:r w:rsidRPr="00CB093C">
        <w:rPr>
          <w:rFonts w:ascii="Arial" w:hAnsi="Arial" w:cs="Arial"/>
          <w:szCs w:val="22"/>
        </w:rPr>
        <w:t xml:space="preserve">were lower </w:t>
      </w:r>
      <w:r w:rsidR="006C1554" w:rsidRPr="00CB093C">
        <w:rPr>
          <w:rFonts w:ascii="Arial" w:hAnsi="Arial" w:cs="Arial"/>
          <w:szCs w:val="22"/>
        </w:rPr>
        <w:t xml:space="preserve">than average </w:t>
      </w:r>
      <w:r w:rsidRPr="00CB093C">
        <w:rPr>
          <w:rFonts w:ascii="Arial" w:hAnsi="Arial" w:cs="Arial"/>
          <w:szCs w:val="22"/>
        </w:rPr>
        <w:t xml:space="preserve">benthic light availability at </w:t>
      </w:r>
      <w:r w:rsidRPr="00CB093C">
        <w:rPr>
          <w:rFonts w:ascii="Arial" w:hAnsi="Arial" w:cs="Arial"/>
          <w:lang w:val="en-GB"/>
        </w:rPr>
        <w:t xml:space="preserve">nearly half the meadows monitored (particularly across the southern Wet Tropics and Burdekin NRM regions), </w:t>
      </w:r>
      <w:r w:rsidR="006C1554" w:rsidRPr="00CB093C">
        <w:rPr>
          <w:rFonts w:ascii="Arial" w:hAnsi="Arial" w:cs="Arial"/>
          <w:lang w:val="en-GB"/>
        </w:rPr>
        <w:t>and lower than long-term growth requirements at 40</w:t>
      </w:r>
      <w:r w:rsidR="00882B72" w:rsidRPr="00CB093C">
        <w:rPr>
          <w:rFonts w:ascii="Arial" w:hAnsi="Arial" w:cs="Arial"/>
          <w:lang w:val="en-GB"/>
        </w:rPr>
        <w:t xml:space="preserve"> per cent</w:t>
      </w:r>
      <w:r w:rsidR="006C1554" w:rsidRPr="00CB093C">
        <w:rPr>
          <w:rFonts w:ascii="Arial" w:hAnsi="Arial" w:cs="Arial"/>
          <w:lang w:val="en-GB"/>
        </w:rPr>
        <w:t xml:space="preserve"> of sites. This was </w:t>
      </w:r>
      <w:r w:rsidRPr="00CB093C">
        <w:rPr>
          <w:rFonts w:ascii="Arial" w:hAnsi="Arial" w:cs="Arial"/>
          <w:lang w:val="en-GB"/>
        </w:rPr>
        <w:t xml:space="preserve">coupled with </w:t>
      </w:r>
      <w:r w:rsidRPr="00CB093C">
        <w:rPr>
          <w:rFonts w:ascii="Arial" w:hAnsi="Arial" w:cs="Arial"/>
          <w:szCs w:val="22"/>
        </w:rPr>
        <w:t>above</w:t>
      </w:r>
      <w:r w:rsidR="00293CEB" w:rsidRPr="00CB093C">
        <w:rPr>
          <w:rFonts w:ascii="Arial" w:hAnsi="Arial" w:cs="Arial"/>
          <w:szCs w:val="22"/>
        </w:rPr>
        <w:t>-</w:t>
      </w:r>
      <w:r w:rsidRPr="00CB093C">
        <w:rPr>
          <w:rFonts w:ascii="Arial" w:hAnsi="Arial" w:cs="Arial"/>
          <w:szCs w:val="22"/>
        </w:rPr>
        <w:t>average</w:t>
      </w:r>
      <w:r w:rsidRPr="00CB093C">
        <w:rPr>
          <w:rFonts w:ascii="Arial" w:hAnsi="Arial" w:cs="Arial"/>
          <w:lang w:val="en-GB"/>
        </w:rPr>
        <w:t xml:space="preserve"> water temperatures for the </w:t>
      </w:r>
      <w:r w:rsidRPr="00CB093C">
        <w:rPr>
          <w:rFonts w:ascii="Arial" w:hAnsi="Arial" w:cs="Arial"/>
          <w:szCs w:val="22"/>
        </w:rPr>
        <w:t xml:space="preserve">the fifth consecutive year. The </w:t>
      </w:r>
      <w:r w:rsidR="007832AC" w:rsidRPr="00CB093C">
        <w:rPr>
          <w:rFonts w:ascii="Arial" w:hAnsi="Arial" w:cs="Arial"/>
          <w:szCs w:val="22"/>
        </w:rPr>
        <w:t xml:space="preserve">Reef </w:t>
      </w:r>
      <w:r w:rsidRPr="00CB093C">
        <w:rPr>
          <w:rFonts w:ascii="Arial" w:hAnsi="Arial" w:cs="Arial"/>
          <w:szCs w:val="22"/>
        </w:rPr>
        <w:t>also experienced above</w:t>
      </w:r>
      <w:r w:rsidR="00293CEB" w:rsidRPr="00CB093C">
        <w:rPr>
          <w:rFonts w:ascii="Arial" w:hAnsi="Arial" w:cs="Arial"/>
          <w:szCs w:val="22"/>
        </w:rPr>
        <w:t>-</w:t>
      </w:r>
      <w:r w:rsidRPr="00CB093C">
        <w:rPr>
          <w:rFonts w:ascii="Arial" w:hAnsi="Arial" w:cs="Arial"/>
          <w:szCs w:val="22"/>
        </w:rPr>
        <w:t>average winds, which may have exacerbated inshore turbidity in far northern and central regions.</w:t>
      </w:r>
    </w:p>
    <w:p w14:paraId="02426901" w14:textId="1B152E1C" w:rsidR="005F204E" w:rsidRPr="00CB093C" w:rsidRDefault="005F204E" w:rsidP="005F204E">
      <w:pPr>
        <w:rPr>
          <w:rFonts w:ascii="Arial" w:hAnsi="Arial" w:cs="Arial"/>
          <w:szCs w:val="22"/>
        </w:rPr>
      </w:pPr>
      <w:r w:rsidRPr="00CB093C">
        <w:rPr>
          <w:rFonts w:ascii="Arial" w:hAnsi="Arial" w:cs="Arial"/>
          <w:szCs w:val="22"/>
        </w:rPr>
        <w:t xml:space="preserve">Seagrass tissue nutrients indicate the availability of nitrogen relative to growth demand (i.e. carbon fixation). The leaf tissue nutrient indicator declined in </w:t>
      </w:r>
      <w:r w:rsidR="003654C6">
        <w:rPr>
          <w:rFonts w:ascii="Arial" w:hAnsi="Arial" w:cs="Arial"/>
          <w:szCs w:val="22"/>
        </w:rPr>
        <w:t>2017–18</w:t>
      </w:r>
      <w:r w:rsidR="00854CC7" w:rsidRPr="00CB093C">
        <w:rPr>
          <w:rFonts w:ascii="Arial" w:hAnsi="Arial" w:cs="Arial"/>
          <w:szCs w:val="22"/>
        </w:rPr>
        <w:t xml:space="preserve">. </w:t>
      </w:r>
      <w:r w:rsidR="00854CC7" w:rsidRPr="00CB093C">
        <w:rPr>
          <w:rFonts w:ascii="Arial" w:hAnsi="Arial" w:cs="Arial"/>
          <w:lang w:val="en-GB"/>
        </w:rPr>
        <w:t xml:space="preserve">Just </w:t>
      </w:r>
      <w:r w:rsidRPr="00CB093C">
        <w:rPr>
          <w:rFonts w:ascii="Arial" w:hAnsi="Arial" w:cs="Arial"/>
          <w:lang w:val="en-GB"/>
        </w:rPr>
        <w:t>under 50</w:t>
      </w:r>
      <w:r w:rsidR="00882B72" w:rsidRPr="00CB093C">
        <w:rPr>
          <w:rFonts w:ascii="Arial" w:hAnsi="Arial" w:cs="Arial"/>
          <w:lang w:val="en-GB"/>
        </w:rPr>
        <w:t xml:space="preserve"> per cent</w:t>
      </w:r>
      <w:r w:rsidRPr="00CB093C">
        <w:rPr>
          <w:rFonts w:ascii="Arial" w:hAnsi="Arial" w:cs="Arial"/>
          <w:lang w:val="en-GB"/>
        </w:rPr>
        <w:t xml:space="preserve"> </w:t>
      </w:r>
      <w:r w:rsidR="00293CEB" w:rsidRPr="00CB093C">
        <w:rPr>
          <w:rFonts w:ascii="Arial" w:hAnsi="Arial" w:cs="Arial"/>
          <w:lang w:val="en-GB"/>
        </w:rPr>
        <w:t xml:space="preserve">of </w:t>
      </w:r>
      <w:r w:rsidRPr="00CB093C">
        <w:rPr>
          <w:rFonts w:ascii="Arial" w:hAnsi="Arial" w:cs="Arial"/>
          <w:lang w:val="en-GB"/>
        </w:rPr>
        <w:t xml:space="preserve">sites </w:t>
      </w:r>
      <w:r w:rsidR="00293CEB" w:rsidRPr="00CB093C">
        <w:rPr>
          <w:rFonts w:ascii="Arial" w:hAnsi="Arial" w:cs="Arial"/>
          <w:lang w:val="en-GB"/>
        </w:rPr>
        <w:t>displayed</w:t>
      </w:r>
      <w:r w:rsidRPr="00CB093C">
        <w:rPr>
          <w:rFonts w:ascii="Arial" w:hAnsi="Arial" w:cs="Arial"/>
          <w:lang w:val="en-GB"/>
        </w:rPr>
        <w:t xml:space="preserve"> symptoms of nutrient enrichment</w:t>
      </w:r>
      <w:r w:rsidR="00293CEB" w:rsidRPr="00CB093C">
        <w:rPr>
          <w:rFonts w:ascii="Arial" w:hAnsi="Arial" w:cs="Arial"/>
          <w:lang w:val="en-GB"/>
        </w:rPr>
        <w:t>, with</w:t>
      </w:r>
      <w:r w:rsidRPr="00CB093C">
        <w:rPr>
          <w:rFonts w:ascii="Arial" w:hAnsi="Arial" w:cs="Arial"/>
          <w:lang w:val="en-GB"/>
        </w:rPr>
        <w:t xml:space="preserve"> 43</w:t>
      </w:r>
      <w:r w:rsidR="00882B72" w:rsidRPr="00CB093C">
        <w:rPr>
          <w:rFonts w:ascii="Arial" w:hAnsi="Arial" w:cs="Arial"/>
          <w:lang w:val="en-GB"/>
        </w:rPr>
        <w:t xml:space="preserve"> per cent</w:t>
      </w:r>
      <w:r w:rsidRPr="00CB093C">
        <w:rPr>
          <w:rFonts w:ascii="Arial" w:hAnsi="Arial" w:cs="Arial"/>
          <w:lang w:val="en-GB"/>
        </w:rPr>
        <w:t xml:space="preserve"> </w:t>
      </w:r>
      <w:r w:rsidR="00293CEB" w:rsidRPr="00CB093C">
        <w:rPr>
          <w:rFonts w:ascii="Arial" w:hAnsi="Arial" w:cs="Arial"/>
          <w:lang w:val="en-GB"/>
        </w:rPr>
        <w:t xml:space="preserve">inferring </w:t>
      </w:r>
      <w:r w:rsidRPr="00CB093C">
        <w:rPr>
          <w:rFonts w:ascii="Arial" w:hAnsi="Arial" w:cs="Arial"/>
          <w:lang w:val="en-GB"/>
        </w:rPr>
        <w:t xml:space="preserve">elevated nitrogen (predominately estuary and coastal habitats, and particularly </w:t>
      </w:r>
      <w:r w:rsidR="00293CEB" w:rsidRPr="00CB093C">
        <w:rPr>
          <w:rFonts w:ascii="Arial" w:hAnsi="Arial" w:cs="Arial"/>
          <w:lang w:val="en-GB"/>
        </w:rPr>
        <w:t>in</w:t>
      </w:r>
      <w:r w:rsidRPr="00CB093C">
        <w:rPr>
          <w:rFonts w:ascii="Arial" w:hAnsi="Arial" w:cs="Arial"/>
          <w:lang w:val="en-GB"/>
        </w:rPr>
        <w:t xml:space="preserve"> </w:t>
      </w:r>
      <w:r w:rsidR="00637325">
        <w:rPr>
          <w:rFonts w:ascii="Arial" w:hAnsi="Arial" w:cs="Arial"/>
          <w:lang w:val="en-GB"/>
        </w:rPr>
        <w:t>Mackay-Whitsunday</w:t>
      </w:r>
      <w:r w:rsidRPr="00CB093C">
        <w:rPr>
          <w:rFonts w:ascii="Arial" w:hAnsi="Arial" w:cs="Arial"/>
          <w:lang w:val="en-GB"/>
        </w:rPr>
        <w:t xml:space="preserve"> and Cape York regions). Also the higher than average epiphyte abundances observed at over 20</w:t>
      </w:r>
      <w:r w:rsidR="00882B72" w:rsidRPr="00CB093C">
        <w:rPr>
          <w:rFonts w:ascii="Arial" w:hAnsi="Arial" w:cs="Arial"/>
          <w:lang w:val="en-GB"/>
        </w:rPr>
        <w:t xml:space="preserve"> per cent</w:t>
      </w:r>
      <w:r w:rsidRPr="00CB093C">
        <w:rPr>
          <w:rFonts w:ascii="Arial" w:hAnsi="Arial" w:cs="Arial"/>
          <w:lang w:val="en-GB"/>
        </w:rPr>
        <w:t xml:space="preserve"> of sites  </w:t>
      </w:r>
      <w:r w:rsidR="00293CEB" w:rsidRPr="00CB093C">
        <w:rPr>
          <w:rFonts w:ascii="Arial" w:hAnsi="Arial" w:cs="Arial"/>
          <w:lang w:val="en-GB"/>
        </w:rPr>
        <w:t xml:space="preserve">similarly </w:t>
      </w:r>
      <w:r w:rsidRPr="00CB093C">
        <w:rPr>
          <w:rFonts w:ascii="Arial" w:hAnsi="Arial" w:cs="Arial"/>
          <w:lang w:val="en-GB"/>
        </w:rPr>
        <w:t>suggest some level of i</w:t>
      </w:r>
      <w:r w:rsidR="00293CEB" w:rsidRPr="00CB093C">
        <w:rPr>
          <w:rFonts w:ascii="Arial" w:hAnsi="Arial" w:cs="Arial"/>
          <w:lang w:val="en-GB"/>
        </w:rPr>
        <w:t>ncreased nutrient availability.</w:t>
      </w:r>
    </w:p>
    <w:p w14:paraId="1A9CE754" w14:textId="0AA35451" w:rsidR="00854CC7" w:rsidRPr="00CB093C" w:rsidRDefault="00293CEB" w:rsidP="005F204E">
      <w:pPr>
        <w:rPr>
          <w:rFonts w:ascii="Arial" w:hAnsi="Arial" w:cs="Arial"/>
        </w:rPr>
      </w:pPr>
      <w:r w:rsidRPr="00CB093C">
        <w:rPr>
          <w:rFonts w:ascii="Arial" w:hAnsi="Arial" w:cs="Arial"/>
          <w:lang w:val="en-GB"/>
        </w:rPr>
        <w:t xml:space="preserve">The findings suggest </w:t>
      </w:r>
      <w:r w:rsidR="005F204E" w:rsidRPr="00CB093C">
        <w:rPr>
          <w:rFonts w:ascii="Arial" w:hAnsi="Arial" w:cs="Arial"/>
          <w:lang w:val="en-GB"/>
        </w:rPr>
        <w:t>some regions</w:t>
      </w:r>
      <w:r w:rsidR="00F262EF" w:rsidRPr="00CB093C">
        <w:rPr>
          <w:rFonts w:ascii="Arial" w:hAnsi="Arial" w:cs="Arial"/>
          <w:lang w:val="en-GB"/>
        </w:rPr>
        <w:t xml:space="preserve">, such as the Burnett Mary and </w:t>
      </w:r>
      <w:r w:rsidR="00637325">
        <w:rPr>
          <w:rFonts w:ascii="Arial" w:hAnsi="Arial" w:cs="Arial"/>
          <w:lang w:val="en-GB"/>
        </w:rPr>
        <w:t>Mackay-Whitsunday</w:t>
      </w:r>
      <w:r w:rsidRPr="00CB093C">
        <w:rPr>
          <w:rFonts w:ascii="Arial" w:hAnsi="Arial" w:cs="Arial"/>
          <w:lang w:val="en-GB"/>
        </w:rPr>
        <w:t xml:space="preserve"> </w:t>
      </w:r>
      <w:r w:rsidR="00F262EF" w:rsidRPr="00CB093C">
        <w:rPr>
          <w:rFonts w:ascii="Arial" w:hAnsi="Arial" w:cs="Arial"/>
          <w:lang w:val="en-GB"/>
        </w:rPr>
        <w:t xml:space="preserve">regions </w:t>
      </w:r>
      <w:r w:rsidR="005F204E" w:rsidRPr="00CB093C">
        <w:rPr>
          <w:rFonts w:ascii="Arial" w:hAnsi="Arial" w:cs="Arial"/>
          <w:lang w:val="en-GB"/>
        </w:rPr>
        <w:t xml:space="preserve">may be more vulnerable to adverse or severe disturbances in the near future. Of greatest concern is the </w:t>
      </w:r>
      <w:r w:rsidR="00637325">
        <w:rPr>
          <w:rFonts w:ascii="Arial" w:hAnsi="Arial" w:cs="Arial"/>
          <w:lang w:val="en-GB"/>
        </w:rPr>
        <w:t>Mackay-Whitsunday</w:t>
      </w:r>
      <w:r w:rsidR="005F204E" w:rsidRPr="00CB093C">
        <w:rPr>
          <w:rFonts w:ascii="Arial" w:hAnsi="Arial" w:cs="Arial"/>
          <w:lang w:val="en-GB"/>
        </w:rPr>
        <w:t xml:space="preserve"> region, which in </w:t>
      </w:r>
      <w:r w:rsidR="00C81636" w:rsidRPr="00CB093C">
        <w:rPr>
          <w:rFonts w:ascii="Arial" w:hAnsi="Arial" w:cs="Arial"/>
          <w:lang w:val="en-GB"/>
        </w:rPr>
        <w:t xml:space="preserve">2017–18 </w:t>
      </w:r>
      <w:r w:rsidR="005F204E" w:rsidRPr="00CB093C">
        <w:rPr>
          <w:rFonts w:ascii="Arial" w:hAnsi="Arial" w:cs="Arial"/>
          <w:lang w:val="en-GB"/>
        </w:rPr>
        <w:t>had the greatest percentage of sites decrease in abundance</w:t>
      </w:r>
      <w:r w:rsidR="0087039E" w:rsidRPr="00CB093C">
        <w:rPr>
          <w:rFonts w:ascii="Arial" w:hAnsi="Arial" w:cs="Arial"/>
          <w:lang w:val="en-GB"/>
        </w:rPr>
        <w:t>,</w:t>
      </w:r>
      <w:r w:rsidR="005F204E" w:rsidRPr="00CB093C">
        <w:rPr>
          <w:rFonts w:ascii="Arial" w:hAnsi="Arial" w:cs="Arial"/>
          <w:lang w:val="en-GB"/>
        </w:rPr>
        <w:t xml:space="preserve"> </w:t>
      </w:r>
      <w:r w:rsidR="0087039E" w:rsidRPr="00CB093C">
        <w:rPr>
          <w:rFonts w:ascii="Arial" w:hAnsi="Arial" w:cs="Arial"/>
        </w:rPr>
        <w:t>decrease in below-average reproductive effort,</w:t>
      </w:r>
      <w:r w:rsidR="0087039E" w:rsidRPr="00CB093C">
        <w:rPr>
          <w:rFonts w:ascii="Arial" w:hAnsi="Arial" w:cs="Arial"/>
          <w:lang w:val="en-GB"/>
        </w:rPr>
        <w:t xml:space="preserve"> </w:t>
      </w:r>
      <w:r w:rsidR="0087039E" w:rsidRPr="00CB093C">
        <w:rPr>
          <w:rFonts w:ascii="Arial" w:hAnsi="Arial" w:cs="Arial"/>
        </w:rPr>
        <w:t>increase</w:t>
      </w:r>
      <w:r w:rsidRPr="00CB093C">
        <w:rPr>
          <w:rFonts w:ascii="Arial" w:hAnsi="Arial" w:cs="Arial"/>
          <w:lang w:val="en-GB"/>
        </w:rPr>
        <w:t xml:space="preserve"> nitrogen in the leaf tissues</w:t>
      </w:r>
      <w:r w:rsidR="0087039E" w:rsidRPr="00CB093C">
        <w:rPr>
          <w:rFonts w:ascii="Arial" w:hAnsi="Arial" w:cs="Arial"/>
          <w:lang w:val="en-GB"/>
        </w:rPr>
        <w:t>, decrease</w:t>
      </w:r>
      <w:r w:rsidR="0087039E" w:rsidRPr="00CB093C">
        <w:rPr>
          <w:rFonts w:ascii="Arial" w:hAnsi="Arial" w:cs="Arial"/>
        </w:rPr>
        <w:t xml:space="preserve"> seed density and lose </w:t>
      </w:r>
      <w:r w:rsidR="005F204E" w:rsidRPr="00CB093C">
        <w:rPr>
          <w:rFonts w:ascii="Arial" w:hAnsi="Arial" w:cs="Arial"/>
        </w:rPr>
        <w:t>seeds banks</w:t>
      </w:r>
      <w:r w:rsidR="0087039E" w:rsidRPr="00CB093C">
        <w:rPr>
          <w:rFonts w:ascii="Arial" w:hAnsi="Arial" w:cs="Arial"/>
        </w:rPr>
        <w:t xml:space="preserve"> </w:t>
      </w:r>
      <w:r w:rsidR="005F204E" w:rsidRPr="00CB093C">
        <w:rPr>
          <w:rFonts w:ascii="Arial" w:hAnsi="Arial" w:cs="Arial"/>
        </w:rPr>
        <w:t>from half the sites.</w:t>
      </w:r>
      <w:r w:rsidR="0087039E" w:rsidRPr="00CB093C">
        <w:rPr>
          <w:rFonts w:ascii="Arial" w:hAnsi="Arial" w:cs="Arial"/>
        </w:rPr>
        <w:t xml:space="preserve"> </w:t>
      </w:r>
    </w:p>
    <w:p w14:paraId="48AA0FAD" w14:textId="214D5C87" w:rsidR="00854CC7" w:rsidRPr="00CB093C" w:rsidRDefault="005F204E" w:rsidP="005F204E">
      <w:pPr>
        <w:rPr>
          <w:rFonts w:ascii="Arial" w:hAnsi="Arial" w:cs="Arial"/>
          <w:lang w:val="en-GB"/>
        </w:rPr>
      </w:pPr>
      <w:r w:rsidRPr="00CB093C">
        <w:rPr>
          <w:rFonts w:ascii="Arial" w:hAnsi="Arial" w:cs="Arial"/>
          <w:szCs w:val="22"/>
        </w:rPr>
        <w:t>The overall decline in seagrass condition is of concern, h</w:t>
      </w:r>
      <w:r w:rsidRPr="00CB093C">
        <w:rPr>
          <w:rFonts w:ascii="Arial" w:hAnsi="Arial" w:cs="Arial"/>
          <w:lang w:val="en-GB"/>
        </w:rPr>
        <w:t xml:space="preserve">owever, declines in indicators were not consistent </w:t>
      </w:r>
      <w:r w:rsidR="00854CC7" w:rsidRPr="00CB093C">
        <w:rPr>
          <w:rFonts w:ascii="Arial" w:hAnsi="Arial" w:cs="Arial"/>
          <w:lang w:val="en-GB"/>
        </w:rPr>
        <w:t>and</w:t>
      </w:r>
      <w:r w:rsidRPr="00CB093C">
        <w:rPr>
          <w:rFonts w:ascii="Arial" w:hAnsi="Arial" w:cs="Arial"/>
          <w:lang w:val="en-GB"/>
        </w:rPr>
        <w:t xml:space="preserve"> there were some </w:t>
      </w:r>
      <w:r w:rsidR="00644244" w:rsidRPr="00CB093C">
        <w:rPr>
          <w:rFonts w:ascii="Arial" w:hAnsi="Arial" w:cs="Arial"/>
          <w:lang w:val="en-GB"/>
        </w:rPr>
        <w:t>‘</w:t>
      </w:r>
      <w:r w:rsidRPr="00CB093C">
        <w:rPr>
          <w:rFonts w:ascii="Arial" w:hAnsi="Arial" w:cs="Arial"/>
          <w:lang w:val="en-GB"/>
        </w:rPr>
        <w:t>bright spots</w:t>
      </w:r>
      <w:r w:rsidR="00644244" w:rsidRPr="00CB093C">
        <w:rPr>
          <w:rFonts w:ascii="Arial" w:hAnsi="Arial" w:cs="Arial"/>
          <w:lang w:val="en-GB"/>
        </w:rPr>
        <w:t>’</w:t>
      </w:r>
      <w:r w:rsidRPr="00CB093C">
        <w:rPr>
          <w:rFonts w:ascii="Arial" w:hAnsi="Arial" w:cs="Arial"/>
          <w:lang w:val="en-GB"/>
        </w:rPr>
        <w:t xml:space="preserve"> of improvement. Examples include: </w:t>
      </w:r>
    </w:p>
    <w:p w14:paraId="3252E18C" w14:textId="614879DF" w:rsidR="00854CC7" w:rsidRPr="00CB093C" w:rsidRDefault="005F204E" w:rsidP="00AD06D4">
      <w:pPr>
        <w:pStyle w:val="ListParagraph"/>
        <w:numPr>
          <w:ilvl w:val="0"/>
          <w:numId w:val="20"/>
        </w:numPr>
        <w:rPr>
          <w:rFonts w:ascii="Arial" w:hAnsi="Arial" w:cs="Arial"/>
          <w:lang w:val="en-GB"/>
        </w:rPr>
      </w:pPr>
      <w:r w:rsidRPr="00CB093C">
        <w:rPr>
          <w:rFonts w:ascii="Arial" w:hAnsi="Arial" w:cs="Arial"/>
          <w:lang w:val="en-GB"/>
        </w:rPr>
        <w:lastRenderedPageBreak/>
        <w:t xml:space="preserve">increasing </w:t>
      </w:r>
      <w:r w:rsidR="00FA4141" w:rsidRPr="00CB093C">
        <w:rPr>
          <w:rFonts w:ascii="Arial" w:hAnsi="Arial" w:cs="Arial"/>
          <w:lang w:val="en-GB"/>
        </w:rPr>
        <w:t xml:space="preserve">or stable </w:t>
      </w:r>
      <w:r w:rsidRPr="00CB093C">
        <w:rPr>
          <w:rFonts w:ascii="Arial" w:hAnsi="Arial" w:cs="Arial"/>
          <w:lang w:val="en-GB"/>
        </w:rPr>
        <w:t>abundances at 36</w:t>
      </w:r>
      <w:r w:rsidR="00882B72" w:rsidRPr="00CB093C">
        <w:rPr>
          <w:rFonts w:ascii="Arial" w:hAnsi="Arial" w:cs="Arial"/>
          <w:lang w:val="en-GB"/>
        </w:rPr>
        <w:t xml:space="preserve"> per cent</w:t>
      </w:r>
      <w:r w:rsidRPr="00CB093C">
        <w:rPr>
          <w:rFonts w:ascii="Arial" w:hAnsi="Arial" w:cs="Arial"/>
          <w:lang w:val="en-GB"/>
        </w:rPr>
        <w:t xml:space="preserve"> </w:t>
      </w:r>
      <w:r w:rsidR="00FA4141" w:rsidRPr="00CB093C">
        <w:rPr>
          <w:rFonts w:ascii="Arial" w:hAnsi="Arial" w:cs="Arial"/>
          <w:lang w:val="en-GB"/>
        </w:rPr>
        <w:t>and 21</w:t>
      </w:r>
      <w:r w:rsidR="00882B72" w:rsidRPr="00CB093C">
        <w:rPr>
          <w:rFonts w:ascii="Arial" w:hAnsi="Arial" w:cs="Arial"/>
          <w:lang w:val="en-GB"/>
        </w:rPr>
        <w:t xml:space="preserve"> per cent</w:t>
      </w:r>
      <w:r w:rsidR="00FA4141" w:rsidRPr="00CB093C">
        <w:rPr>
          <w:rFonts w:ascii="Arial" w:hAnsi="Arial" w:cs="Arial"/>
          <w:lang w:val="en-GB"/>
        </w:rPr>
        <w:t xml:space="preserve"> </w:t>
      </w:r>
      <w:r w:rsidRPr="00CB093C">
        <w:rPr>
          <w:rFonts w:ascii="Arial" w:hAnsi="Arial" w:cs="Arial"/>
          <w:lang w:val="en-GB"/>
        </w:rPr>
        <w:t xml:space="preserve">of </w:t>
      </w:r>
      <w:r w:rsidR="00FA4141" w:rsidRPr="00CB093C">
        <w:rPr>
          <w:rFonts w:ascii="Arial" w:hAnsi="Arial" w:cs="Arial"/>
          <w:lang w:val="en-GB"/>
        </w:rPr>
        <w:t>sites, respectively</w:t>
      </w:r>
      <w:r w:rsidRPr="00CB093C">
        <w:rPr>
          <w:rFonts w:ascii="Arial" w:hAnsi="Arial" w:cs="Arial"/>
          <w:lang w:val="en-GB"/>
        </w:rPr>
        <w:t xml:space="preserve"> </w:t>
      </w:r>
      <w:r w:rsidR="00F262EF" w:rsidRPr="00CB093C">
        <w:rPr>
          <w:rFonts w:ascii="Arial" w:hAnsi="Arial" w:cs="Arial"/>
          <w:lang w:val="en-GB"/>
        </w:rPr>
        <w:t xml:space="preserve">with </w:t>
      </w:r>
      <w:r w:rsidRPr="00CB093C">
        <w:rPr>
          <w:rFonts w:ascii="Arial" w:hAnsi="Arial" w:cs="Arial"/>
          <w:lang w:val="en-GB"/>
        </w:rPr>
        <w:t xml:space="preserve">greatest improvements in the Fitzroy and northern Wet Tropics regions </w:t>
      </w:r>
    </w:p>
    <w:p w14:paraId="09A9E4C9" w14:textId="345B3AEA" w:rsidR="00854CC7" w:rsidRPr="00CB093C" w:rsidRDefault="005F204E" w:rsidP="00AD06D4">
      <w:pPr>
        <w:pStyle w:val="ListParagraph"/>
        <w:numPr>
          <w:ilvl w:val="0"/>
          <w:numId w:val="20"/>
        </w:numPr>
        <w:rPr>
          <w:rFonts w:ascii="Arial" w:hAnsi="Arial" w:cs="Arial"/>
          <w:lang w:val="en-GB"/>
        </w:rPr>
      </w:pPr>
      <w:r w:rsidRPr="00CB093C">
        <w:rPr>
          <w:rFonts w:ascii="Arial" w:hAnsi="Arial" w:cs="Arial"/>
          <w:lang w:val="en-GB"/>
        </w:rPr>
        <w:t xml:space="preserve">nearly a quarter of meadows continuing to expand in area or </w:t>
      </w:r>
      <w:r w:rsidR="000713EA" w:rsidRPr="00CB093C">
        <w:rPr>
          <w:rFonts w:ascii="Arial" w:hAnsi="Arial" w:cs="Arial"/>
          <w:lang w:val="en-GB"/>
        </w:rPr>
        <w:t xml:space="preserve">become </w:t>
      </w:r>
      <w:r w:rsidRPr="00CB093C">
        <w:rPr>
          <w:rFonts w:ascii="Arial" w:hAnsi="Arial" w:cs="Arial"/>
          <w:lang w:val="en-GB"/>
        </w:rPr>
        <w:t>less fragment</w:t>
      </w:r>
      <w:r w:rsidR="000713EA" w:rsidRPr="00CB093C">
        <w:rPr>
          <w:rFonts w:ascii="Arial" w:hAnsi="Arial" w:cs="Arial"/>
          <w:lang w:val="en-GB"/>
        </w:rPr>
        <w:t>ed</w:t>
      </w:r>
      <w:r w:rsidR="00FA4141" w:rsidRPr="00CB093C">
        <w:rPr>
          <w:rFonts w:ascii="Arial" w:hAnsi="Arial" w:cs="Arial"/>
          <w:lang w:val="en-GB"/>
        </w:rPr>
        <w:t>,</w:t>
      </w:r>
      <w:r w:rsidRPr="00CB093C">
        <w:rPr>
          <w:rFonts w:ascii="Arial" w:hAnsi="Arial" w:cs="Arial"/>
          <w:lang w:val="en-GB"/>
        </w:rPr>
        <w:t xml:space="preserve"> while just under half remained at or near their maximum extent </w:t>
      </w:r>
    </w:p>
    <w:p w14:paraId="76FC2C00" w14:textId="3898F418" w:rsidR="00854CC7" w:rsidRPr="00CB093C" w:rsidRDefault="005F204E" w:rsidP="00AD06D4">
      <w:pPr>
        <w:pStyle w:val="ListParagraph"/>
        <w:numPr>
          <w:ilvl w:val="0"/>
          <w:numId w:val="20"/>
        </w:numPr>
        <w:rPr>
          <w:rFonts w:ascii="Arial" w:hAnsi="Arial" w:cs="Arial"/>
          <w:lang w:val="en-GB"/>
        </w:rPr>
      </w:pPr>
      <w:r w:rsidRPr="00CB093C">
        <w:rPr>
          <w:rFonts w:ascii="Arial" w:hAnsi="Arial" w:cs="Arial"/>
          <w:lang w:val="en-GB"/>
        </w:rPr>
        <w:t>declining epiphyte loads</w:t>
      </w:r>
      <w:r w:rsidR="00FA4141" w:rsidRPr="00CB093C">
        <w:rPr>
          <w:rFonts w:ascii="Arial" w:hAnsi="Arial" w:cs="Arial"/>
          <w:lang w:val="en-GB"/>
        </w:rPr>
        <w:t>,</w:t>
      </w:r>
      <w:r w:rsidRPr="00CB093C">
        <w:rPr>
          <w:rFonts w:ascii="Arial" w:hAnsi="Arial" w:cs="Arial"/>
          <w:lang w:val="en-GB"/>
        </w:rPr>
        <w:t xml:space="preserve"> with below average cover at 40</w:t>
      </w:r>
      <w:r w:rsidR="00882B72" w:rsidRPr="00CB093C">
        <w:rPr>
          <w:rFonts w:ascii="Arial" w:hAnsi="Arial" w:cs="Arial"/>
          <w:lang w:val="en-GB"/>
        </w:rPr>
        <w:t xml:space="preserve"> per cent</w:t>
      </w:r>
      <w:r w:rsidRPr="00CB093C">
        <w:rPr>
          <w:rFonts w:ascii="Arial" w:hAnsi="Arial" w:cs="Arial"/>
          <w:lang w:val="en-GB"/>
        </w:rPr>
        <w:t xml:space="preserve"> sites</w:t>
      </w:r>
    </w:p>
    <w:p w14:paraId="7B2A761D" w14:textId="5EF84256" w:rsidR="005F204E" w:rsidRPr="00CB093C" w:rsidRDefault="005F204E" w:rsidP="00AD06D4">
      <w:pPr>
        <w:pStyle w:val="ListParagraph"/>
        <w:numPr>
          <w:ilvl w:val="0"/>
          <w:numId w:val="20"/>
        </w:numPr>
        <w:rPr>
          <w:rFonts w:ascii="Arial" w:hAnsi="Arial" w:cs="Arial"/>
          <w:lang w:val="en-GB"/>
        </w:rPr>
      </w:pPr>
      <w:r w:rsidRPr="00CB093C">
        <w:rPr>
          <w:rFonts w:ascii="Arial" w:hAnsi="Arial" w:cs="Arial"/>
          <w:lang w:val="en-GB"/>
        </w:rPr>
        <w:t>just over 40</w:t>
      </w:r>
      <w:r w:rsidR="00882B72" w:rsidRPr="00CB093C">
        <w:rPr>
          <w:rFonts w:ascii="Arial" w:hAnsi="Arial" w:cs="Arial"/>
          <w:lang w:val="en-GB"/>
        </w:rPr>
        <w:t xml:space="preserve"> per cent</w:t>
      </w:r>
      <w:r w:rsidRPr="00CB093C">
        <w:rPr>
          <w:rFonts w:ascii="Arial" w:hAnsi="Arial" w:cs="Arial"/>
          <w:lang w:val="en-GB"/>
        </w:rPr>
        <w:t xml:space="preserve"> of sites increas</w:t>
      </w:r>
      <w:r w:rsidR="00FA4141" w:rsidRPr="00CB093C">
        <w:rPr>
          <w:rFonts w:ascii="Arial" w:hAnsi="Arial" w:cs="Arial"/>
          <w:lang w:val="en-GB"/>
        </w:rPr>
        <w:t>ing</w:t>
      </w:r>
      <w:r w:rsidRPr="00CB093C">
        <w:rPr>
          <w:rFonts w:ascii="Arial" w:hAnsi="Arial" w:cs="Arial"/>
          <w:lang w:val="en-GB"/>
        </w:rPr>
        <w:t xml:space="preserve"> in reproductive effort, particularly in the far north (Cape York and northern Wet Tropics) and Fitzroy regions. </w:t>
      </w:r>
    </w:p>
    <w:p w14:paraId="1A204C3D" w14:textId="039853A5" w:rsidR="005F204E" w:rsidRPr="00CB093C" w:rsidRDefault="005F204E" w:rsidP="005F204E">
      <w:pPr>
        <w:rPr>
          <w:rFonts w:ascii="Arial" w:hAnsi="Arial" w:cs="Arial"/>
          <w:lang w:val="en-GB"/>
        </w:rPr>
      </w:pPr>
      <w:r w:rsidRPr="00CB093C">
        <w:rPr>
          <w:rFonts w:ascii="Arial" w:hAnsi="Arial" w:cs="Arial"/>
          <w:lang w:val="en-GB"/>
        </w:rPr>
        <w:t xml:space="preserve">These improvements demonstrate the maintenance or improvement of seagrass resilience in some regions, which are a consequence of variable climatic and environmental pressures. For example, the most significant improvement was benthic light availability in the Fitzroy region. Seagrass meadows under </w:t>
      </w:r>
      <w:r w:rsidR="00FA4141" w:rsidRPr="00CB093C">
        <w:rPr>
          <w:rFonts w:ascii="Arial" w:hAnsi="Arial" w:cs="Arial"/>
          <w:lang w:val="en-GB"/>
        </w:rPr>
        <w:t xml:space="preserve">lower climatic and environmental pressures </w:t>
      </w:r>
      <w:r w:rsidRPr="00CB093C">
        <w:rPr>
          <w:rFonts w:ascii="Arial" w:hAnsi="Arial" w:cs="Arial"/>
          <w:lang w:val="en-GB"/>
        </w:rPr>
        <w:t xml:space="preserve">(in the northern Wet Tropics and parts of the Burdekin region) would be in a less vulnerable state, with greater resistance (conferred by increases in abundance, extent and composition of species) and an improved capacity to recover (higher seeds </w:t>
      </w:r>
      <w:r w:rsidR="00FA4141" w:rsidRPr="00CB093C">
        <w:rPr>
          <w:rFonts w:ascii="Arial" w:hAnsi="Arial" w:cs="Arial"/>
          <w:lang w:val="en-GB"/>
        </w:rPr>
        <w:t>banks and reproductive effort).</w:t>
      </w:r>
    </w:p>
    <w:p w14:paraId="5FCE98AA" w14:textId="2CBE0B61" w:rsidR="005742C2" w:rsidRPr="00CB093C" w:rsidRDefault="005F204E" w:rsidP="005F204E">
      <w:pPr>
        <w:autoSpaceDE w:val="0"/>
        <w:autoSpaceDN w:val="0"/>
        <w:adjustRightInd w:val="0"/>
        <w:rPr>
          <w:rFonts w:ascii="Arial" w:hAnsi="Arial" w:cs="Arial"/>
          <w:szCs w:val="22"/>
        </w:rPr>
      </w:pPr>
      <w:r w:rsidRPr="00CB093C">
        <w:rPr>
          <w:rFonts w:ascii="Arial" w:hAnsi="Arial" w:cs="Arial"/>
          <w:szCs w:val="22"/>
        </w:rPr>
        <w:t>In 2016</w:t>
      </w:r>
      <w:r w:rsidR="00854CC7" w:rsidRPr="00CB093C">
        <w:rPr>
          <w:rFonts w:ascii="Arial" w:hAnsi="Arial" w:cs="Arial"/>
          <w:szCs w:val="22"/>
        </w:rPr>
        <w:t>–</w:t>
      </w:r>
      <w:r w:rsidR="00402F09" w:rsidRPr="00CB093C">
        <w:rPr>
          <w:rFonts w:ascii="Arial" w:hAnsi="Arial" w:cs="Arial"/>
          <w:szCs w:val="22"/>
        </w:rPr>
        <w:t>20</w:t>
      </w:r>
      <w:r w:rsidRPr="00CB093C">
        <w:rPr>
          <w:rFonts w:ascii="Arial" w:hAnsi="Arial" w:cs="Arial"/>
          <w:szCs w:val="22"/>
        </w:rPr>
        <w:t xml:space="preserve">17, </w:t>
      </w:r>
      <w:r w:rsidR="00854CC7" w:rsidRPr="00CB093C">
        <w:rPr>
          <w:rFonts w:ascii="Arial" w:hAnsi="Arial" w:cs="Arial"/>
          <w:szCs w:val="22"/>
        </w:rPr>
        <w:t xml:space="preserve">cyclone </w:t>
      </w:r>
      <w:r w:rsidRPr="00CB093C">
        <w:rPr>
          <w:rFonts w:ascii="Arial" w:hAnsi="Arial" w:cs="Arial"/>
          <w:szCs w:val="22"/>
        </w:rPr>
        <w:t xml:space="preserve">Debbie and the second marine heatwave to impact the </w:t>
      </w:r>
      <w:r w:rsidR="00854CC7" w:rsidRPr="00CB093C">
        <w:rPr>
          <w:rFonts w:ascii="Arial" w:hAnsi="Arial" w:cs="Arial"/>
          <w:szCs w:val="22"/>
        </w:rPr>
        <w:t xml:space="preserve">Reef </w:t>
      </w:r>
      <w:r w:rsidRPr="00CB093C">
        <w:rPr>
          <w:rFonts w:ascii="Arial" w:hAnsi="Arial" w:cs="Arial"/>
          <w:szCs w:val="22"/>
        </w:rPr>
        <w:t>in the last decade contributed to conditions that stalled recovery</w:t>
      </w:r>
      <w:r w:rsidR="00FA4141" w:rsidRPr="00CB093C">
        <w:rPr>
          <w:rFonts w:ascii="Arial" w:hAnsi="Arial" w:cs="Arial"/>
          <w:szCs w:val="22"/>
        </w:rPr>
        <w:t>,</w:t>
      </w:r>
      <w:r w:rsidRPr="00CB093C">
        <w:rPr>
          <w:rFonts w:ascii="Arial" w:hAnsi="Arial" w:cs="Arial"/>
          <w:szCs w:val="22"/>
        </w:rPr>
        <w:t xml:space="preserve"> </w:t>
      </w:r>
      <w:r w:rsidRPr="00CB093C">
        <w:rPr>
          <w:rFonts w:ascii="Arial" w:hAnsi="Arial" w:cs="Arial"/>
          <w:szCs w:val="22"/>
          <w:lang w:eastAsia="en-AU"/>
        </w:rPr>
        <w:t xml:space="preserve">from the losses caused by multiple years of above-average rainfall followed by </w:t>
      </w:r>
      <w:r w:rsidRPr="00CB093C">
        <w:rPr>
          <w:rFonts w:ascii="Arial" w:hAnsi="Arial" w:cs="Arial"/>
          <w:szCs w:val="22"/>
        </w:rPr>
        <w:t xml:space="preserve">extreme weather events, since early 2011. The legacy of these events and adverse environmental conditions in </w:t>
      </w:r>
      <w:r w:rsidR="003654C6">
        <w:rPr>
          <w:rFonts w:ascii="Arial" w:hAnsi="Arial" w:cs="Arial"/>
          <w:szCs w:val="22"/>
        </w:rPr>
        <w:t>2017–18</w:t>
      </w:r>
      <w:r w:rsidR="00C81636" w:rsidRPr="00CB093C">
        <w:rPr>
          <w:rFonts w:ascii="Arial" w:hAnsi="Arial" w:cs="Arial"/>
          <w:szCs w:val="22"/>
        </w:rPr>
        <w:t xml:space="preserve"> </w:t>
      </w:r>
      <w:r w:rsidRPr="00CB093C">
        <w:rPr>
          <w:rFonts w:ascii="Arial" w:hAnsi="Arial" w:cs="Arial"/>
          <w:szCs w:val="22"/>
        </w:rPr>
        <w:t xml:space="preserve">have reduced inshore seagrass condition and to a degree undermined seagrass resilience. </w:t>
      </w:r>
    </w:p>
    <w:p w14:paraId="1FDF1B13" w14:textId="4296F2E9" w:rsidR="005742C2" w:rsidRPr="00CB093C" w:rsidRDefault="005F204E" w:rsidP="005F204E">
      <w:pPr>
        <w:autoSpaceDE w:val="0"/>
        <w:autoSpaceDN w:val="0"/>
        <w:adjustRightInd w:val="0"/>
        <w:rPr>
          <w:rFonts w:ascii="Arial" w:hAnsi="Arial" w:cs="Arial"/>
          <w:szCs w:val="22"/>
        </w:rPr>
      </w:pPr>
      <w:r w:rsidRPr="00CB093C">
        <w:rPr>
          <w:rFonts w:ascii="Arial" w:hAnsi="Arial" w:cs="Arial"/>
          <w:szCs w:val="22"/>
        </w:rPr>
        <w:t xml:space="preserve">Four out of the six regions </w:t>
      </w:r>
      <w:r w:rsidR="005742C2" w:rsidRPr="00CB093C">
        <w:rPr>
          <w:rFonts w:ascii="Arial" w:hAnsi="Arial" w:cs="Arial"/>
          <w:szCs w:val="22"/>
        </w:rPr>
        <w:t>this year</w:t>
      </w:r>
      <w:r w:rsidRPr="00CB093C">
        <w:rPr>
          <w:rFonts w:ascii="Arial" w:hAnsi="Arial" w:cs="Arial"/>
          <w:szCs w:val="22"/>
        </w:rPr>
        <w:t xml:space="preserve"> have an overall seagrass condition grade of poor, with an additional region graded very poor. Of particular concern is that reproductive effort remains well below historical levels across Cape York and the southern regions. Furthermore, most reef sites have no seed banks making them highly vulnerable to future disturbances. </w:t>
      </w:r>
    </w:p>
    <w:p w14:paraId="56D56A28" w14:textId="5B85C849" w:rsidR="005F204E" w:rsidRPr="00CB093C" w:rsidRDefault="005F204E" w:rsidP="005F204E">
      <w:pPr>
        <w:autoSpaceDE w:val="0"/>
        <w:autoSpaceDN w:val="0"/>
        <w:adjustRightInd w:val="0"/>
        <w:rPr>
          <w:rFonts w:ascii="Arial" w:hAnsi="Arial" w:cs="Arial"/>
          <w:szCs w:val="22"/>
        </w:rPr>
      </w:pPr>
      <w:r w:rsidRPr="00CB093C">
        <w:rPr>
          <w:rFonts w:ascii="Arial" w:hAnsi="Arial" w:cs="Arial"/>
          <w:szCs w:val="22"/>
        </w:rPr>
        <w:t xml:space="preserve">The </w:t>
      </w:r>
      <w:r w:rsidR="005742C2" w:rsidRPr="00CB093C">
        <w:rPr>
          <w:rFonts w:ascii="Arial" w:hAnsi="Arial" w:cs="Arial"/>
          <w:szCs w:val="22"/>
        </w:rPr>
        <w:t xml:space="preserve">Reef </w:t>
      </w:r>
      <w:r w:rsidRPr="00CB093C">
        <w:rPr>
          <w:rFonts w:ascii="Arial" w:hAnsi="Arial" w:cs="Arial"/>
          <w:szCs w:val="22"/>
        </w:rPr>
        <w:t xml:space="preserve">is characterised by ongoing cumulative impacts and dynamic seagrass meadows. Intensifying pressures are slowing recovery but also increasing the need for meadow resilience. Water quality improvements that can be gained by land management initiatives (such as </w:t>
      </w:r>
      <w:r w:rsidR="00FA4141" w:rsidRPr="00CB093C">
        <w:rPr>
          <w:rFonts w:ascii="Arial" w:hAnsi="Arial" w:cs="Arial"/>
          <w:szCs w:val="22"/>
        </w:rPr>
        <w:t xml:space="preserve">the </w:t>
      </w:r>
      <w:r w:rsidR="00FA4141" w:rsidRPr="00CB093C">
        <w:rPr>
          <w:rFonts w:ascii="Arial" w:hAnsi="Arial" w:cs="Arial"/>
          <w:color w:val="000000" w:themeColor="text1"/>
          <w:szCs w:val="22"/>
        </w:rPr>
        <w:t>Paddock to Reef program</w:t>
      </w:r>
      <w:r w:rsidRPr="00CB093C">
        <w:rPr>
          <w:rFonts w:ascii="Arial" w:hAnsi="Arial" w:cs="Arial"/>
          <w:szCs w:val="22"/>
        </w:rPr>
        <w:t xml:space="preserve">), will help to relieve the pressure from these impacts and improve meadow </w:t>
      </w:r>
      <w:r w:rsidR="005742C2" w:rsidRPr="00CB093C">
        <w:rPr>
          <w:rFonts w:ascii="Arial" w:hAnsi="Arial" w:cs="Arial"/>
          <w:szCs w:val="22"/>
        </w:rPr>
        <w:t xml:space="preserve">condition </w:t>
      </w:r>
      <w:r w:rsidR="00FA4141" w:rsidRPr="00CB093C">
        <w:rPr>
          <w:rFonts w:ascii="Arial" w:hAnsi="Arial" w:cs="Arial"/>
          <w:szCs w:val="22"/>
        </w:rPr>
        <w:t>and</w:t>
      </w:r>
      <w:r w:rsidR="005742C2" w:rsidRPr="00CB093C">
        <w:rPr>
          <w:rFonts w:ascii="Arial" w:hAnsi="Arial" w:cs="Arial"/>
          <w:szCs w:val="22"/>
        </w:rPr>
        <w:t xml:space="preserve"> </w:t>
      </w:r>
      <w:r w:rsidRPr="00CB093C">
        <w:rPr>
          <w:rFonts w:ascii="Arial" w:hAnsi="Arial" w:cs="Arial"/>
          <w:szCs w:val="22"/>
        </w:rPr>
        <w:t>resilience.</w:t>
      </w:r>
    </w:p>
    <w:p w14:paraId="49E200BC" w14:textId="6EA865D7" w:rsidR="00C84483" w:rsidRPr="00CB093C" w:rsidRDefault="001D19FF" w:rsidP="004D59D6">
      <w:pPr>
        <w:rPr>
          <w:rFonts w:ascii="Arial" w:hAnsi="Arial" w:cs="Arial"/>
          <w:i/>
          <w:color w:val="000000" w:themeColor="text1"/>
          <w:szCs w:val="22"/>
        </w:rPr>
      </w:pPr>
      <w:r w:rsidRPr="00CB093C">
        <w:rPr>
          <w:rFonts w:ascii="Arial" w:hAnsi="Arial" w:cs="Arial"/>
          <w:i/>
          <w:color w:val="000000" w:themeColor="text1"/>
          <w:szCs w:val="22"/>
        </w:rPr>
        <w:t>Case studies</w:t>
      </w:r>
    </w:p>
    <w:p w14:paraId="5065DBA7" w14:textId="04E6B3BE" w:rsidR="001D19FF" w:rsidRPr="00CB093C" w:rsidRDefault="00A73116" w:rsidP="00C84483">
      <w:pPr>
        <w:rPr>
          <w:rFonts w:ascii="Arial" w:hAnsi="Arial" w:cs="Arial"/>
        </w:rPr>
      </w:pPr>
      <w:r w:rsidRPr="00CB093C">
        <w:rPr>
          <w:rFonts w:ascii="Arial" w:hAnsi="Arial" w:cs="Arial"/>
        </w:rPr>
        <w:t xml:space="preserve">Annual case studies are conducted as part of the program every year. Case study one describes </w:t>
      </w:r>
      <w:r w:rsidR="00476CC6" w:rsidRPr="00CB093C">
        <w:rPr>
          <w:rFonts w:ascii="Arial" w:hAnsi="Arial" w:cs="Arial"/>
        </w:rPr>
        <w:t xml:space="preserve">“developing </w:t>
      </w:r>
      <w:r w:rsidR="001D19FF" w:rsidRPr="00CB093C">
        <w:rPr>
          <w:rFonts w:ascii="Arial" w:hAnsi="Arial" w:cs="Arial"/>
        </w:rPr>
        <w:t>a computer program to predict cumulative light and temperature stress on seagrass in the Great Barrier Reef</w:t>
      </w:r>
      <w:r w:rsidR="00476CC6" w:rsidRPr="00CB093C">
        <w:rPr>
          <w:rFonts w:ascii="Arial" w:hAnsi="Arial" w:cs="Arial"/>
        </w:rPr>
        <w:t>”</w:t>
      </w:r>
      <w:r w:rsidR="001D19FF" w:rsidRPr="00CB093C">
        <w:rPr>
          <w:rFonts w:ascii="Arial" w:hAnsi="Arial" w:cs="Arial"/>
        </w:rPr>
        <w:t>.</w:t>
      </w:r>
      <w:r w:rsidR="008245E3" w:rsidRPr="00CB093C">
        <w:rPr>
          <w:rFonts w:ascii="Arial" w:hAnsi="Arial" w:cs="Arial"/>
        </w:rPr>
        <w:t xml:space="preserve"> </w:t>
      </w:r>
      <w:r w:rsidR="00CB2F40" w:rsidRPr="00CB093C">
        <w:rPr>
          <w:rFonts w:ascii="Arial" w:hAnsi="Arial" w:cs="Arial"/>
        </w:rPr>
        <w:t xml:space="preserve">The cumulative stress index </w:t>
      </w:r>
      <w:r w:rsidR="008245E3" w:rsidRPr="00CB093C">
        <w:rPr>
          <w:rFonts w:ascii="Arial" w:hAnsi="Arial" w:cs="Arial"/>
        </w:rPr>
        <w:t>relate</w:t>
      </w:r>
      <w:r w:rsidR="00CB2F40" w:rsidRPr="00CB093C">
        <w:rPr>
          <w:rFonts w:ascii="Arial" w:hAnsi="Arial" w:cs="Arial"/>
        </w:rPr>
        <w:t>d</w:t>
      </w:r>
      <w:r w:rsidR="008245E3" w:rsidRPr="00CB093C">
        <w:rPr>
          <w:rFonts w:ascii="Arial" w:hAnsi="Arial" w:cs="Arial"/>
        </w:rPr>
        <w:t xml:space="preserve"> to variation in the </w:t>
      </w:r>
      <w:r w:rsidR="008245E3" w:rsidRPr="00CB093C">
        <w:rPr>
          <w:rFonts w:ascii="Arial" w:hAnsi="Arial" w:cs="Arial"/>
        </w:rPr>
        <w:lastRenderedPageBreak/>
        <w:t>abundance indicator (</w:t>
      </w:r>
      <w:r w:rsidR="00882B72" w:rsidRPr="00CB093C">
        <w:rPr>
          <w:rFonts w:ascii="Arial" w:hAnsi="Arial" w:cs="Arial"/>
        </w:rPr>
        <w:t>per cent</w:t>
      </w:r>
      <w:r w:rsidR="008245E3" w:rsidRPr="00CB093C">
        <w:rPr>
          <w:rFonts w:ascii="Arial" w:hAnsi="Arial" w:cs="Arial"/>
        </w:rPr>
        <w:t xml:space="preserve"> cover) and the seagrass index</w:t>
      </w:r>
      <w:r w:rsidR="00CB2F40" w:rsidRPr="00CB093C">
        <w:rPr>
          <w:rFonts w:ascii="Arial" w:hAnsi="Arial" w:cs="Arial"/>
        </w:rPr>
        <w:t>, but further validation is required</w:t>
      </w:r>
      <w:r w:rsidR="008245E3" w:rsidRPr="00CB093C">
        <w:rPr>
          <w:rFonts w:ascii="Arial" w:hAnsi="Arial" w:cs="Arial"/>
        </w:rPr>
        <w:t>.</w:t>
      </w:r>
      <w:r w:rsidR="00CB2F40" w:rsidRPr="00CB093C">
        <w:rPr>
          <w:rFonts w:ascii="Arial" w:hAnsi="Arial" w:cs="Arial"/>
        </w:rPr>
        <w:t xml:space="preserve"> A simple user interface to the complex underlying model was developed, enabling the cumulative stress index to be easily calculated for any year with appropriate temperature and light input data.</w:t>
      </w:r>
    </w:p>
    <w:p w14:paraId="23C0974C" w14:textId="001683E2" w:rsidR="00355DF2" w:rsidRPr="00CB093C" w:rsidRDefault="00A73116" w:rsidP="00355DF2">
      <w:pPr>
        <w:rPr>
          <w:rFonts w:ascii="Arial" w:hAnsi="Arial" w:cs="Arial"/>
        </w:rPr>
      </w:pPr>
      <w:r w:rsidRPr="00CB093C">
        <w:rPr>
          <w:rFonts w:ascii="Arial" w:hAnsi="Arial" w:cs="Arial"/>
        </w:rPr>
        <w:t xml:space="preserve">Case study two </w:t>
      </w:r>
      <w:r w:rsidR="00476CC6" w:rsidRPr="00CB093C">
        <w:rPr>
          <w:rFonts w:ascii="Arial" w:hAnsi="Arial" w:cs="Arial"/>
        </w:rPr>
        <w:t>investigated</w:t>
      </w:r>
      <w:r w:rsidRPr="00CB093C">
        <w:rPr>
          <w:rFonts w:ascii="Arial" w:hAnsi="Arial" w:cs="Arial"/>
        </w:rPr>
        <w:t xml:space="preserve"> </w:t>
      </w:r>
      <w:r w:rsidR="00476CC6" w:rsidRPr="00CB093C">
        <w:rPr>
          <w:rFonts w:ascii="Arial" w:hAnsi="Arial" w:cs="Arial"/>
        </w:rPr>
        <w:t>“</w:t>
      </w:r>
      <w:r w:rsidRPr="00CB093C">
        <w:rPr>
          <w:rFonts w:ascii="Arial" w:hAnsi="Arial" w:cs="Arial"/>
        </w:rPr>
        <w:t>r</w:t>
      </w:r>
      <w:r w:rsidR="001D19FF" w:rsidRPr="00CB093C">
        <w:rPr>
          <w:rFonts w:ascii="Arial" w:hAnsi="Arial" w:cs="Arial"/>
        </w:rPr>
        <w:t>eproductive effort as a predictor of future seagrass cover: Model assessment and implications for report card metrics and the development of a seagrass resilience indicator</w:t>
      </w:r>
      <w:r w:rsidR="00476CC6" w:rsidRPr="00CB093C">
        <w:rPr>
          <w:rFonts w:ascii="Arial" w:hAnsi="Arial" w:cs="Arial"/>
        </w:rPr>
        <w:t>”</w:t>
      </w:r>
      <w:r w:rsidR="001D19FF" w:rsidRPr="00CB093C">
        <w:rPr>
          <w:rFonts w:ascii="Arial" w:hAnsi="Arial" w:cs="Arial"/>
        </w:rPr>
        <w:t>.</w:t>
      </w:r>
      <w:r w:rsidR="00355DF2" w:rsidRPr="00CB093C">
        <w:rPr>
          <w:rFonts w:ascii="Arial" w:hAnsi="Arial" w:cs="Arial"/>
        </w:rPr>
        <w:t xml:space="preserve"> The main findings were that percent cover of seagrass in the previous year provides the best predictor of seagrass cover. Reproductive effort was also an important indicator, but due to low power in this indicator, there may need to be reduced weighting of this in the report card. Additional recommendation</w:t>
      </w:r>
      <w:r w:rsidR="00266EB6" w:rsidRPr="00CB093C">
        <w:rPr>
          <w:rFonts w:ascii="Arial" w:hAnsi="Arial" w:cs="Arial"/>
        </w:rPr>
        <w:t>s</w:t>
      </w:r>
      <w:r w:rsidR="00355DF2" w:rsidRPr="00CB093C">
        <w:rPr>
          <w:rFonts w:ascii="Arial" w:hAnsi="Arial" w:cs="Arial"/>
        </w:rPr>
        <w:t xml:space="preserve"> for development of a resilience indicator are discussed.</w:t>
      </w:r>
      <w:r w:rsidR="00355DF2" w:rsidRPr="00CB093C">
        <w:rPr>
          <w:rFonts w:ascii="Arial" w:hAnsi="Arial" w:cs="Arial"/>
          <w:b/>
        </w:rPr>
        <w:t xml:space="preserve"> </w:t>
      </w:r>
    </w:p>
    <w:p w14:paraId="039B7496" w14:textId="77777777" w:rsidR="00CF1B38" w:rsidRDefault="00CF1B38" w:rsidP="00C84483">
      <w:pPr>
        <w:rPr>
          <w:rFonts w:ascii="Arial" w:hAnsi="Arial" w:cs="Arial"/>
        </w:rPr>
        <w:sectPr w:rsidR="00CF1B38" w:rsidSect="002B0842">
          <w:headerReference w:type="even" r:id="rId33"/>
          <w:headerReference w:type="default" r:id="rId34"/>
          <w:footerReference w:type="default" r:id="rId35"/>
          <w:headerReference w:type="first" r:id="rId36"/>
          <w:footerReference w:type="first" r:id="rId37"/>
          <w:pgSz w:w="11900" w:h="16840" w:code="9"/>
          <w:pgMar w:top="1418" w:right="1418" w:bottom="1418" w:left="1418" w:header="709" w:footer="709" w:gutter="0"/>
          <w:pgNumType w:start="1"/>
          <w:cols w:space="708"/>
          <w:docGrid w:linePitch="360"/>
        </w:sectPr>
      </w:pPr>
    </w:p>
    <w:p w14:paraId="0CA1A648" w14:textId="33A2D905" w:rsidR="003D1F7F" w:rsidRPr="00CB093C" w:rsidRDefault="000233D2" w:rsidP="0015509E">
      <w:pPr>
        <w:pStyle w:val="Heading1"/>
      </w:pPr>
      <w:bookmarkStart w:id="16" w:name="_Toc11394688"/>
      <w:bookmarkStart w:id="17" w:name="_Toc232845889"/>
      <w:bookmarkStart w:id="18" w:name="_Toc184101942"/>
      <w:bookmarkStart w:id="19" w:name="_Toc175991039"/>
      <w:bookmarkStart w:id="20" w:name="_Toc232845891"/>
      <w:bookmarkStart w:id="21" w:name="_Toc184101944"/>
      <w:bookmarkStart w:id="22" w:name="_Toc431493734"/>
      <w:bookmarkEnd w:id="11"/>
      <w:bookmarkEnd w:id="12"/>
      <w:bookmarkEnd w:id="13"/>
      <w:r w:rsidRPr="0015509E">
        <w:lastRenderedPageBreak/>
        <w:t>Introduction</w:t>
      </w:r>
      <w:bookmarkEnd w:id="16"/>
    </w:p>
    <w:bookmarkEnd w:id="17"/>
    <w:bookmarkEnd w:id="18"/>
    <w:p w14:paraId="70185A6F" w14:textId="395578F8" w:rsidR="005306B4" w:rsidRPr="00CB093C" w:rsidRDefault="000806A8" w:rsidP="005306B4">
      <w:pPr>
        <w:spacing w:before="240"/>
        <w:rPr>
          <w:rFonts w:ascii="Arial" w:hAnsi="Arial" w:cs="Arial"/>
          <w:szCs w:val="22"/>
          <w:lang w:eastAsia="en-AU"/>
        </w:rPr>
      </w:pPr>
      <w:r w:rsidRPr="00CB093C">
        <w:rPr>
          <w:rFonts w:ascii="Arial" w:hAnsi="Arial" w:cs="Arial"/>
          <w:color w:val="000000" w:themeColor="text1"/>
          <w:szCs w:val="22"/>
          <w:lang w:eastAsia="en-AU"/>
        </w:rPr>
        <w:t>Approximately 3,</w:t>
      </w:r>
      <w:r w:rsidR="00DE0025" w:rsidRPr="00CB093C">
        <w:rPr>
          <w:rFonts w:ascii="Arial" w:hAnsi="Arial" w:cs="Arial"/>
          <w:color w:val="000000" w:themeColor="text1"/>
          <w:szCs w:val="22"/>
          <w:lang w:eastAsia="en-AU"/>
        </w:rPr>
        <w:t>464</w:t>
      </w:r>
      <w:r w:rsidRPr="00CB093C">
        <w:rPr>
          <w:rFonts w:ascii="Arial" w:hAnsi="Arial" w:cs="Arial"/>
          <w:color w:val="000000" w:themeColor="text1"/>
          <w:szCs w:val="22"/>
          <w:lang w:eastAsia="en-AU"/>
        </w:rPr>
        <w:t xml:space="preserve"> km</w:t>
      </w:r>
      <w:r w:rsidRPr="00CB093C">
        <w:rPr>
          <w:rFonts w:ascii="Arial" w:hAnsi="Arial" w:cs="Arial"/>
          <w:color w:val="000000" w:themeColor="text1"/>
          <w:szCs w:val="22"/>
          <w:vertAlign w:val="superscript"/>
          <w:lang w:eastAsia="en-AU"/>
        </w:rPr>
        <w:t>2</w:t>
      </w:r>
      <w:r w:rsidRPr="00CB093C">
        <w:rPr>
          <w:rFonts w:ascii="Arial" w:hAnsi="Arial" w:cs="Arial"/>
          <w:color w:val="000000" w:themeColor="text1"/>
          <w:szCs w:val="22"/>
          <w:lang w:eastAsia="en-AU"/>
        </w:rPr>
        <w:t xml:space="preserve"> of inshore seagrass meadows has been mapped in Great Barrier Reef World Heritage Area (</w:t>
      </w:r>
      <w:r w:rsidR="00E71D68" w:rsidRPr="00CB093C">
        <w:rPr>
          <w:rFonts w:ascii="Arial" w:hAnsi="Arial" w:cs="Arial"/>
          <w:color w:val="000000" w:themeColor="text1"/>
          <w:szCs w:val="22"/>
          <w:lang w:eastAsia="en-AU"/>
        </w:rPr>
        <w:t>the World Heritage Area</w:t>
      </w:r>
      <w:r w:rsidRPr="00CB093C">
        <w:rPr>
          <w:rFonts w:ascii="Arial" w:hAnsi="Arial" w:cs="Arial"/>
          <w:color w:val="000000" w:themeColor="text1"/>
          <w:szCs w:val="22"/>
          <w:lang w:eastAsia="en-AU"/>
        </w:rPr>
        <w:t>) in waters shallower than 15</w:t>
      </w:r>
      <w:r w:rsidR="00E71D68" w:rsidRPr="00CB093C">
        <w:rPr>
          <w:rFonts w:ascii="Arial" w:hAnsi="Arial" w:cs="Arial"/>
          <w:color w:val="000000" w:themeColor="text1"/>
          <w:szCs w:val="22"/>
          <w:lang w:eastAsia="en-AU"/>
        </w:rPr>
        <w:t xml:space="preserve"> </w:t>
      </w:r>
      <w:r w:rsidRPr="00CB093C">
        <w:rPr>
          <w:rFonts w:ascii="Arial" w:hAnsi="Arial" w:cs="Arial"/>
          <w:color w:val="000000" w:themeColor="text1"/>
          <w:szCs w:val="22"/>
          <w:lang w:eastAsia="en-AU"/>
        </w:rPr>
        <w:t>m</w:t>
      </w:r>
      <w:r w:rsidR="00DE0025" w:rsidRPr="00CB093C">
        <w:rPr>
          <w:rFonts w:ascii="Arial" w:hAnsi="Arial" w:cs="Arial"/>
          <w:color w:val="000000" w:themeColor="text1"/>
          <w:szCs w:val="22"/>
          <w:lang w:eastAsia="en-AU"/>
        </w:rPr>
        <w:t xml:space="preserve"> (</w:t>
      </w:r>
      <w:r w:rsidR="00DE0025" w:rsidRPr="00CB093C">
        <w:rPr>
          <w:rFonts w:ascii="Arial" w:hAnsi="Arial" w:cs="Arial"/>
          <w:color w:val="000000" w:themeColor="text1"/>
        </w:rPr>
        <w:fldChar w:fldCharType="begin">
          <w:fldData xml:space="preserve">PEVuZE5vdGU+PENpdGU+PEF1dGhvcj5DYXJ0ZXI8L0F1dGhvcj48WWVhcj4yMDE2PC9ZZWFyPjxS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</w:fldData>
        </w:fldChar>
      </w:r>
      <w:r w:rsidR="00B63A1C" w:rsidRPr="00CB093C">
        <w:rPr>
          <w:rFonts w:ascii="Arial" w:hAnsi="Arial" w:cs="Arial"/>
          <w:color w:val="000000" w:themeColor="text1"/>
        </w:rPr>
        <w:instrText xml:space="preserve"> ADDIN EN.CITE </w:instrText>
      </w:r>
      <w:r w:rsidR="00B63A1C" w:rsidRPr="00CB093C">
        <w:rPr>
          <w:rFonts w:ascii="Arial" w:hAnsi="Arial" w:cs="Arial"/>
          <w:color w:val="000000" w:themeColor="text1"/>
        </w:rPr>
        <w:fldChar w:fldCharType="begin">
          <w:fldData xml:space="preserve">PEVuZE5vdGU+PENpdGU+PEF1dGhvcj5DYXJ0ZXI8L0F1dGhvcj48WWVhcj4yMDE2PC9ZZWFyPjxS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</w:fldData>
        </w:fldChar>
      </w:r>
      <w:r w:rsidR="00B63A1C" w:rsidRPr="00CB093C">
        <w:rPr>
          <w:rFonts w:ascii="Arial" w:hAnsi="Arial" w:cs="Arial"/>
          <w:color w:val="000000" w:themeColor="text1"/>
        </w:rPr>
        <w:instrText xml:space="preserve"> ADDIN EN.CITE.DATA </w:instrText>
      </w:r>
      <w:r w:rsidR="00B63A1C" w:rsidRPr="00CB093C">
        <w:rPr>
          <w:rFonts w:ascii="Arial" w:hAnsi="Arial" w:cs="Arial"/>
          <w:color w:val="000000" w:themeColor="text1"/>
        </w:rPr>
      </w:r>
      <w:r w:rsidR="00B63A1C" w:rsidRPr="00CB093C">
        <w:rPr>
          <w:rFonts w:ascii="Arial" w:hAnsi="Arial" w:cs="Arial"/>
          <w:color w:val="000000" w:themeColor="text1"/>
        </w:rPr>
        <w:fldChar w:fldCharType="end"/>
      </w:r>
      <w:r w:rsidR="00DE0025" w:rsidRPr="00CB093C">
        <w:rPr>
          <w:rFonts w:ascii="Arial" w:hAnsi="Arial" w:cs="Arial"/>
          <w:color w:val="000000" w:themeColor="text1"/>
        </w:rPr>
      </w:r>
      <w:r w:rsidR="00DE0025" w:rsidRPr="00CB093C">
        <w:rPr>
          <w:rFonts w:ascii="Arial" w:hAnsi="Arial" w:cs="Arial"/>
          <w:color w:val="000000" w:themeColor="text1"/>
        </w:rPr>
        <w:fldChar w:fldCharType="separate"/>
      </w:r>
      <w:hyperlink w:anchor="_ENREF_110" w:tooltip="McKenzie, 2014 #9961" w:history="1">
        <w:r w:rsidR="00513C39" w:rsidRPr="00CB093C">
          <w:rPr>
            <w:rFonts w:ascii="Arial" w:hAnsi="Arial" w:cs="Arial"/>
            <w:noProof/>
            <w:color w:val="000000" w:themeColor="text1"/>
          </w:rPr>
          <w:t>McKenzie</w:t>
        </w:r>
        <w:r w:rsidR="00513C39" w:rsidRPr="00CB093C">
          <w:rPr>
            <w:rFonts w:ascii="Arial" w:hAnsi="Arial" w:cs="Arial"/>
            <w:i/>
            <w:noProof/>
            <w:color w:val="000000" w:themeColor="text1"/>
          </w:rPr>
          <w:t xml:space="preserve"> et al.</w:t>
        </w:r>
        <w:r w:rsidR="00513C39" w:rsidRPr="00CB093C">
          <w:rPr>
            <w:rFonts w:ascii="Arial" w:hAnsi="Arial" w:cs="Arial"/>
            <w:noProof/>
            <w:color w:val="000000" w:themeColor="text1"/>
          </w:rPr>
          <w:t xml:space="preserve"> 2014c</w:t>
        </w:r>
      </w:hyperlink>
      <w:r w:rsidR="00B63A1C" w:rsidRPr="00CB093C">
        <w:rPr>
          <w:rFonts w:ascii="Arial" w:hAnsi="Arial" w:cs="Arial"/>
          <w:noProof/>
          <w:color w:val="000000" w:themeColor="text1"/>
        </w:rPr>
        <w:t xml:space="preserve">; </w:t>
      </w:r>
      <w:hyperlink w:anchor="_ENREF_135" w:tooltip="Saunders, 2015 #10291" w:history="1">
        <w:r w:rsidR="00513C39" w:rsidRPr="00CB093C">
          <w:rPr>
            <w:rFonts w:ascii="Arial" w:hAnsi="Arial" w:cs="Arial"/>
            <w:noProof/>
            <w:color w:val="000000" w:themeColor="text1"/>
          </w:rPr>
          <w:t>Saunders</w:t>
        </w:r>
        <w:r w:rsidR="00513C39" w:rsidRPr="00CB093C">
          <w:rPr>
            <w:rFonts w:ascii="Arial" w:hAnsi="Arial" w:cs="Arial"/>
            <w:i/>
            <w:noProof/>
            <w:color w:val="000000" w:themeColor="text1"/>
          </w:rPr>
          <w:t xml:space="preserve"> et al.</w:t>
        </w:r>
        <w:r w:rsidR="00513C39" w:rsidRPr="00CB093C">
          <w:rPr>
            <w:rFonts w:ascii="Arial" w:hAnsi="Arial" w:cs="Arial"/>
            <w:noProof/>
            <w:color w:val="000000" w:themeColor="text1"/>
          </w:rPr>
          <w:t xml:space="preserve"> 2015</w:t>
        </w:r>
      </w:hyperlink>
      <w:r w:rsidR="00B63A1C" w:rsidRPr="00CB093C">
        <w:rPr>
          <w:rFonts w:ascii="Arial" w:hAnsi="Arial" w:cs="Arial"/>
          <w:noProof/>
          <w:color w:val="000000" w:themeColor="text1"/>
        </w:rPr>
        <w:t xml:space="preserve">; </w:t>
      </w:r>
      <w:hyperlink w:anchor="_ENREF_22" w:tooltip="Carter, 2016 #10578" w:history="1">
        <w:r w:rsidR="00513C39" w:rsidRPr="00CB093C">
          <w:rPr>
            <w:rFonts w:ascii="Arial" w:hAnsi="Arial" w:cs="Arial"/>
            <w:noProof/>
            <w:color w:val="000000" w:themeColor="text1"/>
          </w:rPr>
          <w:t>Carter</w:t>
        </w:r>
        <w:r w:rsidR="00513C39" w:rsidRPr="00CB093C">
          <w:rPr>
            <w:rFonts w:ascii="Arial" w:hAnsi="Arial" w:cs="Arial"/>
            <w:i/>
            <w:noProof/>
            <w:color w:val="000000" w:themeColor="text1"/>
          </w:rPr>
          <w:t xml:space="preserve"> et al.</w:t>
        </w:r>
        <w:r w:rsidR="00513C39" w:rsidRPr="00CB093C">
          <w:rPr>
            <w:rFonts w:ascii="Arial" w:hAnsi="Arial" w:cs="Arial"/>
            <w:noProof/>
            <w:color w:val="000000" w:themeColor="text1"/>
          </w:rPr>
          <w:t xml:space="preserve"> 2016</w:t>
        </w:r>
      </w:hyperlink>
      <w:r w:rsidR="00B63A1C" w:rsidRPr="00CB093C">
        <w:rPr>
          <w:rFonts w:ascii="Arial" w:hAnsi="Arial" w:cs="Arial"/>
          <w:noProof/>
          <w:color w:val="000000" w:themeColor="text1"/>
        </w:rPr>
        <w:t xml:space="preserve">; </w:t>
      </w:r>
      <w:hyperlink w:anchor="_ENREF_103" w:tooltip="McKenzie, 2016 #10579" w:history="1">
        <w:r w:rsidR="00513C39" w:rsidRPr="00CB093C">
          <w:rPr>
            <w:rFonts w:ascii="Arial" w:hAnsi="Arial" w:cs="Arial"/>
            <w:noProof/>
            <w:color w:val="000000" w:themeColor="text1"/>
          </w:rPr>
          <w:t>McKenzie</w:t>
        </w:r>
        <w:r w:rsidR="00513C39" w:rsidRPr="00CB093C">
          <w:rPr>
            <w:rFonts w:ascii="Arial" w:hAnsi="Arial" w:cs="Arial"/>
            <w:i/>
            <w:noProof/>
            <w:color w:val="000000" w:themeColor="text1"/>
          </w:rPr>
          <w:t xml:space="preserve"> et al.</w:t>
        </w:r>
        <w:r w:rsidR="00513C39" w:rsidRPr="00CB093C">
          <w:rPr>
            <w:rFonts w:ascii="Arial" w:hAnsi="Arial" w:cs="Arial"/>
            <w:noProof/>
            <w:color w:val="000000" w:themeColor="text1"/>
          </w:rPr>
          <w:t xml:space="preserve"> 2016</w:t>
        </w:r>
      </w:hyperlink>
      <w:r w:rsidR="00DE0025" w:rsidRPr="00CB093C">
        <w:rPr>
          <w:rFonts w:ascii="Arial" w:hAnsi="Arial" w:cs="Arial"/>
          <w:color w:val="000000" w:themeColor="text1"/>
        </w:rPr>
        <w:fldChar w:fldCharType="end"/>
      </w:r>
      <w:r w:rsidR="00DE0025" w:rsidRPr="00CB093C">
        <w:rPr>
          <w:rFonts w:ascii="Arial" w:hAnsi="Arial" w:cs="Arial"/>
          <w:color w:val="000000" w:themeColor="text1"/>
        </w:rPr>
        <w:t>; C. Howley, Unpublished data</w:t>
      </w:r>
      <w:r w:rsidR="00DE0025" w:rsidRPr="00CB093C">
        <w:rPr>
          <w:rFonts w:ascii="Arial" w:hAnsi="Arial" w:cs="Arial"/>
          <w:color w:val="000000" w:themeColor="text1"/>
          <w:szCs w:val="22"/>
          <w:lang w:eastAsia="en-AU"/>
        </w:rPr>
        <w:t>)</w:t>
      </w:r>
      <w:r w:rsidR="000563CC" w:rsidRPr="00CB093C">
        <w:rPr>
          <w:rFonts w:ascii="Arial" w:hAnsi="Arial" w:cs="Arial"/>
          <w:color w:val="000000" w:themeColor="text1"/>
          <w:szCs w:val="22"/>
          <w:lang w:eastAsia="en-AU"/>
        </w:rPr>
        <w:t xml:space="preserve"> (</w:t>
      </w:r>
      <w:r w:rsidR="000563CC" w:rsidRPr="00CB093C">
        <w:rPr>
          <w:rFonts w:ascii="Arial" w:hAnsi="Arial" w:cs="Arial"/>
          <w:color w:val="000000" w:themeColor="text1"/>
          <w:szCs w:val="22"/>
          <w:lang w:eastAsia="en-AU"/>
        </w:rPr>
        <w:fldChar w:fldCharType="begin"/>
      </w:r>
      <w:r w:rsidR="000563CC" w:rsidRPr="00CB093C">
        <w:rPr>
          <w:rFonts w:ascii="Arial" w:hAnsi="Arial" w:cs="Arial"/>
          <w:color w:val="000000" w:themeColor="text1"/>
          <w:szCs w:val="22"/>
          <w:lang w:eastAsia="en-AU"/>
        </w:rPr>
        <w:instrText xml:space="preserve"> REF _Ref472590595 \h </w:instrText>
      </w:r>
      <w:r w:rsidR="00DA741D" w:rsidRPr="00CB093C">
        <w:rPr>
          <w:rFonts w:ascii="Arial" w:hAnsi="Arial" w:cs="Arial"/>
          <w:color w:val="000000" w:themeColor="text1"/>
          <w:szCs w:val="22"/>
          <w:lang w:eastAsia="en-AU"/>
        </w:rPr>
        <w:instrText xml:space="preserve"> \* MERGEFORMAT </w:instrText>
      </w:r>
      <w:r w:rsidR="000563CC" w:rsidRPr="00CB093C">
        <w:rPr>
          <w:rFonts w:ascii="Arial" w:hAnsi="Arial" w:cs="Arial"/>
          <w:color w:val="000000" w:themeColor="text1"/>
          <w:szCs w:val="22"/>
          <w:lang w:eastAsia="en-AU"/>
        </w:rPr>
      </w:r>
      <w:r w:rsidR="000563CC" w:rsidRPr="00CB093C">
        <w:rPr>
          <w:rFonts w:ascii="Arial" w:hAnsi="Arial" w:cs="Arial"/>
          <w:color w:val="000000" w:themeColor="text1"/>
          <w:szCs w:val="22"/>
          <w:lang w:eastAsia="en-AU"/>
        </w:rPr>
        <w:fldChar w:fldCharType="separate"/>
      </w:r>
      <w:r w:rsidR="005F00D4" w:rsidRPr="005F00D4">
        <w:rPr>
          <w:rFonts w:ascii="Arial" w:hAnsi="Arial" w:cs="Arial"/>
        </w:rPr>
        <w:t xml:space="preserve">Figure </w:t>
      </w:r>
      <w:r w:rsidR="005F00D4" w:rsidRPr="005F00D4">
        <w:rPr>
          <w:rFonts w:ascii="Arial" w:hAnsi="Arial" w:cs="Arial"/>
          <w:noProof/>
        </w:rPr>
        <w:t>2</w:t>
      </w:r>
      <w:r w:rsidR="000563CC" w:rsidRPr="00CB093C">
        <w:rPr>
          <w:rFonts w:ascii="Arial" w:hAnsi="Arial" w:cs="Arial"/>
          <w:color w:val="000000" w:themeColor="text1"/>
          <w:szCs w:val="22"/>
          <w:lang w:eastAsia="en-AU"/>
        </w:rPr>
        <w:fldChar w:fldCharType="end"/>
      </w:r>
      <w:r w:rsidR="000563CC" w:rsidRPr="00CB093C">
        <w:rPr>
          <w:rFonts w:ascii="Arial" w:hAnsi="Arial" w:cs="Arial"/>
          <w:color w:val="000000" w:themeColor="text1"/>
          <w:szCs w:val="22"/>
          <w:lang w:eastAsia="en-AU"/>
        </w:rPr>
        <w:t>)</w:t>
      </w:r>
      <w:r w:rsidRPr="00CB093C">
        <w:rPr>
          <w:rFonts w:ascii="Arial" w:hAnsi="Arial" w:cs="Arial"/>
          <w:color w:val="000000" w:themeColor="text1"/>
          <w:szCs w:val="22"/>
          <w:lang w:eastAsia="en-AU"/>
        </w:rPr>
        <w:t xml:space="preserve">. </w:t>
      </w:r>
      <w:r w:rsidRPr="00CB093C">
        <w:rPr>
          <w:rFonts w:ascii="Arial" w:hAnsi="Arial" w:cs="Arial"/>
          <w:color w:val="000000" w:themeColor="text1"/>
          <w:szCs w:val="22"/>
        </w:rPr>
        <w:t xml:space="preserve">The remaining </w:t>
      </w:r>
      <w:r w:rsidR="00521D93" w:rsidRPr="00CB093C">
        <w:rPr>
          <w:rFonts w:ascii="Arial" w:hAnsi="Arial" w:cs="Arial"/>
          <w:color w:val="000000" w:themeColor="text1"/>
          <w:szCs w:val="22"/>
        </w:rPr>
        <w:t xml:space="preserve">modelled </w:t>
      </w:r>
      <w:r w:rsidRPr="00CB093C">
        <w:rPr>
          <w:rFonts w:ascii="Arial" w:hAnsi="Arial" w:cs="Arial"/>
          <w:color w:val="000000" w:themeColor="text1"/>
          <w:szCs w:val="22"/>
        </w:rPr>
        <w:t>extent (9</w:t>
      </w:r>
      <w:r w:rsidR="00DE0025" w:rsidRPr="00CB093C">
        <w:rPr>
          <w:rFonts w:ascii="Arial" w:hAnsi="Arial" w:cs="Arial"/>
          <w:color w:val="000000" w:themeColor="text1"/>
          <w:szCs w:val="22"/>
        </w:rPr>
        <w:t>0</w:t>
      </w:r>
      <w:r w:rsidR="0063478C" w:rsidRPr="00CB093C">
        <w:rPr>
          <w:rFonts w:ascii="Arial" w:hAnsi="Arial" w:cs="Arial"/>
          <w:color w:val="000000" w:themeColor="text1"/>
          <w:szCs w:val="22"/>
        </w:rPr>
        <w:t xml:space="preserve"> </w:t>
      </w:r>
      <w:r w:rsidR="00882B72" w:rsidRPr="00CB093C">
        <w:rPr>
          <w:rFonts w:ascii="Arial" w:hAnsi="Arial" w:cs="Arial"/>
          <w:color w:val="000000" w:themeColor="text1"/>
          <w:szCs w:val="22"/>
        </w:rPr>
        <w:t>%</w:t>
      </w:r>
      <w:r w:rsidRPr="00CB093C">
        <w:rPr>
          <w:rFonts w:ascii="Arial" w:hAnsi="Arial" w:cs="Arial"/>
          <w:color w:val="000000" w:themeColor="text1"/>
          <w:szCs w:val="22"/>
        </w:rPr>
        <w:t xml:space="preserve"> or </w:t>
      </w:r>
      <w:r w:rsidRPr="00CB093C">
        <w:rPr>
          <w:rFonts w:ascii="Arial" w:hAnsi="Arial" w:cs="Arial"/>
          <w:color w:val="000000" w:themeColor="text1"/>
          <w:szCs w:val="22"/>
          <w:lang w:eastAsia="en-AU"/>
        </w:rPr>
        <w:t>3</w:t>
      </w:r>
      <w:r w:rsidR="00DE0025" w:rsidRPr="00CB093C">
        <w:rPr>
          <w:rFonts w:ascii="Arial" w:hAnsi="Arial" w:cs="Arial"/>
          <w:color w:val="000000" w:themeColor="text1"/>
          <w:szCs w:val="22"/>
          <w:lang w:eastAsia="en-AU"/>
        </w:rPr>
        <w:t>2,335</w:t>
      </w:r>
      <w:r w:rsidRPr="00CB093C">
        <w:rPr>
          <w:rFonts w:ascii="Arial" w:hAnsi="Arial" w:cs="Arial"/>
          <w:color w:val="000000" w:themeColor="text1"/>
          <w:szCs w:val="22"/>
          <w:lang w:eastAsia="en-AU"/>
        </w:rPr>
        <w:t xml:space="preserve"> km</w:t>
      </w:r>
      <w:r w:rsidRPr="00CB093C">
        <w:rPr>
          <w:rFonts w:ascii="Arial" w:hAnsi="Arial" w:cs="Arial"/>
          <w:color w:val="000000" w:themeColor="text1"/>
          <w:szCs w:val="22"/>
          <w:vertAlign w:val="superscript"/>
          <w:lang w:eastAsia="en-AU"/>
        </w:rPr>
        <w:t>2</w:t>
      </w:r>
      <w:r w:rsidRPr="00CB093C">
        <w:rPr>
          <w:rFonts w:ascii="Arial" w:hAnsi="Arial" w:cs="Arial"/>
          <w:color w:val="000000" w:themeColor="text1"/>
          <w:szCs w:val="22"/>
          <w:lang w:eastAsia="en-AU"/>
        </w:rPr>
        <w:t xml:space="preserve">) </w:t>
      </w:r>
      <w:r w:rsidRPr="00CB093C">
        <w:rPr>
          <w:rFonts w:ascii="Arial" w:hAnsi="Arial" w:cs="Arial"/>
          <w:color w:val="000000" w:themeColor="text1"/>
          <w:szCs w:val="22"/>
        </w:rPr>
        <w:t xml:space="preserve">of seagrass in the </w:t>
      </w:r>
      <w:r w:rsidR="009C2E98" w:rsidRPr="00CB093C">
        <w:rPr>
          <w:rFonts w:ascii="Arial" w:hAnsi="Arial" w:cs="Arial"/>
          <w:color w:val="000000" w:themeColor="text1"/>
          <w:szCs w:val="22"/>
        </w:rPr>
        <w:t>World Heritage Area</w:t>
      </w:r>
      <w:r w:rsidRPr="00CB093C">
        <w:rPr>
          <w:rFonts w:ascii="Arial" w:hAnsi="Arial" w:cs="Arial"/>
          <w:color w:val="000000" w:themeColor="text1"/>
          <w:szCs w:val="22"/>
        </w:rPr>
        <w:t xml:space="preserve"> is located in the deeper waters (&gt;15</w:t>
      </w:r>
      <w:r w:rsidR="00E71D68" w:rsidRPr="00CB093C">
        <w:rPr>
          <w:rFonts w:ascii="Arial" w:hAnsi="Arial" w:cs="Arial"/>
          <w:color w:val="000000" w:themeColor="text1"/>
          <w:szCs w:val="22"/>
        </w:rPr>
        <w:t xml:space="preserve"> </w:t>
      </w:r>
      <w:r w:rsidRPr="00CB093C">
        <w:rPr>
          <w:rFonts w:ascii="Arial" w:hAnsi="Arial" w:cs="Arial"/>
          <w:color w:val="000000" w:themeColor="text1"/>
          <w:szCs w:val="22"/>
        </w:rPr>
        <w:t>m) of the lagoon (</w:t>
      </w:r>
      <w:r w:rsidR="005B0C7C" w:rsidRPr="00CB093C">
        <w:rPr>
          <w:rFonts w:ascii="Arial" w:hAnsi="Arial" w:cs="Arial"/>
          <w:color w:val="000000" w:themeColor="text1"/>
          <w:szCs w:val="22"/>
        </w:rPr>
        <w:fldChar w:fldCharType="begin">
          <w:fldData xml:space="preserve">PEVuZE5vdGU+PENpdGU+PEF1dGhvcj5Db2xlczwvQXV0aG9yPjxZZWFyPjIwMDk8L1llYXI+PFJl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</w:fldData>
        </w:fldChar>
      </w:r>
      <w:r w:rsidR="00521D93" w:rsidRPr="00CB093C">
        <w:rPr>
          <w:rFonts w:ascii="Arial" w:hAnsi="Arial" w:cs="Arial"/>
          <w:color w:val="000000" w:themeColor="text1"/>
          <w:szCs w:val="22"/>
        </w:rPr>
        <w:instrText xml:space="preserve"> ADDIN EN.CITE </w:instrText>
      </w:r>
      <w:r w:rsidR="00521D93" w:rsidRPr="00CB093C">
        <w:rPr>
          <w:rFonts w:ascii="Arial" w:hAnsi="Arial" w:cs="Arial"/>
          <w:color w:val="000000" w:themeColor="text1"/>
          <w:szCs w:val="22"/>
        </w:rPr>
        <w:fldChar w:fldCharType="begin">
          <w:fldData xml:space="preserve">PEVuZE5vdGU+PENpdGU+PEF1dGhvcj5Db2xlczwvQXV0aG9yPjxZZWFyPjIwMDk8L1llYXI+PFJl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</w:fldData>
        </w:fldChar>
      </w:r>
      <w:r w:rsidR="00521D93" w:rsidRPr="00CB093C">
        <w:rPr>
          <w:rFonts w:ascii="Arial" w:hAnsi="Arial" w:cs="Arial"/>
          <w:color w:val="000000" w:themeColor="text1"/>
          <w:szCs w:val="22"/>
        </w:rPr>
        <w:instrText xml:space="preserve"> ADDIN EN.CITE.DATA </w:instrText>
      </w:r>
      <w:r w:rsidR="00521D93" w:rsidRPr="00CB093C">
        <w:rPr>
          <w:rFonts w:ascii="Arial" w:hAnsi="Arial" w:cs="Arial"/>
          <w:color w:val="000000" w:themeColor="text1"/>
          <w:szCs w:val="22"/>
        </w:rPr>
      </w:r>
      <w:r w:rsidR="00521D93" w:rsidRPr="00CB093C">
        <w:rPr>
          <w:rFonts w:ascii="Arial" w:hAnsi="Arial" w:cs="Arial"/>
          <w:color w:val="000000" w:themeColor="text1"/>
          <w:szCs w:val="22"/>
        </w:rPr>
        <w:fldChar w:fldCharType="end"/>
      </w:r>
      <w:r w:rsidR="005B0C7C" w:rsidRPr="00CB093C">
        <w:rPr>
          <w:rFonts w:ascii="Arial" w:hAnsi="Arial" w:cs="Arial"/>
          <w:color w:val="000000" w:themeColor="text1"/>
          <w:szCs w:val="22"/>
        </w:rPr>
      </w:r>
      <w:r w:rsidR="005B0C7C" w:rsidRPr="00CB093C">
        <w:rPr>
          <w:rFonts w:ascii="Arial" w:hAnsi="Arial" w:cs="Arial"/>
          <w:color w:val="000000" w:themeColor="text1"/>
          <w:szCs w:val="22"/>
        </w:rPr>
        <w:fldChar w:fldCharType="separate"/>
      </w:r>
      <w:hyperlink w:anchor="_ENREF_24" w:tooltip="Coles, 2009 #9367" w:history="1">
        <w:r w:rsidR="00513C39" w:rsidRPr="00CB093C">
          <w:rPr>
            <w:rFonts w:ascii="Arial" w:hAnsi="Arial" w:cs="Arial"/>
            <w:noProof/>
            <w:color w:val="000000" w:themeColor="text1"/>
            <w:szCs w:val="22"/>
          </w:rPr>
          <w:t>Coles</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2009</w:t>
        </w:r>
      </w:hyperlink>
      <w:r w:rsidR="00521D93" w:rsidRPr="00CB093C">
        <w:rPr>
          <w:rFonts w:ascii="Arial" w:hAnsi="Arial" w:cs="Arial"/>
          <w:noProof/>
          <w:color w:val="000000" w:themeColor="text1"/>
          <w:szCs w:val="22"/>
        </w:rPr>
        <w:t xml:space="preserve">; </w:t>
      </w:r>
      <w:hyperlink w:anchor="_ENREF_22" w:tooltip="Carter, 2016 #10578" w:history="1">
        <w:r w:rsidR="00513C39" w:rsidRPr="00CB093C">
          <w:rPr>
            <w:rFonts w:ascii="Arial" w:hAnsi="Arial" w:cs="Arial"/>
            <w:noProof/>
            <w:color w:val="000000" w:themeColor="text1"/>
            <w:szCs w:val="22"/>
          </w:rPr>
          <w:t>Carter</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2016</w:t>
        </w:r>
      </w:hyperlink>
      <w:r w:rsidR="005B0C7C"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however, these meadows are relatively sparse, structurally smaller, </w:t>
      </w:r>
      <w:r w:rsidR="00CC1C79" w:rsidRPr="00CB093C">
        <w:rPr>
          <w:rFonts w:ascii="Arial" w:hAnsi="Arial" w:cs="Arial"/>
          <w:color w:val="000000" w:themeColor="text1"/>
          <w:szCs w:val="22"/>
        </w:rPr>
        <w:t xml:space="preserve">highly </w:t>
      </w:r>
      <w:r w:rsidRPr="00CB093C">
        <w:rPr>
          <w:rFonts w:ascii="Arial" w:hAnsi="Arial" w:cs="Arial"/>
          <w:color w:val="000000" w:themeColor="text1"/>
          <w:szCs w:val="22"/>
        </w:rPr>
        <w:t>dynamic, composed of colonising species, and not as productive as inshore seagrass meadows for fisheries resources (</w:t>
      </w:r>
      <w:hyperlink w:anchor="_ENREF_108" w:tooltip="McKenzie, 2010 #9646"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&lt;EndNote&gt;&lt;Cite&gt;&lt;Author&gt;McKenzie&lt;/Author&gt;&lt;Year&gt;2010&lt;/Year&gt;&lt;RecNum&gt;9646&lt;/RecNum&gt;&lt;DisplayText&gt;McKenzie&lt;style face="italic"&gt; et al.&lt;/style&gt; 2010b&lt;/DisplayText&gt;&lt;record&gt;&lt;rec-number&gt;9646&lt;/rec-number&gt;&lt;foreign-keys&gt;&lt;key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McKenzie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2010b</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hyperlink w:anchor="_ENREF_47" w:tooltip="Derbyshire, 1995 #9703"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&lt;EndNote&gt;&lt;Cite&gt;&lt;Author&gt;Derbyshire&lt;/Author&gt;&lt;Year&gt;1995&lt;/Year&gt;&lt;RecNum&gt;9703&lt;/RecNum&gt;&lt;DisplayText&gt;Derbyshire&lt;style face="italic"&gt; et al.&lt;/style&gt; 1995&lt;/DisplayText&gt;&lt;record&gt;&lt;rec-number&gt;9703&lt;/rec-number&gt;&lt;foreign-keys&gt;&lt;key app="EN" db-id="0eve55x9y5vfd6e9dacxtew4eatve2dzds9a" timestamp="1393065521"&gt;9703&lt;/key&gt;&lt;/foreign-keys&gt;&lt;ref-type name="Book"&gt;6&lt;/ref-type&gt;&lt;contributors&gt;&lt;authors&gt;&lt;author&gt;Derbyshire, K J&lt;/author&gt;&lt;author&gt;Willoughby, S R&lt;/author&gt;&lt;author&gt;McColl, A L&lt;/author&gt;&lt;author&gt;Hocroft, D M&lt;/author&gt;&lt;/authors&gt;&lt;/contributors&gt;&lt;titles&gt;&lt;title&gt;Small prawn habitat and recruitment study : final report to the Fisheries Research and Development Corporation and the Queensland Fisheries Management Authority&lt;/title&gt;&lt;/titles&gt;&lt;pages&gt;43&lt;/pages&gt;&lt;dates&gt;&lt;year&gt;1995&lt;/year&gt;&lt;/dates&gt;&lt;pub-location&gt;Cairns&lt;/pub-location&gt;&lt;publisher&gt;Department of Primary Industries&lt;/publisher&gt;&lt;urls&gt;&lt;related-urls&gt;&lt;url&gt;http://frdc.com.au/Archived-Reports/FRDC%20Projects/1992-007-DLD.pdf&lt;/url&gt;&lt;/related-urls&gt;&lt;/urls&gt;&lt;/record&gt;&lt;/Cite&gt;&lt;/EndNote&gt;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Derbyshire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1995</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r w:rsidR="005306B4" w:rsidRPr="00CB093C">
        <w:rPr>
          <w:rFonts w:ascii="Arial" w:hAnsi="Arial" w:cs="Arial"/>
          <w:color w:val="000000" w:themeColor="text1"/>
          <w:szCs w:val="22"/>
        </w:rPr>
        <w:t>Overall, t</w:t>
      </w:r>
      <w:r w:rsidR="005306B4" w:rsidRPr="00CB093C">
        <w:rPr>
          <w:rFonts w:ascii="Arial" w:hAnsi="Arial" w:cs="Arial"/>
          <w:color w:val="000000" w:themeColor="text1"/>
          <w:szCs w:val="22"/>
          <w:lang w:eastAsia="en-AU"/>
        </w:rPr>
        <w:t>he total estimated area of seagrass (34,841 km</w:t>
      </w:r>
      <w:r w:rsidR="005306B4" w:rsidRPr="00CB093C">
        <w:rPr>
          <w:rFonts w:ascii="Arial" w:hAnsi="Arial" w:cs="Arial"/>
          <w:color w:val="000000" w:themeColor="text1"/>
          <w:szCs w:val="22"/>
          <w:vertAlign w:val="superscript"/>
          <w:lang w:eastAsia="en-AU"/>
        </w:rPr>
        <w:t>2</w:t>
      </w:r>
      <w:r w:rsidR="005306B4" w:rsidRPr="00CB093C">
        <w:rPr>
          <w:rFonts w:ascii="Arial" w:hAnsi="Arial" w:cs="Arial"/>
          <w:color w:val="000000" w:themeColor="text1"/>
          <w:szCs w:val="22"/>
          <w:lang w:eastAsia="en-AU"/>
        </w:rPr>
        <w:t xml:space="preserve">) within the </w:t>
      </w:r>
      <w:r w:rsidR="00F013C5" w:rsidRPr="00CB093C">
        <w:rPr>
          <w:rFonts w:ascii="Arial" w:hAnsi="Arial" w:cs="Arial"/>
          <w:color w:val="000000" w:themeColor="text1"/>
          <w:szCs w:val="22"/>
          <w:lang w:eastAsia="en-AU"/>
        </w:rPr>
        <w:t xml:space="preserve">World Heritage Area </w:t>
      </w:r>
      <w:r w:rsidR="005306B4" w:rsidRPr="00CB093C">
        <w:rPr>
          <w:rFonts w:ascii="Arial" w:hAnsi="Arial" w:cs="Arial"/>
          <w:color w:val="000000" w:themeColor="text1"/>
          <w:szCs w:val="22"/>
          <w:lang w:eastAsia="en-AU"/>
        </w:rPr>
        <w:t xml:space="preserve">represents more than 50 </w:t>
      </w:r>
      <w:r w:rsidR="00882B72" w:rsidRPr="00CB093C">
        <w:rPr>
          <w:rFonts w:ascii="Arial" w:hAnsi="Arial" w:cs="Arial"/>
          <w:color w:val="000000" w:themeColor="text1"/>
          <w:szCs w:val="22"/>
          <w:lang w:eastAsia="en-AU"/>
        </w:rPr>
        <w:t>%</w:t>
      </w:r>
      <w:r w:rsidR="005306B4" w:rsidRPr="00CB093C">
        <w:rPr>
          <w:rFonts w:ascii="Arial" w:hAnsi="Arial" w:cs="Arial"/>
          <w:color w:val="000000" w:themeColor="text1"/>
          <w:szCs w:val="22"/>
          <w:lang w:eastAsia="en-AU"/>
        </w:rPr>
        <w:t xml:space="preserve"> of the total recorded area of seagrass in Australia (</w:t>
      </w:r>
      <w:hyperlink w:anchor="_ENREF_63" w:tooltip="Green, 2003 #9435" w:history="1">
        <w:r w:rsidR="00513C39" w:rsidRPr="00CB093C">
          <w:rPr>
            <w:rFonts w:ascii="Arial" w:hAnsi="Arial" w:cs="Arial"/>
            <w:color w:val="000000" w:themeColor="text1"/>
            <w:szCs w:val="22"/>
            <w:lang w:eastAsia="en-AU"/>
          </w:rPr>
          <w:fldChar w:fldCharType="begin"/>
        </w:r>
        <w:r w:rsidR="00513C39" w:rsidRPr="00CB093C">
          <w:rPr>
            <w:rFonts w:ascii="Arial" w:hAnsi="Arial" w:cs="Arial"/>
            <w:color w:val="000000" w:themeColor="text1"/>
            <w:szCs w:val="22"/>
            <w:lang w:eastAsia="en-AU"/>
          </w:rPr>
          <w:instrText xml:space="preserve"> ADDIN EN.CITE &lt;EndNote&gt;&lt;Cite&gt;&lt;Author&gt;Green&lt;/Author&gt;&lt;Year&gt;2003&lt;/Year&gt;&lt;RecNum&gt;9435&lt;/RecNum&gt;&lt;DisplayText&gt;Green and Short 2003&lt;/DisplayText&gt;&lt;record&gt;&lt;rec-number&gt;9435&lt;/rec-number&gt;&lt;foreign-keys&gt;&lt;key app="EN" db-id="0eve55x9y5vfd6e9dacxtew4eatve2dzds9a" timestamp="1375601046"&gt;9435&lt;/key&gt;&lt;/foreign-keys&gt;&lt;ref-type name="Edited Book"&gt;28&lt;/ref-type&gt;&lt;contributors&gt;&lt;authors&gt;&lt;author&gt;Green, EP&lt;/author&gt;&lt;author&gt;Short, FT&lt;/author&gt;&lt;/authors&gt;&lt;/contributors&gt;&lt;titles&gt;&lt;title&gt;World Atlas of Seagrasses&lt;/title&gt;&lt;/titles&gt;&lt;pages&gt;298&lt;/pages&gt;&lt;dates&gt;&lt;year&gt;2003&lt;/year&gt;&lt;/dates&gt;&lt;pub-location&gt;Berkeley. USA&lt;/pub-location&gt;&lt;publisher&gt;University of California Press,&lt;/publisher&gt;&lt;urls&gt;&lt;/urls&gt;&lt;/record&gt;&lt;/Cite&gt;&lt;/EndNote&gt;</w:instrText>
        </w:r>
        <w:r w:rsidR="00513C39" w:rsidRPr="00CB093C">
          <w:rPr>
            <w:rFonts w:ascii="Arial" w:hAnsi="Arial" w:cs="Arial"/>
            <w:color w:val="000000" w:themeColor="text1"/>
            <w:szCs w:val="22"/>
            <w:lang w:eastAsia="en-AU"/>
          </w:rPr>
          <w:fldChar w:fldCharType="separate"/>
        </w:r>
        <w:r w:rsidR="00513C39" w:rsidRPr="00CB093C">
          <w:rPr>
            <w:rFonts w:ascii="Arial" w:hAnsi="Arial" w:cs="Arial"/>
            <w:noProof/>
            <w:color w:val="000000" w:themeColor="text1"/>
            <w:szCs w:val="22"/>
            <w:lang w:eastAsia="en-AU"/>
          </w:rPr>
          <w:t>Green and Short 2003</w:t>
        </w:r>
        <w:r w:rsidR="00513C39" w:rsidRPr="00CB093C">
          <w:rPr>
            <w:rFonts w:ascii="Arial" w:hAnsi="Arial" w:cs="Arial"/>
            <w:color w:val="000000" w:themeColor="text1"/>
            <w:szCs w:val="22"/>
            <w:lang w:eastAsia="en-AU"/>
          </w:rPr>
          <w:fldChar w:fldCharType="end"/>
        </w:r>
      </w:hyperlink>
      <w:r w:rsidR="005306B4" w:rsidRPr="00CB093C">
        <w:rPr>
          <w:rFonts w:ascii="Arial" w:hAnsi="Arial" w:cs="Arial"/>
          <w:color w:val="000000" w:themeColor="text1"/>
          <w:szCs w:val="22"/>
          <w:lang w:eastAsia="en-AU"/>
        </w:rPr>
        <w:t>) and between six</w:t>
      </w:r>
      <w:r w:rsidR="00F013C5" w:rsidRPr="00CB093C">
        <w:rPr>
          <w:rFonts w:ascii="Arial" w:hAnsi="Arial" w:cs="Arial"/>
          <w:color w:val="000000" w:themeColor="text1"/>
          <w:szCs w:val="22"/>
          <w:lang w:eastAsia="en-AU"/>
        </w:rPr>
        <w:t xml:space="preserve"> </w:t>
      </w:r>
      <w:r w:rsidR="00882B72" w:rsidRPr="00CB093C">
        <w:rPr>
          <w:rFonts w:ascii="Arial" w:hAnsi="Arial" w:cs="Arial"/>
          <w:color w:val="000000" w:themeColor="text1"/>
          <w:szCs w:val="22"/>
          <w:lang w:eastAsia="en-AU"/>
        </w:rPr>
        <w:t>%</w:t>
      </w:r>
      <w:r w:rsidR="005306B4" w:rsidRPr="00CB093C">
        <w:rPr>
          <w:rFonts w:ascii="Arial" w:hAnsi="Arial" w:cs="Arial"/>
          <w:color w:val="000000" w:themeColor="text1"/>
          <w:szCs w:val="22"/>
          <w:lang w:eastAsia="en-AU"/>
        </w:rPr>
        <w:t xml:space="preserve"> and 12 </w:t>
      </w:r>
      <w:r w:rsidR="00882B72" w:rsidRPr="00CB093C">
        <w:rPr>
          <w:rFonts w:ascii="Arial" w:hAnsi="Arial" w:cs="Arial"/>
          <w:color w:val="000000" w:themeColor="text1"/>
          <w:szCs w:val="22"/>
          <w:lang w:eastAsia="en-AU"/>
        </w:rPr>
        <w:t>%</w:t>
      </w:r>
      <w:r w:rsidR="00EC5034" w:rsidRPr="00CB093C">
        <w:rPr>
          <w:rFonts w:ascii="Arial" w:hAnsi="Arial" w:cs="Arial"/>
          <w:color w:val="000000" w:themeColor="text1"/>
          <w:szCs w:val="22"/>
          <w:lang w:eastAsia="en-AU"/>
        </w:rPr>
        <w:t xml:space="preserve"> </w:t>
      </w:r>
      <w:r w:rsidR="005306B4" w:rsidRPr="00CB093C">
        <w:rPr>
          <w:rFonts w:ascii="Arial" w:hAnsi="Arial" w:cs="Arial"/>
          <w:color w:val="000000" w:themeColor="text1"/>
          <w:szCs w:val="22"/>
          <w:lang w:eastAsia="en-AU"/>
        </w:rPr>
        <w:t>globally (</w:t>
      </w:r>
      <w:hyperlink w:anchor="_ENREF_49" w:tooltip="Duarte, 2005 #10036" w:history="1">
        <w:r w:rsidR="00513C39" w:rsidRPr="00CB093C">
          <w:rPr>
            <w:rFonts w:ascii="Arial" w:hAnsi="Arial" w:cs="Arial"/>
            <w:color w:val="000000" w:themeColor="text1"/>
            <w:szCs w:val="22"/>
            <w:lang w:eastAsia="en-AU"/>
          </w:rPr>
          <w:fldChar w:fldCharType="begin"/>
        </w:r>
        <w:r w:rsidR="00513C39" w:rsidRPr="00CB093C">
          <w:rPr>
            <w:rFonts w:ascii="Arial" w:hAnsi="Arial" w:cs="Arial"/>
            <w:color w:val="000000" w:themeColor="text1"/>
            <w:szCs w:val="22"/>
            <w:lang w:eastAsia="en-AU"/>
          </w:rPr>
          <w:instrText xml:space="preserve"> ADDIN EN.CITE &lt;EndNote&gt;&lt;Cite&gt;&lt;Author&gt;Duarte&lt;/Author&gt;&lt;Year&gt;2005&lt;/Year&gt;&lt;RecNum&gt;10036&lt;/RecNum&gt;&lt;DisplayText&gt;Duarte&lt;style face="italic"&gt; et al.&lt;/style&gt; 2005&lt;/DisplayText&gt;&lt;record&gt;&lt;rec-number&gt;10036&lt;/rec-number&gt;&lt;foreign-keys&gt;&lt;key app="EN" db-id="0eve55x9y5vfd6e9dacxtew4eatve2dzds9a" timestamp="1418354137"&gt;10036&lt;/key&gt;&lt;/foreign-keys&gt;&lt;ref-type name="Book Section"&gt;5&lt;/ref-type&gt;&lt;contributors&gt;&lt;authors&gt;&lt;author&gt;Duarte, CM&lt;/author&gt;&lt;author&gt;Borum, J&lt;/author&gt;&lt;author&gt;Short, FT&lt;/author&gt;&lt;author&gt;Walker, DI&lt;/author&gt;&lt;/authors&gt;&lt;secondary-authors&gt;&lt;author&gt;Polunin, NVC&lt;/author&gt;&lt;/secondary-authors&gt;&lt;/contributors&gt;&lt;titles&gt;&lt;title&gt;Seagrass Ecosystems: Their Global Status and Prospects&lt;/title&gt;&lt;secondary-title&gt;Aquatic Ecosystems: Trends and Global Prospects&lt;/secondary-title&gt;&lt;/titles&gt;&lt;dates&gt;&lt;year&gt;2005&lt;/year&gt;&lt;/dates&gt;&lt;publisher&gt;Cambridge Univ. Press&lt;/publisher&gt;&lt;urls&gt;&lt;/urls&gt;&lt;/record&gt;&lt;/Cite&gt;&lt;/EndNote&gt;</w:instrText>
        </w:r>
        <w:r w:rsidR="00513C39" w:rsidRPr="00CB093C">
          <w:rPr>
            <w:rFonts w:ascii="Arial" w:hAnsi="Arial" w:cs="Arial"/>
            <w:color w:val="000000" w:themeColor="text1"/>
            <w:szCs w:val="22"/>
            <w:lang w:eastAsia="en-AU"/>
          </w:rPr>
          <w:fldChar w:fldCharType="separate"/>
        </w:r>
        <w:r w:rsidR="00513C39" w:rsidRPr="00CB093C">
          <w:rPr>
            <w:rFonts w:ascii="Arial" w:hAnsi="Arial" w:cs="Arial"/>
            <w:noProof/>
            <w:color w:val="000000" w:themeColor="text1"/>
            <w:szCs w:val="22"/>
            <w:lang w:eastAsia="en-AU"/>
          </w:rPr>
          <w:t>Duarte</w:t>
        </w:r>
        <w:r w:rsidR="00513C39" w:rsidRPr="00CB093C">
          <w:rPr>
            <w:rFonts w:ascii="Arial" w:hAnsi="Arial" w:cs="Arial"/>
            <w:i/>
            <w:noProof/>
            <w:color w:val="000000" w:themeColor="text1"/>
            <w:szCs w:val="22"/>
            <w:lang w:eastAsia="en-AU"/>
          </w:rPr>
          <w:t xml:space="preserve"> et al.</w:t>
        </w:r>
        <w:r w:rsidR="00513C39" w:rsidRPr="00CB093C">
          <w:rPr>
            <w:rFonts w:ascii="Arial" w:hAnsi="Arial" w:cs="Arial"/>
            <w:noProof/>
            <w:color w:val="000000" w:themeColor="text1"/>
            <w:szCs w:val="22"/>
            <w:lang w:eastAsia="en-AU"/>
          </w:rPr>
          <w:t xml:space="preserve"> 2005</w:t>
        </w:r>
        <w:r w:rsidR="00513C39" w:rsidRPr="00CB093C">
          <w:rPr>
            <w:rFonts w:ascii="Arial" w:hAnsi="Arial" w:cs="Arial"/>
            <w:color w:val="000000" w:themeColor="text1"/>
            <w:szCs w:val="22"/>
            <w:lang w:eastAsia="en-AU"/>
          </w:rPr>
          <w:fldChar w:fldCharType="end"/>
        </w:r>
      </w:hyperlink>
      <w:r w:rsidR="005306B4" w:rsidRPr="00CB093C">
        <w:rPr>
          <w:rFonts w:ascii="Arial" w:hAnsi="Arial" w:cs="Arial"/>
          <w:color w:val="000000" w:themeColor="text1"/>
          <w:szCs w:val="22"/>
          <w:lang w:eastAsia="en-AU"/>
        </w:rPr>
        <w:t xml:space="preserve">), making the Reef’s seagrass resources globally significant. </w:t>
      </w:r>
    </w:p>
    <w:p w14:paraId="185C90DE" w14:textId="6FAE0ADC" w:rsidR="005306B4" w:rsidRPr="00CB093C" w:rsidRDefault="005306B4" w:rsidP="005306B4">
      <w:pPr>
        <w:tabs>
          <w:tab w:val="left" w:pos="360"/>
        </w:tabs>
        <w:spacing w:before="240"/>
        <w:rPr>
          <w:rFonts w:ascii="Arial" w:hAnsi="Arial" w:cs="Arial"/>
          <w:color w:val="000000" w:themeColor="text1"/>
          <w:szCs w:val="22"/>
        </w:rPr>
      </w:pPr>
      <w:r w:rsidRPr="00CB093C">
        <w:rPr>
          <w:rFonts w:ascii="Arial" w:hAnsi="Arial" w:cs="Arial"/>
          <w:color w:val="000000" w:themeColor="text1"/>
          <w:szCs w:val="22"/>
        </w:rPr>
        <w:t xml:space="preserve">Tropical seagrass ecosystems of the </w:t>
      </w:r>
      <w:r w:rsidR="00F013C5" w:rsidRPr="00CB093C">
        <w:rPr>
          <w:rFonts w:ascii="Arial" w:hAnsi="Arial" w:cs="Arial"/>
          <w:color w:val="000000" w:themeColor="text1"/>
          <w:szCs w:val="22"/>
        </w:rPr>
        <w:t>Reef</w:t>
      </w:r>
      <w:r w:rsidRPr="00CB093C">
        <w:rPr>
          <w:rFonts w:ascii="Arial" w:hAnsi="Arial" w:cs="Arial"/>
          <w:color w:val="000000" w:themeColor="text1"/>
          <w:szCs w:val="22"/>
        </w:rPr>
        <w:t xml:space="preserve"> are a complex mosaic of different habitat types comprised of multiple seagrass species (</w:t>
      </w:r>
      <w:hyperlink w:anchor="_ENREF_21" w:tooltip="Carruthers, 2002 #8021"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Carruthers</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2002</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There are 15 species of seagrass in the </w:t>
      </w:r>
      <w:r w:rsidR="00EA2594" w:rsidRPr="00CB093C">
        <w:rPr>
          <w:rFonts w:ascii="Arial" w:hAnsi="Arial" w:cs="Arial"/>
          <w:color w:val="000000" w:themeColor="text1"/>
          <w:szCs w:val="22"/>
        </w:rPr>
        <w:t xml:space="preserve">Reef </w:t>
      </w:r>
      <w:r w:rsidRPr="00CB093C">
        <w:rPr>
          <w:rFonts w:ascii="Arial" w:hAnsi="Arial" w:cs="Arial"/>
          <w:color w:val="000000" w:themeColor="text1"/>
          <w:szCs w:val="22"/>
        </w:rPr>
        <w:t>(</w:t>
      </w:r>
      <w:hyperlink w:anchor="_ENREF_150" w:tooltip="Waycott, 2007 #9133"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 timestamp="1374984594"&gt;9133&lt;/key&gt;&lt;/foreign-keys&gt;&lt;ref-type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Waycott</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2007</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and high diversity of seagrass habitat types is provided by extensive bays, estuaries, rivers and the 2300 </w:t>
      </w:r>
      <w:r w:rsidR="00F013C5" w:rsidRPr="00CB093C">
        <w:rPr>
          <w:rFonts w:ascii="Arial" w:hAnsi="Arial" w:cs="Arial"/>
          <w:color w:val="000000" w:themeColor="text1"/>
          <w:szCs w:val="22"/>
        </w:rPr>
        <w:t>km</w:t>
      </w:r>
      <w:r w:rsidRPr="00CB093C">
        <w:rPr>
          <w:rFonts w:ascii="Arial" w:hAnsi="Arial" w:cs="Arial"/>
          <w:color w:val="000000" w:themeColor="text1"/>
          <w:szCs w:val="22"/>
        </w:rPr>
        <w:t xml:space="preserve"> length of the Reef with its reef platforms and inshore lagoon. They can be found on sand or muddy beaches, on reef platforms and in reef lagoons, and on sandy and muddy bottoms down to 60 </w:t>
      </w:r>
      <w:r w:rsidR="00F013C5" w:rsidRPr="00CB093C">
        <w:rPr>
          <w:rFonts w:ascii="Arial" w:hAnsi="Arial" w:cs="Arial"/>
          <w:color w:val="000000" w:themeColor="text1"/>
          <w:szCs w:val="22"/>
        </w:rPr>
        <w:t>m</w:t>
      </w:r>
      <w:r w:rsidRPr="00CB093C">
        <w:rPr>
          <w:rFonts w:ascii="Arial" w:hAnsi="Arial" w:cs="Arial"/>
          <w:color w:val="000000" w:themeColor="text1"/>
          <w:szCs w:val="22"/>
        </w:rPr>
        <w:t xml:space="preserve"> or more below Mean Sea Level (MSL). </w:t>
      </w:r>
    </w:p>
    <w:p w14:paraId="61315B20" w14:textId="2C182E8C" w:rsidR="005306B4" w:rsidRPr="00CB093C" w:rsidRDefault="005306B4" w:rsidP="00D2585E">
      <w:pPr>
        <w:pStyle w:val="Caption"/>
        <w:rPr>
          <w:rFonts w:ascii="Arial" w:hAnsi="Arial" w:cs="Arial"/>
          <w:color w:val="000000" w:themeColor="text1"/>
          <w:szCs w:val="22"/>
        </w:rPr>
      </w:pPr>
      <w:r w:rsidRPr="00CB093C">
        <w:rPr>
          <w:rFonts w:ascii="Arial" w:hAnsi="Arial" w:cs="Arial"/>
          <w:color w:val="000000" w:themeColor="text1"/>
          <w:szCs w:val="22"/>
        </w:rPr>
        <w:t xml:space="preserve">Seagrasses in the </w:t>
      </w:r>
      <w:r w:rsidR="00F206BF" w:rsidRPr="00CB093C">
        <w:rPr>
          <w:rFonts w:ascii="Arial" w:hAnsi="Arial" w:cs="Arial"/>
          <w:color w:val="000000" w:themeColor="text1"/>
          <w:szCs w:val="22"/>
        </w:rPr>
        <w:t>Reef</w:t>
      </w:r>
      <w:r w:rsidRPr="00CB093C">
        <w:rPr>
          <w:rFonts w:ascii="Arial" w:hAnsi="Arial" w:cs="Arial"/>
          <w:color w:val="000000" w:themeColor="text1"/>
          <w:szCs w:val="22"/>
        </w:rPr>
        <w:t xml:space="preserve"> can be separated into four major habitat types: estuary/inlet, coastal, reef and deepwater (</w:t>
      </w:r>
      <w:hyperlink w:anchor="_ENREF_21" w:tooltip="Carruthers, 2002 #8021"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Carruthers</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2002</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All but the outer reef habitats are significantly influenced by seasonal and episodic pulses of sediment-laden, nutrient-rich river flows, resulting from high volume summer rainfall. Cyclones, severe storms, wind and waves as well as macro grazers (e.g. fish, dugongs and turtles) influence all habitats in this region to varying degrees. The result is a series of dynamic, spatially and temporally variable seagrass meadows.</w:t>
      </w:r>
      <w:r w:rsidR="00B150F6" w:rsidRPr="00CB093C">
        <w:rPr>
          <w:rFonts w:ascii="Arial" w:hAnsi="Arial" w:cs="Arial"/>
          <w:color w:val="000000" w:themeColor="text1"/>
          <w:szCs w:val="22"/>
        </w:rPr>
        <w:t xml:space="preserve"> </w:t>
      </w:r>
    </w:p>
    <w:p w14:paraId="0424FBAA" w14:textId="6CA7B60A" w:rsidR="00B150F6" w:rsidRPr="00CB093C" w:rsidRDefault="00B150F6" w:rsidP="00B150F6">
      <w:pPr>
        <w:rPr>
          <w:rFonts w:ascii="Arial" w:hAnsi="Arial" w:cs="Arial"/>
          <w:color w:val="000000" w:themeColor="text1"/>
          <w:szCs w:val="22"/>
        </w:rPr>
      </w:pPr>
      <w:r w:rsidRPr="00CB093C">
        <w:rPr>
          <w:rFonts w:ascii="Arial" w:hAnsi="Arial" w:cs="Arial"/>
          <w:color w:val="000000" w:themeColor="text1"/>
          <w:szCs w:val="22"/>
        </w:rPr>
        <w:t xml:space="preserve">The seagrass ecosystems of the </w:t>
      </w:r>
      <w:r w:rsidR="00F206BF" w:rsidRPr="00CB093C">
        <w:rPr>
          <w:rFonts w:ascii="Arial" w:hAnsi="Arial" w:cs="Arial"/>
          <w:color w:val="000000" w:themeColor="text1"/>
          <w:szCs w:val="22"/>
        </w:rPr>
        <w:t>Reef</w:t>
      </w:r>
      <w:r w:rsidRPr="00CB093C">
        <w:rPr>
          <w:rFonts w:ascii="Arial" w:hAnsi="Arial" w:cs="Arial"/>
          <w:color w:val="000000" w:themeColor="text1"/>
          <w:szCs w:val="22"/>
        </w:rPr>
        <w:t xml:space="preserve">, on a global scale, would be for the most part categorised as being dominated by disturbance-favouring colonising and opportunistic species (e.g. </w:t>
      </w:r>
      <w:r w:rsidRPr="00CB093C">
        <w:rPr>
          <w:rFonts w:ascii="Arial" w:hAnsi="Arial" w:cs="Arial"/>
          <w:i/>
          <w:color w:val="000000" w:themeColor="text1"/>
          <w:szCs w:val="22"/>
        </w:rPr>
        <w:t>Halophila</w:t>
      </w:r>
      <w:r w:rsidRPr="00CB093C">
        <w:rPr>
          <w:rFonts w:ascii="Arial" w:hAnsi="Arial" w:cs="Arial"/>
          <w:color w:val="000000" w:themeColor="text1"/>
          <w:szCs w:val="22"/>
        </w:rPr>
        <w:t xml:space="preserve"> and </w:t>
      </w:r>
      <w:r w:rsidRPr="00CB093C">
        <w:rPr>
          <w:rFonts w:ascii="Arial" w:hAnsi="Arial" w:cs="Arial"/>
          <w:i/>
          <w:color w:val="000000" w:themeColor="text1"/>
          <w:szCs w:val="22"/>
        </w:rPr>
        <w:t>Halodule</w:t>
      </w:r>
      <w:r w:rsidRPr="00CB093C">
        <w:rPr>
          <w:rFonts w:ascii="Arial" w:hAnsi="Arial" w:cs="Arial"/>
          <w:color w:val="000000" w:themeColor="text1"/>
          <w:szCs w:val="22"/>
        </w:rPr>
        <w:t xml:space="preserve">), which typically have low standing biomass and high turnover rates (Carruthers </w:t>
      </w:r>
      <w:r w:rsidRPr="00CB093C">
        <w:rPr>
          <w:rFonts w:ascii="Arial" w:hAnsi="Arial" w:cs="Arial"/>
          <w:i/>
          <w:color w:val="000000" w:themeColor="text1"/>
          <w:szCs w:val="22"/>
        </w:rPr>
        <w:t>et al.</w:t>
      </w:r>
      <w:r w:rsidRPr="00CB093C">
        <w:rPr>
          <w:rFonts w:ascii="Arial" w:hAnsi="Arial" w:cs="Arial"/>
          <w:color w:val="000000" w:themeColor="text1"/>
          <w:szCs w:val="22"/>
        </w:rPr>
        <w:t xml:space="preserve"> 2002, Waycott </w:t>
      </w:r>
      <w:r w:rsidRPr="00CB093C">
        <w:rPr>
          <w:rFonts w:ascii="Arial" w:hAnsi="Arial" w:cs="Arial"/>
          <w:i/>
          <w:color w:val="000000" w:themeColor="text1"/>
          <w:szCs w:val="22"/>
        </w:rPr>
        <w:t>et al.</w:t>
      </w:r>
      <w:r w:rsidRPr="00CB093C">
        <w:rPr>
          <w:rFonts w:ascii="Arial" w:hAnsi="Arial" w:cs="Arial"/>
          <w:color w:val="000000" w:themeColor="text1"/>
          <w:szCs w:val="22"/>
        </w:rPr>
        <w:t xml:space="preserve"> 2007). In more sheltered areas, including reef top or inshore areas in bays, more stable and persistent species are found, although these are still </w:t>
      </w:r>
      <w:r w:rsidRPr="00CB093C">
        <w:rPr>
          <w:rFonts w:ascii="Arial" w:hAnsi="Arial" w:cs="Arial"/>
          <w:color w:val="000000" w:themeColor="text1"/>
          <w:szCs w:val="22"/>
        </w:rPr>
        <w:lastRenderedPageBreak/>
        <w:t>relatively responsive to disturbances (</w:t>
      </w:r>
      <w:r w:rsidRPr="00CB093C">
        <w:rPr>
          <w:rFonts w:ascii="Arial" w:hAnsi="Arial" w:cs="Arial"/>
          <w:color w:val="000000" w:themeColor="text1"/>
          <w:szCs w:val="22"/>
        </w:rPr>
        <w:fldChar w:fldCharType="begin">
          <w:fldData xml:space="preserve">PEVuZE5vdGU+PENpdGU+PEF1dGhvcj5DYXJydXRoZXJzPC9BdXRob3I+PFllYXI+MjAwMjwvWWVh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</w:fldData>
        </w:fldChar>
      </w:r>
      <w:r w:rsidRPr="00CB093C">
        <w:rPr>
          <w:rFonts w:ascii="Arial" w:hAnsi="Arial" w:cs="Arial"/>
          <w:color w:val="000000" w:themeColor="text1"/>
          <w:szCs w:val="22"/>
        </w:rPr>
        <w:instrText xml:space="preserve"> ADDIN EN.CITE </w:instrText>
      </w:r>
      <w:r w:rsidRPr="00CB093C">
        <w:rPr>
          <w:rFonts w:ascii="Arial" w:hAnsi="Arial" w:cs="Arial"/>
          <w:color w:val="000000" w:themeColor="text1"/>
          <w:szCs w:val="22"/>
        </w:rPr>
        <w:fldChar w:fldCharType="begin">
          <w:fldData xml:space="preserve">PEVuZE5vdGU+PENpdGU+PEF1dGhvcj5DYXJydXRoZXJzPC9BdXRob3I+PFllYXI+MjAwMjwvWWVh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</w:fldData>
        </w:fldChar>
      </w:r>
      <w:r w:rsidRPr="00CB093C">
        <w:rPr>
          <w:rFonts w:ascii="Arial" w:hAnsi="Arial" w:cs="Arial"/>
          <w:color w:val="000000" w:themeColor="text1"/>
          <w:szCs w:val="22"/>
        </w:rPr>
        <w:instrText xml:space="preserve"> ADDIN EN.CITE.DATA </w:instrText>
      </w:r>
      <w:r w:rsidRPr="00CB093C">
        <w:rPr>
          <w:rFonts w:ascii="Arial" w:hAnsi="Arial" w:cs="Arial"/>
          <w:color w:val="000000" w:themeColor="text1"/>
          <w:szCs w:val="22"/>
        </w:rPr>
      </w:r>
      <w:r w:rsidRPr="00CB093C">
        <w:rPr>
          <w:rFonts w:ascii="Arial" w:hAnsi="Arial" w:cs="Arial"/>
          <w:color w:val="000000" w:themeColor="text1"/>
          <w:szCs w:val="22"/>
        </w:rPr>
        <w:fldChar w:fldCharType="end"/>
      </w:r>
      <w:r w:rsidRPr="00CB093C">
        <w:rPr>
          <w:rFonts w:ascii="Arial" w:hAnsi="Arial" w:cs="Arial"/>
          <w:color w:val="000000" w:themeColor="text1"/>
          <w:szCs w:val="22"/>
        </w:rPr>
      </w:r>
      <w:r w:rsidRPr="00CB093C">
        <w:rPr>
          <w:rFonts w:ascii="Arial" w:hAnsi="Arial" w:cs="Arial"/>
          <w:color w:val="000000" w:themeColor="text1"/>
          <w:szCs w:val="22"/>
        </w:rPr>
        <w:fldChar w:fldCharType="separate"/>
      </w:r>
      <w:hyperlink w:anchor="_ENREF_21" w:tooltip="Carruthers, 2002 #8021" w:history="1">
        <w:r w:rsidR="00513C39" w:rsidRPr="00CB093C">
          <w:rPr>
            <w:rFonts w:ascii="Arial" w:hAnsi="Arial" w:cs="Arial"/>
            <w:noProof/>
            <w:color w:val="000000" w:themeColor="text1"/>
            <w:szCs w:val="22"/>
          </w:rPr>
          <w:t>Carruthers</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2002</w:t>
        </w:r>
      </w:hyperlink>
      <w:r w:rsidRPr="00CB093C">
        <w:rPr>
          <w:rFonts w:ascii="Arial" w:hAnsi="Arial" w:cs="Arial"/>
          <w:noProof/>
          <w:color w:val="000000" w:themeColor="text1"/>
          <w:szCs w:val="22"/>
        </w:rPr>
        <w:t xml:space="preserve">; </w:t>
      </w:r>
      <w:hyperlink w:anchor="_ENREF_150" w:tooltip="Waycott, 2007 #9133" w:history="1">
        <w:r w:rsidR="00513C39" w:rsidRPr="00CB093C">
          <w:rPr>
            <w:rFonts w:ascii="Arial" w:hAnsi="Arial" w:cs="Arial"/>
            <w:noProof/>
            <w:color w:val="000000" w:themeColor="text1"/>
            <w:szCs w:val="22"/>
          </w:rPr>
          <w:t>Waycott</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2007</w:t>
        </w:r>
      </w:hyperlink>
      <w:r w:rsidRPr="00CB093C">
        <w:rPr>
          <w:rFonts w:ascii="Arial" w:hAnsi="Arial" w:cs="Arial"/>
          <w:noProof/>
          <w:color w:val="000000" w:themeColor="text1"/>
          <w:szCs w:val="22"/>
        </w:rPr>
        <w:t xml:space="preserve">; </w:t>
      </w:r>
      <w:hyperlink w:anchor="_ENREF_31" w:tooltip="Collier, 2009 #9285" w:history="1">
        <w:r w:rsidR="00513C39" w:rsidRPr="00CB093C">
          <w:rPr>
            <w:rFonts w:ascii="Arial" w:hAnsi="Arial" w:cs="Arial"/>
            <w:noProof/>
            <w:color w:val="000000" w:themeColor="text1"/>
            <w:szCs w:val="22"/>
          </w:rPr>
          <w:t>Collier and Waycott 2009</w:t>
        </w:r>
      </w:hyperlink>
      <w:r w:rsidRPr="00CB093C">
        <w:rPr>
          <w:rFonts w:ascii="Arial" w:hAnsi="Arial" w:cs="Arial"/>
          <w:color w:val="000000" w:themeColor="text1"/>
          <w:szCs w:val="22"/>
        </w:rPr>
        <w:fldChar w:fldCharType="end"/>
      </w:r>
      <w:r w:rsidRPr="00CB093C">
        <w:rPr>
          <w:rFonts w:ascii="Arial" w:hAnsi="Arial" w:cs="Arial"/>
          <w:color w:val="000000" w:themeColor="text1"/>
          <w:szCs w:val="22"/>
        </w:rPr>
        <w:t>).</w:t>
      </w:r>
    </w:p>
    <w:p w14:paraId="0184C892" w14:textId="77777777" w:rsidR="00F9591A" w:rsidRPr="00CB093C" w:rsidRDefault="00F9591A" w:rsidP="0015509E">
      <w:pPr>
        <w:pStyle w:val="Heading2"/>
      </w:pPr>
      <w:bookmarkStart w:id="23" w:name="_Toc11394689"/>
      <w:r w:rsidRPr="00CB093C">
        <w:t>Seagrass monitoring in the Marine Monitoring Program</w:t>
      </w:r>
      <w:bookmarkEnd w:id="23"/>
    </w:p>
    <w:p w14:paraId="5E0F3D0A" w14:textId="6E1ED01D" w:rsidR="00F9591A" w:rsidRPr="00CB093C" w:rsidRDefault="00F9591A" w:rsidP="00F9591A">
      <w:pPr>
        <w:rPr>
          <w:rFonts w:ascii="Arial" w:hAnsi="Arial" w:cs="Arial"/>
          <w:szCs w:val="22"/>
        </w:rPr>
      </w:pPr>
      <w:r w:rsidRPr="00CB093C">
        <w:rPr>
          <w:rFonts w:ascii="Arial" w:hAnsi="Arial" w:cs="Arial"/>
          <w:color w:val="000000" w:themeColor="text1"/>
          <w:szCs w:val="22"/>
        </w:rPr>
        <w:t>The strategic priority for the Great Barrier Reef Marine Park Authority (the Authority) is to sustain the Reef’s outstanding universal value, build resilience and improve ecosystem health over each successive decade (</w:t>
      </w:r>
      <w:hyperlink w:anchor="_ENREF_59" w:tooltip="Great Barrier Reef Marine Park Authority, 2014 #9925"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&lt;EndNote&gt;&lt;Cite&gt;&lt;Author&gt;Great Barrier Reef Marine Park Authority&lt;/Author&gt;&lt;Year&gt;2014&lt;/Year&gt;&lt;RecNum&gt;9925&lt;/RecNum&gt;&lt;DisplayText&gt;Great Barrier Reef Marine Park Authority 2014&lt;/DisplayText&gt;&lt;record&gt;&lt;rec-number&gt;9925&lt;/rec-number&gt;&lt;foreign-keys&gt;&lt;key app="EN" db-id="0eve55x9y5vfd6e9dacxtew4eatve2dzds9a" timestamp="1408528686"&gt;9925&lt;/key&gt;&lt;/foreign-keys&gt;&lt;ref-type name="Book"&gt;6&lt;/ref-type&gt;&lt;contributors&gt;&lt;authors&gt;&lt;author&gt;Great Barrier Reef Marine Park Authority,&lt;/author&gt;&lt;/authors&gt;&lt;/contributors&gt;&lt;titles&gt;&lt;title&gt;Great Barrier Reef Region Strategic Assessment: Program report&lt;/title&gt;&lt;/titles&gt;&lt;pages&gt;100&lt;/pages&gt;&lt;dates&gt;&lt;year&gt;2014&lt;/year&gt;&lt;/dates&gt;&lt;pub-location&gt;Townsville&lt;/pub-location&gt;&lt;publisher&gt;GBRMPA&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Great Barrier Reef Marine Park Authority 2014</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r w:rsidRPr="00CB093C">
        <w:rPr>
          <w:rFonts w:ascii="Arial" w:hAnsi="Arial" w:cs="Arial"/>
          <w:szCs w:val="22"/>
        </w:rPr>
        <w:t>Improving water quality is a key objective,</w:t>
      </w:r>
      <w:r w:rsidRPr="00CB093C">
        <w:rPr>
          <w:rFonts w:ascii="Arial" w:hAnsi="Arial" w:cs="Arial"/>
          <w:szCs w:val="22"/>
          <w:lang w:eastAsia="en-AU"/>
        </w:rPr>
        <w:t xml:space="preserve"> </w:t>
      </w:r>
      <w:r w:rsidRPr="00CB093C">
        <w:rPr>
          <w:rFonts w:ascii="Arial" w:hAnsi="Arial" w:cs="Arial"/>
          <w:szCs w:val="22"/>
        </w:rPr>
        <w:t xml:space="preserve">because good water quality aids the resilience of coastal and inshore ecosystems of Reef (GBRMPA, 2014a, b). </w:t>
      </w:r>
    </w:p>
    <w:p w14:paraId="09A584B9" w14:textId="50D4673C" w:rsidR="00F9591A" w:rsidRPr="00CB093C" w:rsidRDefault="00F9591A" w:rsidP="00F9591A">
      <w:pPr>
        <w:rPr>
          <w:rFonts w:ascii="Arial" w:hAnsi="Arial" w:cs="Arial"/>
          <w:i/>
          <w:szCs w:val="22"/>
        </w:rPr>
      </w:pPr>
      <w:r w:rsidRPr="00CB093C">
        <w:rPr>
          <w:rFonts w:ascii="Arial" w:hAnsi="Arial" w:cs="Arial"/>
          <w:szCs w:val="22"/>
        </w:rPr>
        <w:t xml:space="preserve">In response to concerns about the impact of land-based run-off on water quality, </w:t>
      </w:r>
      <w:r w:rsidR="00CD19EA" w:rsidRPr="00CB093C">
        <w:rPr>
          <w:rFonts w:ascii="Arial" w:hAnsi="Arial" w:cs="Arial"/>
          <w:szCs w:val="22"/>
        </w:rPr>
        <w:t xml:space="preserve">coral and seagrass ecosystems, </w:t>
      </w:r>
      <w:r w:rsidRPr="00CB093C">
        <w:rPr>
          <w:rFonts w:ascii="Arial" w:hAnsi="Arial" w:cs="Arial"/>
          <w:szCs w:val="22"/>
        </w:rPr>
        <w:t xml:space="preserve">the </w:t>
      </w:r>
      <w:r w:rsidRPr="00CB093C">
        <w:rPr>
          <w:rFonts w:ascii="Arial" w:hAnsi="Arial" w:cs="Arial"/>
          <w:color w:val="000000" w:themeColor="text1"/>
          <w:szCs w:val="22"/>
        </w:rPr>
        <w:t>Reef 2050 Water Quality Improvement Plan (Reef 2050 WQIP) (</w:t>
      </w:r>
      <w:hyperlink w:anchor="_ENREF_8" w:tooltip="Australian Government and Queensland Government, 2018 #11863"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&lt;EndNote&gt;&lt;Cite&gt;&lt;Author&gt;Australian Government and Queensland Government&lt;/Author&gt;&lt;Year&gt;2018&lt;/Year&gt;&lt;RecNum&gt;11863&lt;/RecNum&gt;&lt;DisplayText&gt;Australian Government and Queensland Government 2018b&lt;/DisplayText&gt;&lt;record&gt;&lt;rec-number&gt;11863&lt;/rec-number&gt;&lt;foreign-keys&gt;&lt;key app="EN" db-id="0eve55x9y5vfd6e9dacxtew4eatve2dzds9a" timestamp="1546661277"&gt;11863&lt;/key&gt;&lt;/foreign-keys&gt;&lt;ref-type name="Book"&gt;6&lt;/ref-type&gt;&lt;contributors&gt;&lt;authors&gt;&lt;author&gt;Australian Government and Queensland Government,&lt;/author&gt;&lt;/authors&gt;&lt;/contributors&gt;&lt;titles&gt;&lt;title&gt;Reef 2050 Water Quality Improvement Plan: 2017 - 2022&lt;/title&gt;&lt;/titles&gt;&lt;pages&gt;55&lt;/pages&gt;&lt;dates&gt;&lt;year&gt;2018&lt;/year&gt;&lt;/dates&gt;&lt;pub-location&gt;Brisbane&lt;/pub-location&gt;&lt;publisher&gt;State of Queensland&lt;/publisher&gt;&lt;urls&gt;&lt;related-urls&gt;&lt;url&gt;https://www.reefplan.qld.gov.au/about/assets/reef-2050-water-quality-improvement-plan-2017-22.pdf&lt;/url&gt;&lt;/related-urls&gt;&lt;/urls&gt;&lt;/record&gt;&lt;/Cite&gt;&lt;/EndNote&gt;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Australian Government and Queensland Government 2018b</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r w:rsidRPr="00CB093C">
        <w:rPr>
          <w:rFonts w:ascii="Arial" w:hAnsi="Arial" w:cs="Arial"/>
          <w:szCs w:val="22"/>
        </w:rPr>
        <w:t xml:space="preserve">was recently updated by the Australian and Queensland governments, and integrated as a major component of </w:t>
      </w:r>
      <w:r w:rsidRPr="00CB093C">
        <w:rPr>
          <w:rFonts w:ascii="Arial" w:hAnsi="Arial" w:cs="Arial"/>
          <w:color w:val="000000" w:themeColor="text1"/>
          <w:szCs w:val="22"/>
        </w:rPr>
        <w:t>Reef 2050 Long-Term Sustainability Plan (Reef 2050 Plan) (</w:t>
      </w:r>
      <w:hyperlink w:anchor="_ENREF_7" w:tooltip="Australian Government and Queensland Government, 2018 #11862"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&lt;EndNote&gt;&lt;Cite&gt;&lt;Author&gt;Australian Government and Queensland Government&lt;/Author&gt;&lt;Year&gt;2018&lt;/Year&gt;&lt;RecNum&gt;11862&lt;/RecNum&gt;&lt;DisplayText&gt;Australian Government and Queensland Government 2018a&lt;/DisplayText&gt;&lt;record&gt;&lt;rec-number&gt;11862&lt;/rec-number&gt;&lt;foreign-keys&gt;&lt;key app="EN" db-id="0eve55x9y5vfd6e9dacxtew4eatve2dzds9a" timestamp="1546642566"&gt;11862&lt;/key&gt;&lt;/foreign-keys&gt;&lt;ref-type name="Book"&gt;6&lt;/ref-type&gt;&lt;contributors&gt;&lt;authors&gt;&lt;author&gt;Australian Government and Queensland Government,&lt;/author&gt;&lt;/authors&gt;&lt;/contributors&gt;&lt;titles&gt;&lt;title&gt;Reef 2050 Long-Term Sustainability Plan—July 2018&lt;/title&gt;&lt;/titles&gt;&lt;pages&gt;124&lt;/pages&gt;&lt;keywords&gt;&lt;keyword&gt;Marine parks and reserves -- Queensland -- Great Barrier Reef -- Management.&lt;/keyword&gt;&lt;keyword&gt;Marine ecosystem management -- Queensland -- Great Barrier Reef.&lt;/keyword&gt;&lt;keyword&gt;Water quality management -- Queensland -- Great Barrier Reef.&lt;/keyword&gt;&lt;keyword&gt;Great Barrier Reef Marine Park (Qld.) -- Management.&lt;/keyword&gt;&lt;keyword&gt;Australian&lt;/keyword&gt;&lt;/keywords&gt;&lt;dates&gt;&lt;year&gt;2018&lt;/year&gt;&lt;/dates&gt;&lt;pub-location&gt;Canberra : Brisbane&lt;/pub-location&gt;&lt;publisher&gt;Australian Government ; Queensland Government&lt;/publisher&gt;&lt;urls&gt;&lt;related-urls&gt;&lt;url&gt;https://www.environment.gov.au/marine/gbr/long-term-sustainability-plan&lt;/url&gt;&lt;/related-urls&gt;&lt;/urls&gt;&lt;/record&gt;&lt;/Cite&gt;&lt;/EndNote&gt;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Australian Government and Queensland Government 2018a</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w:t>
      </w:r>
      <w:r w:rsidRPr="00CB093C">
        <w:rPr>
          <w:rFonts w:ascii="Arial" w:hAnsi="Arial" w:cs="Arial"/>
          <w:szCs w:val="22"/>
        </w:rPr>
        <w:t xml:space="preserve"> which provides a framework for integrated management of the </w:t>
      </w:r>
      <w:r w:rsidRPr="00CB093C">
        <w:rPr>
          <w:rStyle w:val="Emphasis"/>
          <w:rFonts w:ascii="Arial" w:eastAsia="SimSun" w:hAnsi="Arial" w:cs="Arial"/>
          <w:i w:val="0"/>
          <w:szCs w:val="22"/>
        </w:rPr>
        <w:t>World Heritage Area</w:t>
      </w:r>
      <w:r w:rsidRPr="00CB093C">
        <w:rPr>
          <w:rFonts w:ascii="Arial" w:hAnsi="Arial" w:cs="Arial"/>
          <w:szCs w:val="22"/>
        </w:rPr>
        <w:t xml:space="preserve">. </w:t>
      </w:r>
    </w:p>
    <w:p w14:paraId="2DE17537" w14:textId="608E5B4D" w:rsidR="00F9591A" w:rsidRPr="00CB093C" w:rsidRDefault="00F9591A" w:rsidP="00F9591A">
      <w:pPr>
        <w:rPr>
          <w:rFonts w:ascii="Arial" w:hAnsi="Arial" w:cs="Arial"/>
          <w:szCs w:val="22"/>
        </w:rPr>
      </w:pPr>
      <w:r w:rsidRPr="00CB093C">
        <w:rPr>
          <w:rFonts w:ascii="Arial" w:hAnsi="Arial" w:cs="Arial"/>
          <w:szCs w:val="22"/>
        </w:rPr>
        <w:t>A key deliverable of the Reef 2050 WQIP is the Paddock to Reef Integrated Monitoring, Modelling and Reporting Program (P</w:t>
      </w:r>
      <w:r w:rsidR="006422E4" w:rsidRPr="00CB093C">
        <w:rPr>
          <w:rFonts w:ascii="Arial" w:hAnsi="Arial" w:cs="Arial"/>
          <w:szCs w:val="22"/>
        </w:rPr>
        <w:t>addock to Reef program</w:t>
      </w:r>
      <w:r w:rsidRPr="00CB093C">
        <w:rPr>
          <w:rFonts w:ascii="Arial" w:hAnsi="Arial" w:cs="Arial"/>
          <w:szCs w:val="22"/>
        </w:rPr>
        <w:t>), which is used to evaluate the efficiency and effectiveness of Reef 2050 WQIP implementation, and report on progress towards goals and targets</w:t>
      </w:r>
      <w:r w:rsidR="006422E4" w:rsidRPr="00CB093C">
        <w:rPr>
          <w:rFonts w:ascii="Arial" w:hAnsi="Arial" w:cs="Arial"/>
          <w:szCs w:val="22"/>
        </w:rPr>
        <w:t xml:space="preserve"> (</w:t>
      </w:r>
      <w:hyperlink w:anchor="_ENREF_8" w:tooltip="Australian Government and Queensland Government, 2018 #11863"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&lt;EndNote&gt;&lt;Cite&gt;&lt;Author&gt;Australian Government and Queensland Government&lt;/Author&gt;&lt;Year&gt;2018&lt;/Year&gt;&lt;RecNum&gt;11863&lt;/RecNum&gt;&lt;DisplayText&gt;Australian Government and Queensland Government 2018b&lt;/DisplayText&gt;&lt;record&gt;&lt;rec-number&gt;11863&lt;/rec-number&gt;&lt;foreign-keys&gt;&lt;key app="EN" db-id="0eve55x9y5vfd6e9dacxtew4eatve2dzds9a" timestamp="1546661277"&gt;11863&lt;/key&gt;&lt;/foreign-keys&gt;&lt;ref-type name="Book"&gt;6&lt;/ref-type&gt;&lt;contributors&gt;&lt;authors&gt;&lt;author&gt;Australian Government and Queensland Government,&lt;/author&gt;&lt;/authors&gt;&lt;/contributors&gt;&lt;titles&gt;&lt;title&gt;Reef 2050 Water Quality Improvement Plan: 2017 - 2022&lt;/title&gt;&lt;/titles&gt;&lt;pages&gt;55&lt;/pages&gt;&lt;dates&gt;&lt;year&gt;2018&lt;/year&gt;&lt;/dates&gt;&lt;pub-location&gt;Brisbane&lt;/pub-location&gt;&lt;publisher&gt;State of Queensland&lt;/publisher&gt;&lt;urls&gt;&lt;related-urls&gt;&lt;url&gt;https://www.reefplan.qld.gov.au/about/assets/reef-2050-water-quality-improvement-plan-2017-22.pdf&lt;/url&gt;&lt;/related-urls&gt;&lt;/urls&gt;&lt;/record&gt;&lt;/Cite&gt;&lt;/EndNote&gt;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Australian Government and Queensland Government 2018b</w:t>
        </w:r>
        <w:r w:rsidR="00513C39" w:rsidRPr="00CB093C">
          <w:rPr>
            <w:rFonts w:ascii="Arial" w:hAnsi="Arial" w:cs="Arial"/>
            <w:szCs w:val="22"/>
          </w:rPr>
          <w:fldChar w:fldCharType="end"/>
        </w:r>
      </w:hyperlink>
      <w:r w:rsidR="006422E4" w:rsidRPr="00CB093C">
        <w:rPr>
          <w:rFonts w:ascii="Arial" w:hAnsi="Arial" w:cs="Arial"/>
          <w:szCs w:val="22"/>
        </w:rPr>
        <w:t>)</w:t>
      </w:r>
      <w:r w:rsidRPr="00CB093C">
        <w:rPr>
          <w:rFonts w:ascii="Arial" w:hAnsi="Arial" w:cs="Arial"/>
          <w:szCs w:val="22"/>
        </w:rPr>
        <w:t xml:space="preserve">. The </w:t>
      </w:r>
      <w:r w:rsidRPr="00CB093C">
        <w:rPr>
          <w:rFonts w:ascii="Arial" w:hAnsi="Arial" w:cs="Arial"/>
          <w:szCs w:val="22"/>
          <w:lang w:eastAsia="en-AU"/>
        </w:rPr>
        <w:t>Marine Monitoring Program (MMP)</w:t>
      </w:r>
      <w:r w:rsidRPr="00CB093C">
        <w:rPr>
          <w:rFonts w:ascii="Arial" w:hAnsi="Arial" w:cs="Arial"/>
          <w:szCs w:val="22"/>
        </w:rPr>
        <w:t xml:space="preserve"> forms an integral part of </w:t>
      </w:r>
      <w:r w:rsidR="006422E4" w:rsidRPr="00CB093C">
        <w:rPr>
          <w:rFonts w:ascii="Arial" w:hAnsi="Arial" w:cs="Arial"/>
          <w:szCs w:val="22"/>
        </w:rPr>
        <w:t xml:space="preserve">the </w:t>
      </w:r>
      <w:r w:rsidRPr="00CB093C">
        <w:rPr>
          <w:rFonts w:ascii="Arial" w:hAnsi="Arial" w:cs="Arial"/>
          <w:szCs w:val="22"/>
        </w:rPr>
        <w:t>Paddock to Reef</w:t>
      </w:r>
      <w:r w:rsidR="006422E4" w:rsidRPr="00CB093C">
        <w:rPr>
          <w:rFonts w:ascii="Arial" w:hAnsi="Arial" w:cs="Arial"/>
          <w:szCs w:val="22"/>
        </w:rPr>
        <w:t xml:space="preserve"> program</w:t>
      </w:r>
      <w:r w:rsidRPr="00CB093C">
        <w:rPr>
          <w:rFonts w:ascii="Arial" w:hAnsi="Arial" w:cs="Arial"/>
          <w:szCs w:val="22"/>
        </w:rPr>
        <w:t>. The MMP has three components: inshore water quality, coral and seagrass.</w:t>
      </w:r>
    </w:p>
    <w:p w14:paraId="20A5A808" w14:textId="08094F06" w:rsidR="000563CC" w:rsidRPr="00CB093C" w:rsidRDefault="000563CC" w:rsidP="0089405C">
      <w:pPr>
        <w:keepNext/>
        <w:spacing w:before="0" w:after="0"/>
        <w:jc w:val="center"/>
        <w:rPr>
          <w:rFonts w:ascii="Arial" w:hAnsi="Arial" w:cs="Arial"/>
          <w:szCs w:val="22"/>
        </w:rPr>
      </w:pPr>
      <w:r w:rsidRPr="00CB093C">
        <w:rPr>
          <w:rFonts w:ascii="Arial" w:hAnsi="Arial" w:cs="Arial"/>
          <w:noProof/>
          <w:szCs w:val="22"/>
          <w:lang w:val="en-US"/>
        </w:rPr>
        <w:lastRenderedPageBreak/>
        <w:drawing>
          <wp:inline distT="0" distB="0" distL="0" distR="0" wp14:anchorId="5C181D37" wp14:editId="16973036">
            <wp:extent cx="3958141" cy="6858000"/>
            <wp:effectExtent l="0" t="0" r="4445" b="0"/>
            <wp:docPr id="537" name="Picture 537" descr="Map showing the Great Barrier Reef Marine Park, major marine ecosystems (coral reefs and surveyed seagrass beds), NRM regions and marine NRM regions (delineated by dark grey lines) and majo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catchment_map_v2_300ppi-01.jpg"/>
                    <pic:cNvPicPr/>
                  </pic:nvPicPr>
                  <pic:blipFill>
                    <a:blip r:embed="rId38"/>
                    <a:stretch>
                      <a:fillRect/>
                    </a:stretch>
                  </pic:blipFill>
                  <pic:spPr>
                    <a:xfrm>
                      <a:off x="0" y="0"/>
                      <a:ext cx="3958141" cy="6858000"/>
                    </a:xfrm>
                    <a:prstGeom prst="rect">
                      <a:avLst/>
                    </a:prstGeom>
                  </pic:spPr>
                </pic:pic>
              </a:graphicData>
            </a:graphic>
          </wp:inline>
        </w:drawing>
      </w:r>
    </w:p>
    <w:p w14:paraId="6F2E5A66" w14:textId="05718B6D" w:rsidR="00783B80" w:rsidRPr="00CB093C" w:rsidRDefault="000563CC" w:rsidP="00930A4B">
      <w:pPr>
        <w:pStyle w:val="Caption"/>
        <w:rPr>
          <w:rFonts w:ascii="Arial" w:hAnsi="Arial" w:cs="Arial"/>
          <w:i/>
          <w:vanish/>
          <w:color w:val="000000" w:themeColor="text1"/>
          <w:szCs w:val="22"/>
          <w:specVanish/>
        </w:rPr>
      </w:pPr>
      <w:bookmarkStart w:id="24" w:name="_Ref472590595"/>
      <w:bookmarkStart w:id="25" w:name="_Toc6402767"/>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2</w:t>
      </w:r>
      <w:r w:rsidRPr="00CB093C">
        <w:rPr>
          <w:rFonts w:ascii="Arial" w:hAnsi="Arial" w:cs="Arial"/>
          <w:szCs w:val="22"/>
        </w:rPr>
        <w:fldChar w:fldCharType="end"/>
      </w:r>
      <w:bookmarkEnd w:id="24"/>
      <w:r w:rsidRPr="00CB093C">
        <w:rPr>
          <w:rFonts w:ascii="Arial" w:hAnsi="Arial" w:cs="Arial"/>
          <w:szCs w:val="22"/>
        </w:rPr>
        <w:t xml:space="preserve">. </w:t>
      </w:r>
      <w:r w:rsidR="00832243" w:rsidRPr="00CB093C">
        <w:rPr>
          <w:rFonts w:ascii="Arial" w:hAnsi="Arial" w:cs="Arial"/>
          <w:i/>
          <w:color w:val="000000" w:themeColor="text1"/>
          <w:szCs w:val="22"/>
        </w:rPr>
        <w:t>M</w:t>
      </w:r>
      <w:r w:rsidRPr="00CB093C">
        <w:rPr>
          <w:rFonts w:ascii="Arial" w:hAnsi="Arial" w:cs="Arial"/>
          <w:i/>
          <w:color w:val="000000" w:themeColor="text1"/>
          <w:szCs w:val="22"/>
        </w:rPr>
        <w:t>ajor marine ecosystems (coral reefs and surveyed seagrass meadows)</w:t>
      </w:r>
      <w:r w:rsidR="00EA2594" w:rsidRPr="00CB093C">
        <w:rPr>
          <w:rFonts w:ascii="Arial" w:hAnsi="Arial" w:cs="Arial"/>
          <w:i/>
          <w:color w:val="000000" w:themeColor="text1"/>
          <w:szCs w:val="22"/>
        </w:rPr>
        <w:t xml:space="preserve"> </w:t>
      </w:r>
      <w:r w:rsidR="0059335C" w:rsidRPr="00CB093C">
        <w:rPr>
          <w:rFonts w:ascii="Arial" w:hAnsi="Arial" w:cs="Arial"/>
          <w:i/>
          <w:color w:val="000000" w:themeColor="text1"/>
          <w:szCs w:val="22"/>
        </w:rPr>
        <w:t xml:space="preserve">in the </w:t>
      </w:r>
      <w:r w:rsidR="002F11C3" w:rsidRPr="00CB093C">
        <w:rPr>
          <w:rFonts w:ascii="Arial" w:hAnsi="Arial" w:cs="Arial"/>
          <w:i/>
          <w:color w:val="000000" w:themeColor="text1"/>
          <w:szCs w:val="22"/>
        </w:rPr>
        <w:t>World Heritage Area</w:t>
      </w:r>
      <w:r w:rsidRPr="00CB093C">
        <w:rPr>
          <w:rFonts w:ascii="Arial" w:hAnsi="Arial" w:cs="Arial"/>
          <w:i/>
          <w:color w:val="000000" w:themeColor="text1"/>
          <w:szCs w:val="22"/>
        </w:rPr>
        <w:t xml:space="preserve"> and N</w:t>
      </w:r>
      <w:r w:rsidR="00832243" w:rsidRPr="00CB093C">
        <w:rPr>
          <w:rFonts w:ascii="Arial" w:hAnsi="Arial" w:cs="Arial"/>
          <w:i/>
          <w:color w:val="000000" w:themeColor="text1"/>
          <w:szCs w:val="22"/>
        </w:rPr>
        <w:t xml:space="preserve">atural </w:t>
      </w:r>
      <w:r w:rsidRPr="00CB093C">
        <w:rPr>
          <w:rFonts w:ascii="Arial" w:hAnsi="Arial" w:cs="Arial"/>
          <w:i/>
          <w:color w:val="000000" w:themeColor="text1"/>
          <w:szCs w:val="22"/>
        </w:rPr>
        <w:t>R</w:t>
      </w:r>
      <w:r w:rsidR="00832243" w:rsidRPr="00CB093C">
        <w:rPr>
          <w:rFonts w:ascii="Arial" w:hAnsi="Arial" w:cs="Arial"/>
          <w:i/>
          <w:color w:val="000000" w:themeColor="text1"/>
          <w:szCs w:val="22"/>
        </w:rPr>
        <w:t xml:space="preserve">esource </w:t>
      </w:r>
      <w:r w:rsidRPr="00CB093C">
        <w:rPr>
          <w:rFonts w:ascii="Arial" w:hAnsi="Arial" w:cs="Arial"/>
          <w:i/>
          <w:color w:val="000000" w:themeColor="text1"/>
          <w:szCs w:val="22"/>
        </w:rPr>
        <w:t>M</w:t>
      </w:r>
      <w:r w:rsidR="00832243" w:rsidRPr="00CB093C">
        <w:rPr>
          <w:rFonts w:ascii="Arial" w:hAnsi="Arial" w:cs="Arial"/>
          <w:i/>
          <w:color w:val="000000" w:themeColor="text1"/>
          <w:szCs w:val="22"/>
        </w:rPr>
        <w:t>anagement</w:t>
      </w:r>
      <w:r w:rsidRPr="00CB093C">
        <w:rPr>
          <w:rFonts w:ascii="Arial" w:hAnsi="Arial" w:cs="Arial"/>
          <w:i/>
          <w:color w:val="000000" w:themeColor="text1"/>
          <w:szCs w:val="22"/>
        </w:rPr>
        <w:t xml:space="preserve"> regions</w:t>
      </w:r>
      <w:r w:rsidR="00930A4B" w:rsidRPr="00CB093C">
        <w:rPr>
          <w:rFonts w:ascii="Arial" w:hAnsi="Arial" w:cs="Arial"/>
          <w:i/>
          <w:color w:val="000000" w:themeColor="text1"/>
          <w:szCs w:val="22"/>
        </w:rPr>
        <w:t xml:space="preserve"> (including marine)</w:t>
      </w:r>
      <w:bookmarkEnd w:id="25"/>
    </w:p>
    <w:p w14:paraId="320198F2" w14:textId="69B38300" w:rsidR="005306B4" w:rsidRPr="00CB093C" w:rsidRDefault="000563CC" w:rsidP="00783B80">
      <w:pPr>
        <w:pStyle w:val="Caption"/>
        <w:rPr>
          <w:rFonts w:ascii="Arial" w:hAnsi="Arial" w:cs="Arial"/>
          <w:color w:val="000000" w:themeColor="text1"/>
          <w:szCs w:val="22"/>
        </w:rPr>
      </w:pPr>
      <w:r w:rsidRPr="00CB093C">
        <w:rPr>
          <w:rFonts w:ascii="Arial" w:hAnsi="Arial" w:cs="Arial"/>
          <w:i/>
          <w:color w:val="000000" w:themeColor="text1"/>
          <w:szCs w:val="22"/>
        </w:rPr>
        <w:t xml:space="preserve"> (delineated by dark grey lines) and </w:t>
      </w:r>
      <w:r w:rsidRPr="00CB093C">
        <w:rPr>
          <w:rFonts w:ascii="Arial" w:hAnsi="Arial" w:cs="Arial"/>
          <w:i/>
          <w:szCs w:val="22"/>
        </w:rPr>
        <w:t>major</w:t>
      </w:r>
      <w:r w:rsidR="003F641A" w:rsidRPr="00CB093C">
        <w:rPr>
          <w:rFonts w:ascii="Arial" w:hAnsi="Arial" w:cs="Arial"/>
          <w:i/>
          <w:szCs w:val="22"/>
        </w:rPr>
        <w:t xml:space="preserve"> rivers</w:t>
      </w:r>
      <w:r w:rsidR="00783B80" w:rsidRPr="00CB093C">
        <w:rPr>
          <w:rFonts w:ascii="Arial" w:hAnsi="Arial" w:cs="Arial"/>
          <w:i/>
          <w:szCs w:val="22"/>
        </w:rPr>
        <w:t>.</w:t>
      </w:r>
    </w:p>
    <w:p w14:paraId="524EC384" w14:textId="31B24AD1" w:rsidR="00956B48" w:rsidRPr="00CB093C" w:rsidRDefault="00956B48" w:rsidP="004D59D6">
      <w:pPr>
        <w:rPr>
          <w:rFonts w:ascii="Arial" w:hAnsi="Arial" w:cs="Arial"/>
          <w:szCs w:val="22"/>
        </w:rPr>
      </w:pPr>
      <w:r w:rsidRPr="00CB093C">
        <w:rPr>
          <w:rFonts w:ascii="Arial" w:hAnsi="Arial" w:cs="Arial"/>
          <w:szCs w:val="22"/>
        </w:rPr>
        <w:lastRenderedPageBreak/>
        <w:t>The overarching objective of the inshore seagrass monitoring program is</w:t>
      </w:r>
      <w:r w:rsidR="004D59D6" w:rsidRPr="00CB093C">
        <w:rPr>
          <w:rFonts w:ascii="Arial" w:hAnsi="Arial" w:cs="Arial"/>
          <w:szCs w:val="22"/>
        </w:rPr>
        <w:t xml:space="preserve"> to quantify the extent, frequency and intensity of acute and chronic impacts on the condition and trend of seagrass meadows and their subsequent recovery.</w:t>
      </w:r>
    </w:p>
    <w:p w14:paraId="11498EF4" w14:textId="61D5BDD0" w:rsidR="00956B48" w:rsidRPr="00CB093C" w:rsidRDefault="00956B48" w:rsidP="00956B48">
      <w:pPr>
        <w:rPr>
          <w:rFonts w:ascii="Arial" w:hAnsi="Arial" w:cs="Arial"/>
          <w:color w:val="000000" w:themeColor="text1"/>
          <w:szCs w:val="22"/>
        </w:rPr>
      </w:pPr>
      <w:r w:rsidRPr="00CB093C">
        <w:rPr>
          <w:rFonts w:ascii="Arial" w:hAnsi="Arial" w:cs="Arial"/>
          <w:szCs w:val="22"/>
        </w:rPr>
        <w:t>The inshore water quality monitoring program has been delivered by James Cook University (JCU) and the Authority since 2005.</w:t>
      </w:r>
      <w:r w:rsidR="004008A6" w:rsidRPr="00CB093C">
        <w:rPr>
          <w:rFonts w:ascii="Arial" w:hAnsi="Arial" w:cs="Arial"/>
          <w:szCs w:val="22"/>
        </w:rPr>
        <w:t xml:space="preserve"> </w:t>
      </w:r>
      <w:r w:rsidRPr="00CB093C">
        <w:rPr>
          <w:rFonts w:ascii="Arial" w:hAnsi="Arial" w:cs="Arial"/>
          <w:color w:val="000000" w:themeColor="text1"/>
          <w:szCs w:val="22"/>
        </w:rPr>
        <w:t xml:space="preserve">The seagrass sub-program is also supported by contributions from the Seagrass-Watch program (Wet Tropics, Burdekin, </w:t>
      </w:r>
      <w:r w:rsidR="00637325">
        <w:rPr>
          <w:rFonts w:ascii="Arial" w:hAnsi="Arial" w:cs="Arial"/>
          <w:color w:val="000000" w:themeColor="text1"/>
          <w:szCs w:val="22"/>
        </w:rPr>
        <w:t>Mackay-Whitsunday</w:t>
      </w:r>
      <w:r w:rsidRPr="00CB093C">
        <w:rPr>
          <w:rFonts w:ascii="Arial" w:hAnsi="Arial" w:cs="Arial"/>
          <w:color w:val="000000" w:themeColor="text1"/>
          <w:szCs w:val="22"/>
        </w:rPr>
        <w:t xml:space="preserve"> and Burnett Mary) and Queensland Parks</w:t>
      </w:r>
      <w:r w:rsidR="0056326C" w:rsidRPr="00CB093C">
        <w:rPr>
          <w:rFonts w:ascii="Arial" w:hAnsi="Arial" w:cs="Arial"/>
          <w:color w:val="000000" w:themeColor="text1"/>
          <w:szCs w:val="22"/>
        </w:rPr>
        <w:t xml:space="preserve"> and Wildlife Service (QPWS).</w:t>
      </w:r>
    </w:p>
    <w:p w14:paraId="4DFDF1CB" w14:textId="768F7CB5" w:rsidR="00956B48" w:rsidRPr="00CB093C" w:rsidRDefault="00956B48" w:rsidP="00956B48">
      <w:pPr>
        <w:rPr>
          <w:rFonts w:ascii="Arial" w:hAnsi="Arial" w:cs="Arial"/>
          <w:szCs w:val="22"/>
        </w:rPr>
      </w:pPr>
      <w:r w:rsidRPr="00CB093C">
        <w:rPr>
          <w:rFonts w:ascii="Arial" w:hAnsi="Arial" w:cs="Arial"/>
          <w:color w:val="000000" w:themeColor="text1"/>
          <w:szCs w:val="22"/>
        </w:rPr>
        <w:t>Further information on the program objectives, and details on each sub-program are available on-</w:t>
      </w:r>
      <w:r w:rsidRPr="00CB093C">
        <w:rPr>
          <w:rFonts w:ascii="Arial" w:hAnsi="Arial" w:cs="Arial"/>
          <w:szCs w:val="22"/>
        </w:rPr>
        <w:t>line</w:t>
      </w:r>
      <w:r w:rsidR="002F11C3" w:rsidRPr="00CB093C">
        <w:rPr>
          <w:rFonts w:ascii="Arial" w:hAnsi="Arial" w:cs="Arial"/>
          <w:szCs w:val="22"/>
        </w:rPr>
        <w:t xml:space="preserve"> (</w:t>
      </w:r>
      <w:hyperlink w:anchor="_ENREF_57" w:tooltip="GBRMPA, 2019 #11983"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&lt;EndNote&gt;&lt;Cite&gt;&lt;Author&gt;GBRMPA&lt;/Author&gt;&lt;Year&gt;2019&lt;/Year&gt;&lt;RecNum&gt;11983&lt;/RecNum&gt;&lt;DisplayText&gt;GBRMPA 2019&lt;/DisplayText&gt;&lt;record&gt;&lt;rec-number&gt;11983&lt;/rec-number&gt;&lt;foreign-keys&gt;&lt;key app="EN" db-id="0eve55x9y5vfd6e9dacxtew4eatve2dzds9a" timestamp="1554168260"&gt;11983&lt;/key&gt;&lt;/foreign-keys&gt;&lt;ref-type name="Web Page"&gt;12&lt;/ref-type&gt;&lt;contributors&gt;&lt;authors&gt;&lt;author&gt;GBRMPA,&lt;/author&gt;&lt;/authors&gt;&lt;/contributors&gt;&lt;titles&gt;&lt;title&gt;Marine Monitoring Program&lt;/title&gt;&lt;/titles&gt;&lt;volume&gt;2019&lt;/volume&gt;&lt;number&gt;29 March&lt;/number&gt;&lt;dates&gt;&lt;year&gt;2019&lt;/year&gt;&lt;/dates&gt;&lt;pub-location&gt;Townsville&lt;/pub-location&gt;&lt;publisher&gt;Great Barrier Reef Marine Park Authority&lt;/publisher&gt;&lt;urls&gt;&lt;related-urls&gt;&lt;url&gt;http://www.gbrmpa.gov.au/our-work/our-programs-and-projects/reef-2050-marine-monitoring-program&lt;/url&gt;&lt;/related-urls&gt;&lt;/urls&gt;&lt;/record&gt;&lt;/Cite&gt;&lt;/EndNote&gt;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GBRMPA 2019</w:t>
        </w:r>
        <w:r w:rsidR="00513C39" w:rsidRPr="00CB093C">
          <w:rPr>
            <w:rFonts w:ascii="Arial" w:hAnsi="Arial" w:cs="Arial"/>
            <w:szCs w:val="22"/>
          </w:rPr>
          <w:fldChar w:fldCharType="end"/>
        </w:r>
      </w:hyperlink>
      <w:r w:rsidR="002F11C3" w:rsidRPr="00CB093C">
        <w:rPr>
          <w:rFonts w:ascii="Arial" w:hAnsi="Arial" w:cs="Arial"/>
          <w:szCs w:val="22"/>
        </w:rPr>
        <w:t>;</w:t>
      </w:r>
      <w:r w:rsidRPr="00CB093C">
        <w:rPr>
          <w:rFonts w:ascii="Arial" w:hAnsi="Arial" w:cs="Arial"/>
          <w:szCs w:val="22"/>
        </w:rPr>
        <w:t xml:space="preserve"> </w:t>
      </w:r>
      <w:hyperlink r:id="rId39" w:history="1">
        <w:r w:rsidRPr="00CB093C">
          <w:rPr>
            <w:rFonts w:ascii="Arial" w:hAnsi="Arial" w:cs="Arial"/>
            <w:color w:val="000000" w:themeColor="text1"/>
            <w:szCs w:val="22"/>
          </w:rPr>
          <w:t>http://bit.ly/2mbB8bE</w:t>
        </w:r>
      </w:hyperlink>
      <w:r w:rsidR="002F11C3" w:rsidRPr="00CB093C">
        <w:rPr>
          <w:rFonts w:ascii="Arial" w:hAnsi="Arial" w:cs="Arial"/>
          <w:color w:val="000000" w:themeColor="text1"/>
          <w:szCs w:val="22"/>
        </w:rPr>
        <w:t>)</w:t>
      </w:r>
      <w:r w:rsidRPr="00CB093C">
        <w:rPr>
          <w:rFonts w:ascii="Arial" w:hAnsi="Arial" w:cs="Arial"/>
          <w:szCs w:val="22"/>
        </w:rPr>
        <w:t xml:space="preserve">. </w:t>
      </w:r>
    </w:p>
    <w:p w14:paraId="6A4EE2EC" w14:textId="77777777" w:rsidR="00956B48" w:rsidRPr="00CB093C" w:rsidRDefault="00956B48" w:rsidP="0015509E">
      <w:pPr>
        <w:pStyle w:val="Heading2"/>
      </w:pPr>
      <w:bookmarkStart w:id="26" w:name="_Toc11394690"/>
      <w:r w:rsidRPr="00CB093C">
        <w:t>Conceptual basis for indicator selection</w:t>
      </w:r>
      <w:bookmarkEnd w:id="26"/>
    </w:p>
    <w:p w14:paraId="6F645BFC" w14:textId="4B78BABC" w:rsidR="00956B48" w:rsidRPr="00CB093C" w:rsidRDefault="00956B48" w:rsidP="00956B48">
      <w:pPr>
        <w:rPr>
          <w:rFonts w:ascii="Arial" w:hAnsi="Arial" w:cs="Arial"/>
          <w:color w:val="000000" w:themeColor="text1"/>
          <w:szCs w:val="22"/>
        </w:rPr>
      </w:pPr>
      <w:r w:rsidRPr="00CB093C">
        <w:rPr>
          <w:rFonts w:ascii="Arial" w:hAnsi="Arial" w:cs="Arial"/>
          <w:color w:val="000000" w:themeColor="text1"/>
          <w:szCs w:val="22"/>
        </w:rPr>
        <w:t xml:space="preserve">As seagrasses are well recognised as indicators of integrated environmental pressures, monitoring their condition and trend can provide insight into the condition of the surrounding environment (e.g. </w:t>
      </w:r>
      <w:hyperlink w:anchor="_ENREF_43" w:tooltip="Dennison, 1997 #1687"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&lt;EndNote&gt;&lt;Cite&gt;&lt;Author&gt;Dennison&lt;/Author&gt;&lt;Year&gt;1997&lt;/Year&gt;&lt;RecNum&gt;1687&lt;/RecNum&gt;&lt;DisplayText&gt;Dennison&lt;style face="italic"&gt; et al.&lt;/style&gt; 1997&lt;/DisplayText&gt;&lt;record&gt;&lt;rec-number&gt;1687&lt;/rec-number&gt;&lt;foreign-keys&gt;&lt;key app="EN" db-id="0eve55x9y5vfd6e9dacxtew4eatve2dzds9a" timestamp="0"&gt;1687&lt;/key&gt;&lt;/foreign-keys&gt;&lt;ref-type name="Book Section"&gt;5&lt;/ref-type&gt;&lt;contributors&gt;&lt;authors&gt;&lt;author&gt;Dennison, W. C.&lt;/author&gt;&lt;author&gt;Longstaff, B. J.&lt;/author&gt;&lt;author&gt;O&amp;apos;Donohue, M. J.&lt;/author&gt;&lt;/authors&gt;&lt;secondary-authors&gt;&lt;author&gt;Hillman, S.&lt;/author&gt;&lt;author&gt;Raaymakers, S.&lt;/author&gt;&lt;/secondary-authors&gt;&lt;/contributors&gt;&lt;titles&gt;&lt;title&gt;Seagrasses as Bio-indicators&lt;/title&gt;&lt;secondary-title&gt;Karumba dredging 1996 - Environmental Monitoring Report. EcoPorts Monograph Series No.6&lt;/secondary-title&gt;&lt;/titles&gt;&lt;pages&gt;255&lt;/pages&gt;&lt;keywords&gt;&lt;keyword&gt;CHLOROPHYLL-A&lt;/keyword&gt;&lt;keyword&gt;COASTAL DEVELOPMENT&lt;/keyword&gt;&lt;keyword&gt;DREDGING&lt;/keyword&gt;&lt;keyword&gt;LIGHT&lt;/keyword&gt;&lt;keyword&gt;PHOTOSYNTHESIS&lt;/keyword&gt;&lt;keyword&gt;SEAGRASS&lt;/keyword&gt;&lt;/keywords&gt;&lt;dates&gt;&lt;year&gt;1997&lt;/year&gt;&lt;/dates&gt;&lt;pub-location&gt;Brisbane&lt;/pub-location&gt;&lt;publisher&gt;Ports Corporation of Queensland&lt;/publisher&gt;&lt;label&gt;1775&lt;/label&gt;&lt;urls&gt;&lt;/urls&gt;&lt;custom1&gt;Annex&lt;/custom1&gt;&lt;/record&gt;&lt;/Cite&gt;&lt;/EndNote&gt;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Dennison</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1997</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There are a number of measures of seagrass condition and resilience that can be used to assess how they respond to environmental pressures, and these measures are referred to here as indicators.  We have developed a matrix of indicators that respond on different temporal scales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_Ref442084289 \h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3</w:t>
      </w:r>
      <w:r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Indicators include: </w:t>
      </w:r>
    </w:p>
    <w:p w14:paraId="7829D418" w14:textId="77777777" w:rsidR="00956B48" w:rsidRPr="00CB093C" w:rsidRDefault="00956B48" w:rsidP="00AD06D4">
      <w:pPr>
        <w:pStyle w:val="ListParagraph"/>
        <w:numPr>
          <w:ilvl w:val="0"/>
          <w:numId w:val="21"/>
        </w:numPr>
        <w:rPr>
          <w:rFonts w:ascii="Arial" w:hAnsi="Arial" w:cs="Arial"/>
          <w:szCs w:val="22"/>
        </w:rPr>
      </w:pPr>
      <w:r w:rsidRPr="00CB093C">
        <w:rPr>
          <w:rFonts w:ascii="Arial" w:hAnsi="Arial" w:cs="Arial"/>
          <w:szCs w:val="22"/>
        </w:rPr>
        <w:t xml:space="preserve">plant changes </w:t>
      </w:r>
    </w:p>
    <w:p w14:paraId="77BA9F2A" w14:textId="77777777" w:rsidR="00956B48" w:rsidRPr="00CB093C" w:rsidRDefault="00956B48" w:rsidP="00AD06D4">
      <w:pPr>
        <w:pStyle w:val="ListParagraph"/>
        <w:numPr>
          <w:ilvl w:val="0"/>
          <w:numId w:val="21"/>
        </w:numPr>
        <w:rPr>
          <w:rFonts w:ascii="Arial" w:hAnsi="Arial" w:cs="Arial"/>
          <w:szCs w:val="22"/>
        </w:rPr>
      </w:pPr>
      <w:r w:rsidRPr="00CB093C">
        <w:rPr>
          <w:rFonts w:ascii="Arial" w:hAnsi="Arial" w:cs="Arial"/>
          <w:szCs w:val="22"/>
        </w:rPr>
        <w:t xml:space="preserve">meadow-scale changes </w:t>
      </w:r>
    </w:p>
    <w:p w14:paraId="4D79179A" w14:textId="77777777" w:rsidR="00956B48" w:rsidRPr="00CB093C" w:rsidRDefault="00956B48" w:rsidP="00AD06D4">
      <w:pPr>
        <w:pStyle w:val="ListParagraph"/>
        <w:numPr>
          <w:ilvl w:val="0"/>
          <w:numId w:val="21"/>
        </w:numPr>
        <w:rPr>
          <w:rFonts w:ascii="Arial" w:hAnsi="Arial" w:cs="Arial"/>
          <w:szCs w:val="22"/>
        </w:rPr>
      </w:pPr>
      <w:r w:rsidRPr="00CB093C">
        <w:rPr>
          <w:rFonts w:ascii="Arial" w:hAnsi="Arial" w:cs="Arial"/>
          <w:szCs w:val="22"/>
        </w:rPr>
        <w:t xml:space="preserve">state change. </w:t>
      </w:r>
    </w:p>
    <w:p w14:paraId="398B46D6" w14:textId="412D60ED" w:rsidR="00956B48" w:rsidRPr="00CB093C" w:rsidRDefault="00956B48" w:rsidP="00956B48">
      <w:pPr>
        <w:rPr>
          <w:rFonts w:ascii="Arial" w:hAnsi="Arial" w:cs="Arial"/>
          <w:color w:val="000000" w:themeColor="text1"/>
          <w:szCs w:val="22"/>
        </w:rPr>
      </w:pPr>
      <w:r w:rsidRPr="00CB093C">
        <w:rPr>
          <w:rFonts w:ascii="Arial" w:hAnsi="Arial" w:cs="Arial"/>
          <w:color w:val="000000" w:themeColor="text1"/>
          <w:szCs w:val="22"/>
        </w:rPr>
        <w:t xml:space="preserve">These indicators also respond at different temporal scales, with sub-lethal indicators able to respond from seconds to months, while the meadow-scale effects usually take many months to be detectable. A robust monitoring program benefits from having a suite of indicators that can indicate sub-lethal stress that forewarns of imminent loss, as well as indicators of meadow-scale changes, which are necessary for interpreting broad ecological changes. Indicators included in the MMP span this range of scales, in particular for indicators that respond from weeks (tissue nutrients, isotopes), through to months (abundance and reproduction), and even years (abundance and meadow extent). Furthermore, indicators are conceptually linked to each other and to environmental drivers of concern, in particular, water quality (p 34, in </w:t>
      </w:r>
      <w:hyperlink w:anchor="_ENREF_77" w:tooltip="Kuhnert, 2014 #10482"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&lt;EndNote&gt;&lt;Cite&gt;&lt;Author&gt;Kuhnert&lt;/Author&gt;&lt;Year&gt;2014&lt;/Year&gt;&lt;RecNum&gt;10482&lt;/RecNum&gt;&lt;DisplayText&gt;Kuhnert&lt;style face="italic"&gt; et al.&lt;/style&gt; 2014&lt;/DisplayText&gt;&lt;record&gt;&lt;rec-number&gt;10482&lt;/rec-number&gt;&lt;foreign-keys&gt;&lt;key app="EN" db-id="0eve55x9y5vfd6e9dacxtew4eatve2dzds9a" timestamp="1454281855"&gt;10482&lt;/key&gt;&lt;/foreign-keys&gt;&lt;ref-type name="Book"&gt;6&lt;/ref-type&gt;&lt;contributors&gt;&lt;authors&gt;&lt;author&gt;Kuhnert, Petra M&lt;/author&gt;&lt;author&gt;Liu, Yang&lt;/author&gt;&lt;author&gt;Henderson, Brent L.&lt;/author&gt;&lt;author&gt;Dambacher, Jeffrey&lt;/author&gt;&lt;author&gt;Lawrence, Emma&lt;/author&gt;&lt;author&gt;Kroon, Frederieke J.&lt;/author&gt;&lt;/authors&gt;&lt;/contributors&gt;&lt;titles&gt;&lt;title&gt;Review of the Marine Monitoring Program (MMP), Final Report for the Great Barrier Reef Marine Park Authority (GBRMPA)&lt;/title&gt;&lt;/titles&gt;&lt;pages&gt;276&lt;/pages&gt;&lt;dates&gt;&lt;year&gt;2014&lt;/year&gt;&lt;/dates&gt;&lt;pub-location&gt;Adelaide&lt;/pub-location&gt;&lt;publisher&gt;CSIRO&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Kuhnert</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2014</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w:t>
      </w:r>
    </w:p>
    <w:p w14:paraId="43C96779" w14:textId="77777777" w:rsidR="009901F0" w:rsidRPr="00CB093C" w:rsidRDefault="009901F0" w:rsidP="009901F0">
      <w:pPr>
        <w:rPr>
          <w:rFonts w:ascii="Arial" w:hAnsi="Arial" w:cs="Arial"/>
          <w:i/>
          <w:color w:val="000000" w:themeColor="text1"/>
          <w:szCs w:val="22"/>
        </w:rPr>
      </w:pPr>
      <w:r w:rsidRPr="00CB093C">
        <w:rPr>
          <w:rFonts w:ascii="Arial" w:hAnsi="Arial" w:cs="Arial"/>
          <w:i/>
          <w:color w:val="000000" w:themeColor="text1"/>
          <w:szCs w:val="22"/>
        </w:rPr>
        <w:t>Measures of Environmental stressors</w:t>
      </w:r>
    </w:p>
    <w:p w14:paraId="20936D3E" w14:textId="62477988" w:rsidR="009901F0" w:rsidRPr="00CB093C" w:rsidRDefault="009901F0" w:rsidP="009901F0">
      <w:pPr>
        <w:spacing w:after="0"/>
        <w:rPr>
          <w:rFonts w:ascii="Arial" w:hAnsi="Arial" w:cs="Arial"/>
          <w:color w:val="000000" w:themeColor="text1"/>
          <w:szCs w:val="22"/>
        </w:rPr>
      </w:pPr>
      <w:r w:rsidRPr="00CB093C">
        <w:rPr>
          <w:rFonts w:ascii="Arial" w:hAnsi="Arial" w:cs="Arial"/>
          <w:color w:val="000000" w:themeColor="text1"/>
          <w:szCs w:val="22"/>
        </w:rPr>
        <w:t xml:space="preserve">Climate and environment stressors are aspects of the environment, either physico-chemical or biological that affect seagrass meadow condition. Some environmental stressors change </w:t>
      </w:r>
      <w:r w:rsidRPr="00CB093C">
        <w:rPr>
          <w:rFonts w:ascii="Arial" w:hAnsi="Arial" w:cs="Arial"/>
          <w:color w:val="000000" w:themeColor="text1"/>
          <w:szCs w:val="22"/>
        </w:rPr>
        <w:lastRenderedPageBreak/>
        <w:t>rapidly (minutes/days/weeks/months) but can also undergo chronic shifts (years)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_Ref442084289 \h </w:instrText>
      </w:r>
      <w:r w:rsidR="00CB093C" w:rsidRPr="00CB093C">
        <w:rPr>
          <w:rFonts w:ascii="Arial" w:hAnsi="Arial" w:cs="Arial"/>
          <w:color w:val="000000" w:themeColor="text1"/>
          <w:szCs w:val="22"/>
        </w:rPr>
        <w:instrText xml:space="preserve">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3</w:t>
      </w:r>
      <w:r w:rsidRPr="00CB093C">
        <w:rPr>
          <w:rFonts w:ascii="Arial" w:hAnsi="Arial" w:cs="Arial"/>
          <w:color w:val="000000" w:themeColor="text1"/>
          <w:szCs w:val="22"/>
        </w:rPr>
        <w:fldChar w:fldCharType="end"/>
      </w:r>
      <w:r w:rsidRPr="00CB093C">
        <w:rPr>
          <w:rFonts w:ascii="Arial" w:hAnsi="Arial" w:cs="Arial"/>
          <w:color w:val="000000" w:themeColor="text1"/>
          <w:szCs w:val="22"/>
        </w:rPr>
        <w:t>). Stressors include:</w:t>
      </w:r>
    </w:p>
    <w:p w14:paraId="52D2A6A9" w14:textId="77777777" w:rsidR="009901F0" w:rsidRPr="00CB093C" w:rsidRDefault="009901F0" w:rsidP="00AD06D4">
      <w:pPr>
        <w:numPr>
          <w:ilvl w:val="0"/>
          <w:numId w:val="5"/>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t>climate (e.g. cyclones, seasonal temperature)</w:t>
      </w:r>
    </w:p>
    <w:p w14:paraId="765071A4" w14:textId="77777777" w:rsidR="009901F0" w:rsidRPr="00CB093C" w:rsidRDefault="009901F0" w:rsidP="00AD06D4">
      <w:pPr>
        <w:numPr>
          <w:ilvl w:val="0"/>
          <w:numId w:val="5"/>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t>local and short-term weather (e.g. wind and tides)</w:t>
      </w:r>
    </w:p>
    <w:p w14:paraId="07248F07" w14:textId="77777777" w:rsidR="009901F0" w:rsidRPr="00CB093C" w:rsidRDefault="009901F0" w:rsidP="00AD06D4">
      <w:pPr>
        <w:numPr>
          <w:ilvl w:val="0"/>
          <w:numId w:val="5"/>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t>water quality (e.g. river discharge, plume exposure, nutrient concentrations, suspended sediments, herbicides)</w:t>
      </w:r>
    </w:p>
    <w:p w14:paraId="208FA921" w14:textId="77777777" w:rsidR="009901F0" w:rsidRPr="00CB093C" w:rsidRDefault="009901F0" w:rsidP="00AD06D4">
      <w:pPr>
        <w:numPr>
          <w:ilvl w:val="0"/>
          <w:numId w:val="5"/>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t>biological (e.g. epiphytes and macroalgae)</w:t>
      </w:r>
    </w:p>
    <w:p w14:paraId="4258298F" w14:textId="77777777" w:rsidR="009901F0" w:rsidRPr="00CB093C" w:rsidRDefault="009901F0" w:rsidP="00AD06D4">
      <w:pPr>
        <w:numPr>
          <w:ilvl w:val="0"/>
          <w:numId w:val="5"/>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t>substrate (e.g. grain size composition)</w:t>
      </w:r>
    </w:p>
    <w:p w14:paraId="4B3F333B" w14:textId="77777777" w:rsidR="009901F0" w:rsidRPr="00CB093C" w:rsidRDefault="009901F0" w:rsidP="00AD06D4">
      <w:pPr>
        <w:numPr>
          <w:ilvl w:val="0"/>
          <w:numId w:val="5"/>
        </w:numPr>
        <w:spacing w:before="0"/>
        <w:ind w:left="714" w:hanging="357"/>
        <w:rPr>
          <w:rFonts w:ascii="Arial" w:hAnsi="Arial" w:cs="Arial"/>
          <w:color w:val="000000" w:themeColor="text1"/>
          <w:szCs w:val="22"/>
        </w:rPr>
      </w:pPr>
      <w:r w:rsidRPr="00CB093C">
        <w:rPr>
          <w:rFonts w:ascii="Arial" w:hAnsi="Arial" w:cs="Arial"/>
          <w:color w:val="000000" w:themeColor="text1"/>
          <w:szCs w:val="22"/>
        </w:rPr>
        <w:t>seagrass environmental integrators (e.g. tissue nutrients).</w:t>
      </w:r>
    </w:p>
    <w:p w14:paraId="22ADC84F" w14:textId="335210C8" w:rsidR="009901F0" w:rsidRPr="00CB093C" w:rsidRDefault="009901F0" w:rsidP="00D2585E">
      <w:pPr>
        <w:rPr>
          <w:rFonts w:ascii="Arial" w:hAnsi="Arial" w:cs="Arial"/>
          <w:color w:val="000000" w:themeColor="text1"/>
          <w:szCs w:val="22"/>
        </w:rPr>
      </w:pPr>
      <w:r w:rsidRPr="00CB093C">
        <w:rPr>
          <w:rFonts w:ascii="Arial" w:hAnsi="Arial" w:cs="Arial"/>
          <w:color w:val="000000" w:themeColor="text1"/>
          <w:szCs w:val="22"/>
        </w:rPr>
        <w:t xml:space="preserve">Indicators which respond more quickly (e.g. light) provide important early-warning of potentially more advanced ecological changes (as described below). However, a measured change in a fast-responding environmental indicator is not enough in isolation to predict whether there will be further ecological impacts, because the change could be short-term. These indicators provide critical supporting information to support interpretation of slower responding seagrass condition and resilience indicators. </w:t>
      </w:r>
      <w:r w:rsidR="00BA288D" w:rsidRPr="00CB093C">
        <w:rPr>
          <w:rFonts w:ascii="Arial" w:hAnsi="Arial" w:cs="Arial"/>
          <w:color w:val="000000" w:themeColor="text1"/>
          <w:szCs w:val="22"/>
        </w:rPr>
        <w:t xml:space="preserve">Epiphytes and macroalgae are an environmental indicator because they can compete with and/or block light reaching seagrass leaves, therefore compounding environmental stress. </w:t>
      </w:r>
    </w:p>
    <w:p w14:paraId="6E5AA484" w14:textId="71379DF2" w:rsidR="004215C4" w:rsidRPr="00CB093C" w:rsidRDefault="004215C4" w:rsidP="00D2585E">
      <w:pPr>
        <w:rPr>
          <w:rFonts w:ascii="Arial" w:hAnsi="Arial" w:cs="Arial"/>
          <w:color w:val="000000" w:themeColor="text1"/>
          <w:szCs w:val="22"/>
        </w:rPr>
      </w:pPr>
      <w:r w:rsidRPr="00CB093C">
        <w:rPr>
          <w:rFonts w:ascii="Arial" w:hAnsi="Arial" w:cs="Arial"/>
          <w:color w:val="000000" w:themeColor="text1"/>
          <w:szCs w:val="22"/>
        </w:rPr>
        <w:t>These environmental indicators are interpreted according to the following general principals:</w:t>
      </w:r>
    </w:p>
    <w:p w14:paraId="0F1EAB2F" w14:textId="579E23A2" w:rsidR="004215C4" w:rsidRPr="00CB093C" w:rsidRDefault="004215C4" w:rsidP="00AD06D4">
      <w:pPr>
        <w:pStyle w:val="ListParagraph"/>
        <w:numPr>
          <w:ilvl w:val="0"/>
          <w:numId w:val="35"/>
        </w:numPr>
        <w:rPr>
          <w:rFonts w:ascii="Arial" w:hAnsi="Arial" w:cs="Arial"/>
          <w:color w:val="000000" w:themeColor="text1"/>
          <w:szCs w:val="22"/>
        </w:rPr>
      </w:pPr>
      <w:r w:rsidRPr="00CB093C">
        <w:rPr>
          <w:rFonts w:ascii="Arial" w:hAnsi="Arial" w:cs="Arial"/>
          <w:color w:val="000000" w:themeColor="text1"/>
          <w:szCs w:val="22"/>
        </w:rPr>
        <w:t>Cyclones cause</w:t>
      </w:r>
      <w:r w:rsidR="00EC647A" w:rsidRPr="00CB093C">
        <w:rPr>
          <w:rFonts w:ascii="Arial" w:hAnsi="Arial" w:cs="Arial"/>
          <w:color w:val="000000" w:themeColor="text1"/>
          <w:szCs w:val="22"/>
        </w:rPr>
        <w:t xml:space="preserve"> </w:t>
      </w:r>
      <w:r w:rsidR="004A3632" w:rsidRPr="00CB093C">
        <w:rPr>
          <w:rFonts w:ascii="Arial" w:hAnsi="Arial" w:cs="Arial"/>
          <w:color w:val="000000" w:themeColor="text1"/>
          <w:szCs w:val="22"/>
        </w:rPr>
        <w:t>physical disturbance from elevated swell and waves resulting in meadow fragmentation and loss of seagrass plants</w:t>
      </w:r>
      <w:r w:rsidR="008D3D8C" w:rsidRPr="00CB093C">
        <w:rPr>
          <w:rFonts w:ascii="Arial" w:hAnsi="Arial" w:cs="Arial"/>
          <w:color w:val="000000" w:themeColor="text1"/>
          <w:szCs w:val="22"/>
        </w:rPr>
        <w:t xml:space="preserve"> (</w:t>
      </w:r>
      <w:hyperlink w:anchor="_ENREF_99" w:tooltip="McKenzie, 2012 #9287"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&lt;EndNote&gt;&lt;Cite&gt;&lt;Author&gt;McKenzie&lt;/Author&gt;&lt;Year&gt;2012&lt;/Year&gt;&lt;RecNum&gt;9287&lt;/RecNum&gt;&lt;DisplayText&gt;McKenzie&lt;style face="italic"&gt; et al.&lt;/style&gt; 2012&lt;/DisplayText&gt;&lt;record&gt;&lt;rec-number&gt;9287&lt;/rec-number&gt;&lt;foreign-keys&gt;&lt;key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McKenzie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2012</w:t>
        </w:r>
        <w:r w:rsidR="00513C39" w:rsidRPr="00CB093C">
          <w:rPr>
            <w:rFonts w:ascii="Arial" w:hAnsi="Arial" w:cs="Arial"/>
            <w:color w:val="000000" w:themeColor="text1"/>
            <w:szCs w:val="22"/>
          </w:rPr>
          <w:fldChar w:fldCharType="end"/>
        </w:r>
      </w:hyperlink>
      <w:r w:rsidR="008D3D8C" w:rsidRPr="00CB093C">
        <w:rPr>
          <w:rFonts w:ascii="Arial" w:hAnsi="Arial" w:cs="Arial"/>
          <w:color w:val="000000" w:themeColor="text1"/>
          <w:szCs w:val="22"/>
        </w:rPr>
        <w:t>)</w:t>
      </w:r>
      <w:r w:rsidR="004A3632" w:rsidRPr="00CB093C">
        <w:rPr>
          <w:rFonts w:ascii="Arial" w:hAnsi="Arial" w:cs="Arial"/>
          <w:color w:val="000000" w:themeColor="text1"/>
          <w:szCs w:val="22"/>
        </w:rPr>
        <w:t>. Seagrass loss also results from smothering by sediments and light limitation due to increased turbidity from suspended sediments. The heavy rainfall associated with cyclones results in flooding which exacerbates light limitation</w:t>
      </w:r>
      <w:r w:rsidR="0025430D" w:rsidRPr="00CB093C">
        <w:rPr>
          <w:rFonts w:ascii="Arial" w:hAnsi="Arial" w:cs="Arial"/>
          <w:color w:val="000000" w:themeColor="text1"/>
          <w:szCs w:val="22"/>
        </w:rPr>
        <w:t xml:space="preserve"> and transports pollutants (nutrients and pesticides)</w:t>
      </w:r>
      <w:r w:rsidR="004A3632" w:rsidRPr="00CB093C">
        <w:rPr>
          <w:rFonts w:ascii="Arial" w:hAnsi="Arial" w:cs="Arial"/>
          <w:color w:val="000000" w:themeColor="text1"/>
          <w:szCs w:val="22"/>
        </w:rPr>
        <w:t>, resulting in futher seagrass loss</w:t>
      </w:r>
      <w:r w:rsidR="008D3D8C" w:rsidRPr="00CB093C">
        <w:rPr>
          <w:rFonts w:ascii="Arial" w:hAnsi="Arial" w:cs="Arial"/>
          <w:color w:val="000000" w:themeColor="text1"/>
          <w:szCs w:val="22"/>
        </w:rPr>
        <w:t xml:space="preserve"> (</w:t>
      </w:r>
      <w:hyperlink w:anchor="_ENREF_126" w:tooltip="Preen, 1995 #950"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&lt;EndNote&gt;&lt;Cite&gt;&lt;Author&gt;Preen&lt;/Author&gt;&lt;Year&gt;1995&lt;/Year&gt;&lt;RecNum&gt;950&lt;/RecNum&gt;&lt;DisplayText&gt;Preen&lt;style face="italic"&gt; et al.&lt;/style&gt; 1995&lt;/DisplayText&gt;&lt;record&gt;&lt;rec-number&gt;950&lt;/rec-number&gt;&lt;foreign-keys&gt;&lt;key app="EN" db-id="0eve55x9y5vfd6e9dacxtew4eatve2dzds9a" timestamp="0"&gt;950&lt;/key&gt;&lt;/foreign-keys&gt;&lt;ref-type name="Journal Article"&gt;17&lt;/ref-type&gt;&lt;contributors&gt;&lt;authors&gt;&lt;author&gt;Preen, Anthony R.&lt;/author&gt;&lt;author&gt;Lee Long, Warren J.&lt;/author&gt;&lt;author&gt;Coles, Robert G.&lt;/author&gt;&lt;/authors&gt;&lt;/contributors&gt;&lt;titles&gt;&lt;title&gt;&lt;style face="normal" font="default" size="100%"&gt;Flood and cyclone related loss, and partial recovery, of more than 1,000 km&lt;/style&gt;&lt;style face="superscript" font="default" size="100%"&gt;2&lt;/style&gt;&lt;style face="normal" font="default" size="100%"&gt; of seagrass in Hervey Bay, Queensland, Australia&lt;/style&gt;&lt;/title&gt;&lt;secondary-title&gt;Aquatic Botany&lt;/secondary-title&gt;&lt;alt-title&gt;Aquat. Bot.&lt;/alt-title&gt;&lt;/titles&gt;&lt;periodical&gt;&lt;full-title&gt;Aquatic Botany&lt;/full-title&gt;&lt;/periodical&gt;&lt;pages&gt;3-17&lt;/pages&gt;&lt;volume&gt;52&lt;/volume&gt;&lt;keywords&gt;&lt;keyword&gt;Seagrass, Die off, CycloneRecovery&lt;/keyword&gt;&lt;/keywords&gt;&lt;dates&gt;&lt;year&gt;1995&lt;/year&gt;&lt;/dates&gt;&lt;urls&gt;&lt;/urls&gt;&lt;custom1&gt;Annex. Len McKenzie Collection&lt;/custom1&gt;&lt;/record&gt;&lt;/Cite&gt;&lt;/EndNote&gt;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Preen</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1995</w:t>
        </w:r>
        <w:r w:rsidR="00513C39" w:rsidRPr="00CB093C">
          <w:rPr>
            <w:rFonts w:ascii="Arial" w:hAnsi="Arial" w:cs="Arial"/>
            <w:color w:val="000000" w:themeColor="text1"/>
            <w:szCs w:val="22"/>
          </w:rPr>
          <w:fldChar w:fldCharType="end"/>
        </w:r>
      </w:hyperlink>
      <w:r w:rsidR="008D3D8C" w:rsidRPr="00CB093C">
        <w:rPr>
          <w:rFonts w:ascii="Arial" w:hAnsi="Arial" w:cs="Arial"/>
          <w:color w:val="000000" w:themeColor="text1"/>
          <w:szCs w:val="22"/>
        </w:rPr>
        <w:t>)</w:t>
      </w:r>
      <w:r w:rsidR="004A3632" w:rsidRPr="00CB093C">
        <w:rPr>
          <w:rFonts w:ascii="Arial" w:hAnsi="Arial" w:cs="Arial"/>
          <w:color w:val="000000" w:themeColor="text1"/>
          <w:szCs w:val="22"/>
        </w:rPr>
        <w:t>.</w:t>
      </w:r>
    </w:p>
    <w:p w14:paraId="74BC272B" w14:textId="45ED6807" w:rsidR="004215C4" w:rsidRPr="00CB093C" w:rsidRDefault="004215C4" w:rsidP="00AD06D4">
      <w:pPr>
        <w:pStyle w:val="ListParagraph"/>
        <w:numPr>
          <w:ilvl w:val="0"/>
          <w:numId w:val="35"/>
        </w:numPr>
        <w:rPr>
          <w:rFonts w:ascii="Arial" w:hAnsi="Arial" w:cs="Arial"/>
          <w:color w:val="000000" w:themeColor="text1"/>
          <w:szCs w:val="22"/>
        </w:rPr>
      </w:pPr>
      <w:r w:rsidRPr="00CB093C">
        <w:rPr>
          <w:rFonts w:ascii="Arial" w:hAnsi="Arial" w:cs="Arial"/>
          <w:color w:val="000000" w:themeColor="text1"/>
          <w:szCs w:val="22"/>
        </w:rPr>
        <w:t>Benthic light level below 10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xml:space="preserve"> are unlikely to support long-term growth of seagrass, and periods below 6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xml:space="preserve"> for more than four weeks can cause loss (</w:t>
      </w:r>
      <w:hyperlink w:anchor="_ENREF_33" w:tooltip="Collier, 2016 #10832"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&lt;EndNote&gt;&lt;Cite&gt;&lt;Author&gt;Collier&lt;/Author&gt;&lt;Year&gt;2016&lt;/Year&gt;&lt;RecNum&gt;10832&lt;/RecNum&gt;&lt;DisplayText&gt;Collier&lt;style face="italic"&gt; et al.&lt;/style&gt; 2016b&lt;/DisplayText&gt;&lt;record&gt;&lt;rec-number&gt;10832&lt;/rec-number&gt;&lt;foreign-keys&gt;&lt;key app="EN" db-id="0eve55x9y5vfd6e9dacxtew4eatve2dzds9a" timestamp="1483589796"&gt;10832&lt;/key&gt;&lt;/foreign-keys&gt;&lt;ref-type name="Book"&gt;6&lt;/ref-type&gt;&lt;contributors&gt;&lt;authors&gt;&lt;author&gt;Collier, Catherine J&lt;/author&gt;&lt;author&gt;Chartrand, Katie&lt;/author&gt;&lt;author&gt;Honchin, Carol&lt;/author&gt;&lt;author&gt;Fletcher, Adam&lt;/author&gt;&lt;author&gt;Rasheed, Michael&lt;/author&gt;&lt;/authors&gt;&lt;/contributors&gt;&lt;titles&gt;&lt;title&gt;Light thresholds for seagrasses of the GBR: a synthesis and guiding document. Including knowledge gaps and future priorities. Report to the National Environmental Science Programme&lt;/title&gt;&lt;/titles&gt;&lt;pages&gt;41&lt;/pages&gt;&lt;dates&gt;&lt;year&gt;2016&lt;/year&gt;&lt;/dates&gt;&lt;pub-location&gt;Cairns &lt;/pub-location&gt;&lt;publisher&gt;Reef and Rainforest Research Centre Limited&lt;/publisher&gt;&lt;urls&gt;&lt;/urls&gt;&lt;/record&gt;&lt;/Cite&gt;&lt;/EndNote&gt;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Collier</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2016b</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However, it is unclear how these relate to intertidal habitats because very high light exposure during low tide can affect light. Therefore, it may be more informative to look at </w:t>
      </w:r>
      <w:r w:rsidR="004A3632" w:rsidRPr="00CB093C">
        <w:rPr>
          <w:rFonts w:ascii="Arial" w:hAnsi="Arial" w:cs="Arial"/>
          <w:color w:val="000000" w:themeColor="text1"/>
          <w:szCs w:val="22"/>
        </w:rPr>
        <w:t>change relative to the sites.</w:t>
      </w:r>
    </w:p>
    <w:p w14:paraId="7B0F7F54" w14:textId="6FF2895E" w:rsidR="004215C4" w:rsidRPr="00CB093C" w:rsidRDefault="004215C4" w:rsidP="00AD06D4">
      <w:pPr>
        <w:pStyle w:val="ListParagraph"/>
        <w:numPr>
          <w:ilvl w:val="0"/>
          <w:numId w:val="35"/>
        </w:numPr>
        <w:rPr>
          <w:rFonts w:ascii="Arial" w:hAnsi="Arial" w:cs="Arial"/>
          <w:color w:val="000000" w:themeColor="text1"/>
          <w:szCs w:val="22"/>
        </w:rPr>
      </w:pPr>
      <w:r w:rsidRPr="00CB093C">
        <w:rPr>
          <w:rFonts w:ascii="Arial" w:hAnsi="Arial" w:cs="Arial"/>
          <w:color w:val="000000" w:themeColor="text1"/>
          <w:szCs w:val="22"/>
        </w:rPr>
        <w:t xml:space="preserve">Water temperature can impact seagrasses through chronic effects in which elevated respiration at high temperatures can cause carbon loss and reduce growth (Collier et al 2017), while acute stress </w:t>
      </w:r>
      <w:r w:rsidR="008D3D8C" w:rsidRPr="00CB093C">
        <w:rPr>
          <w:rFonts w:ascii="Arial" w:hAnsi="Arial" w:cs="Arial"/>
          <w:color w:val="000000" w:themeColor="text1"/>
          <w:szCs w:val="22"/>
        </w:rPr>
        <w:t>results in inhibition of photosynthesis and leaf death (</w:t>
      </w:r>
      <w:r w:rsidR="00A04EF1" w:rsidRPr="00CB093C">
        <w:rPr>
          <w:rFonts w:ascii="Arial" w:hAnsi="Arial" w:cs="Arial"/>
          <w:color w:val="000000" w:themeColor="text1"/>
          <w:szCs w:val="22"/>
        </w:rPr>
        <w:fldChar w:fldCharType="begin">
          <w:fldData xml:space="preserve">PEVuZE5vdGU+PENpdGU+PEF1dGhvcj5DYW1wYmVsbDwvQXV0aG9yPjxZZWFyPjIwMDY8L1llYXI+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</w:fldData>
        </w:fldChar>
      </w:r>
      <w:r w:rsidR="00A04EF1" w:rsidRPr="00CB093C">
        <w:rPr>
          <w:rFonts w:ascii="Arial" w:hAnsi="Arial" w:cs="Arial"/>
          <w:color w:val="000000" w:themeColor="text1"/>
          <w:szCs w:val="22"/>
        </w:rPr>
        <w:instrText xml:space="preserve"> ADDIN EN.CITE </w:instrText>
      </w:r>
      <w:r w:rsidR="00A04EF1" w:rsidRPr="00CB093C">
        <w:rPr>
          <w:rFonts w:ascii="Arial" w:hAnsi="Arial" w:cs="Arial"/>
          <w:color w:val="000000" w:themeColor="text1"/>
          <w:szCs w:val="22"/>
        </w:rPr>
        <w:fldChar w:fldCharType="begin">
          <w:fldData xml:space="preserve">PEVuZE5vdGU+PENpdGU+PEF1dGhvcj5DYW1wYmVsbDwvQXV0aG9yPjxZZWFyPjIwMDY8L1llYXI+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</w:fldData>
        </w:fldChar>
      </w:r>
      <w:r w:rsidR="00A04EF1" w:rsidRPr="00CB093C">
        <w:rPr>
          <w:rFonts w:ascii="Arial" w:hAnsi="Arial" w:cs="Arial"/>
          <w:color w:val="000000" w:themeColor="text1"/>
          <w:szCs w:val="22"/>
        </w:rPr>
        <w:instrText xml:space="preserve"> ADDIN EN.CITE.DATA </w:instrText>
      </w:r>
      <w:r w:rsidR="00A04EF1" w:rsidRPr="00CB093C">
        <w:rPr>
          <w:rFonts w:ascii="Arial" w:hAnsi="Arial" w:cs="Arial"/>
          <w:color w:val="000000" w:themeColor="text1"/>
          <w:szCs w:val="22"/>
        </w:rPr>
      </w:r>
      <w:r w:rsidR="00A04EF1" w:rsidRPr="00CB093C">
        <w:rPr>
          <w:rFonts w:ascii="Arial" w:hAnsi="Arial" w:cs="Arial"/>
          <w:color w:val="000000" w:themeColor="text1"/>
          <w:szCs w:val="22"/>
        </w:rPr>
        <w:fldChar w:fldCharType="end"/>
      </w:r>
      <w:r w:rsidR="00A04EF1" w:rsidRPr="00CB093C">
        <w:rPr>
          <w:rFonts w:ascii="Arial" w:hAnsi="Arial" w:cs="Arial"/>
          <w:color w:val="000000" w:themeColor="text1"/>
          <w:szCs w:val="22"/>
        </w:rPr>
      </w:r>
      <w:r w:rsidR="00A04EF1" w:rsidRPr="00CB093C">
        <w:rPr>
          <w:rFonts w:ascii="Arial" w:hAnsi="Arial" w:cs="Arial"/>
          <w:color w:val="000000" w:themeColor="text1"/>
          <w:szCs w:val="22"/>
        </w:rPr>
        <w:fldChar w:fldCharType="separate"/>
      </w:r>
      <w:hyperlink w:anchor="_ENREF_19" w:tooltip="Campbell, 2006 #2896" w:history="1">
        <w:r w:rsidR="00513C39" w:rsidRPr="00CB093C">
          <w:rPr>
            <w:rFonts w:ascii="Arial" w:hAnsi="Arial" w:cs="Arial"/>
            <w:noProof/>
            <w:color w:val="000000" w:themeColor="text1"/>
            <w:szCs w:val="22"/>
          </w:rPr>
          <w:t>Campbell</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2006</w:t>
        </w:r>
      </w:hyperlink>
      <w:r w:rsidR="00A04EF1" w:rsidRPr="00CB093C">
        <w:rPr>
          <w:rFonts w:ascii="Arial" w:hAnsi="Arial" w:cs="Arial"/>
          <w:noProof/>
          <w:color w:val="000000" w:themeColor="text1"/>
          <w:szCs w:val="22"/>
        </w:rPr>
        <w:t xml:space="preserve">; </w:t>
      </w:r>
      <w:hyperlink w:anchor="_ENREF_35" w:tooltip="Collier, 2014 #10322" w:history="1">
        <w:r w:rsidR="00513C39" w:rsidRPr="00CB093C">
          <w:rPr>
            <w:rFonts w:ascii="Arial" w:hAnsi="Arial" w:cs="Arial"/>
            <w:noProof/>
            <w:color w:val="000000" w:themeColor="text1"/>
            <w:szCs w:val="22"/>
          </w:rPr>
          <w:t>Collier and Waycott 2014</w:t>
        </w:r>
      </w:hyperlink>
      <w:r w:rsidR="00A04EF1" w:rsidRPr="00CB093C">
        <w:rPr>
          <w:rFonts w:ascii="Arial" w:hAnsi="Arial" w:cs="Arial"/>
          <w:color w:val="000000" w:themeColor="text1"/>
          <w:szCs w:val="22"/>
        </w:rPr>
        <w:fldChar w:fldCharType="end"/>
      </w:r>
      <w:r w:rsidR="008D3D8C" w:rsidRPr="00CB093C">
        <w:rPr>
          <w:rFonts w:ascii="Arial" w:hAnsi="Arial" w:cs="Arial"/>
          <w:color w:val="000000" w:themeColor="text1"/>
          <w:szCs w:val="22"/>
        </w:rPr>
        <w:t>)</w:t>
      </w:r>
    </w:p>
    <w:p w14:paraId="10E88280" w14:textId="322E49BA" w:rsidR="0005313D" w:rsidRPr="00CB093C" w:rsidRDefault="0005313D" w:rsidP="00AD06D4">
      <w:pPr>
        <w:pStyle w:val="ListParagraph"/>
        <w:numPr>
          <w:ilvl w:val="0"/>
          <w:numId w:val="35"/>
        </w:numPr>
        <w:rPr>
          <w:rFonts w:ascii="Arial" w:hAnsi="Arial" w:cs="Arial"/>
          <w:color w:val="000000" w:themeColor="text1"/>
          <w:szCs w:val="22"/>
        </w:rPr>
      </w:pPr>
      <w:r w:rsidRPr="00CB093C">
        <w:rPr>
          <w:rFonts w:ascii="Arial" w:hAnsi="Arial" w:cs="Arial"/>
          <w:color w:val="000000" w:themeColor="text1"/>
          <w:szCs w:val="22"/>
        </w:rPr>
        <w:lastRenderedPageBreak/>
        <w:t>Daytime tidal exposure can provide critical windows of light for positive net photosynthesis for seagrass in chronically turbid waters (</w:t>
      </w:r>
      <w:hyperlink w:anchor="_ENREF_130" w:tooltip="Rasheed, 2011 #11985"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&lt;EndNote&gt;&lt;Cite&gt;&lt;Author&gt;Rasheed&lt;/Author&gt;&lt;Year&gt;2011&lt;/Year&gt;&lt;RecNum&gt;11985&lt;/RecNum&gt;&lt;DisplayText&gt;Rasheed and Unsworth 2011&lt;/DisplayText&gt;&lt;record&gt;&lt;rec-number&gt;11985&lt;/rec-number&gt;&lt;foreign-keys&gt;&lt;key app="EN" db-id="0eve55x9y5vfd6e9dacxtew4eatve2dzds9a" timestamp="1554180293"&gt;11985&lt;/key&gt;&lt;/foreign-keys&gt;&lt;ref-type name="Journal Article"&gt;17&lt;/ref-type&gt;&lt;contributors&gt;&lt;authors&gt;&lt;author&gt;Rasheed, M. A.&lt;/author&gt;&lt;author&gt;Unsworth, R. K. F.&lt;/author&gt;&lt;/authors&gt;&lt;/contributors&gt;&lt;titles&gt;&lt;title&gt;Long-term climate-associated dynamics of a tropical seagrass meadow: implications for the future&lt;/title&gt;&lt;secondary-title&gt;Marine Ecology Progress Series&lt;/secondary-title&gt;&lt;/titles&gt;&lt;periodical&gt;&lt;full-title&gt;Marine Ecology Progress Series&lt;/full-title&gt;&lt;/periodical&gt;&lt;pages&gt;93-103&lt;/pages&gt;&lt;volume&gt;422&lt;/volume&gt;&lt;dates&gt;&lt;year&gt;2011&lt;/year&gt;&lt;/dates&gt;&lt;urls&gt;&lt;related-urls&gt;&lt;url&gt;https://www.int-res.com/abstracts/meps/v422/p93-103/&lt;/url&gt;&lt;/related-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Rasheed and Unsworth 2011</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However, during tidal exposure, plants are susceptible to extreme irradiance doses, desiccation, thermal stress and potentially high UV-A and UV-B leading to physiological damage, resulting in short-term declines in density and spatial coverage (</w:t>
      </w:r>
      <w:hyperlink w:anchor="_ENREF_145" w:tooltip="Unsworth, 2012 #939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&lt;EndNote&gt;&lt;Cite&gt;&lt;Author&gt;Unsworth&lt;/Author&gt;&lt;Year&gt;2012&lt;/Year&gt;&lt;RecNum&gt;9397&lt;/RecNum&gt;&lt;DisplayText&gt;Unsworth&lt;style face="italic"&gt; et al.&lt;/style&gt; 2012b&lt;/DisplayText&gt;&lt;record&gt;&lt;rec-number&gt;9397&lt;/rec-number&gt;&lt;foreign-keys&gt;&lt;key app="EN" db-id="0eve55x9y5vfd6e9dacxtew4eatve2dzds9a" timestamp="1375052485"&gt;9397&lt;/key&gt;&lt;/foreign-keys&gt;&lt;ref-type name="Journal Article"&gt;17&lt;/ref-type&gt;&lt;contributors&gt;&lt;authors&gt;&lt;author&gt;Unsworth, Richard K. F.&lt;/author&gt;&lt;author&gt;Rasheed, Michael A.&lt;/author&gt;&lt;author&gt;Chartrand, Kathryn M.&lt;/author&gt;&lt;author&gt;Roelofs, Anthony J.&lt;/author&gt;&lt;/authors&gt;&lt;/contributors&gt;&lt;titles&gt;&lt;title&gt;&lt;style face="normal" font="default" size="100%"&gt;Solar radiation and tidal exposure as environmental drivers of &lt;/style&gt;&lt;style face="italic" font="default" size="100%"&gt;Enhalus acoroides&lt;/style&gt;&lt;style face="normal" font="default" size="100%"&gt; dominated seagrass meadows&lt;/style&gt;&lt;/title&gt;&lt;secondary-title&gt;PloS one&lt;/secondary-title&gt;&lt;/titles&gt;&lt;periodical&gt;&lt;full-title&gt;Plos One&lt;/full-title&gt;&lt;/periodical&gt;&lt;volume&gt;7&lt;/volume&gt;&lt;number&gt;3&lt;/number&gt;&lt;dates&gt;&lt;year&gt;2012&lt;/year&gt;&lt;pub-dates&gt;&lt;date&gt;Mar 29&lt;/date&gt;&lt;/pub-dates&gt;&lt;/dates&gt;&lt;isbn&gt;1932-6203&lt;/isbn&gt;&lt;accession-num&gt;WOS:000304523400057&lt;/accession-num&gt;&lt;urls&gt;&lt;related-urls&gt;&lt;url&gt;&amp;lt;Go to ISI&amp;gt;://WOS:000304523400057&lt;/url&gt;&lt;/related-urls&gt;&lt;/urls&gt;&lt;custom7&gt;e34133&lt;/custom7&gt;&lt;electronic-resource-num&gt;10.1371/journal.pone.0034133&lt;/electronic-resource-num&gt;&lt;/record&gt;&lt;/Cite&gt;&lt;/EndNote&gt;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Unsworth</w:t>
        </w:r>
        <w:r w:rsidR="00513C39" w:rsidRPr="00CB093C">
          <w:rPr>
            <w:rFonts w:ascii="Arial" w:hAnsi="Arial" w:cs="Arial"/>
            <w:i/>
            <w:noProof/>
            <w:szCs w:val="22"/>
          </w:rPr>
          <w:t xml:space="preserve"> et al.</w:t>
        </w:r>
        <w:r w:rsidR="00513C39" w:rsidRPr="00CB093C">
          <w:rPr>
            <w:rFonts w:ascii="Arial" w:hAnsi="Arial" w:cs="Arial"/>
            <w:noProof/>
            <w:szCs w:val="22"/>
          </w:rPr>
          <w:t xml:space="preserve"> 2012b</w:t>
        </w:r>
        <w:r w:rsidR="00513C39" w:rsidRPr="00CB093C">
          <w:rPr>
            <w:rFonts w:ascii="Arial" w:hAnsi="Arial" w:cs="Arial"/>
            <w:szCs w:val="22"/>
          </w:rPr>
          <w:fldChar w:fldCharType="end"/>
        </w:r>
      </w:hyperlink>
      <w:r w:rsidRPr="00CB093C">
        <w:rPr>
          <w:rFonts w:ascii="Arial" w:hAnsi="Arial" w:cs="Arial"/>
          <w:color w:val="000000" w:themeColor="text1"/>
          <w:szCs w:val="22"/>
        </w:rPr>
        <w:t>).</w:t>
      </w:r>
    </w:p>
    <w:p w14:paraId="506DE27A" w14:textId="778A029F" w:rsidR="00B006B2" w:rsidRPr="00CB093C" w:rsidRDefault="00B006B2" w:rsidP="00AD06D4">
      <w:pPr>
        <w:pStyle w:val="ListParagraph"/>
        <w:numPr>
          <w:ilvl w:val="0"/>
          <w:numId w:val="35"/>
        </w:numPr>
        <w:rPr>
          <w:rFonts w:ascii="Arial" w:hAnsi="Arial" w:cs="Arial"/>
          <w:szCs w:val="22"/>
        </w:rPr>
      </w:pPr>
      <w:r w:rsidRPr="00CB093C">
        <w:rPr>
          <w:rFonts w:ascii="Arial" w:hAnsi="Arial" w:cs="Arial"/>
          <w:szCs w:val="22"/>
        </w:rPr>
        <w:t>Sediment grain size affects seagrass growth, germination, survival, and distribution (</w:t>
      </w:r>
      <w:hyperlink w:anchor="_ENREF_93" w:tooltip="McKenzie, 2007 #9456"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&lt;EndNote&gt;&lt;Cite&gt;&lt;Author&gt;McKenzie&lt;/Author&gt;&lt;Year&gt;2007&lt;/Year&gt;&lt;RecNum&gt;9456&lt;/RecNum&gt;&lt;DisplayText&gt;McKenzie 2007&lt;/DisplayText&gt;&lt;record&gt;&lt;rec-number&gt;9456&lt;/rec-number&gt;&lt;foreign-keys&gt;&lt;key app="EN" db-id="0eve55x9y5vfd6e9dacxtew4eatve2dzds9a" timestamp="1375602923"&gt;9456&lt;/key&gt;&lt;/foreign-keys&gt;&lt;ref-type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Facility&lt;/title&gt;&lt;/titles&gt;&lt;pages&gt;25&lt;/pages&gt;&lt;dates&gt;&lt;year&gt;2007&lt;/year&gt;&lt;/dates&gt;&lt;pub-location&gt;Cairns &lt;/pub-location&gt;&lt;publisher&gt;Reef and Rainforest Research Centre Ltd&lt;/publisher&gt;&lt;urls&gt;&lt;/urls&gt;&lt;/record&gt;&lt;/Cite&gt;&lt;/EndNote&gt;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 2007</w:t>
        </w:r>
        <w:r w:rsidR="00513C39" w:rsidRPr="00CB093C">
          <w:rPr>
            <w:rFonts w:ascii="Arial" w:hAnsi="Arial" w:cs="Arial"/>
            <w:szCs w:val="22"/>
          </w:rPr>
          <w:fldChar w:fldCharType="end"/>
        </w:r>
      </w:hyperlink>
      <w:r w:rsidRPr="00CB093C">
        <w:rPr>
          <w:rFonts w:ascii="Arial" w:hAnsi="Arial" w:cs="Arial"/>
          <w:szCs w:val="22"/>
        </w:rPr>
        <w:t>). Coarse, sand dominated sediments limit plant growth due to increased mobility and lower nutrients. However, as finer-textured sediments increase (dominated by mud (grain size &lt;63μm)), porewater exchange with the overlaying water column decreases resulting in increased nutrient concentrations and phytotoxins such as sulphide, which can ultimately lead to seagrass loss (</w:t>
      </w:r>
      <w:hyperlink w:anchor="_ENREF_76" w:tooltip="Koch, 2001 #7446"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&lt;EndNote&gt;&lt;Cite&gt;&lt;Author&gt;Koch&lt;/Author&gt;&lt;Year&gt;2001&lt;/Year&gt;&lt;RecNum&gt;7446&lt;/RecNum&gt;&lt;DisplayText&gt;Koch 2001&lt;/DisplayText&gt;&lt;record&gt;&lt;rec-number&gt;7446&lt;/rec-number&gt;&lt;foreign-keys&gt;&lt;key app="EN" db-id="0eve55x9y5vfd6e9dacxtew4eatve2dzds9a" timestamp="0"&gt;7446&lt;/key&gt;&lt;/foreign-keys&gt;&lt;ref-type name="Journal Article"&gt;17&lt;/ref-type&gt;&lt;contributors&gt;&lt;authors&gt;&lt;author&gt;Koch, E. M.&lt;/author&gt;&lt;/authors&gt;&lt;/contributors&gt;&lt;titles&gt;&lt;title&gt;Beyond light: Physical, geological, and geochemical parameters as possible submersed aquatic vegetation habitat requirements&lt;/title&gt;&lt;secondary-title&gt;Estuaries&lt;/secondary-title&gt;&lt;alt-title&gt;Estuaries&lt;/alt-title&gt;&lt;/titles&gt;&lt;periodical&gt;&lt;full-title&gt;Estuaries&lt;/full-title&gt;&lt;/periodical&gt;&lt;alt-periodical&gt;&lt;full-title&gt;Estuaries&lt;/full-title&gt;&lt;/alt-periodical&gt;&lt;pages&gt;1-17&lt;/pages&gt;&lt;volume&gt;24&lt;/volume&gt;&lt;number&gt;1&lt;/number&gt;&lt;keywords&gt;&lt;keyword&gt;ZOSTERA-MARINA L&lt;/keyword&gt;&lt;keyword&gt;SEAGRASS THALASSIA-TESTUDINUM&lt;/keyword&gt;&lt;keyword&gt;HALODULE-&lt;/keyword&gt;&lt;keyword&gt;WRIGHTII ASCHERS&lt;/keyword&gt;&lt;keyword&gt;POTAMOGETON-PECTINATUS L&lt;/keyword&gt;&lt;keyword&gt;CALIFORNIA KELP&lt;/keyword&gt;&lt;keyword&gt;BEDS&lt;/keyword&gt;&lt;keyword&gt;UNIFLORA L ASCHERS&lt;/keyword&gt;&lt;keyword&gt;BANKS EX KONIG&lt;/keyword&gt;&lt;keyword&gt;CHESAPEAKE-BAY&lt;/keyword&gt;&lt;keyword&gt;NORTH-CAROLINA&lt;/keyword&gt;&lt;keyword&gt;EELGRASS BEDS&lt;/keyword&gt;&lt;/keywords&gt;&lt;dates&gt;&lt;year&gt;2001&lt;/year&gt;&lt;pub-dates&gt;&lt;date&gt;Feb&lt;/date&gt;&lt;/pub-dates&gt;&lt;/dates&gt;&lt;accession-num&gt;ISI:000168130900001&lt;/accession-num&gt;&lt;urls&gt;&lt;related-urls&gt;&lt;url&gt;&amp;lt;Go to ISI&amp;gt;://000168130900001&lt;/url&gt;&lt;/related-urls&gt;&lt;/urls&gt;&lt;/record&gt;&lt;/Cite&gt;&lt;/EndNote&gt;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Koch 2001</w:t>
        </w:r>
        <w:r w:rsidR="00513C39" w:rsidRPr="00CB093C">
          <w:rPr>
            <w:rFonts w:ascii="Arial" w:hAnsi="Arial" w:cs="Arial"/>
            <w:szCs w:val="22"/>
          </w:rPr>
          <w:fldChar w:fldCharType="end"/>
        </w:r>
      </w:hyperlink>
      <w:r w:rsidRPr="00CB093C">
        <w:rPr>
          <w:rFonts w:ascii="Arial" w:hAnsi="Arial" w:cs="Arial"/>
          <w:szCs w:val="22"/>
        </w:rPr>
        <w:t>).</w:t>
      </w:r>
    </w:p>
    <w:p w14:paraId="01F66110" w14:textId="08403711" w:rsidR="003D1F7F" w:rsidRPr="00CB093C" w:rsidRDefault="00562A9E" w:rsidP="00305A14">
      <w:pPr>
        <w:jc w:val="center"/>
        <w:rPr>
          <w:rFonts w:ascii="Arial" w:hAnsi="Arial" w:cs="Arial"/>
          <w:szCs w:val="22"/>
        </w:rPr>
      </w:pPr>
      <w:r w:rsidRPr="00CB093C">
        <w:rPr>
          <w:rFonts w:ascii="Arial" w:hAnsi="Arial" w:cs="Arial"/>
          <w:noProof/>
          <w:szCs w:val="22"/>
          <w:lang w:val="en-US"/>
        </w:rPr>
        <w:drawing>
          <wp:inline distT="0" distB="0" distL="0" distR="0" wp14:anchorId="567CDE69" wp14:editId="7B85F852">
            <wp:extent cx="5392011" cy="3682320"/>
            <wp:effectExtent l="0" t="0" r="0" b="0"/>
            <wp:docPr id="544" name="Picture 544" descr="Table showing climate, environmental, seagrass condition and seagrass resilience indicators reported as part of the MMP Inshore Seagrass monitoring 201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 name="Indicator selection_DT_v1.3_CS5.png"/>
                    <pic:cNvPicPr/>
                  </pic:nvPicPr>
                  <pic:blipFill>
                    <a:blip r:embed="rId40">
                      <a:extLst>
                        <a:ext uri="{28A0092B-C50C-407E-A947-70E740481C1C}">
                          <a14:useLocalDpi xmlns:a14="http://schemas.microsoft.com/office/drawing/2010/main" val="0"/>
                        </a:ext>
                      </a:extLst>
                    </a:blip>
                    <a:stretch>
                      <a:fillRect/>
                    </a:stretch>
                  </pic:blipFill>
                  <pic:spPr>
                    <a:xfrm>
                      <a:off x="0" y="0"/>
                      <a:ext cx="5392758" cy="3682830"/>
                    </a:xfrm>
                    <a:prstGeom prst="rect">
                      <a:avLst/>
                    </a:prstGeom>
                  </pic:spPr>
                </pic:pic>
              </a:graphicData>
            </a:graphic>
          </wp:inline>
        </w:drawing>
      </w:r>
    </w:p>
    <w:p w14:paraId="63F65696" w14:textId="4767BAE9" w:rsidR="00A95D6B" w:rsidRPr="00CB093C" w:rsidRDefault="00A95D6B" w:rsidP="00A95D6B">
      <w:pPr>
        <w:rPr>
          <w:rFonts w:ascii="Arial" w:hAnsi="Arial" w:cs="Arial"/>
          <w:i/>
          <w:vanish/>
          <w:szCs w:val="22"/>
          <w:specVanish/>
        </w:rPr>
      </w:pPr>
      <w:bookmarkStart w:id="27" w:name="_Ref442084289"/>
      <w:bookmarkStart w:id="28" w:name="_Toc6402768"/>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3</w:t>
      </w:r>
      <w:r w:rsidR="00C506C7" w:rsidRPr="00CB093C">
        <w:rPr>
          <w:rFonts w:ascii="Arial" w:hAnsi="Arial" w:cs="Arial"/>
          <w:noProof/>
          <w:szCs w:val="22"/>
        </w:rPr>
        <w:fldChar w:fldCharType="end"/>
      </w:r>
      <w:bookmarkEnd w:id="27"/>
      <w:r w:rsidRPr="00CB093C">
        <w:rPr>
          <w:rFonts w:ascii="Arial" w:hAnsi="Arial" w:cs="Arial"/>
          <w:szCs w:val="22"/>
        </w:rPr>
        <w:t xml:space="preserve">. </w:t>
      </w:r>
      <w:r w:rsidR="003D1F7F" w:rsidRPr="00CB093C">
        <w:rPr>
          <w:rFonts w:ascii="Arial" w:hAnsi="Arial" w:cs="Arial"/>
          <w:i/>
          <w:szCs w:val="22"/>
        </w:rPr>
        <w:t xml:space="preserve">Climate, environmental, seagrass </w:t>
      </w:r>
      <w:r w:rsidR="00A1555C" w:rsidRPr="00CB093C">
        <w:rPr>
          <w:rFonts w:ascii="Arial" w:hAnsi="Arial" w:cs="Arial"/>
          <w:i/>
          <w:szCs w:val="22"/>
        </w:rPr>
        <w:t>condition</w:t>
      </w:r>
      <w:r w:rsidR="003D1F7F" w:rsidRPr="00CB093C">
        <w:rPr>
          <w:rFonts w:ascii="Arial" w:hAnsi="Arial" w:cs="Arial"/>
          <w:i/>
          <w:szCs w:val="22"/>
        </w:rPr>
        <w:t xml:space="preserve"> and seagrass resilience indicators reported </w:t>
      </w:r>
      <w:r w:rsidRPr="00CB093C">
        <w:rPr>
          <w:rFonts w:ascii="Arial" w:hAnsi="Arial" w:cs="Arial"/>
          <w:i/>
          <w:szCs w:val="22"/>
        </w:rPr>
        <w:t xml:space="preserve">as part of </w:t>
      </w:r>
      <w:r w:rsidR="00E12259" w:rsidRPr="00CB093C">
        <w:rPr>
          <w:rFonts w:ascii="Arial" w:hAnsi="Arial" w:cs="Arial"/>
          <w:i/>
          <w:szCs w:val="22"/>
        </w:rPr>
        <w:t xml:space="preserve">inshore seagrass </w:t>
      </w:r>
      <w:r w:rsidRPr="00CB093C">
        <w:rPr>
          <w:rFonts w:ascii="Arial" w:hAnsi="Arial" w:cs="Arial"/>
          <w:i/>
          <w:szCs w:val="22"/>
        </w:rPr>
        <w:t>monitoring</w:t>
      </w:r>
      <w:r w:rsidR="003D1F7F" w:rsidRPr="00CB093C">
        <w:rPr>
          <w:rFonts w:ascii="Arial" w:hAnsi="Arial" w:cs="Arial"/>
          <w:i/>
          <w:szCs w:val="22"/>
        </w:rPr>
        <w:t>.</w:t>
      </w:r>
      <w:bookmarkEnd w:id="28"/>
    </w:p>
    <w:p w14:paraId="7C64A609" w14:textId="54210427" w:rsidR="003D1F7F" w:rsidRPr="00CB093C" w:rsidRDefault="003D1F7F" w:rsidP="00A95D6B">
      <w:pPr>
        <w:rPr>
          <w:rFonts w:ascii="Arial" w:hAnsi="Arial" w:cs="Arial"/>
          <w:i/>
          <w:szCs w:val="22"/>
        </w:rPr>
      </w:pPr>
      <w:r w:rsidRPr="00CB093C">
        <w:rPr>
          <w:rFonts w:ascii="Arial" w:hAnsi="Arial" w:cs="Arial"/>
          <w:i/>
          <w:szCs w:val="22"/>
        </w:rPr>
        <w:t xml:space="preserve"> </w:t>
      </w:r>
      <w:r w:rsidR="000813CB" w:rsidRPr="00CB093C">
        <w:rPr>
          <w:rFonts w:ascii="Arial" w:hAnsi="Arial" w:cs="Arial"/>
          <w:i/>
          <w:szCs w:val="22"/>
        </w:rPr>
        <w:t>Regular text</w:t>
      </w:r>
      <w:r w:rsidRPr="00CB093C">
        <w:rPr>
          <w:rFonts w:ascii="Arial" w:hAnsi="Arial" w:cs="Arial"/>
          <w:i/>
          <w:szCs w:val="22"/>
        </w:rPr>
        <w:t xml:space="preserve"> are indicators measured in the inshore seagrass program, white box with dashed line are indicators in development, and </w:t>
      </w:r>
      <w:r w:rsidR="000813CB" w:rsidRPr="00CB093C">
        <w:rPr>
          <w:rFonts w:ascii="Arial" w:hAnsi="Arial" w:cs="Arial"/>
          <w:i/>
          <w:szCs w:val="22"/>
        </w:rPr>
        <w:t>italicised text</w:t>
      </w:r>
      <w:r w:rsidRPr="00CB093C">
        <w:rPr>
          <w:rFonts w:ascii="Arial" w:hAnsi="Arial" w:cs="Arial"/>
          <w:i/>
          <w:szCs w:val="22"/>
        </w:rPr>
        <w:t xml:space="preserve"> are indicators collected in other programs or by other institutions (see Table </w:t>
      </w:r>
      <w:r w:rsidR="007D65EC" w:rsidRPr="00CB093C">
        <w:rPr>
          <w:rFonts w:ascii="Arial" w:hAnsi="Arial" w:cs="Arial"/>
          <w:i/>
          <w:szCs w:val="22"/>
        </w:rPr>
        <w:t>2</w:t>
      </w:r>
      <w:r w:rsidRPr="00CB093C">
        <w:rPr>
          <w:rFonts w:ascii="Arial" w:hAnsi="Arial" w:cs="Arial"/>
          <w:i/>
          <w:szCs w:val="22"/>
        </w:rPr>
        <w:t xml:space="preserve"> for details on </w:t>
      </w:r>
      <w:r w:rsidR="008A733C" w:rsidRPr="00CB093C">
        <w:rPr>
          <w:rFonts w:ascii="Arial" w:hAnsi="Arial" w:cs="Arial"/>
          <w:i/>
          <w:szCs w:val="22"/>
        </w:rPr>
        <w:t>data source</w:t>
      </w:r>
      <w:r w:rsidRPr="00CB093C">
        <w:rPr>
          <w:rFonts w:ascii="Arial" w:hAnsi="Arial" w:cs="Arial"/>
          <w:i/>
          <w:szCs w:val="22"/>
        </w:rPr>
        <w:t xml:space="preserve">). All indicators are shown against their response time. </w:t>
      </w:r>
    </w:p>
    <w:p w14:paraId="4498A544" w14:textId="3147A761" w:rsidR="003D1F7F" w:rsidRPr="00CB093C" w:rsidRDefault="009A19FE" w:rsidP="009F09A4">
      <w:pPr>
        <w:rPr>
          <w:rFonts w:ascii="Arial" w:hAnsi="Arial" w:cs="Arial"/>
          <w:i/>
          <w:color w:val="000000" w:themeColor="text1"/>
          <w:szCs w:val="22"/>
        </w:rPr>
      </w:pPr>
      <w:r w:rsidRPr="00CB093C">
        <w:rPr>
          <w:rFonts w:ascii="Arial" w:hAnsi="Arial" w:cs="Arial"/>
          <w:i/>
          <w:color w:val="000000" w:themeColor="text1"/>
          <w:szCs w:val="22"/>
        </w:rPr>
        <w:t>Measures of s</w:t>
      </w:r>
      <w:r w:rsidR="00AF3F1D" w:rsidRPr="00CB093C">
        <w:rPr>
          <w:rFonts w:ascii="Arial" w:hAnsi="Arial" w:cs="Arial"/>
          <w:i/>
          <w:color w:val="000000" w:themeColor="text1"/>
          <w:szCs w:val="22"/>
        </w:rPr>
        <w:t xml:space="preserve">eagrass </w:t>
      </w:r>
      <w:r w:rsidR="00A1555C" w:rsidRPr="00CB093C">
        <w:rPr>
          <w:rFonts w:ascii="Arial" w:hAnsi="Arial" w:cs="Arial"/>
          <w:i/>
          <w:color w:val="000000" w:themeColor="text1"/>
          <w:szCs w:val="22"/>
        </w:rPr>
        <w:t>condition</w:t>
      </w:r>
    </w:p>
    <w:p w14:paraId="2F08FFF7" w14:textId="6B0E406D" w:rsidR="003D1F7F" w:rsidRPr="00CB093C" w:rsidRDefault="00A1555C" w:rsidP="009F09A4">
      <w:pPr>
        <w:rPr>
          <w:rFonts w:ascii="Arial" w:hAnsi="Arial" w:cs="Arial"/>
          <w:color w:val="000000" w:themeColor="text1"/>
          <w:szCs w:val="22"/>
        </w:rPr>
      </w:pPr>
      <w:r w:rsidRPr="00CB093C">
        <w:rPr>
          <w:rFonts w:ascii="Arial" w:hAnsi="Arial" w:cs="Arial"/>
          <w:color w:val="000000" w:themeColor="text1"/>
          <w:szCs w:val="22"/>
        </w:rPr>
        <w:lastRenderedPageBreak/>
        <w:t>Condition</w:t>
      </w:r>
      <w:r w:rsidR="003D1F7F" w:rsidRPr="00CB093C">
        <w:rPr>
          <w:rFonts w:ascii="Arial" w:hAnsi="Arial" w:cs="Arial"/>
          <w:color w:val="000000" w:themeColor="text1"/>
          <w:szCs w:val="22"/>
        </w:rPr>
        <w:t xml:space="preserve"> indicators </w:t>
      </w:r>
      <w:r w:rsidR="00AF3F1D" w:rsidRPr="00CB093C">
        <w:rPr>
          <w:rFonts w:ascii="Arial" w:hAnsi="Arial" w:cs="Arial"/>
          <w:color w:val="000000" w:themeColor="text1"/>
          <w:szCs w:val="22"/>
        </w:rPr>
        <w:t>such as meadow a</w:t>
      </w:r>
      <w:r w:rsidR="003D1F7F" w:rsidRPr="00CB093C">
        <w:rPr>
          <w:rFonts w:ascii="Arial" w:hAnsi="Arial" w:cs="Arial"/>
          <w:color w:val="000000" w:themeColor="text1"/>
          <w:szCs w:val="22"/>
        </w:rPr>
        <w:t>bundance and extent indicate the state of the plants/population and reflect the cumulative effects of past environmental conditions</w:t>
      </w:r>
      <w:r w:rsidR="00624CE5" w:rsidRPr="00CB093C">
        <w:rPr>
          <w:rFonts w:ascii="Arial" w:hAnsi="Arial" w:cs="Arial"/>
          <w:color w:val="000000" w:themeColor="text1"/>
          <w:szCs w:val="22"/>
        </w:rPr>
        <w:t xml:space="preserve"> (</w:t>
      </w:r>
      <w:r w:rsidR="00502900" w:rsidRPr="00CB093C">
        <w:rPr>
          <w:rFonts w:ascii="Arial" w:hAnsi="Arial" w:cs="Arial"/>
          <w:color w:val="000000" w:themeColor="text1"/>
          <w:szCs w:val="22"/>
        </w:rPr>
        <w:fldChar w:fldCharType="begin"/>
      </w:r>
      <w:r w:rsidR="00502900" w:rsidRPr="00CB093C">
        <w:rPr>
          <w:rFonts w:ascii="Arial" w:hAnsi="Arial" w:cs="Arial"/>
          <w:color w:val="000000" w:themeColor="text1"/>
          <w:szCs w:val="22"/>
        </w:rPr>
        <w:instrText xml:space="preserve"> REF _Ref442084289 \h </w:instrText>
      </w:r>
      <w:r w:rsidR="00CB093C" w:rsidRPr="00CB093C">
        <w:rPr>
          <w:rFonts w:ascii="Arial" w:hAnsi="Arial" w:cs="Arial"/>
          <w:color w:val="000000" w:themeColor="text1"/>
          <w:szCs w:val="22"/>
        </w:rPr>
        <w:instrText xml:space="preserve"> \* MERGEFORMAT </w:instrText>
      </w:r>
      <w:r w:rsidR="00502900" w:rsidRPr="00CB093C">
        <w:rPr>
          <w:rFonts w:ascii="Arial" w:hAnsi="Arial" w:cs="Arial"/>
          <w:color w:val="000000" w:themeColor="text1"/>
          <w:szCs w:val="22"/>
        </w:rPr>
      </w:r>
      <w:r w:rsidR="00502900"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3</w:t>
      </w:r>
      <w:r w:rsidR="00502900" w:rsidRPr="00CB093C">
        <w:rPr>
          <w:rFonts w:ascii="Arial" w:hAnsi="Arial" w:cs="Arial"/>
          <w:color w:val="000000" w:themeColor="text1"/>
          <w:szCs w:val="22"/>
        </w:rPr>
        <w:fldChar w:fldCharType="end"/>
      </w:r>
      <w:r w:rsidR="00624CE5" w:rsidRPr="00CB093C">
        <w:rPr>
          <w:rFonts w:ascii="Arial" w:hAnsi="Arial" w:cs="Arial"/>
          <w:color w:val="000000" w:themeColor="text1"/>
          <w:szCs w:val="22"/>
        </w:rPr>
        <w:t>)</w:t>
      </w:r>
      <w:r w:rsidR="003D1F7F" w:rsidRPr="00CB093C">
        <w:rPr>
          <w:rFonts w:ascii="Arial" w:hAnsi="Arial" w:cs="Arial"/>
          <w:color w:val="000000" w:themeColor="text1"/>
          <w:szCs w:val="22"/>
        </w:rPr>
        <w:t>. Abundance can respond to change</w:t>
      </w:r>
      <w:r w:rsidR="00C34AC4" w:rsidRPr="00CB093C">
        <w:rPr>
          <w:rFonts w:ascii="Arial" w:hAnsi="Arial" w:cs="Arial"/>
          <w:color w:val="000000" w:themeColor="text1"/>
          <w:szCs w:val="22"/>
        </w:rPr>
        <w:t xml:space="preserve"> </w:t>
      </w:r>
      <w:r w:rsidR="003D1F7F" w:rsidRPr="00CB093C">
        <w:rPr>
          <w:rFonts w:ascii="Arial" w:hAnsi="Arial" w:cs="Arial"/>
          <w:color w:val="000000" w:themeColor="text1"/>
          <w:szCs w:val="22"/>
        </w:rPr>
        <w:t xml:space="preserve">on time-scales ranging from </w:t>
      </w:r>
      <w:r w:rsidR="00AF3F1D" w:rsidRPr="00CB093C">
        <w:rPr>
          <w:rFonts w:ascii="Arial" w:hAnsi="Arial" w:cs="Arial"/>
          <w:color w:val="000000" w:themeColor="text1"/>
          <w:szCs w:val="22"/>
        </w:rPr>
        <w:t>weeks</w:t>
      </w:r>
      <w:r w:rsidR="003D1F7F" w:rsidRPr="00CB093C">
        <w:rPr>
          <w:rFonts w:ascii="Arial" w:hAnsi="Arial" w:cs="Arial"/>
          <w:color w:val="000000" w:themeColor="text1"/>
          <w:szCs w:val="22"/>
        </w:rPr>
        <w:t xml:space="preserve"> to months (depending on species)</w:t>
      </w:r>
      <w:r w:rsidR="00B40F12" w:rsidRPr="00CB093C">
        <w:rPr>
          <w:rFonts w:ascii="Arial" w:hAnsi="Arial" w:cs="Arial"/>
          <w:color w:val="000000" w:themeColor="text1"/>
          <w:szCs w:val="22"/>
        </w:rPr>
        <w:t xml:space="preserve"> in the </w:t>
      </w:r>
      <w:r w:rsidR="00F206BF" w:rsidRPr="00CB093C">
        <w:rPr>
          <w:rFonts w:ascii="Arial" w:hAnsi="Arial" w:cs="Arial"/>
          <w:color w:val="000000" w:themeColor="text1"/>
          <w:szCs w:val="22"/>
        </w:rPr>
        <w:t>Reef</w:t>
      </w:r>
      <w:r w:rsidR="003D1F7F" w:rsidRPr="00CB093C">
        <w:rPr>
          <w:rFonts w:ascii="Arial" w:hAnsi="Arial" w:cs="Arial"/>
          <w:color w:val="000000" w:themeColor="text1"/>
          <w:szCs w:val="22"/>
        </w:rPr>
        <w:t xml:space="preserve">, while meadow area tends to adjust over longer time-scales (months to years). </w:t>
      </w:r>
      <w:r w:rsidR="00B40F12" w:rsidRPr="00CB093C">
        <w:rPr>
          <w:rFonts w:ascii="Arial" w:hAnsi="Arial" w:cs="Arial"/>
          <w:color w:val="000000" w:themeColor="text1"/>
          <w:szCs w:val="22"/>
        </w:rPr>
        <w:t>Seagrass area and abundance</w:t>
      </w:r>
      <w:r w:rsidR="003D1F7F" w:rsidRPr="00CB093C">
        <w:rPr>
          <w:rFonts w:ascii="Arial" w:hAnsi="Arial" w:cs="Arial"/>
          <w:color w:val="000000" w:themeColor="text1"/>
          <w:szCs w:val="22"/>
        </w:rPr>
        <w:t xml:space="preserve"> are integrators of past conditions, and are vital indicators of meadow </w:t>
      </w:r>
      <w:r w:rsidRPr="00CB093C">
        <w:rPr>
          <w:rFonts w:ascii="Arial" w:hAnsi="Arial" w:cs="Arial"/>
          <w:color w:val="000000" w:themeColor="text1"/>
          <w:szCs w:val="22"/>
        </w:rPr>
        <w:t>condition</w:t>
      </w:r>
      <w:r w:rsidR="00B40F12" w:rsidRPr="00CB093C">
        <w:rPr>
          <w:rFonts w:ascii="Arial" w:hAnsi="Arial" w:cs="Arial"/>
          <w:color w:val="000000" w:themeColor="text1"/>
          <w:szCs w:val="22"/>
        </w:rPr>
        <w:t>; however, these indicators</w:t>
      </w:r>
      <w:r w:rsidR="003D1F7F" w:rsidRPr="00CB093C">
        <w:rPr>
          <w:rFonts w:ascii="Arial" w:hAnsi="Arial" w:cs="Arial"/>
          <w:color w:val="000000" w:themeColor="text1"/>
          <w:szCs w:val="22"/>
        </w:rPr>
        <w:t xml:space="preserve"> can </w:t>
      </w:r>
      <w:r w:rsidR="00B40F12" w:rsidRPr="00CB093C">
        <w:rPr>
          <w:rFonts w:ascii="Arial" w:hAnsi="Arial" w:cs="Arial"/>
          <w:color w:val="000000" w:themeColor="text1"/>
          <w:szCs w:val="22"/>
        </w:rPr>
        <w:t xml:space="preserve">also </w:t>
      </w:r>
      <w:r w:rsidR="003D1F7F" w:rsidRPr="00CB093C">
        <w:rPr>
          <w:rFonts w:ascii="Arial" w:hAnsi="Arial" w:cs="Arial"/>
          <w:color w:val="000000" w:themeColor="text1"/>
          <w:szCs w:val="22"/>
        </w:rPr>
        <w:t xml:space="preserve">be affected by external factors such as grazing by </w:t>
      </w:r>
      <w:r w:rsidR="008A733C" w:rsidRPr="00CB093C">
        <w:rPr>
          <w:rFonts w:ascii="Arial" w:hAnsi="Arial" w:cs="Arial"/>
          <w:color w:val="000000" w:themeColor="text1"/>
          <w:szCs w:val="22"/>
        </w:rPr>
        <w:t>dugongs and turtles</w:t>
      </w:r>
      <w:r w:rsidR="00B40F12" w:rsidRPr="00CB093C">
        <w:rPr>
          <w:rFonts w:ascii="Arial" w:hAnsi="Arial" w:cs="Arial"/>
          <w:color w:val="000000" w:themeColor="text1"/>
          <w:szCs w:val="22"/>
        </w:rPr>
        <w:t>. T</w:t>
      </w:r>
      <w:r w:rsidR="003D1F7F" w:rsidRPr="00CB093C">
        <w:rPr>
          <w:rFonts w:ascii="Arial" w:hAnsi="Arial" w:cs="Arial"/>
          <w:color w:val="000000" w:themeColor="text1"/>
          <w:szCs w:val="22"/>
        </w:rPr>
        <w:t xml:space="preserve">herefore, </w:t>
      </w:r>
      <w:r w:rsidR="00B40F12" w:rsidRPr="00CB093C">
        <w:rPr>
          <w:rFonts w:ascii="Arial" w:hAnsi="Arial" w:cs="Arial"/>
          <w:color w:val="000000" w:themeColor="text1"/>
          <w:szCs w:val="22"/>
        </w:rPr>
        <w:t xml:space="preserve">they </w:t>
      </w:r>
      <w:r w:rsidR="003D1F7F" w:rsidRPr="00CB093C">
        <w:rPr>
          <w:rFonts w:ascii="Arial" w:hAnsi="Arial" w:cs="Arial"/>
          <w:color w:val="000000" w:themeColor="text1"/>
          <w:szCs w:val="22"/>
        </w:rPr>
        <w:t xml:space="preserve">are not suitable as stand-alone indicators of environmental change </w:t>
      </w:r>
      <w:r w:rsidR="0008791E" w:rsidRPr="00CB093C">
        <w:rPr>
          <w:rFonts w:ascii="Arial" w:hAnsi="Arial" w:cs="Arial"/>
          <w:color w:val="000000" w:themeColor="text1"/>
          <w:szCs w:val="22"/>
        </w:rPr>
        <w:t xml:space="preserve">and </w:t>
      </w:r>
      <w:r w:rsidR="00B40F12" w:rsidRPr="00CB093C">
        <w:rPr>
          <w:rFonts w:ascii="Arial" w:hAnsi="Arial" w:cs="Arial"/>
          <w:color w:val="000000" w:themeColor="text1"/>
          <w:szCs w:val="22"/>
        </w:rPr>
        <w:t>indicators that can be linked more directly to specific pressures</w:t>
      </w:r>
      <w:r w:rsidR="00C34AC4" w:rsidRPr="00CB093C">
        <w:rPr>
          <w:rFonts w:ascii="Arial" w:hAnsi="Arial" w:cs="Arial"/>
          <w:color w:val="000000" w:themeColor="text1"/>
          <w:szCs w:val="22"/>
        </w:rPr>
        <w:t xml:space="preserve"> are needed</w:t>
      </w:r>
      <w:r w:rsidR="00B40F12" w:rsidRPr="00CB093C">
        <w:rPr>
          <w:rFonts w:ascii="Arial" w:hAnsi="Arial" w:cs="Arial"/>
          <w:color w:val="000000" w:themeColor="text1"/>
          <w:szCs w:val="22"/>
        </w:rPr>
        <w:t xml:space="preserve">. These condition indicators also </w:t>
      </w:r>
      <w:r w:rsidR="003D1F7F" w:rsidRPr="00CB093C">
        <w:rPr>
          <w:rFonts w:ascii="Arial" w:hAnsi="Arial" w:cs="Arial"/>
          <w:color w:val="000000" w:themeColor="text1"/>
          <w:szCs w:val="22"/>
        </w:rPr>
        <w:t>do not demonstrate capacity to resist or recover from additional impacts</w:t>
      </w:r>
      <w:r w:rsidR="0074091B" w:rsidRPr="00CB093C">
        <w:rPr>
          <w:rFonts w:ascii="Arial" w:hAnsi="Arial" w:cs="Arial"/>
          <w:color w:val="000000" w:themeColor="text1"/>
          <w:szCs w:val="22"/>
        </w:rPr>
        <w:t xml:space="preserve"> (</w:t>
      </w:r>
      <w:hyperlink w:anchor="_ENREF_142" w:tooltip="Unsworth, 2015 #10447"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 timestamp="1450650288"&gt;10447&lt;/key&gt;&lt;/foreign-keys&gt;&lt;ref-type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Unsworth</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2015</w:t>
        </w:r>
        <w:r w:rsidR="00513C39" w:rsidRPr="00CB093C">
          <w:rPr>
            <w:rFonts w:ascii="Arial" w:hAnsi="Arial" w:cs="Arial"/>
            <w:color w:val="000000" w:themeColor="text1"/>
            <w:szCs w:val="22"/>
          </w:rPr>
          <w:fldChar w:fldCharType="end"/>
        </w:r>
      </w:hyperlink>
      <w:r w:rsidR="0074091B" w:rsidRPr="00CB093C">
        <w:rPr>
          <w:rFonts w:ascii="Arial" w:hAnsi="Arial" w:cs="Arial"/>
          <w:color w:val="000000" w:themeColor="text1"/>
          <w:szCs w:val="22"/>
        </w:rPr>
        <w:t>).</w:t>
      </w:r>
    </w:p>
    <w:p w14:paraId="7BB2D78D" w14:textId="63520487" w:rsidR="00CD2634" w:rsidRPr="00CB093C" w:rsidRDefault="00697F5D" w:rsidP="009F09A4">
      <w:pPr>
        <w:rPr>
          <w:rFonts w:ascii="Arial" w:hAnsi="Arial" w:cs="Arial"/>
          <w:color w:val="000000" w:themeColor="text1"/>
          <w:szCs w:val="22"/>
        </w:rPr>
      </w:pPr>
      <w:r w:rsidRPr="00CB093C">
        <w:rPr>
          <w:rFonts w:ascii="Arial" w:hAnsi="Arial" w:cs="Arial"/>
          <w:color w:val="000000" w:themeColor="text1"/>
          <w:szCs w:val="22"/>
        </w:rPr>
        <w:t xml:space="preserve">Changing </w:t>
      </w:r>
      <w:r w:rsidR="002C5D6E" w:rsidRPr="00CB093C">
        <w:rPr>
          <w:rFonts w:ascii="Arial" w:hAnsi="Arial" w:cs="Arial"/>
          <w:color w:val="000000" w:themeColor="text1"/>
          <w:szCs w:val="22"/>
        </w:rPr>
        <w:t xml:space="preserve">ratios of seagrass tissue nutrients provide an indication of seagrass condition and environmental conditions. </w:t>
      </w:r>
      <w:r w:rsidR="00CD2634" w:rsidRPr="00CB093C">
        <w:rPr>
          <w:rFonts w:ascii="Arial" w:hAnsi="Arial" w:cs="Arial"/>
          <w:color w:val="000000" w:themeColor="text1"/>
          <w:szCs w:val="22"/>
        </w:rPr>
        <w:t>Carbon to nitrogen (</w:t>
      </w:r>
      <w:r w:rsidRPr="00CB093C">
        <w:rPr>
          <w:rFonts w:ascii="Arial" w:hAnsi="Arial" w:cs="Arial"/>
          <w:color w:val="000000" w:themeColor="text1"/>
          <w:szCs w:val="22"/>
        </w:rPr>
        <w:t>C:N</w:t>
      </w:r>
      <w:r w:rsidR="00CD2634" w:rsidRPr="00CB093C">
        <w:rPr>
          <w:rFonts w:ascii="Arial" w:hAnsi="Arial" w:cs="Arial"/>
          <w:color w:val="000000" w:themeColor="text1"/>
          <w:szCs w:val="22"/>
        </w:rPr>
        <w:t>)</w:t>
      </w:r>
      <w:r w:rsidRPr="00CB093C">
        <w:rPr>
          <w:rFonts w:ascii="Arial" w:hAnsi="Arial" w:cs="Arial"/>
          <w:color w:val="000000" w:themeColor="text1"/>
          <w:szCs w:val="22"/>
        </w:rPr>
        <w:t xml:space="preserve"> ratios have been found in a number of experiments and field surveys to be related to light levels, as leaves with an atomic C:N ratio of less than 20, may suggest reduced light availability when N is not in surplus (</w:t>
      </w:r>
      <w:r w:rsidRPr="00CB093C">
        <w:rPr>
          <w:rFonts w:ascii="Arial" w:hAnsi="Arial" w:cs="Arial"/>
          <w:color w:val="000000" w:themeColor="text1"/>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Pr="00CB093C">
        <w:rPr>
          <w:rFonts w:ascii="Arial" w:hAnsi="Arial" w:cs="Arial"/>
          <w:color w:val="000000" w:themeColor="text1"/>
          <w:szCs w:val="22"/>
        </w:rPr>
        <w:instrText xml:space="preserve"> ADDIN EN.CITE </w:instrText>
      </w:r>
      <w:r w:rsidRPr="00CB093C">
        <w:rPr>
          <w:rFonts w:ascii="Arial" w:hAnsi="Arial" w:cs="Arial"/>
          <w:color w:val="000000" w:themeColor="text1"/>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Pr="00CB093C">
        <w:rPr>
          <w:rFonts w:ascii="Arial" w:hAnsi="Arial" w:cs="Arial"/>
          <w:color w:val="000000" w:themeColor="text1"/>
          <w:szCs w:val="22"/>
        </w:rPr>
        <w:instrText xml:space="preserve"> ADDIN EN.CITE.DATA </w:instrText>
      </w:r>
      <w:r w:rsidRPr="00CB093C">
        <w:rPr>
          <w:rFonts w:ascii="Arial" w:hAnsi="Arial" w:cs="Arial"/>
          <w:color w:val="000000" w:themeColor="text1"/>
          <w:szCs w:val="22"/>
        </w:rPr>
      </w:r>
      <w:r w:rsidRPr="00CB093C">
        <w:rPr>
          <w:rFonts w:ascii="Arial" w:hAnsi="Arial" w:cs="Arial"/>
          <w:color w:val="000000" w:themeColor="text1"/>
          <w:szCs w:val="22"/>
        </w:rPr>
        <w:fldChar w:fldCharType="end"/>
      </w:r>
      <w:r w:rsidRPr="00CB093C">
        <w:rPr>
          <w:rFonts w:ascii="Arial" w:hAnsi="Arial" w:cs="Arial"/>
          <w:color w:val="000000" w:themeColor="text1"/>
          <w:szCs w:val="22"/>
        </w:rPr>
      </w:r>
      <w:r w:rsidRPr="00CB093C">
        <w:rPr>
          <w:rFonts w:ascii="Arial" w:hAnsi="Arial" w:cs="Arial"/>
          <w:color w:val="000000" w:themeColor="text1"/>
          <w:szCs w:val="22"/>
        </w:rPr>
        <w:fldChar w:fldCharType="separate"/>
      </w:r>
      <w:hyperlink w:anchor="_ENREF_1" w:tooltip="Abal, 1994 #7405" w:history="1">
        <w:r w:rsidR="00513C39" w:rsidRPr="00CB093C">
          <w:rPr>
            <w:rFonts w:ascii="Arial" w:hAnsi="Arial" w:cs="Arial"/>
            <w:noProof/>
            <w:color w:val="000000" w:themeColor="text1"/>
            <w:szCs w:val="22"/>
          </w:rPr>
          <w:t>Abal</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1994</w:t>
        </w:r>
      </w:hyperlink>
      <w:r w:rsidRPr="00CB093C">
        <w:rPr>
          <w:rFonts w:ascii="Arial" w:hAnsi="Arial" w:cs="Arial"/>
          <w:noProof/>
          <w:color w:val="000000" w:themeColor="text1"/>
          <w:szCs w:val="22"/>
        </w:rPr>
        <w:t xml:space="preserve">; </w:t>
      </w:r>
      <w:hyperlink w:anchor="_ENREF_64" w:tooltip="Grice, 1996 #1346" w:history="1">
        <w:r w:rsidR="00513C39" w:rsidRPr="00CB093C">
          <w:rPr>
            <w:rFonts w:ascii="Arial" w:hAnsi="Arial" w:cs="Arial"/>
            <w:noProof/>
            <w:color w:val="000000" w:themeColor="text1"/>
            <w:szCs w:val="22"/>
          </w:rPr>
          <w:t>Grice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1996</w:t>
        </w:r>
      </w:hyperlink>
      <w:r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w:t>
      </w:r>
      <w:hyperlink w:anchor="_ENREF_16" w:tooltip="Cabaço, 2007 #9489"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&lt;EndNote&gt;&lt;Cite&gt;&lt;Author&gt;Cabaço&lt;/Author&gt;&lt;Year&gt;2007&lt;/Year&gt;&lt;RecNum&gt;9489&lt;/RecNum&gt;&lt;DisplayText&gt;Cabaço and Santos 2007&lt;/DisplayText&gt;&lt;record&gt;&lt;rec-number&gt;9489&lt;/rec-number&gt;&lt;foreign-keys&gt;&lt;key app="EN" db-id="0eve55x9y5vfd6e9dacxtew4eatve2dzds9a" timestamp="1375842305"&gt;9489&lt;/key&gt;&lt;/foreign-keys&gt;&lt;ref-type name="Journal Article"&gt;17&lt;/ref-type&gt;&lt;contributors&gt;&lt;authors&gt;&lt;author&gt;Cabaço, S&lt;/author&gt;&lt;author&gt;Santos, R&lt;/author&gt;&lt;/authors&gt;&lt;/contributors&gt;&lt;titles&gt;&lt;title&gt;Effects of burial and erosion on the seagrass Zostera noltii&lt;/title&gt;&lt;secondary-title&gt;Journal of Experimental Marine Biology and Ecology&lt;/secondary-title&gt;&lt;/titles&gt;&lt;periodical&gt;&lt;full-title&gt;Journal of Experimental Marine Biology and Ecology&lt;/full-title&gt;&lt;/periodical&gt;&lt;pages&gt;204-212&lt;/pages&gt;&lt;volume&gt;340&lt;/volume&gt;&lt;dates&gt;&lt;year&gt;2007&lt;/year&gt;&lt;/dates&gt;&lt;urls&gt;&lt;/urls&gt;&lt;/record&gt;&lt;/Cite&gt;&lt;/EndNote&gt;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Cabaço and Santos 2007</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hyperlink w:anchor="_ENREF_34" w:tooltip="Collier, 2009 #9490"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&lt;EndNote&gt;&lt;Cite&gt;&lt;Author&gt;Collier&lt;/Author&gt;&lt;Year&gt;2009&lt;/Year&gt;&lt;RecNum&gt;9490&lt;/RecNum&gt;&lt;DisplayText&gt;Collier&lt;style face="italic"&gt; et al.&lt;/style&gt; 2009&lt;/DisplayText&gt;&lt;record&gt;&lt;rec-number&gt;9490&lt;/rec-number&gt;&lt;foreign-keys&gt;&lt;key app="EN" db-id="0eve55x9y5vfd6e9dacxtew4eatve2dzds9a" timestamp="1375842594"&gt;9490&lt;/key&gt;&lt;/foreign-keys&gt;&lt;ref-type name="Journal Article"&gt;17&lt;/ref-type&gt;&lt;contributors&gt;&lt;authors&gt;&lt;author&gt;Collier, Catherine J.&lt;/author&gt;&lt;author&gt;Lavery, Paul S.&lt;/author&gt;&lt;author&gt;Ralph, Peter J.&lt;/author&gt;&lt;author&gt;Masini, Raymond J.&lt;/author&gt;&lt;/authors&gt;&lt;/contributors&gt;&lt;titles&gt;&lt;title&gt;&lt;style face="normal" font="default" size="100%"&gt;Shade-induced response and recovery of the seagrass &lt;/style&gt;&lt;style face="italic" font="default" size="100%"&gt;Posidonia sinuosa&lt;/style&gt;&lt;/title&gt;&lt;secondary-title&gt;Journal of Experimental Marine Biology and Ecology&lt;/secondary-title&gt;&lt;/titles&gt;&lt;periodical&gt;&lt;full-title&gt;Journal of Experimental Marine Biology and Ecology&lt;/full-title&gt;&lt;/periodical&gt;&lt;pages&gt;89-103&lt;/pages&gt;&lt;volume&gt;370&lt;/volume&gt;&lt;number&gt;1–2&lt;/number&gt;&lt;keywords&gt;&lt;keyword&gt;Depth&lt;/keyword&gt;&lt;keyword&gt;Monitoring&lt;/keyword&gt;&lt;keyword&gt;Recovery&lt;/keyword&gt;&lt;keyword&gt;Self-shading&lt;/keyword&gt;&lt;keyword&gt;Shading&lt;/keyword&gt;&lt;keyword&gt;Western Australia&lt;/keyword&gt;&lt;/keywords&gt;&lt;dates&gt;&lt;year&gt;2009&lt;/year&gt;&lt;/dates&gt;&lt;isbn&gt;0022-0981&lt;/isbn&gt;&lt;urls&gt;&lt;related-urls&gt;&lt;url&gt;http://www.sciencedirect.com/science/article/pii/S0022098108005935&lt;/url&gt;&lt;/related-urls&gt;&lt;/urls&gt;&lt;electronic-resource-num&gt;http://dx.doi.org/10.1016/j.jembe.2008.12.003&lt;/electronic-resource-num&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Collier</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2009</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r w:rsidR="00CD2634" w:rsidRPr="00CB093C">
        <w:rPr>
          <w:rFonts w:ascii="Arial" w:hAnsi="Arial" w:cs="Arial"/>
          <w:color w:val="000000" w:themeColor="text1"/>
          <w:szCs w:val="22"/>
        </w:rPr>
        <w:t xml:space="preserve">Therefore, C:N ratio is reported within the </w:t>
      </w:r>
      <w:r w:rsidR="00CD2634" w:rsidRPr="00CB093C">
        <w:rPr>
          <w:rFonts w:ascii="Arial" w:hAnsi="Arial" w:cs="Arial"/>
          <w:szCs w:val="22"/>
        </w:rPr>
        <w:t>seagrass component of the Marine Results report and report card</w:t>
      </w:r>
      <w:r w:rsidR="00CD2634" w:rsidRPr="00CB093C">
        <w:rPr>
          <w:rFonts w:ascii="Arial" w:hAnsi="Arial" w:cs="Arial"/>
          <w:i/>
          <w:color w:val="000000" w:themeColor="text1"/>
          <w:szCs w:val="22"/>
        </w:rPr>
        <w:t>,</w:t>
      </w:r>
      <w:r w:rsidR="00CD2634" w:rsidRPr="00CB093C">
        <w:rPr>
          <w:rFonts w:ascii="Arial" w:hAnsi="Arial" w:cs="Arial"/>
          <w:color w:val="000000" w:themeColor="text1"/>
          <w:szCs w:val="22"/>
        </w:rPr>
        <w:t xml:space="preserve"> while other tissue nutrients are also presented as supporting information. </w:t>
      </w:r>
    </w:p>
    <w:p w14:paraId="07506D8B" w14:textId="6F145FF9" w:rsidR="003D1F7F" w:rsidRPr="00CB093C" w:rsidRDefault="009A19FE" w:rsidP="009F09A4">
      <w:pPr>
        <w:rPr>
          <w:rFonts w:ascii="Arial" w:hAnsi="Arial" w:cs="Arial"/>
          <w:i/>
          <w:color w:val="000000" w:themeColor="text1"/>
          <w:szCs w:val="22"/>
        </w:rPr>
      </w:pPr>
      <w:r w:rsidRPr="00CB093C">
        <w:rPr>
          <w:rFonts w:ascii="Arial" w:hAnsi="Arial" w:cs="Arial"/>
          <w:i/>
          <w:color w:val="000000" w:themeColor="text1"/>
          <w:szCs w:val="22"/>
        </w:rPr>
        <w:t>Measures of s</w:t>
      </w:r>
      <w:r w:rsidR="00AF3F1D" w:rsidRPr="00CB093C">
        <w:rPr>
          <w:rFonts w:ascii="Arial" w:hAnsi="Arial" w:cs="Arial"/>
          <w:i/>
          <w:color w:val="000000" w:themeColor="text1"/>
          <w:szCs w:val="22"/>
        </w:rPr>
        <w:t>eagrass r</w:t>
      </w:r>
      <w:r w:rsidR="003D1F7F" w:rsidRPr="00CB093C">
        <w:rPr>
          <w:rFonts w:ascii="Arial" w:hAnsi="Arial" w:cs="Arial"/>
          <w:i/>
          <w:color w:val="000000" w:themeColor="text1"/>
          <w:szCs w:val="22"/>
        </w:rPr>
        <w:t>esilience</w:t>
      </w:r>
    </w:p>
    <w:p w14:paraId="530A853E" w14:textId="1CCA96A0" w:rsidR="00623F77" w:rsidRPr="00CB093C" w:rsidRDefault="003D1F7F" w:rsidP="00982CA1">
      <w:pPr>
        <w:widowControl w:val="0"/>
        <w:autoSpaceDE w:val="0"/>
        <w:autoSpaceDN w:val="0"/>
        <w:adjustRightInd w:val="0"/>
        <w:spacing w:before="0" w:after="0"/>
        <w:rPr>
          <w:rFonts w:ascii="Arial" w:hAnsi="Arial" w:cs="Arial"/>
          <w:color w:val="000000" w:themeColor="text1"/>
          <w:szCs w:val="22"/>
        </w:rPr>
      </w:pPr>
      <w:r w:rsidRPr="00CB093C">
        <w:rPr>
          <w:rFonts w:ascii="Arial" w:hAnsi="Arial" w:cs="Arial"/>
          <w:color w:val="000000" w:themeColor="text1"/>
          <w:szCs w:val="22"/>
        </w:rPr>
        <w:t xml:space="preserve">Ecological resilience is </w:t>
      </w:r>
      <w:r w:rsidR="000477A1" w:rsidRPr="00CB093C">
        <w:rPr>
          <w:rFonts w:ascii="Arial" w:hAnsi="Arial" w:cs="Arial"/>
          <w:color w:val="000000" w:themeColor="text1"/>
          <w:szCs w:val="22"/>
        </w:rPr>
        <w:t>‘</w:t>
      </w:r>
      <w:r w:rsidRPr="00CB093C">
        <w:rPr>
          <w:rFonts w:ascii="Arial" w:hAnsi="Arial" w:cs="Arial"/>
          <w:color w:val="000000" w:themeColor="text1"/>
          <w:szCs w:val="22"/>
          <w:lang w:val="en-US"/>
        </w:rPr>
        <w:t xml:space="preserve">the capacity of an ecosystem to absorb repeated disturbances or shocks and adapt to change without fundamentally switching </w:t>
      </w:r>
      <w:r w:rsidR="0074091B" w:rsidRPr="00CB093C">
        <w:rPr>
          <w:rFonts w:ascii="Arial" w:hAnsi="Arial" w:cs="Arial"/>
          <w:color w:val="000000" w:themeColor="text1"/>
          <w:szCs w:val="22"/>
          <w:lang w:val="en-US"/>
        </w:rPr>
        <w:t>to an alternative stable state</w:t>
      </w:r>
      <w:r w:rsidR="000477A1" w:rsidRPr="00CB093C">
        <w:rPr>
          <w:rFonts w:ascii="Arial" w:hAnsi="Arial" w:cs="Arial"/>
          <w:color w:val="000000" w:themeColor="text1"/>
          <w:szCs w:val="22"/>
          <w:lang w:val="en-US"/>
        </w:rPr>
        <w:t>’</w:t>
      </w:r>
      <w:r w:rsidR="00032135" w:rsidRPr="00CB093C">
        <w:rPr>
          <w:rFonts w:ascii="Arial" w:hAnsi="Arial" w:cs="Arial"/>
          <w:color w:val="000000" w:themeColor="text1"/>
          <w:szCs w:val="22"/>
          <w:lang w:val="en-US"/>
        </w:rPr>
        <w:t xml:space="preserve"> </w:t>
      </w:r>
      <w:r w:rsidRPr="00CB093C">
        <w:rPr>
          <w:rFonts w:ascii="Arial" w:hAnsi="Arial" w:cs="Arial"/>
          <w:color w:val="000000" w:themeColor="text1"/>
          <w:szCs w:val="22"/>
          <w:lang w:val="en-US"/>
        </w:rPr>
        <w:t>(</w:t>
      </w:r>
      <w:hyperlink w:anchor="_ENREF_71" w:tooltip="Holling, 1973 #9197" w:history="1">
        <w:r w:rsidR="00513C39" w:rsidRPr="00CB093C">
          <w:rPr>
            <w:rFonts w:ascii="Arial" w:hAnsi="Arial" w:cs="Arial"/>
            <w:color w:val="000000" w:themeColor="text1"/>
            <w:szCs w:val="22"/>
            <w:lang w:val="en-US"/>
          </w:rPr>
          <w:fldChar w:fldCharType="begin"/>
        </w:r>
        <w:r w:rsidR="00513C39" w:rsidRPr="00CB093C">
          <w:rPr>
            <w:rFonts w:ascii="Arial" w:hAnsi="Arial" w:cs="Arial"/>
            <w:color w:val="000000" w:themeColor="text1"/>
            <w:szCs w:val="22"/>
            <w:lang w:val="en-US"/>
          </w:rPr>
          <w:instrText xml:space="preserve"> ADDIN EN.CITE &lt;EndNote&gt;&lt;Cite&gt;&lt;Author&gt;Holling&lt;/Author&gt;&lt;Year&gt;1973&lt;/Year&gt;&lt;RecNum&gt;9197&lt;/RecNum&gt;&lt;DisplayText&gt;Holling 1973&lt;/DisplayText&gt;&lt;record&gt;&lt;rec-number&gt;9197&lt;/rec-number&gt;&lt;foreign-keys&gt;&lt;key app="EN" db-id="0eve55x9y5vfd6e9dacxtew4eatve2dzds9a" timestamp="1375003725"&gt;9197&lt;/key&gt;&lt;/foreign-keys&gt;&lt;ref-type name="Journal Article"&gt;17&lt;/ref-type&gt;&lt;contributors&gt;&lt;authors&gt;&lt;author&gt;Holling, C.S.&lt;/author&gt;&lt;/authors&gt;&lt;/contributors&gt;&lt;titles&gt;&lt;title&gt;Resilience and stability of ecological systems&lt;/title&gt;&lt;secondary-title&gt;Annual Review of Ecology and Systematics&lt;/secondary-title&gt;&lt;/titles&gt;&lt;periodical&gt;&lt;full-title&gt;Annual Review of Ecology and Systematics&lt;/full-title&gt;&lt;/periodical&gt;&lt;pages&gt;1-23&lt;/pages&gt;&lt;volume&gt;4&lt;/volume&gt;&lt;dates&gt;&lt;year&gt;1973&lt;/year&gt;&lt;/dates&gt;&lt;urls&gt;&lt;/urls&gt;&lt;/record&gt;&lt;/Cite&gt;&lt;/EndNote&gt;</w:instrText>
        </w:r>
        <w:r w:rsidR="00513C39" w:rsidRPr="00CB093C">
          <w:rPr>
            <w:rFonts w:ascii="Arial" w:hAnsi="Arial" w:cs="Arial"/>
            <w:color w:val="000000" w:themeColor="text1"/>
            <w:szCs w:val="22"/>
            <w:lang w:val="en-US"/>
          </w:rPr>
          <w:fldChar w:fldCharType="separate"/>
        </w:r>
        <w:r w:rsidR="00513C39" w:rsidRPr="00CB093C">
          <w:rPr>
            <w:rFonts w:ascii="Arial" w:hAnsi="Arial" w:cs="Arial"/>
            <w:noProof/>
            <w:color w:val="000000" w:themeColor="text1"/>
            <w:szCs w:val="22"/>
            <w:lang w:val="en-US"/>
          </w:rPr>
          <w:t>Holling 1973</w:t>
        </w:r>
        <w:r w:rsidR="00513C39" w:rsidRPr="00CB093C">
          <w:rPr>
            <w:rFonts w:ascii="Arial" w:hAnsi="Arial" w:cs="Arial"/>
            <w:color w:val="000000" w:themeColor="text1"/>
            <w:szCs w:val="22"/>
            <w:lang w:val="en-US"/>
          </w:rPr>
          <w:fldChar w:fldCharType="end"/>
        </w:r>
      </w:hyperlink>
      <w:r w:rsidRPr="00CB093C">
        <w:rPr>
          <w:rFonts w:ascii="Arial" w:hAnsi="Arial" w:cs="Arial"/>
          <w:color w:val="000000" w:themeColor="text1"/>
          <w:szCs w:val="22"/>
          <w:lang w:val="en-US"/>
        </w:rPr>
        <w:t xml:space="preserve">), and relates to the ability of a system to both resist and recover from disturbances </w:t>
      </w:r>
      <w:r w:rsidR="0074091B" w:rsidRPr="00CB093C">
        <w:rPr>
          <w:rFonts w:ascii="Arial" w:hAnsi="Arial" w:cs="Arial"/>
          <w:color w:val="000000" w:themeColor="text1"/>
          <w:szCs w:val="22"/>
        </w:rPr>
        <w:t>(</w:t>
      </w:r>
      <w:hyperlink w:anchor="_ENREF_142" w:tooltip="Unsworth, 2015 #10447"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 timestamp="1450650288"&gt;10447&lt;/key&gt;&lt;/foreign-keys&gt;&lt;ref-type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Unsworth</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2015</w:t>
        </w:r>
        <w:r w:rsidR="00513C39" w:rsidRPr="00CB093C">
          <w:rPr>
            <w:rFonts w:ascii="Arial" w:hAnsi="Arial" w:cs="Arial"/>
            <w:color w:val="000000" w:themeColor="text1"/>
            <w:szCs w:val="22"/>
          </w:rPr>
          <w:fldChar w:fldCharType="end"/>
        </w:r>
      </w:hyperlink>
      <w:r w:rsidR="0074091B" w:rsidRPr="00CB093C">
        <w:rPr>
          <w:rFonts w:ascii="Arial" w:hAnsi="Arial" w:cs="Arial"/>
          <w:color w:val="000000" w:themeColor="text1"/>
          <w:szCs w:val="22"/>
        </w:rPr>
        <w:t>)</w:t>
      </w:r>
      <w:r w:rsidR="00623F77" w:rsidRPr="00CB093C">
        <w:rPr>
          <w:rFonts w:ascii="Arial" w:hAnsi="Arial" w:cs="Arial"/>
          <w:color w:val="000000" w:themeColor="text1"/>
          <w:szCs w:val="22"/>
        </w:rPr>
        <w:t xml:space="preserve"> (</w:t>
      </w:r>
      <w:r w:rsidR="00623F77" w:rsidRPr="00CB093C">
        <w:rPr>
          <w:rFonts w:ascii="Arial" w:hAnsi="Arial" w:cs="Arial"/>
          <w:color w:val="000000" w:themeColor="text1"/>
          <w:szCs w:val="22"/>
        </w:rPr>
        <w:fldChar w:fldCharType="begin"/>
      </w:r>
      <w:r w:rsidR="00623F77" w:rsidRPr="00CB093C">
        <w:rPr>
          <w:rFonts w:ascii="Arial" w:hAnsi="Arial" w:cs="Arial"/>
          <w:color w:val="000000" w:themeColor="text1"/>
          <w:szCs w:val="22"/>
        </w:rPr>
        <w:instrText xml:space="preserve"> REF _Ref536787394 \h </w:instrText>
      </w:r>
      <w:r w:rsidR="00CB093C" w:rsidRPr="00CB093C">
        <w:rPr>
          <w:rFonts w:ascii="Arial" w:hAnsi="Arial" w:cs="Arial"/>
          <w:color w:val="000000" w:themeColor="text1"/>
          <w:szCs w:val="22"/>
        </w:rPr>
        <w:instrText xml:space="preserve"> \* MERGEFORMAT </w:instrText>
      </w:r>
      <w:r w:rsidR="00623F77" w:rsidRPr="00CB093C">
        <w:rPr>
          <w:rFonts w:ascii="Arial" w:hAnsi="Arial" w:cs="Arial"/>
          <w:color w:val="000000" w:themeColor="text1"/>
          <w:szCs w:val="22"/>
        </w:rPr>
      </w:r>
      <w:r w:rsidR="00623F77" w:rsidRPr="00CB093C">
        <w:rPr>
          <w:rFonts w:ascii="Arial" w:hAnsi="Arial" w:cs="Arial"/>
          <w:color w:val="000000" w:themeColor="text1"/>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4</w:t>
      </w:r>
      <w:r w:rsidR="00623F77" w:rsidRPr="00CB093C">
        <w:rPr>
          <w:rFonts w:ascii="Arial" w:hAnsi="Arial" w:cs="Arial"/>
          <w:color w:val="000000" w:themeColor="text1"/>
          <w:szCs w:val="22"/>
        </w:rPr>
        <w:fldChar w:fldCharType="end"/>
      </w:r>
      <w:r w:rsidR="00624CE5" w:rsidRPr="00CB093C">
        <w:rPr>
          <w:rFonts w:ascii="Arial" w:hAnsi="Arial" w:cs="Arial"/>
          <w:color w:val="000000" w:themeColor="text1"/>
          <w:szCs w:val="22"/>
        </w:rPr>
        <w:t>)</w:t>
      </w:r>
      <w:r w:rsidRPr="00CB093C">
        <w:rPr>
          <w:rFonts w:ascii="Arial" w:hAnsi="Arial" w:cs="Arial"/>
          <w:color w:val="000000" w:themeColor="text1"/>
          <w:szCs w:val="22"/>
          <w:lang w:val="en-US"/>
        </w:rPr>
        <w:t>. C</w:t>
      </w:r>
      <w:r w:rsidR="0074091B" w:rsidRPr="00CB093C">
        <w:rPr>
          <w:rFonts w:ascii="Arial" w:hAnsi="Arial" w:cs="Arial"/>
          <w:color w:val="000000" w:themeColor="text1"/>
          <w:szCs w:val="22"/>
          <w:lang w:val="en-US"/>
        </w:rPr>
        <w:t xml:space="preserve">hanges in </w:t>
      </w:r>
      <w:r w:rsidR="0074091B" w:rsidRPr="00CB093C">
        <w:rPr>
          <w:rFonts w:ascii="Arial" w:hAnsi="Arial" w:cs="Arial"/>
          <w:color w:val="000000" w:themeColor="text1"/>
          <w:szCs w:val="22"/>
        </w:rPr>
        <w:t>resilience</w:t>
      </w:r>
      <w:r w:rsidRPr="00CB093C">
        <w:rPr>
          <w:rFonts w:ascii="Arial" w:hAnsi="Arial" w:cs="Arial"/>
          <w:color w:val="000000" w:themeColor="text1"/>
          <w:szCs w:val="22"/>
        </w:rPr>
        <w:t xml:space="preserve"> indicators show if the ecosystem is in transition (i.e. has already, or may undergo a state-change). </w:t>
      </w:r>
      <w:r w:rsidRPr="00CB093C">
        <w:rPr>
          <w:rFonts w:ascii="Arial" w:hAnsi="Arial" w:cs="Arial"/>
          <w:color w:val="000000" w:themeColor="text1"/>
          <w:szCs w:val="22"/>
          <w:lang w:val="en-US"/>
        </w:rPr>
        <w:t>Sexual reproduction (flowering, seed production and persistence of a seedbank) is an important feature of recovery (and therefore, of resilience) in seagrass meadows</w:t>
      </w:r>
      <w:r w:rsidR="00B40F12" w:rsidRPr="00CB093C">
        <w:rPr>
          <w:rFonts w:ascii="Arial" w:hAnsi="Arial" w:cs="Arial"/>
          <w:color w:val="000000" w:themeColor="text1"/>
          <w:szCs w:val="22"/>
          <w:lang w:val="en-US"/>
        </w:rPr>
        <w:t xml:space="preserve">. </w:t>
      </w:r>
    </w:p>
    <w:p w14:paraId="55A67835" w14:textId="77777777" w:rsidR="00623F77" w:rsidRPr="00CB093C" w:rsidRDefault="00623F77" w:rsidP="00623F77">
      <w:pPr>
        <w:keepNext/>
        <w:tabs>
          <w:tab w:val="left" w:pos="360"/>
        </w:tabs>
        <w:spacing w:after="0"/>
        <w:jc w:val="center"/>
        <w:rPr>
          <w:rFonts w:ascii="Arial" w:hAnsi="Arial" w:cs="Arial"/>
          <w:color w:val="000000"/>
          <w:szCs w:val="22"/>
        </w:rPr>
      </w:pPr>
      <w:r w:rsidRPr="00CB093C">
        <w:rPr>
          <w:rFonts w:ascii="Arial" w:hAnsi="Arial" w:cs="Arial"/>
          <w:noProof/>
          <w:color w:val="000000"/>
          <w:szCs w:val="22"/>
          <w:lang w:val="en-US"/>
        </w:rPr>
        <w:lastRenderedPageBreak/>
        <w:drawing>
          <wp:inline distT="0" distB="0" distL="0" distR="0" wp14:anchorId="23191633" wp14:editId="3D428922">
            <wp:extent cx="5760000" cy="3031200"/>
            <wp:effectExtent l="0" t="0" r="0" b="0"/>
            <wp:docPr id="14" name="Picture 14" descr="General conceptual model of seagrass habitats in north east Australia and the water quality impacts affecting the habitat (adapted from Carruthers et al., 2002, and Collier et al.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Revised habitats and pressures model.png"/>
                    <pic:cNvPicPr/>
                  </pic:nvPicPr>
                  <pic:blipFill>
                    <a:blip r:embed="rId41">
                      <a:extLst>
                        <a:ext uri="{28A0092B-C50C-407E-A947-70E740481C1C}">
                          <a14:useLocalDpi xmlns:a14="http://schemas.microsoft.com/office/drawing/2010/main" val="0"/>
                        </a:ext>
                      </a:extLst>
                    </a:blip>
                    <a:stretch>
                      <a:fillRect/>
                    </a:stretch>
                  </pic:blipFill>
                  <pic:spPr>
                    <a:xfrm>
                      <a:off x="0" y="0"/>
                      <a:ext cx="5760000" cy="3031200"/>
                    </a:xfrm>
                    <a:prstGeom prst="rect">
                      <a:avLst/>
                    </a:prstGeom>
                  </pic:spPr>
                </pic:pic>
              </a:graphicData>
            </a:graphic>
          </wp:inline>
        </w:drawing>
      </w:r>
    </w:p>
    <w:p w14:paraId="6E5E7D8A" w14:textId="40CAEA68" w:rsidR="00623F77" w:rsidRPr="00CB093C" w:rsidRDefault="00623F77" w:rsidP="00623F77">
      <w:pPr>
        <w:pStyle w:val="Caption"/>
        <w:spacing w:before="0"/>
        <w:rPr>
          <w:rFonts w:ascii="Arial" w:hAnsi="Arial" w:cs="Arial"/>
          <w:i/>
          <w:vanish/>
          <w:color w:val="000000" w:themeColor="text1"/>
          <w:szCs w:val="22"/>
          <w:specVanish/>
        </w:rPr>
      </w:pPr>
      <w:bookmarkStart w:id="29" w:name="_Ref536787394"/>
      <w:bookmarkStart w:id="30" w:name="_Toc6402769"/>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4</w:t>
      </w:r>
      <w:r w:rsidRPr="00CB093C">
        <w:rPr>
          <w:rFonts w:ascii="Arial" w:hAnsi="Arial" w:cs="Arial"/>
          <w:color w:val="000000"/>
          <w:szCs w:val="22"/>
        </w:rPr>
        <w:fldChar w:fldCharType="end"/>
      </w:r>
      <w:bookmarkEnd w:id="29"/>
      <w:r w:rsidRPr="00CB093C">
        <w:rPr>
          <w:rFonts w:ascii="Arial" w:hAnsi="Arial" w:cs="Arial"/>
          <w:i/>
          <w:color w:val="000000"/>
          <w:szCs w:val="22"/>
        </w:rPr>
        <w:t>. General conceptual model of seagrass habitats in north east Australia and the water quality impacts affecting the habitat</w:t>
      </w:r>
      <w:bookmarkEnd w:id="30"/>
    </w:p>
    <w:p w14:paraId="3A0313BD" w14:textId="65C579FE" w:rsidR="00623F77" w:rsidRPr="00CB093C" w:rsidRDefault="00623F77" w:rsidP="00623F77">
      <w:pPr>
        <w:spacing w:before="0"/>
        <w:rPr>
          <w:rFonts w:ascii="Arial" w:hAnsi="Arial" w:cs="Arial"/>
          <w:i/>
          <w:color w:val="000000"/>
          <w:szCs w:val="22"/>
        </w:rPr>
      </w:pPr>
      <w:r w:rsidRPr="00CB093C">
        <w:rPr>
          <w:rFonts w:ascii="Arial" w:hAnsi="Arial" w:cs="Arial"/>
          <w:i/>
          <w:color w:val="000000"/>
          <w:szCs w:val="22"/>
        </w:rPr>
        <w:t xml:space="preserve"> (adapted from Carruthers et al., 2002, and </w:t>
      </w:r>
      <w:hyperlink w:anchor="_ENREF_30" w:tooltip="Collier, 2014 #9685" w:history="1">
        <w:r w:rsidR="00513C39" w:rsidRPr="00CB093C">
          <w:rPr>
            <w:rFonts w:ascii="Arial" w:hAnsi="Arial" w:cs="Arial"/>
            <w:i/>
            <w:color w:val="000000"/>
            <w:szCs w:val="22"/>
          </w:rPr>
          <w:fldChar w:fldCharType="begin"/>
        </w:r>
        <w:r w:rsidR="00513C39" w:rsidRPr="00CB093C">
          <w:rPr>
            <w:rFonts w:ascii="Arial" w:hAnsi="Arial" w:cs="Arial"/>
            <w:i/>
            <w:color w:val="000000"/>
            <w:szCs w:val="22"/>
          </w:rPr>
          <w:instrText xml:space="preserve"> ADDIN EN.CITE &lt;EndNote&gt;&lt;Cite&gt;&lt;Author&gt;Collier&lt;/Author&gt;&lt;Year&gt;2014&lt;/Year&gt;&lt;RecNum&gt;9685&lt;/RecNum&gt;&lt;DisplayText&gt;Collier&lt;style face="italic"&gt; et al.&lt;/style&gt; 2014&lt;/DisplayText&gt;&lt;record&gt;&lt;rec-number&gt;9685&lt;/rec-number&gt;&lt;foreign-keys&gt;&lt;key app="EN" db-id="0eve55x9y5vfd6e9dacxtew4eatve2dzds9a" timestamp="1392762481"&gt;9685&lt;/key&gt;&lt;/foreign-keys&gt;&lt;ref-type name="Book"&gt;6&lt;/ref-type&gt;&lt;contributors&gt;&lt;authors&gt;&lt;author&gt;Collier, C&lt;/author&gt;&lt;author&gt;Devlin, M&lt;/author&gt;&lt;author&gt;Langlois, L&lt;/author&gt;&lt;author&gt;Petus, C&lt;/author&gt;&lt;author&gt;McKenzie, Len J&lt;/author&gt;&lt;author&gt;Texeira da Silva, E&lt;/author&gt;&lt;author&gt;McMahon, Kathryn&lt;/author&gt;&lt;author&gt;Adams, M&lt;/author&gt;&lt;author&gt;O’Brien, Kate&lt;/author&gt;&lt;author&gt;Statton, J&lt;/author&gt;&lt;author&gt;Waycott, Michelle&lt;/author&gt;&lt;/authors&gt;&lt;/contributors&gt;&lt;titles&gt;&lt;title&gt;Thresholds and indicators of declining water quality as tools for tropical seagrass management. Report to the National Environmental Research Program&lt;/title&gt;&lt;/titles&gt;&lt;pages&gt;93&lt;/pages&gt;&lt;dates&gt;&lt;year&gt;2014&lt;/year&gt;&lt;/dates&gt;&lt;pub-location&gt;Cairns&lt;/pub-location&gt;&lt;publisher&gt;Reef and Rainforest Research Centre Limited&lt;/publisher&gt;&lt;isbn&gt;978-1-925088-50-2&lt;/isbn&gt;&lt;urls&gt;&lt;/urls&gt;&lt;/record&gt;&lt;/Cite&gt;&lt;/EndNote&gt;</w:instrText>
        </w:r>
        <w:r w:rsidR="00513C39" w:rsidRPr="00CB093C">
          <w:rPr>
            <w:rFonts w:ascii="Arial" w:hAnsi="Arial" w:cs="Arial"/>
            <w:i/>
            <w:color w:val="000000"/>
            <w:szCs w:val="22"/>
          </w:rPr>
          <w:fldChar w:fldCharType="separate"/>
        </w:r>
        <w:r w:rsidR="00513C39" w:rsidRPr="00CB093C">
          <w:rPr>
            <w:rFonts w:ascii="Arial" w:hAnsi="Arial" w:cs="Arial"/>
            <w:i/>
            <w:noProof/>
            <w:color w:val="000000"/>
            <w:szCs w:val="22"/>
          </w:rPr>
          <w:t>Collier et al. 2014</w:t>
        </w:r>
        <w:r w:rsidR="00513C39" w:rsidRPr="00CB093C">
          <w:rPr>
            <w:rFonts w:ascii="Arial" w:hAnsi="Arial" w:cs="Arial"/>
            <w:i/>
            <w:color w:val="000000"/>
            <w:szCs w:val="22"/>
          </w:rPr>
          <w:fldChar w:fldCharType="end"/>
        </w:r>
      </w:hyperlink>
      <w:r w:rsidRPr="00CB093C">
        <w:rPr>
          <w:rFonts w:ascii="Arial" w:hAnsi="Arial" w:cs="Arial"/>
          <w:i/>
          <w:color w:val="000000"/>
          <w:szCs w:val="22"/>
        </w:rPr>
        <w:t>)</w:t>
      </w:r>
    </w:p>
    <w:p w14:paraId="4E594DCD" w14:textId="77777777" w:rsidR="00623F77" w:rsidRPr="00CB093C" w:rsidRDefault="00623F77" w:rsidP="0089405C">
      <w:pPr>
        <w:widowControl w:val="0"/>
        <w:autoSpaceDE w:val="0"/>
        <w:autoSpaceDN w:val="0"/>
        <w:adjustRightInd w:val="0"/>
        <w:spacing w:before="0" w:after="0"/>
        <w:rPr>
          <w:rFonts w:ascii="Arial" w:hAnsi="Arial" w:cs="Arial"/>
          <w:color w:val="000000"/>
          <w:szCs w:val="22"/>
        </w:rPr>
      </w:pPr>
    </w:p>
    <w:p w14:paraId="1D21FB5B" w14:textId="77777777" w:rsidR="00982CA1" w:rsidRPr="00CB093C" w:rsidRDefault="00982CA1" w:rsidP="0089405C">
      <w:pPr>
        <w:widowControl w:val="0"/>
        <w:autoSpaceDE w:val="0"/>
        <w:autoSpaceDN w:val="0"/>
        <w:adjustRightInd w:val="0"/>
        <w:spacing w:before="0" w:after="0"/>
        <w:rPr>
          <w:rFonts w:ascii="Arial" w:hAnsi="Arial" w:cs="Arial"/>
          <w:color w:val="000000"/>
          <w:szCs w:val="22"/>
        </w:rPr>
      </w:pPr>
    </w:p>
    <w:p w14:paraId="69D03AF2" w14:textId="77777777" w:rsidR="003D1F7F" w:rsidRPr="00CB093C" w:rsidRDefault="003D1F7F" w:rsidP="009F09A4">
      <w:pPr>
        <w:keepNext/>
        <w:spacing w:before="0"/>
        <w:jc w:val="center"/>
        <w:rPr>
          <w:rFonts w:ascii="Arial" w:hAnsi="Arial" w:cs="Arial"/>
          <w:color w:val="000000"/>
          <w:szCs w:val="22"/>
          <w:lang w:val="en-US"/>
        </w:rPr>
      </w:pPr>
      <w:r w:rsidRPr="00CB093C">
        <w:rPr>
          <w:rFonts w:ascii="Arial" w:hAnsi="Arial" w:cs="Arial"/>
          <w:noProof/>
          <w:color w:val="000000"/>
          <w:szCs w:val="22"/>
          <w:lang w:val="en-US"/>
        </w:rPr>
        <w:lastRenderedPageBreak/>
        <w:drawing>
          <wp:inline distT="0" distB="0" distL="0" distR="0" wp14:anchorId="48B22E2E" wp14:editId="7AC278B6">
            <wp:extent cx="3583460" cy="4042639"/>
            <wp:effectExtent l="0" t="0" r="0" b="0"/>
            <wp:docPr id="255" name="Picture 17" descr="Illustration of seagrass recovery after loss and the categories of successional species over tim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llustration depicting rates of seagrass recovery after loss and the categories of successional species over time"/>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3583460" cy="4042639"/>
                    </a:xfrm>
                    <a:prstGeom prst="rect">
                      <a:avLst/>
                    </a:prstGeom>
                    <a:noFill/>
                    <a:ln>
                      <a:noFill/>
                    </a:ln>
                  </pic:spPr>
                </pic:pic>
              </a:graphicData>
            </a:graphic>
          </wp:inline>
        </w:drawing>
      </w:r>
    </w:p>
    <w:p w14:paraId="520FF8C6" w14:textId="74E19B51" w:rsidR="00711815" w:rsidRPr="00CB093C" w:rsidRDefault="003D1F7F" w:rsidP="009F09A4">
      <w:pPr>
        <w:keepNext/>
        <w:rPr>
          <w:rFonts w:ascii="Arial" w:hAnsi="Arial" w:cs="Arial"/>
          <w:i/>
          <w:vanish/>
          <w:color w:val="000000"/>
          <w:szCs w:val="22"/>
          <w:specVanish/>
        </w:rPr>
      </w:pPr>
      <w:bookmarkStart w:id="31" w:name="_Ref491687940"/>
      <w:bookmarkStart w:id="32" w:name="_Toc6402770"/>
      <w:r w:rsidRPr="00CB093C">
        <w:rPr>
          <w:rFonts w:ascii="Arial" w:hAnsi="Arial" w:cs="Arial"/>
          <w:color w:val="000000" w:themeColor="text1"/>
          <w:szCs w:val="22"/>
        </w:rPr>
        <w:t xml:space="preserve">Figure </w:t>
      </w:r>
      <w:r w:rsidR="0073595B" w:rsidRPr="00CB093C">
        <w:rPr>
          <w:rFonts w:ascii="Arial" w:hAnsi="Arial" w:cs="Arial"/>
          <w:color w:val="000000" w:themeColor="text1"/>
          <w:szCs w:val="22"/>
        </w:rPr>
        <w:fldChar w:fldCharType="begin"/>
      </w:r>
      <w:r w:rsidR="0073595B" w:rsidRPr="00CB093C">
        <w:rPr>
          <w:rFonts w:ascii="Arial" w:hAnsi="Arial" w:cs="Arial"/>
          <w:color w:val="000000" w:themeColor="text1"/>
          <w:szCs w:val="22"/>
        </w:rPr>
        <w:instrText xml:space="preserve"> SEQ Figure \* ARABIC </w:instrText>
      </w:r>
      <w:r w:rsidR="0073595B" w:rsidRPr="00CB093C">
        <w:rPr>
          <w:rFonts w:ascii="Arial" w:hAnsi="Arial" w:cs="Arial"/>
          <w:color w:val="000000" w:themeColor="text1"/>
          <w:szCs w:val="22"/>
        </w:rPr>
        <w:fldChar w:fldCharType="separate"/>
      </w:r>
      <w:r w:rsidR="005F00D4">
        <w:rPr>
          <w:rFonts w:ascii="Arial" w:hAnsi="Arial" w:cs="Arial"/>
          <w:noProof/>
          <w:color w:val="000000" w:themeColor="text1"/>
          <w:szCs w:val="22"/>
        </w:rPr>
        <w:t>5</w:t>
      </w:r>
      <w:r w:rsidR="0073595B" w:rsidRPr="00CB093C">
        <w:rPr>
          <w:rFonts w:ascii="Arial" w:hAnsi="Arial" w:cs="Arial"/>
          <w:color w:val="000000" w:themeColor="text1"/>
          <w:szCs w:val="22"/>
        </w:rPr>
        <w:fldChar w:fldCharType="end"/>
      </w:r>
      <w:bookmarkEnd w:id="31"/>
      <w:r w:rsidRPr="00CB093C">
        <w:rPr>
          <w:rFonts w:ascii="Arial" w:hAnsi="Arial" w:cs="Arial"/>
          <w:color w:val="000000" w:themeColor="text1"/>
          <w:szCs w:val="22"/>
        </w:rPr>
        <w:t>.</w:t>
      </w:r>
      <w:r w:rsidRPr="00CB093C">
        <w:rPr>
          <w:rFonts w:ascii="Arial" w:hAnsi="Arial" w:cs="Arial"/>
          <w:i/>
          <w:color w:val="000000" w:themeColor="text1"/>
          <w:szCs w:val="22"/>
        </w:rPr>
        <w:t xml:space="preserve"> Illustration of seagrass recovery after loss and the categories of successional species over time.</w:t>
      </w:r>
      <w:bookmarkEnd w:id="32"/>
      <w:r w:rsidR="00086CE5" w:rsidRPr="00CB093C">
        <w:rPr>
          <w:rFonts w:ascii="Arial" w:hAnsi="Arial" w:cs="Arial"/>
          <w:i/>
          <w:color w:val="000000" w:themeColor="text1"/>
          <w:szCs w:val="22"/>
        </w:rPr>
        <w:t xml:space="preserve"> </w:t>
      </w:r>
    </w:p>
    <w:p w14:paraId="7472542A" w14:textId="5EDB5C41" w:rsidR="003D1F7F" w:rsidRPr="00CB093C" w:rsidRDefault="00711815" w:rsidP="009F09A4">
      <w:pPr>
        <w:rPr>
          <w:rFonts w:ascii="Arial" w:hAnsi="Arial" w:cs="Arial"/>
          <w:i/>
          <w:color w:val="000000" w:themeColor="text1"/>
          <w:szCs w:val="22"/>
        </w:rPr>
      </w:pPr>
      <w:r w:rsidRPr="00CB093C">
        <w:rPr>
          <w:rFonts w:ascii="Arial" w:hAnsi="Arial" w:cs="Arial"/>
          <w:i/>
          <w:color w:val="000000"/>
          <w:szCs w:val="22"/>
        </w:rPr>
        <w:t xml:space="preserve"> </w:t>
      </w:r>
      <w:r w:rsidR="003A1090" w:rsidRPr="00CB093C">
        <w:rPr>
          <w:rFonts w:ascii="Arial" w:hAnsi="Arial" w:cs="Arial"/>
          <w:i/>
          <w:color w:val="000000"/>
          <w:szCs w:val="22"/>
        </w:rPr>
        <w:t>Figure d</w:t>
      </w:r>
      <w:r w:rsidR="00086CE5" w:rsidRPr="00CB093C">
        <w:rPr>
          <w:rFonts w:ascii="Arial" w:hAnsi="Arial" w:cs="Arial"/>
          <w:i/>
          <w:color w:val="000000" w:themeColor="text1"/>
          <w:szCs w:val="22"/>
        </w:rPr>
        <w:t xml:space="preserve">eveloped from </w:t>
      </w:r>
      <w:r w:rsidR="00032135" w:rsidRPr="00CB093C">
        <w:rPr>
          <w:rFonts w:ascii="Arial" w:hAnsi="Arial" w:cs="Arial"/>
          <w:i/>
          <w:color w:val="000000" w:themeColor="text1"/>
          <w:szCs w:val="22"/>
        </w:rPr>
        <w:t xml:space="preserve">observed </w:t>
      </w:r>
      <w:r w:rsidR="00086CE5" w:rsidRPr="00CB093C">
        <w:rPr>
          <w:rFonts w:ascii="Arial" w:hAnsi="Arial" w:cs="Arial"/>
          <w:i/>
          <w:color w:val="000000" w:themeColor="text1"/>
          <w:szCs w:val="22"/>
        </w:rPr>
        <w:t>recovery dynamics (</w:t>
      </w:r>
      <w:r w:rsidR="00F42758" w:rsidRPr="00CB093C">
        <w:rPr>
          <w:rFonts w:ascii="Arial" w:hAnsi="Arial" w:cs="Arial"/>
          <w:i/>
          <w:color w:val="000000" w:themeColor="text1"/>
          <w:szCs w:val="22"/>
        </w:rPr>
        <w:fldChar w:fldCharType="begin">
          <w:fldData xml:space="preserve">PEVuZE5vdGU+PENpdGU+PEF1dGhvcj5DYW1wYmVsbDwvQXV0aG9yPjxZZWFyPjIwMDQ8L1llYXI+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</w:fldData>
        </w:fldChar>
      </w:r>
      <w:r w:rsidR="00F42758" w:rsidRPr="00CB093C">
        <w:rPr>
          <w:rFonts w:ascii="Arial" w:hAnsi="Arial" w:cs="Arial"/>
          <w:i/>
          <w:color w:val="000000" w:themeColor="text1"/>
          <w:szCs w:val="22"/>
        </w:rPr>
        <w:instrText xml:space="preserve"> ADDIN EN.CITE </w:instrText>
      </w:r>
      <w:r w:rsidR="00F42758" w:rsidRPr="00CB093C">
        <w:rPr>
          <w:rFonts w:ascii="Arial" w:hAnsi="Arial" w:cs="Arial"/>
          <w:i/>
          <w:color w:val="000000" w:themeColor="text1"/>
          <w:szCs w:val="22"/>
        </w:rPr>
        <w:fldChar w:fldCharType="begin">
          <w:fldData xml:space="preserve">PEVuZE5vdGU+PENpdGU+PEF1dGhvcj5DYW1wYmVsbDwvQXV0aG9yPjxZZWFyPjIwMDQ8L1llYXI+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</w:fldData>
        </w:fldChar>
      </w:r>
      <w:r w:rsidR="00F42758" w:rsidRPr="00CB093C">
        <w:rPr>
          <w:rFonts w:ascii="Arial" w:hAnsi="Arial" w:cs="Arial"/>
          <w:i/>
          <w:color w:val="000000" w:themeColor="text1"/>
          <w:szCs w:val="22"/>
        </w:rPr>
        <w:instrText xml:space="preserve"> ADDIN EN.CITE.DATA </w:instrText>
      </w:r>
      <w:r w:rsidR="00F42758" w:rsidRPr="00CB093C">
        <w:rPr>
          <w:rFonts w:ascii="Arial" w:hAnsi="Arial" w:cs="Arial"/>
          <w:i/>
          <w:color w:val="000000" w:themeColor="text1"/>
          <w:szCs w:val="22"/>
        </w:rPr>
      </w:r>
      <w:r w:rsidR="00F42758" w:rsidRPr="00CB093C">
        <w:rPr>
          <w:rFonts w:ascii="Arial" w:hAnsi="Arial" w:cs="Arial"/>
          <w:i/>
          <w:color w:val="000000" w:themeColor="text1"/>
          <w:szCs w:val="22"/>
        </w:rPr>
        <w:fldChar w:fldCharType="end"/>
      </w:r>
      <w:r w:rsidR="00F42758" w:rsidRPr="00CB093C">
        <w:rPr>
          <w:rFonts w:ascii="Arial" w:hAnsi="Arial" w:cs="Arial"/>
          <w:i/>
          <w:color w:val="000000" w:themeColor="text1"/>
          <w:szCs w:val="22"/>
        </w:rPr>
      </w:r>
      <w:r w:rsidR="00F42758" w:rsidRPr="00CB093C">
        <w:rPr>
          <w:rFonts w:ascii="Arial" w:hAnsi="Arial" w:cs="Arial"/>
          <w:i/>
          <w:color w:val="000000" w:themeColor="text1"/>
          <w:szCs w:val="22"/>
        </w:rPr>
        <w:fldChar w:fldCharType="separate"/>
      </w:r>
      <w:hyperlink w:anchor="_ENREF_10" w:tooltip="Birch, 1984 #177" w:history="1">
        <w:r w:rsidR="00513C39" w:rsidRPr="00CB093C">
          <w:rPr>
            <w:rFonts w:ascii="Arial" w:hAnsi="Arial" w:cs="Arial"/>
            <w:i/>
            <w:noProof/>
            <w:color w:val="000000" w:themeColor="text1"/>
            <w:szCs w:val="22"/>
          </w:rPr>
          <w:t>Birch and Birch 1984</w:t>
        </w:r>
      </w:hyperlink>
      <w:r w:rsidR="00F42758" w:rsidRPr="00CB093C">
        <w:rPr>
          <w:rFonts w:ascii="Arial" w:hAnsi="Arial" w:cs="Arial"/>
          <w:i/>
          <w:noProof/>
          <w:color w:val="000000" w:themeColor="text1"/>
          <w:szCs w:val="22"/>
        </w:rPr>
        <w:t xml:space="preserve">; </w:t>
      </w:r>
      <w:hyperlink w:anchor="_ENREF_126" w:tooltip="Preen, 1995 #950" w:history="1">
        <w:r w:rsidR="00513C39" w:rsidRPr="00CB093C">
          <w:rPr>
            <w:rFonts w:ascii="Arial" w:hAnsi="Arial" w:cs="Arial"/>
            <w:i/>
            <w:noProof/>
            <w:color w:val="000000" w:themeColor="text1"/>
            <w:szCs w:val="22"/>
          </w:rPr>
          <w:t>Preen et al. 1995</w:t>
        </w:r>
      </w:hyperlink>
      <w:r w:rsidR="00F42758" w:rsidRPr="00CB093C">
        <w:rPr>
          <w:rFonts w:ascii="Arial" w:hAnsi="Arial" w:cs="Arial"/>
          <w:i/>
          <w:noProof/>
          <w:color w:val="000000" w:themeColor="text1"/>
          <w:szCs w:val="22"/>
        </w:rPr>
        <w:t xml:space="preserve">; </w:t>
      </w:r>
      <w:hyperlink w:anchor="_ENREF_95" w:tooltip="McKenzie, 2002 #9357" w:history="1">
        <w:r w:rsidR="00513C39" w:rsidRPr="00CB093C">
          <w:rPr>
            <w:rFonts w:ascii="Arial" w:hAnsi="Arial" w:cs="Arial"/>
            <w:i/>
            <w:noProof/>
            <w:color w:val="000000" w:themeColor="text1"/>
            <w:szCs w:val="22"/>
          </w:rPr>
          <w:t>McKenzie and Campbell 2002</w:t>
        </w:r>
      </w:hyperlink>
      <w:r w:rsidR="00F42758" w:rsidRPr="00CB093C">
        <w:rPr>
          <w:rFonts w:ascii="Arial" w:hAnsi="Arial" w:cs="Arial"/>
          <w:i/>
          <w:noProof/>
          <w:color w:val="000000" w:themeColor="text1"/>
          <w:szCs w:val="22"/>
        </w:rPr>
        <w:t xml:space="preserve">; </w:t>
      </w:r>
      <w:hyperlink w:anchor="_ENREF_18" w:tooltip="Campbell, 2004 #2838" w:history="1">
        <w:r w:rsidR="00513C39" w:rsidRPr="00CB093C">
          <w:rPr>
            <w:rFonts w:ascii="Arial" w:hAnsi="Arial" w:cs="Arial"/>
            <w:i/>
            <w:noProof/>
            <w:color w:val="000000" w:themeColor="text1"/>
            <w:szCs w:val="22"/>
          </w:rPr>
          <w:t>Campbell and McKenzie 2004</w:t>
        </w:r>
      </w:hyperlink>
      <w:r w:rsidR="00F42758" w:rsidRPr="00CB093C">
        <w:rPr>
          <w:rFonts w:ascii="Arial" w:hAnsi="Arial" w:cs="Arial"/>
          <w:i/>
          <w:noProof/>
          <w:color w:val="000000" w:themeColor="text1"/>
          <w:szCs w:val="22"/>
        </w:rPr>
        <w:t xml:space="preserve">; </w:t>
      </w:r>
      <w:hyperlink w:anchor="_ENREF_97" w:tooltip="McKenzie, 2014 #9812" w:history="1">
        <w:r w:rsidR="00513C39" w:rsidRPr="00CB093C">
          <w:rPr>
            <w:rFonts w:ascii="Arial" w:hAnsi="Arial" w:cs="Arial"/>
            <w:i/>
            <w:noProof/>
            <w:color w:val="000000" w:themeColor="text1"/>
            <w:szCs w:val="22"/>
          </w:rPr>
          <w:t>McKenzie et al. 2014a</w:t>
        </w:r>
      </w:hyperlink>
      <w:r w:rsidR="00F42758" w:rsidRPr="00CB093C">
        <w:rPr>
          <w:rFonts w:ascii="Arial" w:hAnsi="Arial" w:cs="Arial"/>
          <w:i/>
          <w:noProof/>
          <w:color w:val="000000" w:themeColor="text1"/>
          <w:szCs w:val="22"/>
        </w:rPr>
        <w:t xml:space="preserve">; </w:t>
      </w:r>
      <w:hyperlink w:anchor="_ENREF_128" w:tooltip="Rasheed, 2014 #9893" w:history="1">
        <w:r w:rsidR="00513C39" w:rsidRPr="00CB093C">
          <w:rPr>
            <w:rFonts w:ascii="Arial" w:hAnsi="Arial" w:cs="Arial"/>
            <w:i/>
            <w:noProof/>
            <w:color w:val="000000" w:themeColor="text1"/>
            <w:szCs w:val="22"/>
          </w:rPr>
          <w:t>Rasheed et al. 2014</w:t>
        </w:r>
      </w:hyperlink>
      <w:r w:rsidR="00F42758" w:rsidRPr="00CB093C">
        <w:rPr>
          <w:rFonts w:ascii="Arial" w:hAnsi="Arial" w:cs="Arial"/>
          <w:i/>
          <w:color w:val="000000" w:themeColor="text1"/>
          <w:szCs w:val="22"/>
        </w:rPr>
        <w:fldChar w:fldCharType="end"/>
      </w:r>
      <w:r w:rsidR="00086CE5" w:rsidRPr="00CB093C">
        <w:rPr>
          <w:rFonts w:ascii="Arial" w:hAnsi="Arial" w:cs="Arial"/>
          <w:i/>
          <w:color w:val="000000" w:themeColor="text1"/>
          <w:szCs w:val="22"/>
        </w:rPr>
        <w:t>)</w:t>
      </w:r>
      <w:r w:rsidR="00F42758" w:rsidRPr="00CB093C">
        <w:rPr>
          <w:rFonts w:ascii="Arial" w:hAnsi="Arial" w:cs="Arial"/>
          <w:i/>
          <w:color w:val="000000" w:themeColor="text1"/>
          <w:szCs w:val="22"/>
        </w:rPr>
        <w:t>.</w:t>
      </w:r>
    </w:p>
    <w:p w14:paraId="184B55A9" w14:textId="77777777" w:rsidR="00982CA1" w:rsidRPr="00CB093C" w:rsidRDefault="00982CA1" w:rsidP="004008A6">
      <w:pPr>
        <w:widowControl w:val="0"/>
        <w:autoSpaceDE w:val="0"/>
        <w:autoSpaceDN w:val="0"/>
        <w:adjustRightInd w:val="0"/>
        <w:spacing w:before="0" w:after="0"/>
        <w:rPr>
          <w:rFonts w:ascii="Arial" w:hAnsi="Arial" w:cs="Arial"/>
          <w:color w:val="000000" w:themeColor="text1"/>
          <w:szCs w:val="22"/>
        </w:rPr>
      </w:pPr>
    </w:p>
    <w:p w14:paraId="7AF40521" w14:textId="201627AA" w:rsidR="004008A6" w:rsidRPr="00CB093C" w:rsidRDefault="004008A6" w:rsidP="004008A6">
      <w:pPr>
        <w:widowControl w:val="0"/>
        <w:autoSpaceDE w:val="0"/>
        <w:autoSpaceDN w:val="0"/>
        <w:adjustRightInd w:val="0"/>
        <w:spacing w:before="0" w:after="0"/>
        <w:rPr>
          <w:rFonts w:ascii="Arial" w:hAnsi="Arial" w:cs="Arial"/>
          <w:color w:val="000000" w:themeColor="text1"/>
          <w:szCs w:val="22"/>
        </w:rPr>
      </w:pPr>
      <w:r w:rsidRPr="00CB093C">
        <w:rPr>
          <w:rFonts w:ascii="Arial" w:hAnsi="Arial" w:cs="Arial"/>
          <w:color w:val="000000" w:themeColor="text1"/>
          <w:szCs w:val="22"/>
        </w:rPr>
        <w:t xml:space="preserve">Coastal seagrasses are prone to small scale disturbances that cause local losses </w:t>
      </w:r>
      <w:r w:rsidRPr="00CB093C">
        <w:rPr>
          <w:rFonts w:ascii="Arial" w:hAnsi="Arial" w:cs="Arial"/>
          <w:noProof/>
          <w:color w:val="000000" w:themeColor="text1"/>
          <w:szCs w:val="22"/>
        </w:rPr>
        <w:t>(</w:t>
      </w:r>
      <w:hyperlink w:anchor="_ENREF_31" w:tooltip="Collier, 2009 #9285" w:history="1">
        <w:r w:rsidR="00513C39" w:rsidRPr="00CB093C">
          <w:rPr>
            <w:rFonts w:ascii="Arial" w:hAnsi="Arial" w:cs="Arial"/>
            <w:noProof/>
            <w:color w:val="000000" w:themeColor="text1"/>
            <w:szCs w:val="22"/>
          </w:rPr>
          <w:fldChar w:fldCharType="begin"/>
        </w:r>
        <w:r w:rsidR="00513C39" w:rsidRPr="00CB093C">
          <w:rPr>
            <w:rFonts w:ascii="Arial" w:hAnsi="Arial" w:cs="Arial"/>
            <w:noProof/>
            <w:color w:val="000000" w:themeColor="text1"/>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513C39" w:rsidRPr="00CB093C">
          <w:rPr>
            <w:rFonts w:ascii="Arial" w:hAnsi="Arial" w:cs="Arial"/>
            <w:noProof/>
            <w:color w:val="000000" w:themeColor="text1"/>
            <w:szCs w:val="22"/>
          </w:rPr>
          <w:fldChar w:fldCharType="separate"/>
        </w:r>
        <w:r w:rsidR="00513C39" w:rsidRPr="00CB093C">
          <w:rPr>
            <w:rFonts w:ascii="Arial" w:hAnsi="Arial" w:cs="Arial"/>
            <w:noProof/>
            <w:color w:val="000000" w:themeColor="text1"/>
            <w:szCs w:val="22"/>
          </w:rPr>
          <w:t>Collier and Waycott 2009</w:t>
        </w:r>
        <w:r w:rsidR="00513C39" w:rsidRPr="00CB093C">
          <w:rPr>
            <w:rFonts w:ascii="Arial" w:hAnsi="Arial" w:cs="Arial"/>
            <w:noProof/>
            <w:color w:val="000000" w:themeColor="text1"/>
            <w:szCs w:val="22"/>
          </w:rPr>
          <w:fldChar w:fldCharType="end"/>
        </w:r>
      </w:hyperlink>
      <w:r w:rsidRPr="00CB093C">
        <w:rPr>
          <w:rFonts w:ascii="Arial" w:hAnsi="Arial" w:cs="Arial"/>
          <w:noProof/>
          <w:color w:val="000000" w:themeColor="text1"/>
          <w:szCs w:val="22"/>
        </w:rPr>
        <w:t xml:space="preserve">), and therefore disturbance-specialist species (i.e. colonisers) tend to dominate throughout the </w:t>
      </w:r>
      <w:r w:rsidR="00F206BF" w:rsidRPr="00CB093C">
        <w:rPr>
          <w:rFonts w:ascii="Arial" w:hAnsi="Arial" w:cs="Arial"/>
          <w:noProof/>
          <w:color w:val="000000" w:themeColor="text1"/>
          <w:szCs w:val="22"/>
        </w:rPr>
        <w:t>Reef</w:t>
      </w:r>
      <w:r w:rsidRPr="00CB093C">
        <w:rPr>
          <w:rFonts w:ascii="Arial" w:hAnsi="Arial" w:cs="Arial"/>
          <w:color w:val="000000" w:themeColor="text1"/>
          <w:szCs w:val="22"/>
        </w:rPr>
        <w:t>. Community structure (species composition) is also an important feature conferring resilience, as some species are more resistant to stress than others, and some species may rapidly recover and pave the way for meadow development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_Ref491687940 \h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CB093C">
        <w:rPr>
          <w:rFonts w:ascii="Arial" w:hAnsi="Arial" w:cs="Arial"/>
          <w:color w:val="000000" w:themeColor="text1"/>
          <w:szCs w:val="22"/>
        </w:rPr>
        <w:t xml:space="preserve">Figure </w:t>
      </w:r>
      <w:r w:rsidR="005F00D4">
        <w:rPr>
          <w:rFonts w:ascii="Arial" w:hAnsi="Arial" w:cs="Arial"/>
          <w:noProof/>
          <w:color w:val="000000" w:themeColor="text1"/>
          <w:szCs w:val="22"/>
        </w:rPr>
        <w:t>5</w:t>
      </w:r>
      <w:r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w:t>
      </w:r>
    </w:p>
    <w:p w14:paraId="4EFF6DE8" w14:textId="77777777" w:rsidR="004008A6" w:rsidRPr="00CB093C" w:rsidRDefault="004008A6" w:rsidP="004008A6">
      <w:pPr>
        <w:rPr>
          <w:rFonts w:ascii="Arial" w:hAnsi="Arial" w:cs="Arial"/>
          <w:szCs w:val="22"/>
        </w:rPr>
      </w:pPr>
    </w:p>
    <w:p w14:paraId="795F584B" w14:textId="77777777" w:rsidR="009901F0" w:rsidRPr="00CB093C" w:rsidRDefault="009901F0" w:rsidP="0015509E">
      <w:pPr>
        <w:pStyle w:val="Heading2"/>
      </w:pPr>
      <w:bookmarkStart w:id="33" w:name="_Toc11394691"/>
      <w:r w:rsidRPr="00CB093C">
        <w:t>Structure of the Report</w:t>
      </w:r>
      <w:bookmarkEnd w:id="33"/>
    </w:p>
    <w:p w14:paraId="688785F3" w14:textId="295247B5" w:rsidR="009901F0" w:rsidRPr="00CB093C" w:rsidRDefault="009901F0" w:rsidP="009901F0">
      <w:pPr>
        <w:spacing w:before="240" w:after="60"/>
        <w:rPr>
          <w:rFonts w:ascii="Arial" w:hAnsi="Arial" w:cs="Arial"/>
          <w:color w:val="000000" w:themeColor="text1"/>
          <w:szCs w:val="22"/>
        </w:rPr>
      </w:pPr>
      <w:r w:rsidRPr="00CB093C">
        <w:rPr>
          <w:rFonts w:ascii="Arial" w:hAnsi="Arial" w:cs="Arial"/>
          <w:color w:val="000000" w:themeColor="text1"/>
          <w:szCs w:val="22"/>
        </w:rPr>
        <w:t xml:space="preserve">This report presents data from the thirteenth period of monitoring inshore seagrass ecosystems of the Reef under the MMP (undertaken from June 2017 to May 2018; hereafter called </w:t>
      </w:r>
      <w:r w:rsidR="003654C6">
        <w:rPr>
          <w:rFonts w:ascii="Arial" w:hAnsi="Arial" w:cs="Arial"/>
          <w:color w:val="000000" w:themeColor="text1"/>
          <w:szCs w:val="22"/>
        </w:rPr>
        <w:t>2017–18</w:t>
      </w:r>
      <w:r w:rsidRPr="00CB093C">
        <w:rPr>
          <w:rFonts w:ascii="Arial" w:hAnsi="Arial" w:cs="Arial"/>
          <w:color w:val="000000" w:themeColor="text1"/>
          <w:szCs w:val="22"/>
        </w:rPr>
        <w:t>). The inshore seagrass monitoring sub-program of the MMP reports on:</w:t>
      </w:r>
    </w:p>
    <w:p w14:paraId="322A9E8F" w14:textId="77777777" w:rsidR="009901F0" w:rsidRPr="00CB093C" w:rsidRDefault="009901F0" w:rsidP="00AD06D4">
      <w:pPr>
        <w:numPr>
          <w:ilvl w:val="0"/>
          <w:numId w:val="2"/>
        </w:numPr>
        <w:spacing w:before="60" w:after="60"/>
        <w:ind w:left="714" w:hanging="357"/>
        <w:rPr>
          <w:rFonts w:ascii="Arial" w:hAnsi="Arial" w:cs="Arial"/>
          <w:color w:val="000000" w:themeColor="text1"/>
          <w:szCs w:val="22"/>
        </w:rPr>
      </w:pPr>
      <w:r w:rsidRPr="00CB093C">
        <w:rPr>
          <w:rFonts w:ascii="Arial" w:hAnsi="Arial" w:cs="Arial"/>
          <w:color w:val="000000" w:themeColor="text1"/>
          <w:szCs w:val="22"/>
        </w:rPr>
        <w:lastRenderedPageBreak/>
        <w:t>abundance and species composition of seagrass (including landscape mapping) in the late dry season of 2017 and the late wet season of 2018 at inshore intertidal and subtidal locations</w:t>
      </w:r>
    </w:p>
    <w:p w14:paraId="2811A147" w14:textId="77777777" w:rsidR="009901F0" w:rsidRPr="00CB093C" w:rsidRDefault="009901F0" w:rsidP="00AD06D4">
      <w:pPr>
        <w:numPr>
          <w:ilvl w:val="0"/>
          <w:numId w:val="2"/>
        </w:numPr>
        <w:spacing w:before="60" w:after="60"/>
        <w:ind w:left="714" w:hanging="357"/>
        <w:rPr>
          <w:rFonts w:ascii="Arial" w:hAnsi="Arial" w:cs="Arial"/>
          <w:color w:val="000000" w:themeColor="text1"/>
          <w:szCs w:val="22"/>
        </w:rPr>
      </w:pPr>
      <w:r w:rsidRPr="00CB093C">
        <w:rPr>
          <w:rFonts w:ascii="Arial" w:hAnsi="Arial" w:cs="Arial"/>
          <w:color w:val="000000" w:themeColor="text1"/>
          <w:szCs w:val="22"/>
        </w:rPr>
        <w:t>reproductive health of the seagrass species present at inshore intertidal and subtidal locations</w:t>
      </w:r>
    </w:p>
    <w:p w14:paraId="4764E5A7" w14:textId="77777777" w:rsidR="009901F0" w:rsidRPr="00CB093C" w:rsidRDefault="009901F0" w:rsidP="00AD06D4">
      <w:pPr>
        <w:numPr>
          <w:ilvl w:val="0"/>
          <w:numId w:val="2"/>
        </w:numPr>
        <w:spacing w:before="60" w:after="60"/>
        <w:ind w:left="714" w:hanging="357"/>
        <w:rPr>
          <w:rFonts w:ascii="Arial" w:hAnsi="Arial" w:cs="Arial"/>
          <w:color w:val="000000" w:themeColor="text1"/>
          <w:szCs w:val="22"/>
        </w:rPr>
      </w:pPr>
      <w:r w:rsidRPr="00CB093C">
        <w:rPr>
          <w:rFonts w:ascii="Arial" w:hAnsi="Arial" w:cs="Arial"/>
          <w:color w:val="000000" w:themeColor="text1"/>
          <w:szCs w:val="22"/>
        </w:rPr>
        <w:t xml:space="preserve">tissue nutrient concentrations (carbon, nitrogen and phosphorus) and epiphyte loads of foundation seagrass species (e.g. genus </w:t>
      </w:r>
      <w:r w:rsidRPr="00CB093C">
        <w:rPr>
          <w:rFonts w:ascii="Arial" w:hAnsi="Arial" w:cs="Arial"/>
          <w:i/>
          <w:color w:val="000000" w:themeColor="text1"/>
          <w:szCs w:val="22"/>
        </w:rPr>
        <w:t>Halodule, Zostera, Cymodocea</w:t>
      </w:r>
      <w:r w:rsidRPr="00CB093C">
        <w:rPr>
          <w:rFonts w:ascii="Arial" w:hAnsi="Arial" w:cs="Arial"/>
          <w:color w:val="000000" w:themeColor="text1"/>
          <w:szCs w:val="22"/>
        </w:rPr>
        <w:t>) at each inshore intertidal and subtidal location</w:t>
      </w:r>
    </w:p>
    <w:p w14:paraId="04CB0EBD" w14:textId="77777777" w:rsidR="009901F0" w:rsidRPr="00CB093C" w:rsidRDefault="009901F0" w:rsidP="00AD06D4">
      <w:pPr>
        <w:numPr>
          <w:ilvl w:val="0"/>
          <w:numId w:val="2"/>
        </w:numPr>
        <w:spacing w:before="60" w:after="60"/>
        <w:ind w:left="714" w:hanging="357"/>
        <w:rPr>
          <w:rFonts w:ascii="Arial" w:hAnsi="Arial" w:cs="Arial"/>
          <w:color w:val="000000" w:themeColor="text1"/>
          <w:szCs w:val="22"/>
        </w:rPr>
      </w:pPr>
      <w:r w:rsidRPr="00CB093C">
        <w:rPr>
          <w:rFonts w:ascii="Arial" w:hAnsi="Arial" w:cs="Arial"/>
          <w:color w:val="000000" w:themeColor="text1"/>
          <w:szCs w:val="22"/>
        </w:rPr>
        <w:t>spatial and temporal patterns in light, turbidity and temperature at sites where autonomous loggers are deployed</w:t>
      </w:r>
    </w:p>
    <w:p w14:paraId="7D011EAE" w14:textId="77777777" w:rsidR="009901F0" w:rsidRPr="00CB093C" w:rsidRDefault="009901F0" w:rsidP="00AD06D4">
      <w:pPr>
        <w:numPr>
          <w:ilvl w:val="0"/>
          <w:numId w:val="2"/>
        </w:numPr>
        <w:spacing w:before="60" w:after="60"/>
        <w:ind w:left="714" w:hanging="357"/>
        <w:rPr>
          <w:rFonts w:ascii="Arial" w:hAnsi="Arial" w:cs="Arial"/>
          <w:color w:val="000000" w:themeColor="text1"/>
          <w:szCs w:val="22"/>
        </w:rPr>
      </w:pPr>
      <w:r w:rsidRPr="00CB093C">
        <w:rPr>
          <w:rFonts w:ascii="Arial" w:hAnsi="Arial" w:cs="Arial"/>
          <w:color w:val="000000" w:themeColor="text1"/>
          <w:szCs w:val="22"/>
        </w:rPr>
        <w:t>trends in seagrass condition</w:t>
      </w:r>
    </w:p>
    <w:p w14:paraId="2F02F7FE" w14:textId="77777777" w:rsidR="009901F0" w:rsidRPr="00CB093C" w:rsidRDefault="009901F0" w:rsidP="00AD06D4">
      <w:pPr>
        <w:numPr>
          <w:ilvl w:val="0"/>
          <w:numId w:val="2"/>
        </w:numPr>
        <w:spacing w:before="60" w:after="60"/>
        <w:ind w:left="714" w:hanging="357"/>
        <w:rPr>
          <w:rFonts w:ascii="Arial" w:hAnsi="Arial" w:cs="Arial"/>
          <w:color w:val="000000" w:themeColor="text1"/>
          <w:szCs w:val="22"/>
        </w:rPr>
      </w:pPr>
      <w:r w:rsidRPr="00CB093C">
        <w:rPr>
          <w:rFonts w:ascii="Arial" w:hAnsi="Arial" w:cs="Arial"/>
          <w:color w:val="000000" w:themeColor="text1"/>
          <w:szCs w:val="22"/>
        </w:rPr>
        <w:t>seagrass community in relation to environment condition and trends</w:t>
      </w:r>
    </w:p>
    <w:p w14:paraId="1FF08BA4" w14:textId="116B81A7" w:rsidR="009901F0" w:rsidRPr="00CB093C" w:rsidRDefault="009901F0" w:rsidP="00AD06D4">
      <w:pPr>
        <w:numPr>
          <w:ilvl w:val="0"/>
          <w:numId w:val="2"/>
        </w:numPr>
        <w:spacing w:before="60" w:after="60"/>
        <w:ind w:left="714" w:hanging="357"/>
        <w:rPr>
          <w:rFonts w:ascii="Arial" w:hAnsi="Arial" w:cs="Arial"/>
          <w:color w:val="000000" w:themeColor="text1"/>
          <w:szCs w:val="22"/>
        </w:rPr>
      </w:pPr>
      <w:r w:rsidRPr="00CB093C">
        <w:rPr>
          <w:rFonts w:ascii="Arial" w:hAnsi="Arial" w:cs="Arial"/>
          <w:color w:val="000000" w:themeColor="text1"/>
          <w:szCs w:val="22"/>
        </w:rPr>
        <w:t>seagrass report card metrics for use in the annual Reef Report Card produced by the Paddock to Reef program.</w:t>
      </w:r>
    </w:p>
    <w:p w14:paraId="59CB34A8" w14:textId="2D170E2C" w:rsidR="009901F0" w:rsidRPr="00CB093C" w:rsidRDefault="009901F0" w:rsidP="009901F0">
      <w:pPr>
        <w:spacing w:before="240" w:after="60"/>
        <w:rPr>
          <w:rFonts w:ascii="Arial" w:hAnsi="Arial" w:cs="Arial"/>
          <w:color w:val="000000" w:themeColor="text1"/>
          <w:szCs w:val="22"/>
        </w:rPr>
      </w:pPr>
    </w:p>
    <w:p w14:paraId="63B008D7" w14:textId="4253A03F" w:rsidR="009901F0" w:rsidRPr="00CB093C" w:rsidRDefault="009901F0" w:rsidP="009901F0">
      <w:pPr>
        <w:rPr>
          <w:rFonts w:ascii="Arial" w:hAnsi="Arial" w:cs="Arial"/>
          <w:color w:val="000000" w:themeColor="text1"/>
          <w:szCs w:val="22"/>
        </w:rPr>
      </w:pPr>
      <w:r w:rsidRPr="00CB093C">
        <w:rPr>
          <w:rFonts w:ascii="Arial" w:hAnsi="Arial" w:cs="Arial"/>
          <w:szCs w:val="22"/>
        </w:rPr>
        <w:t xml:space="preserve">The next section presents a summary of the program’s methods. Section </w:t>
      </w:r>
      <w:r w:rsidR="00DB4E07" w:rsidRPr="00CB093C">
        <w:rPr>
          <w:rFonts w:ascii="Arial" w:hAnsi="Arial" w:cs="Arial"/>
          <w:szCs w:val="22"/>
        </w:rPr>
        <w:t>4</w:t>
      </w:r>
      <w:r w:rsidRPr="00CB093C">
        <w:rPr>
          <w:rFonts w:ascii="Arial" w:hAnsi="Arial" w:cs="Arial"/>
          <w:szCs w:val="22"/>
        </w:rPr>
        <w:t xml:space="preserve"> describes the condition and trend of seagrass in the context of environmental factors, referred to as drivers and pressures in Driver-Pressure-State-Impact-Response (DPSIR) framework.</w:t>
      </w:r>
    </w:p>
    <w:p w14:paraId="73500AF3" w14:textId="77777777" w:rsidR="009901F0" w:rsidRPr="00CB093C" w:rsidRDefault="009901F0" w:rsidP="009901F0">
      <w:pPr>
        <w:rPr>
          <w:rFonts w:ascii="Arial" w:hAnsi="Arial" w:cs="Arial"/>
          <w:color w:val="000000" w:themeColor="text1"/>
          <w:szCs w:val="22"/>
        </w:rPr>
      </w:pPr>
      <w:r w:rsidRPr="00CB093C">
        <w:rPr>
          <w:rFonts w:ascii="Arial" w:hAnsi="Arial" w:cs="Arial"/>
          <w:szCs w:val="22"/>
        </w:rPr>
        <w:t xml:space="preserve">In </w:t>
      </w:r>
      <w:r w:rsidRPr="00CB093C">
        <w:rPr>
          <w:rFonts w:ascii="Arial" w:hAnsi="Arial" w:cs="Arial"/>
          <w:szCs w:val="22"/>
          <w:lang w:eastAsia="en-AU"/>
        </w:rPr>
        <w:t xml:space="preserve">keeping with the overarching objective of the MMP, to </w:t>
      </w:r>
      <w:r w:rsidRPr="00CB093C">
        <w:rPr>
          <w:rFonts w:ascii="Arial" w:hAnsi="Arial" w:cs="Arial"/>
          <w:i/>
          <w:szCs w:val="22"/>
        </w:rPr>
        <w:t xml:space="preserve">“Assess trends in ecosystem health and resilience indicators for the Great Barrier Reef in relation to water quality and its linkages to end-of-catchment loads”, </w:t>
      </w:r>
      <w:r w:rsidRPr="00CB093C">
        <w:rPr>
          <w:rFonts w:ascii="Arial" w:hAnsi="Arial" w:cs="Arial"/>
          <w:szCs w:val="22"/>
        </w:rPr>
        <w:t xml:space="preserve">key water quality results reported by Gruber </w:t>
      </w:r>
      <w:r w:rsidRPr="00CB093C">
        <w:rPr>
          <w:rFonts w:ascii="Arial" w:hAnsi="Arial" w:cs="Arial"/>
          <w:i/>
          <w:szCs w:val="22"/>
        </w:rPr>
        <w:t>et al.</w:t>
      </w:r>
      <w:r w:rsidRPr="00CB093C">
        <w:rPr>
          <w:rFonts w:ascii="Arial" w:hAnsi="Arial" w:cs="Arial"/>
          <w:szCs w:val="22"/>
        </w:rPr>
        <w:t xml:space="preserve"> (in prep.) are replicated to support the interpretation of the inshore seagrass results.</w:t>
      </w:r>
    </w:p>
    <w:p w14:paraId="09DBA54D" w14:textId="77777777" w:rsidR="0059335C" w:rsidRPr="00CB093C" w:rsidRDefault="0059335C" w:rsidP="00D2585E">
      <w:pPr>
        <w:spacing w:before="60" w:after="60"/>
        <w:rPr>
          <w:rFonts w:ascii="Arial" w:hAnsi="Arial" w:cs="Arial"/>
          <w:color w:val="000000" w:themeColor="text1"/>
          <w:szCs w:val="22"/>
        </w:rPr>
      </w:pPr>
    </w:p>
    <w:p w14:paraId="3EE736C0" w14:textId="4A22E205" w:rsidR="005132EF" w:rsidRPr="00CB093C" w:rsidRDefault="005132EF" w:rsidP="0015509E">
      <w:pPr>
        <w:pStyle w:val="Heading1"/>
      </w:pPr>
      <w:bookmarkStart w:id="34" w:name="_Toc11394692"/>
      <w:r w:rsidRPr="00CB093C">
        <w:lastRenderedPageBreak/>
        <w:t>Method</w:t>
      </w:r>
      <w:r w:rsidR="001B1783" w:rsidRPr="00CB093C">
        <w:t>s summary</w:t>
      </w:r>
      <w:bookmarkEnd w:id="19"/>
      <w:bookmarkEnd w:id="20"/>
      <w:bookmarkEnd w:id="21"/>
      <w:bookmarkEnd w:id="22"/>
      <w:bookmarkEnd w:id="34"/>
    </w:p>
    <w:p w14:paraId="472C4455" w14:textId="668141F7" w:rsidR="003D1F7F" w:rsidRPr="00CB093C" w:rsidRDefault="003D1F7F" w:rsidP="003D1F7F">
      <w:pPr>
        <w:spacing w:before="240"/>
        <w:rPr>
          <w:rFonts w:ascii="Arial" w:hAnsi="Arial" w:cs="Arial"/>
          <w:szCs w:val="22"/>
          <w:lang w:val="en-US"/>
        </w:rPr>
      </w:pPr>
      <w:bookmarkStart w:id="35" w:name="_Toc431493754"/>
      <w:bookmarkStart w:id="36" w:name="_Toc175991055"/>
      <w:bookmarkStart w:id="37" w:name="_Toc232845903"/>
      <w:bookmarkStart w:id="38" w:name="_Toc184101959"/>
      <w:r w:rsidRPr="00CB093C">
        <w:rPr>
          <w:rFonts w:ascii="Arial" w:hAnsi="Arial" w:cs="Arial"/>
          <w:color w:val="000000" w:themeColor="text1"/>
          <w:szCs w:val="22"/>
          <w:lang w:val="en-US"/>
        </w:rPr>
        <w:t xml:space="preserve">In the following, an overview is given of the sample collection, preparation and analyses methods. Detailed documentation of the methods used in the MMP, including quality assurance and quality control procedures, is </w:t>
      </w:r>
      <w:r w:rsidRPr="00CB093C">
        <w:rPr>
          <w:rFonts w:ascii="Arial" w:hAnsi="Arial" w:cs="Arial"/>
          <w:szCs w:val="22"/>
          <w:lang w:val="en-US"/>
        </w:rPr>
        <w:t>available in</w:t>
      </w:r>
      <w:r w:rsidR="00DB4E07" w:rsidRPr="00CB093C">
        <w:rPr>
          <w:rFonts w:ascii="Arial" w:hAnsi="Arial" w:cs="Arial"/>
          <w:szCs w:val="22"/>
          <w:lang w:val="en-US"/>
        </w:rPr>
        <w:t xml:space="preserve"> </w:t>
      </w:r>
      <w:hyperlink w:anchor="_ENREF_107" w:tooltip="McKenzie, 2019 #11986"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 ExcludeYear="1"&gt;&lt;Author&gt;McKenzie&lt;/Author&gt;&lt;Year&gt;2019&lt;/Year&gt;&lt;RecNum&gt;11986&lt;/RecNum&gt;&lt;DisplayText&gt;McKenzie&lt;style face="italic"&gt; et al.&lt;/style&gt; &lt;/DisplayText&gt;&lt;record&gt;&lt;rec-number&gt;11986&lt;/rec-number&gt;&lt;foreign-keys&gt;&lt;key app="EN" db-id="0eve55x9y5vfd6e9dacxtew4eatve2dzds9a" timestamp="1554243817"&gt;11986&lt;/key&gt;&lt;/foreign-keys&gt;&lt;ref-type name="Book Section"&gt;5&lt;/ref-type&gt;&lt;contributors&gt;&lt;authors&gt;&lt;author&gt;McKenzie, Len J&lt;/author&gt;&lt;author&gt;Waycott, Michelle&lt;/author&gt;&lt;author&gt;Unsworth Richard, K. F.&lt;/author&gt;&lt;author&gt;Collier, Catherine&lt;/author&gt;&lt;/authors&gt;&lt;secondary-authors&gt;&lt;author&gt;Great Barrier Reef Marine Park Authority,&lt;/author&gt;&lt;/secondary-authors&gt;&lt;/contributors&gt;&lt;titles&gt;&lt;title&gt;Inshore seagrass monitoring&lt;/title&gt;&lt;secondary-title&gt;Marine Monitoring Program quality assurance and quality control manual 2017–2018&lt;/secondary-title&gt;&lt;/titles&gt;&lt;pages&gt;73-98&lt;/pages&gt;&lt;section&gt;6&lt;/section&gt;&lt;dates&gt;&lt;year&gt;2019&lt;/year&gt;&lt;/dates&gt;&lt;pub-location&gt;Townsville&lt;/pub-location&gt;&lt;publisher&gt;Great Barrier Reef Marine Park Authority &lt;/publisher&gt;&lt;urls&gt;&lt;/urls&gt;&lt;/record&gt;&lt;/Cite&gt;&lt;/EndNote&gt;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McKenzie</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w:t>
        </w:r>
        <w:r w:rsidR="00513C39" w:rsidRPr="00CB093C">
          <w:rPr>
            <w:rFonts w:ascii="Arial" w:hAnsi="Arial" w:cs="Arial"/>
            <w:szCs w:val="22"/>
            <w:lang w:val="en-US"/>
          </w:rPr>
          <w:fldChar w:fldCharType="end"/>
        </w:r>
      </w:hyperlink>
      <w:r w:rsidR="00DB4E07" w:rsidRPr="00CB093C">
        <w:rPr>
          <w:rFonts w:ascii="Arial" w:hAnsi="Arial" w:cs="Arial"/>
          <w:szCs w:val="22"/>
          <w:lang w:val="en-US"/>
        </w:rPr>
        <w:t>(</w:t>
      </w:r>
      <w:hyperlink w:anchor="_ENREF_107" w:tooltip="McKenzie, 2019 #11986"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 ExcludeAuth="1"&gt;&lt;Author&gt;McKenzie&lt;/Author&gt;&lt;Year&gt;2019&lt;/Year&gt;&lt;RecNum&gt;11986&lt;/RecNum&gt;&lt;DisplayText&gt;2019&lt;/DisplayText&gt;&lt;record&gt;&lt;rec-number&gt;11986&lt;/rec-number&gt;&lt;foreign-keys&gt;&lt;key app="EN" db-id="0eve55x9y5vfd6e9dacxtew4eatve2dzds9a" timestamp="1554243817"&gt;11986&lt;/key&gt;&lt;/foreign-keys&gt;&lt;ref-type name="Book Section"&gt;5&lt;/ref-type&gt;&lt;contributors&gt;&lt;authors&gt;&lt;author&gt;McKenzie, Len J&lt;/author&gt;&lt;author&gt;Waycott, Michelle&lt;/author&gt;&lt;author&gt;Unsworth Richard, K. F.&lt;/author&gt;&lt;author&gt;Collier, Catherine&lt;/author&gt;&lt;/authors&gt;&lt;secondary-authors&gt;&lt;author&gt;Great Barrier Reef Marine Park Authority,&lt;/author&gt;&lt;/secondary-authors&gt;&lt;/contributors&gt;&lt;titles&gt;&lt;title&gt;Inshore seagrass monitoring&lt;/title&gt;&lt;secondary-title&gt;Marine Monitoring Program quality assurance and quality control manual 2017–2018&lt;/secondary-title&gt;&lt;/titles&gt;&lt;pages&gt;73-98&lt;/pages&gt;&lt;section&gt;6&lt;/section&gt;&lt;dates&gt;&lt;year&gt;2019&lt;/year&gt;&lt;/dates&gt;&lt;pub-location&gt;Townsville&lt;/pub-location&gt;&lt;publisher&gt;Great Barrier Reef Marine Park Authority &lt;/publisher&gt;&lt;urls&gt;&lt;/urls&gt;&lt;/record&gt;&lt;/Cite&gt;&lt;/EndNote&gt;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2019</w:t>
        </w:r>
        <w:r w:rsidR="00513C39" w:rsidRPr="00CB093C">
          <w:rPr>
            <w:rFonts w:ascii="Arial" w:hAnsi="Arial" w:cs="Arial"/>
            <w:szCs w:val="22"/>
            <w:lang w:val="en-US"/>
          </w:rPr>
          <w:fldChar w:fldCharType="end"/>
        </w:r>
      </w:hyperlink>
      <w:r w:rsidR="00DB4E07" w:rsidRPr="00CB093C">
        <w:rPr>
          <w:rFonts w:ascii="Arial" w:hAnsi="Arial" w:cs="Arial"/>
          <w:szCs w:val="22"/>
          <w:lang w:val="en-US"/>
        </w:rPr>
        <w:t>).</w:t>
      </w:r>
    </w:p>
    <w:p w14:paraId="08464FE4" w14:textId="77777777" w:rsidR="003D1F7F" w:rsidRPr="0015509E" w:rsidRDefault="003D1F7F" w:rsidP="0015509E">
      <w:pPr>
        <w:pStyle w:val="Heading2"/>
      </w:pPr>
      <w:bookmarkStart w:id="39" w:name="_Toc11394693"/>
      <w:r w:rsidRPr="0015509E">
        <w:t xml:space="preserve">Climate and environmental </w:t>
      </w:r>
      <w:r w:rsidR="00BB52BF" w:rsidRPr="0015509E">
        <w:t>pressures</w:t>
      </w:r>
      <w:bookmarkEnd w:id="39"/>
    </w:p>
    <w:p w14:paraId="5339D24D" w14:textId="230149E0" w:rsidR="00272782" w:rsidRPr="00CB093C" w:rsidRDefault="007231A4" w:rsidP="00E918BC">
      <w:pPr>
        <w:pStyle w:val="CommentText"/>
        <w:rPr>
          <w:rFonts w:ascii="Arial" w:hAnsi="Arial" w:cs="Arial"/>
          <w:color w:val="000000" w:themeColor="text1"/>
          <w:sz w:val="22"/>
          <w:szCs w:val="22"/>
        </w:rPr>
      </w:pPr>
      <w:r w:rsidRPr="00CB093C">
        <w:rPr>
          <w:rFonts w:ascii="Arial" w:hAnsi="Arial" w:cs="Arial"/>
          <w:color w:val="000000" w:themeColor="text1"/>
          <w:sz w:val="22"/>
          <w:szCs w:val="22"/>
        </w:rPr>
        <w:t xml:space="preserve">Climate and environmental </w:t>
      </w:r>
      <w:r w:rsidR="00231466" w:rsidRPr="00CB093C">
        <w:rPr>
          <w:rFonts w:ascii="Arial" w:hAnsi="Arial" w:cs="Arial"/>
          <w:color w:val="000000" w:themeColor="text1"/>
          <w:sz w:val="22"/>
          <w:szCs w:val="22"/>
        </w:rPr>
        <w:t>pressures</w:t>
      </w:r>
      <w:r w:rsidRPr="00CB093C">
        <w:rPr>
          <w:rFonts w:ascii="Arial" w:hAnsi="Arial" w:cs="Arial"/>
          <w:color w:val="000000" w:themeColor="text1"/>
          <w:sz w:val="22"/>
          <w:szCs w:val="22"/>
        </w:rPr>
        <w:t xml:space="preserve"> affect seagrass condition and resilience</w:t>
      </w:r>
      <w:r w:rsidR="00231466" w:rsidRPr="00CB093C">
        <w:rPr>
          <w:rFonts w:ascii="Arial" w:hAnsi="Arial" w:cs="Arial"/>
          <w:color w:val="000000" w:themeColor="text1"/>
          <w:sz w:val="22"/>
          <w:szCs w:val="22"/>
        </w:rPr>
        <w:t xml:space="preserve"> (</w:t>
      </w:r>
      <w:r w:rsidR="00DB4E07" w:rsidRPr="00CB093C">
        <w:rPr>
          <w:rFonts w:ascii="Arial" w:hAnsi="Arial" w:cs="Arial"/>
          <w:color w:val="000000" w:themeColor="text1"/>
          <w:sz w:val="22"/>
          <w:szCs w:val="22"/>
        </w:rPr>
        <w:fldChar w:fldCharType="begin"/>
      </w:r>
      <w:r w:rsidR="00DB4E07" w:rsidRPr="00CB093C">
        <w:rPr>
          <w:rFonts w:ascii="Arial" w:hAnsi="Arial" w:cs="Arial"/>
          <w:color w:val="000000" w:themeColor="text1"/>
          <w:sz w:val="22"/>
          <w:szCs w:val="22"/>
        </w:rPr>
        <w:instrText xml:space="preserve"> REF _Ref536787394 \h </w:instrText>
      </w:r>
      <w:r w:rsidR="00CB093C" w:rsidRPr="00CB093C">
        <w:rPr>
          <w:rFonts w:ascii="Arial" w:hAnsi="Arial" w:cs="Arial"/>
          <w:color w:val="000000" w:themeColor="text1"/>
          <w:sz w:val="22"/>
          <w:szCs w:val="22"/>
        </w:rPr>
        <w:instrText xml:space="preserve"> \* MERGEFORMAT </w:instrText>
      </w:r>
      <w:r w:rsidR="00DB4E07" w:rsidRPr="00CB093C">
        <w:rPr>
          <w:rFonts w:ascii="Arial" w:hAnsi="Arial" w:cs="Arial"/>
          <w:color w:val="000000" w:themeColor="text1"/>
          <w:sz w:val="22"/>
          <w:szCs w:val="22"/>
        </w:rPr>
      </w:r>
      <w:r w:rsidR="00DB4E07" w:rsidRPr="00CB093C">
        <w:rPr>
          <w:rFonts w:ascii="Arial" w:hAnsi="Arial" w:cs="Arial"/>
          <w:color w:val="000000" w:themeColor="text1"/>
          <w:sz w:val="22"/>
          <w:szCs w:val="22"/>
        </w:rPr>
        <w:fldChar w:fldCharType="separate"/>
      </w:r>
      <w:r w:rsidR="005F00D4" w:rsidRPr="005F00D4">
        <w:rPr>
          <w:rFonts w:ascii="Arial" w:hAnsi="Arial" w:cs="Arial"/>
          <w:color w:val="000000"/>
          <w:sz w:val="22"/>
          <w:szCs w:val="22"/>
        </w:rPr>
        <w:t xml:space="preserve">Figure </w:t>
      </w:r>
      <w:r w:rsidR="005F00D4" w:rsidRPr="005F00D4">
        <w:rPr>
          <w:rFonts w:ascii="Arial" w:hAnsi="Arial" w:cs="Arial"/>
          <w:noProof/>
          <w:color w:val="000000"/>
          <w:sz w:val="22"/>
          <w:szCs w:val="22"/>
        </w:rPr>
        <w:t>4</w:t>
      </w:r>
      <w:r w:rsidR="00DB4E07" w:rsidRPr="00CB093C">
        <w:rPr>
          <w:rFonts w:ascii="Arial" w:hAnsi="Arial" w:cs="Arial"/>
          <w:color w:val="000000" w:themeColor="text1"/>
          <w:sz w:val="22"/>
          <w:szCs w:val="22"/>
        </w:rPr>
        <w:fldChar w:fldCharType="end"/>
      </w:r>
      <w:r w:rsidR="00231466" w:rsidRPr="00CB093C">
        <w:rPr>
          <w:rFonts w:ascii="Arial" w:hAnsi="Arial" w:cs="Arial"/>
          <w:color w:val="000000" w:themeColor="text1"/>
          <w:sz w:val="22"/>
          <w:szCs w:val="22"/>
        </w:rPr>
        <w:t xml:space="preserve">). The pressures of greatest concern are: </w:t>
      </w:r>
    </w:p>
    <w:p w14:paraId="5131AEBF" w14:textId="59A92DDC" w:rsidR="00272782" w:rsidRPr="00CB093C" w:rsidRDefault="00231466" w:rsidP="00AD06D4">
      <w:pPr>
        <w:pStyle w:val="CommentText"/>
        <w:numPr>
          <w:ilvl w:val="0"/>
          <w:numId w:val="22"/>
        </w:numPr>
        <w:rPr>
          <w:rFonts w:ascii="Arial" w:hAnsi="Arial" w:cs="Arial"/>
          <w:color w:val="000000" w:themeColor="text1"/>
          <w:sz w:val="22"/>
          <w:szCs w:val="22"/>
        </w:rPr>
      </w:pPr>
      <w:r w:rsidRPr="00CB093C">
        <w:rPr>
          <w:rFonts w:ascii="Arial" w:hAnsi="Arial" w:cs="Arial"/>
          <w:color w:val="000000" w:themeColor="text1"/>
          <w:sz w:val="22"/>
          <w:szCs w:val="22"/>
        </w:rPr>
        <w:t>physical disturbance (cyclones and benthic sheer stress)</w:t>
      </w:r>
    </w:p>
    <w:p w14:paraId="5FB3DFD4" w14:textId="4A514390" w:rsidR="00272782" w:rsidRPr="00CB093C" w:rsidRDefault="00231466" w:rsidP="00AD06D4">
      <w:pPr>
        <w:pStyle w:val="CommentText"/>
        <w:numPr>
          <w:ilvl w:val="0"/>
          <w:numId w:val="22"/>
        </w:numPr>
        <w:rPr>
          <w:rFonts w:ascii="Arial" w:hAnsi="Arial" w:cs="Arial"/>
          <w:color w:val="000000" w:themeColor="text1"/>
          <w:sz w:val="22"/>
          <w:szCs w:val="22"/>
        </w:rPr>
      </w:pPr>
      <w:r w:rsidRPr="00CB093C">
        <w:rPr>
          <w:rFonts w:ascii="Arial" w:hAnsi="Arial" w:cs="Arial"/>
          <w:color w:val="000000" w:themeColor="text1"/>
          <w:sz w:val="22"/>
          <w:szCs w:val="22"/>
        </w:rPr>
        <w:t xml:space="preserve">water quality (turbidity/light and nutrients) </w:t>
      </w:r>
    </w:p>
    <w:p w14:paraId="6CD087EA" w14:textId="2A99C1B5" w:rsidR="00272782" w:rsidRPr="00CB093C" w:rsidRDefault="00231466" w:rsidP="00AD06D4">
      <w:pPr>
        <w:pStyle w:val="CommentText"/>
        <w:numPr>
          <w:ilvl w:val="0"/>
          <w:numId w:val="22"/>
        </w:numPr>
        <w:rPr>
          <w:rFonts w:ascii="Arial" w:hAnsi="Arial" w:cs="Arial"/>
          <w:color w:val="000000" w:themeColor="text1"/>
          <w:sz w:val="22"/>
          <w:szCs w:val="22"/>
        </w:rPr>
      </w:pPr>
      <w:r w:rsidRPr="00CB093C">
        <w:rPr>
          <w:rFonts w:ascii="Arial" w:hAnsi="Arial" w:cs="Arial"/>
          <w:color w:val="000000" w:themeColor="text1"/>
          <w:sz w:val="22"/>
          <w:szCs w:val="22"/>
        </w:rPr>
        <w:t xml:space="preserve">water temperature </w:t>
      </w:r>
    </w:p>
    <w:p w14:paraId="39456313" w14:textId="08A3240A" w:rsidR="00272782" w:rsidRPr="00CB093C" w:rsidRDefault="00231466" w:rsidP="00AD06D4">
      <w:pPr>
        <w:pStyle w:val="CommentText"/>
        <w:numPr>
          <w:ilvl w:val="0"/>
          <w:numId w:val="22"/>
        </w:numPr>
        <w:rPr>
          <w:rFonts w:ascii="Arial" w:hAnsi="Arial" w:cs="Arial"/>
          <w:color w:val="000000" w:themeColor="text1"/>
          <w:sz w:val="22"/>
          <w:szCs w:val="22"/>
        </w:rPr>
      </w:pPr>
      <w:r w:rsidRPr="00CB093C">
        <w:rPr>
          <w:rFonts w:ascii="Arial" w:hAnsi="Arial" w:cs="Arial"/>
          <w:color w:val="000000" w:themeColor="text1"/>
          <w:sz w:val="22"/>
          <w:szCs w:val="22"/>
        </w:rPr>
        <w:t>low tide exposure</w:t>
      </w:r>
    </w:p>
    <w:p w14:paraId="504E2D0D" w14:textId="77777777" w:rsidR="00272782" w:rsidRPr="00CB093C" w:rsidRDefault="00231466" w:rsidP="00AD06D4">
      <w:pPr>
        <w:pStyle w:val="CommentText"/>
        <w:numPr>
          <w:ilvl w:val="0"/>
          <w:numId w:val="22"/>
        </w:numPr>
        <w:rPr>
          <w:rFonts w:ascii="Arial" w:hAnsi="Arial" w:cs="Arial"/>
          <w:color w:val="000000" w:themeColor="text1"/>
          <w:sz w:val="22"/>
          <w:szCs w:val="22"/>
        </w:rPr>
      </w:pPr>
      <w:r w:rsidRPr="00CB093C">
        <w:rPr>
          <w:rFonts w:ascii="Arial" w:hAnsi="Arial" w:cs="Arial"/>
          <w:color w:val="000000" w:themeColor="text1"/>
          <w:sz w:val="22"/>
          <w:szCs w:val="22"/>
        </w:rPr>
        <w:t xml:space="preserve">sediment type. </w:t>
      </w:r>
    </w:p>
    <w:p w14:paraId="069BCA73" w14:textId="2EC621F7" w:rsidR="00E918BC" w:rsidRPr="00CB093C" w:rsidRDefault="00A12DFC" w:rsidP="00E918BC">
      <w:pPr>
        <w:pStyle w:val="CommentText"/>
        <w:rPr>
          <w:rFonts w:ascii="Arial" w:hAnsi="Arial" w:cs="Arial"/>
          <w:sz w:val="22"/>
          <w:szCs w:val="22"/>
        </w:rPr>
      </w:pPr>
      <w:r w:rsidRPr="00CB093C">
        <w:rPr>
          <w:rFonts w:ascii="Arial" w:hAnsi="Arial" w:cs="Arial"/>
          <w:color w:val="000000" w:themeColor="text1"/>
          <w:sz w:val="22"/>
          <w:szCs w:val="22"/>
        </w:rPr>
        <w:t xml:space="preserve">The measures are either climate variables, that are generally not collected at a site-specific level, and within-canopy measures, that are recorded at each site. The data source and sampling frequency is summarised in </w:t>
      </w:r>
      <w:r w:rsidR="005055DC" w:rsidRPr="00CB093C">
        <w:rPr>
          <w:rFonts w:ascii="Arial" w:hAnsi="Arial" w:cs="Arial"/>
          <w:color w:val="000000" w:themeColor="text1"/>
          <w:sz w:val="22"/>
          <w:szCs w:val="22"/>
        </w:rPr>
        <w:fldChar w:fldCharType="begin"/>
      </w:r>
      <w:r w:rsidR="005055DC" w:rsidRPr="00CB093C">
        <w:rPr>
          <w:rFonts w:ascii="Arial" w:hAnsi="Arial" w:cs="Arial"/>
          <w:color w:val="000000" w:themeColor="text1"/>
          <w:sz w:val="22"/>
          <w:szCs w:val="22"/>
        </w:rPr>
        <w:instrText xml:space="preserve"> REF _Ref461015425 \h </w:instrText>
      </w:r>
      <w:r w:rsidR="00DA741D" w:rsidRPr="00CB093C">
        <w:rPr>
          <w:rFonts w:ascii="Arial" w:hAnsi="Arial" w:cs="Arial"/>
          <w:color w:val="000000" w:themeColor="text1"/>
          <w:sz w:val="22"/>
          <w:szCs w:val="22"/>
        </w:rPr>
        <w:instrText xml:space="preserve"> \* MERGEFORMAT </w:instrText>
      </w:r>
      <w:r w:rsidR="005055DC" w:rsidRPr="00CB093C">
        <w:rPr>
          <w:rFonts w:ascii="Arial" w:hAnsi="Arial" w:cs="Arial"/>
          <w:color w:val="000000" w:themeColor="text1"/>
          <w:sz w:val="22"/>
          <w:szCs w:val="22"/>
        </w:rPr>
      </w:r>
      <w:r w:rsidR="005055DC" w:rsidRPr="00CB093C">
        <w:rPr>
          <w:rFonts w:ascii="Arial" w:hAnsi="Arial" w:cs="Arial"/>
          <w:color w:val="000000" w:themeColor="text1"/>
          <w:sz w:val="22"/>
          <w:szCs w:val="22"/>
        </w:rPr>
        <w:fldChar w:fldCharType="separate"/>
      </w:r>
      <w:r w:rsidR="005F00D4" w:rsidRPr="005F00D4">
        <w:rPr>
          <w:rFonts w:ascii="Arial" w:hAnsi="Arial" w:cs="Arial"/>
          <w:sz w:val="22"/>
          <w:szCs w:val="22"/>
        </w:rPr>
        <w:t xml:space="preserve">Table </w:t>
      </w:r>
      <w:r w:rsidR="005F00D4" w:rsidRPr="005F00D4">
        <w:rPr>
          <w:rFonts w:ascii="Arial" w:hAnsi="Arial" w:cs="Arial"/>
          <w:noProof/>
          <w:sz w:val="22"/>
          <w:szCs w:val="22"/>
        </w:rPr>
        <w:t>1</w:t>
      </w:r>
      <w:r w:rsidR="005055DC" w:rsidRPr="00CB093C">
        <w:rPr>
          <w:rFonts w:ascii="Arial" w:hAnsi="Arial" w:cs="Arial"/>
          <w:color w:val="000000" w:themeColor="text1"/>
          <w:sz w:val="22"/>
          <w:szCs w:val="22"/>
        </w:rPr>
        <w:fldChar w:fldCharType="end"/>
      </w:r>
      <w:r w:rsidRPr="00CB093C">
        <w:rPr>
          <w:rFonts w:ascii="Arial" w:hAnsi="Arial" w:cs="Arial"/>
          <w:color w:val="000000" w:themeColor="text1"/>
          <w:sz w:val="22"/>
          <w:szCs w:val="22"/>
        </w:rPr>
        <w:t xml:space="preserve">. </w:t>
      </w:r>
    </w:p>
    <w:p w14:paraId="3603F008" w14:textId="4673030F" w:rsidR="007231A4" w:rsidRPr="00CB093C" w:rsidRDefault="007231A4" w:rsidP="007231A4">
      <w:pPr>
        <w:rPr>
          <w:rFonts w:ascii="Arial" w:hAnsi="Arial" w:cs="Arial"/>
          <w:b/>
          <w:szCs w:val="22"/>
        </w:rPr>
      </w:pPr>
      <w:r w:rsidRPr="00CB093C">
        <w:rPr>
          <w:rFonts w:ascii="Arial" w:hAnsi="Arial" w:cs="Arial"/>
          <w:b/>
          <w:szCs w:val="22"/>
        </w:rPr>
        <w:t>Climate</w:t>
      </w:r>
    </w:p>
    <w:p w14:paraId="56587AB3" w14:textId="5FF7A07B" w:rsidR="00272782" w:rsidRPr="00CB093C" w:rsidRDefault="00302C4F" w:rsidP="003D1F7F">
      <w:pPr>
        <w:rPr>
          <w:rFonts w:ascii="Arial" w:hAnsi="Arial" w:cs="Arial"/>
          <w:color w:val="000000" w:themeColor="text1"/>
          <w:szCs w:val="22"/>
        </w:rPr>
      </w:pPr>
      <w:r w:rsidRPr="00CB093C">
        <w:rPr>
          <w:rFonts w:ascii="Arial" w:hAnsi="Arial" w:cs="Arial"/>
          <w:color w:val="000000" w:themeColor="text1"/>
          <w:szCs w:val="22"/>
        </w:rPr>
        <w:t>T</w:t>
      </w:r>
      <w:r w:rsidR="003D1F7F" w:rsidRPr="00CB093C">
        <w:rPr>
          <w:rFonts w:ascii="Arial" w:hAnsi="Arial" w:cs="Arial"/>
          <w:color w:val="000000" w:themeColor="text1"/>
          <w:szCs w:val="22"/>
        </w:rPr>
        <w:t>otal daily rainfall, 3pm wind speed, and cyclone tracks were accessed from the Australian Bureau of Meteorology from meteorological stations which were proximal to monitoring locations (</w:t>
      </w:r>
      <w:r w:rsidR="00E51B48" w:rsidRPr="00CB093C">
        <w:rPr>
          <w:rFonts w:ascii="Arial" w:hAnsi="Arial" w:cs="Arial"/>
          <w:color w:val="000000" w:themeColor="text1"/>
          <w:szCs w:val="22"/>
        </w:rPr>
        <w:fldChar w:fldCharType="begin"/>
      </w:r>
      <w:r w:rsidR="00E51B48" w:rsidRPr="00CB093C">
        <w:rPr>
          <w:rFonts w:ascii="Arial" w:hAnsi="Arial" w:cs="Arial"/>
          <w:color w:val="000000" w:themeColor="text1"/>
          <w:szCs w:val="22"/>
        </w:rPr>
        <w:instrText xml:space="preserve"> REF _Ref461015425 \h  \* MERGEFORMAT </w:instrText>
      </w:r>
      <w:r w:rsidR="00E51B48" w:rsidRPr="00CB093C">
        <w:rPr>
          <w:rFonts w:ascii="Arial" w:hAnsi="Arial" w:cs="Arial"/>
          <w:color w:val="000000" w:themeColor="text1"/>
          <w:szCs w:val="22"/>
        </w:rPr>
      </w:r>
      <w:r w:rsidR="00E51B48" w:rsidRPr="00CB093C">
        <w:rPr>
          <w:rFonts w:ascii="Arial" w:hAnsi="Arial" w:cs="Arial"/>
          <w:color w:val="000000" w:themeColor="text1"/>
          <w:szCs w:val="22"/>
        </w:rPr>
        <w:fldChar w:fldCharType="separate"/>
      </w:r>
      <w:r w:rsidR="005F00D4" w:rsidRPr="005F00D4">
        <w:rPr>
          <w:rFonts w:ascii="Arial" w:hAnsi="Arial" w:cs="Arial"/>
          <w:color w:val="000000" w:themeColor="text1"/>
          <w:szCs w:val="22"/>
        </w:rPr>
        <w:t xml:space="preserve">Table </w:t>
      </w:r>
      <w:r w:rsidR="005F00D4" w:rsidRPr="005F00D4">
        <w:rPr>
          <w:rFonts w:ascii="Arial" w:hAnsi="Arial" w:cs="Arial"/>
          <w:noProof/>
          <w:color w:val="000000" w:themeColor="text1"/>
          <w:szCs w:val="22"/>
        </w:rPr>
        <w:t>1</w:t>
      </w:r>
      <w:r w:rsidR="00E51B48" w:rsidRPr="00CB093C">
        <w:rPr>
          <w:rFonts w:ascii="Arial" w:hAnsi="Arial" w:cs="Arial"/>
          <w:color w:val="000000" w:themeColor="text1"/>
          <w:szCs w:val="22"/>
        </w:rPr>
        <w:fldChar w:fldCharType="end"/>
      </w:r>
      <w:r w:rsidR="003D1F7F" w:rsidRPr="00CB093C">
        <w:rPr>
          <w:rFonts w:ascii="Arial" w:hAnsi="Arial" w:cs="Arial"/>
          <w:color w:val="000000" w:themeColor="text1"/>
          <w:szCs w:val="22"/>
        </w:rPr>
        <w:t xml:space="preserve">). </w:t>
      </w:r>
    </w:p>
    <w:p w14:paraId="2A7F1526" w14:textId="611A93A1" w:rsidR="00272782" w:rsidRPr="00CB093C" w:rsidRDefault="003D1F7F" w:rsidP="003D1F7F">
      <w:pPr>
        <w:rPr>
          <w:rFonts w:ascii="Arial" w:hAnsi="Arial" w:cs="Arial"/>
          <w:color w:val="000000" w:themeColor="text1"/>
          <w:szCs w:val="22"/>
        </w:rPr>
      </w:pPr>
      <w:r w:rsidRPr="00CB093C">
        <w:rPr>
          <w:rFonts w:ascii="Arial" w:hAnsi="Arial" w:cs="Arial"/>
          <w:color w:val="000000" w:themeColor="text1"/>
          <w:szCs w:val="22"/>
        </w:rPr>
        <w:t xml:space="preserve">As the height of locally produced, short-period wind-waves can be the dominant factor controlling suspended sediment on inner-shelf of the </w:t>
      </w:r>
      <w:r w:rsidR="00F206BF" w:rsidRPr="00CB093C">
        <w:rPr>
          <w:rFonts w:ascii="Arial" w:hAnsi="Arial" w:cs="Arial"/>
          <w:color w:val="000000" w:themeColor="text1"/>
          <w:szCs w:val="22"/>
        </w:rPr>
        <w:t>Reef</w:t>
      </w:r>
      <w:r w:rsidRPr="00CB093C">
        <w:rPr>
          <w:rFonts w:ascii="Arial" w:hAnsi="Arial" w:cs="Arial"/>
          <w:color w:val="000000" w:themeColor="text1"/>
          <w:szCs w:val="22"/>
        </w:rPr>
        <w:t xml:space="preserve"> (</w:t>
      </w:r>
      <w:hyperlink w:anchor="_ENREF_80" w:tooltip="Larcombe, 1995 #9686"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&lt;EndNote&gt;&lt;Cite&gt;&lt;Author&gt;Larcombe&lt;/Author&gt;&lt;Year&gt;1995&lt;/Year&gt;&lt;RecNum&gt;9686&lt;/RecNum&gt;&lt;DisplayText&gt;Larcombe&lt;style face="italic"&gt; et al.&lt;/style&gt; 1995&lt;/DisplayText&gt;&lt;record&gt;&lt;rec-number&gt;9686&lt;/rec-number&gt;&lt;foreign-keys&gt;&lt;key app="EN" db-id="0eve55x9y5vfd6e9dacxtew4eatve2dzds9a" timestamp="1392796748"&gt;9686&lt;/key&gt;&lt;/foreign-keys&gt;&lt;ref-type name="Journal Article"&gt;17&lt;/ref-type&gt;&lt;contributors&gt;&lt;authors&gt;&lt;author&gt;Larcombe, P.&lt;/author&gt;&lt;author&gt;Ridd, P. V.&lt;/author&gt;&lt;author&gt;Prytz, A.&lt;/author&gt;&lt;author&gt;Wilson, B.&lt;/author&gt;&lt;/authors&gt;&lt;/contributors&gt;&lt;titles&gt;&lt;title&gt;Factors controlling suspended sediment on inner-shelf coral reefs, Townsville, Australia&lt;/title&gt;&lt;secondary-title&gt;Coral Reefs&lt;/secondary-title&gt;&lt;alt-title&gt;Coral Reefs&lt;/alt-title&gt;&lt;/titles&gt;&lt;periodical&gt;&lt;full-title&gt;Coral Reefs&lt;/full-title&gt;&lt;/periodical&gt;&lt;alt-periodical&gt;&lt;full-title&gt;Coral Reefs&lt;/full-title&gt;&lt;/alt-periodical&gt;&lt;pages&gt;163-171&lt;/pages&gt;&lt;volume&gt;14&lt;/volume&gt;&lt;number&gt;3&lt;/number&gt;&lt;dates&gt;&lt;year&gt;1995&lt;/year&gt;&lt;pub-dates&gt;&lt;date&gt;1995/09/01&lt;/date&gt;&lt;/pub-dates&gt;&lt;/dates&gt;&lt;publisher&gt;Springer-Verlag&lt;/publisher&gt;&lt;isbn&gt;0722-4028&lt;/isbn&gt;&lt;urls&gt;&lt;related-urls&gt;&lt;url&gt;http://dx.doi.org/10.1007/BF00367235&lt;/url&gt;&lt;/related-urls&gt;&lt;/urls&gt;&lt;electronic-resource-num&gt;10.1007/bf00367235&lt;/electronic-resource-num&gt;&lt;language&gt;English&lt;/language&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Larcombe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1995</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hyperlink w:anchor="_ENREF_154" w:tooltip="Whinney, 2007 #9690"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&lt;EndNote&gt;&lt;Cite&gt;&lt;Author&gt;Whinney&lt;/Author&gt;&lt;Year&gt;2007&lt;/Year&gt;&lt;RecNum&gt;9690&lt;/RecNum&gt;&lt;DisplayText&gt;Whinney 2007&lt;/DisplayText&gt;&lt;record&gt;&lt;rec-number&gt;9690&lt;/rec-number&gt;&lt;foreign-keys&gt;&lt;key app="EN" db-id="0eve55x9y5vfd6e9dacxtew4eatve2dzds9a" timestamp="1392800270"&gt;9690&lt;/key&gt;&lt;/foreign-keys&gt;&lt;ref-type name="Thesis"&gt;32&lt;/ref-type&gt;&lt;contributors&gt;&lt;authors&gt;&lt;author&gt;Whinney, J&lt;/author&gt;&lt;/authors&gt;&lt;/contributors&gt;&lt;titles&gt;&lt;title&gt;Physical conditions on marginal coral reefs.&lt;/title&gt;&lt;secondary-title&gt;School of Mathematics, Physics, and Information Technology&lt;/secondary-title&gt;&lt;/titles&gt;&lt;pages&gt;143&lt;/pages&gt;&lt;volume&gt;PhD&lt;/volume&gt;&lt;dates&gt;&lt;year&gt;2007&lt;/year&gt;&lt;/dates&gt;&lt;pub-location&gt;Townsville&lt;/pub-location&gt;&lt;publisher&gt;James Cook University&lt;/publisher&gt;&lt;urls&gt;&lt;/urls&gt;&lt;/record&gt;&lt;/Cite&gt;&lt;/EndNote&gt;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Whinney 2007</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the number of days wind speed exceeded 25</w:t>
      </w:r>
      <w:r w:rsidR="00272782" w:rsidRPr="00CB093C">
        <w:rPr>
          <w:rFonts w:ascii="Arial" w:hAnsi="Arial" w:cs="Arial"/>
          <w:color w:val="000000" w:themeColor="text1"/>
          <w:szCs w:val="22"/>
        </w:rPr>
        <w:t xml:space="preserve"> </w:t>
      </w:r>
      <w:r w:rsidRPr="00CB093C">
        <w:rPr>
          <w:rFonts w:ascii="Arial" w:hAnsi="Arial" w:cs="Arial"/>
          <w:color w:val="000000" w:themeColor="text1"/>
          <w:szCs w:val="22"/>
        </w:rPr>
        <w:t>km hr</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xml:space="preserve"> was used as a surrogate for elevated resuspension pressure on inshore seagrass meadows. </w:t>
      </w:r>
    </w:p>
    <w:p w14:paraId="0C739D98" w14:textId="7C246347" w:rsidR="003D1F7F" w:rsidRPr="00CB093C" w:rsidRDefault="003D1F7F" w:rsidP="003D1F7F">
      <w:pPr>
        <w:rPr>
          <w:rFonts w:ascii="Arial" w:hAnsi="Arial" w:cs="Arial"/>
          <w:color w:val="000000" w:themeColor="text1"/>
          <w:szCs w:val="22"/>
        </w:rPr>
      </w:pPr>
      <w:r w:rsidRPr="00CB093C">
        <w:rPr>
          <w:rFonts w:ascii="Arial" w:hAnsi="Arial" w:cs="Arial"/>
          <w:color w:val="000000" w:themeColor="text1"/>
          <w:szCs w:val="22"/>
        </w:rPr>
        <w:t>Moderate sea state with winds &gt;25</w:t>
      </w:r>
      <w:r w:rsidR="00272782" w:rsidRPr="00CB093C">
        <w:rPr>
          <w:rFonts w:ascii="Arial" w:hAnsi="Arial" w:cs="Arial"/>
          <w:color w:val="000000" w:themeColor="text1"/>
          <w:szCs w:val="22"/>
        </w:rPr>
        <w:t xml:space="preserve"> </w:t>
      </w:r>
      <w:r w:rsidRPr="00CB093C">
        <w:rPr>
          <w:rFonts w:ascii="Arial" w:hAnsi="Arial" w:cs="Arial"/>
          <w:color w:val="000000" w:themeColor="text1"/>
          <w:szCs w:val="22"/>
        </w:rPr>
        <w:t>km hr</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xml:space="preserve"> can elevate turbidity by three orders of magnitude in the inshore coastal areas of the </w:t>
      </w:r>
      <w:r w:rsidR="00F206BF" w:rsidRPr="00CB093C">
        <w:rPr>
          <w:rFonts w:ascii="Arial" w:hAnsi="Arial" w:cs="Arial"/>
          <w:color w:val="000000" w:themeColor="text1"/>
          <w:szCs w:val="22"/>
        </w:rPr>
        <w:t>Reef</w:t>
      </w:r>
      <w:r w:rsidRPr="00CB093C">
        <w:rPr>
          <w:rFonts w:ascii="Arial" w:hAnsi="Arial" w:cs="Arial"/>
          <w:color w:val="000000" w:themeColor="text1"/>
          <w:szCs w:val="22"/>
        </w:rPr>
        <w:t xml:space="preserve"> (</w:t>
      </w:r>
      <w:hyperlink w:anchor="_ENREF_119" w:tooltip="Orpin, 2004 #9687"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&lt;EndNote&gt;&lt;Cite&gt;&lt;Author&gt;Orpin&lt;/Author&gt;&lt;Year&gt;2004&lt;/Year&gt;&lt;RecNum&gt;9687&lt;/RecNum&gt;&lt;DisplayText&gt;Orpin&lt;style face="italic"&gt; et al.&lt;/style&gt; 2004&lt;/DisplayText&gt;&lt;record&gt;&lt;rec-number&gt;9687&lt;/rec-number&gt;&lt;foreign-keys&gt;&lt;key app="EN" db-id="0eve55x9y5vfd6e9dacxtew4eatve2dzds9a" timestamp="1392796845"&gt;9687&lt;/key&gt;&lt;/foreign-keys&gt;&lt;ref-type name="Journal Article"&gt;17&lt;/ref-type&gt;&lt;contributors&gt;&lt;authors&gt;&lt;author&gt;Orpin, Alan R.&lt;/author&gt;&lt;author&gt;Ridd, Peter V.&lt;/author&gt;&lt;author&gt;Thomas, Séverine&lt;/author&gt;&lt;author&gt;Anthony, Kenneth R. N.&lt;/author&gt;&lt;author&gt;Marshall, Paul&lt;/author&gt;&lt;author&gt;Oliver, Jamie&lt;/author&gt;&lt;/authors&gt;&lt;/contributors&gt;&lt;titles&gt;&lt;title&gt;Natural turbidity variability and weather forecasts in risk management of anthropogenic sediment discharge near sensitive environments&lt;/title&gt;&lt;secondary-title&gt;Marine Pollution Bulletin&lt;/secondary-title&gt;&lt;/titles&gt;&lt;periodical&gt;&lt;full-title&gt;Marine Pollution Bulletin&lt;/full-title&gt;&lt;/periodical&gt;&lt;pages&gt;602-612&lt;/pages&gt;&lt;volume&gt;49&lt;/volume&gt;&lt;number&gt;7–8&lt;/number&gt;&lt;keywords&gt;&lt;keyword&gt;Great Barrier Reef&lt;/keyword&gt;&lt;keyword&gt;Coastal development&lt;/keyword&gt;&lt;keyword&gt;Impact management&lt;/keyword&gt;&lt;keyword&gt;Turbidity&lt;/keyword&gt;&lt;keyword&gt;Sediment&lt;/keyword&gt;&lt;keyword&gt;Coral reef&lt;/keyword&gt;&lt;/keywords&gt;&lt;dates&gt;&lt;year&gt;2004&lt;/year&gt;&lt;/dates&gt;&lt;isbn&gt;0025-326X&lt;/isbn&gt;&lt;urls&gt;&lt;related-urls&gt;&lt;url&gt;http://www.sciencedirect.com/science/article/pii/S0025326X04001304&lt;/url&gt;&lt;/related-urls&gt;&lt;/urls&gt;&lt;electronic-resource-num&gt;http://dx.doi.org/10.1016/j.marpolbul.2004.03.020&lt;/electronic-resource-num&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Orpin</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2004</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To determine if the tidal exposure regime may be increasing stress on seagrass and </w:t>
      </w:r>
      <w:r w:rsidR="00696C43" w:rsidRPr="00CB093C">
        <w:rPr>
          <w:rFonts w:ascii="Arial" w:hAnsi="Arial" w:cs="Arial"/>
          <w:color w:val="000000" w:themeColor="text1"/>
          <w:szCs w:val="22"/>
        </w:rPr>
        <w:t xml:space="preserve">hence drive </w:t>
      </w:r>
      <w:r w:rsidRPr="00CB093C">
        <w:rPr>
          <w:rFonts w:ascii="Arial" w:hAnsi="Arial" w:cs="Arial"/>
          <w:color w:val="000000" w:themeColor="text1"/>
          <w:szCs w:val="22"/>
        </w:rPr>
        <w:t xml:space="preserve">decline, </w:t>
      </w:r>
      <w:r w:rsidRPr="00CB093C">
        <w:rPr>
          <w:rFonts w:ascii="Arial" w:hAnsi="Arial" w:cs="Arial"/>
          <w:color w:val="000000" w:themeColor="text1"/>
          <w:szCs w:val="22"/>
          <w:lang w:eastAsia="en-AU"/>
        </w:rPr>
        <w:t>tidal height observations were accessed from Maritime Safety Queensland and duration of annual exposure (hours) was determined for each meadow (i.e. monitoring site)</w:t>
      </w:r>
      <w:r w:rsidR="00696C43" w:rsidRPr="00CB093C">
        <w:rPr>
          <w:rFonts w:ascii="Arial" w:hAnsi="Arial" w:cs="Arial"/>
          <w:color w:val="000000" w:themeColor="text1"/>
          <w:szCs w:val="22"/>
          <w:lang w:eastAsia="en-AU"/>
        </w:rPr>
        <w:t>,</w:t>
      </w:r>
      <w:r w:rsidRPr="00CB093C">
        <w:rPr>
          <w:rFonts w:ascii="Arial" w:hAnsi="Arial" w:cs="Arial"/>
          <w:color w:val="000000" w:themeColor="text1"/>
          <w:szCs w:val="22"/>
          <w:lang w:eastAsia="en-AU"/>
        </w:rPr>
        <w:t xml:space="preserve"> based on the meadows height relative to the </w:t>
      </w:r>
      <w:r w:rsidR="006A4F44" w:rsidRPr="00CB093C">
        <w:rPr>
          <w:rFonts w:ascii="Arial" w:hAnsi="Arial" w:cs="Arial"/>
          <w:color w:val="000000" w:themeColor="text1"/>
          <w:szCs w:val="22"/>
          <w:lang w:eastAsia="en-AU"/>
        </w:rPr>
        <w:t xml:space="preserve">lowest astronomical tide </w:t>
      </w:r>
      <w:r w:rsidRPr="00CB093C">
        <w:rPr>
          <w:rFonts w:ascii="Arial" w:hAnsi="Arial" w:cs="Arial"/>
          <w:color w:val="000000" w:themeColor="text1"/>
          <w:szCs w:val="22"/>
          <w:lang w:eastAsia="en-AU"/>
        </w:rPr>
        <w:t xml:space="preserve">(Appendix </w:t>
      </w:r>
      <w:r w:rsidR="003816AC" w:rsidRPr="00CB093C">
        <w:rPr>
          <w:rFonts w:ascii="Arial" w:hAnsi="Arial" w:cs="Arial"/>
          <w:color w:val="000000" w:themeColor="text1"/>
          <w:szCs w:val="22"/>
          <w:lang w:eastAsia="en-AU"/>
        </w:rPr>
        <w:t>3</w:t>
      </w:r>
      <w:r w:rsidR="00EB19B4" w:rsidRPr="00CB093C">
        <w:rPr>
          <w:rFonts w:ascii="Arial" w:hAnsi="Arial" w:cs="Arial"/>
          <w:color w:val="000000" w:themeColor="text1"/>
          <w:szCs w:val="22"/>
          <w:lang w:eastAsia="en-AU"/>
        </w:rPr>
        <w:t xml:space="preserve">, </w:t>
      </w:r>
      <w:r w:rsidR="00EB19B4" w:rsidRPr="00CB093C">
        <w:rPr>
          <w:rFonts w:ascii="Arial" w:hAnsi="Arial" w:cs="Arial"/>
          <w:color w:val="000000" w:themeColor="text1"/>
          <w:szCs w:val="22"/>
          <w:lang w:eastAsia="en-AU"/>
        </w:rPr>
        <w:fldChar w:fldCharType="begin"/>
      </w:r>
      <w:r w:rsidR="00EB19B4" w:rsidRPr="00CB093C">
        <w:rPr>
          <w:rFonts w:ascii="Arial" w:hAnsi="Arial" w:cs="Arial"/>
          <w:color w:val="000000" w:themeColor="text1"/>
          <w:szCs w:val="22"/>
          <w:lang w:eastAsia="en-AU"/>
        </w:rPr>
        <w:instrText xml:space="preserve"> REF _Ref409806677 \h </w:instrText>
      </w:r>
      <w:r w:rsidR="00E51B48" w:rsidRPr="00CB093C">
        <w:rPr>
          <w:rFonts w:ascii="Arial" w:hAnsi="Arial" w:cs="Arial"/>
          <w:color w:val="000000" w:themeColor="text1"/>
          <w:szCs w:val="22"/>
          <w:lang w:eastAsia="en-AU"/>
        </w:rPr>
        <w:instrText xml:space="preserve"> \* MERGEFORMAT </w:instrText>
      </w:r>
      <w:r w:rsidR="00EB19B4" w:rsidRPr="00CB093C">
        <w:rPr>
          <w:rFonts w:ascii="Arial" w:hAnsi="Arial" w:cs="Arial"/>
          <w:color w:val="000000" w:themeColor="text1"/>
          <w:szCs w:val="22"/>
          <w:lang w:eastAsia="en-AU"/>
        </w:rPr>
      </w:r>
      <w:r w:rsidR="00EB19B4" w:rsidRPr="00CB093C">
        <w:rPr>
          <w:rFonts w:ascii="Arial" w:hAnsi="Arial" w:cs="Arial"/>
          <w:color w:val="000000" w:themeColor="text1"/>
          <w:szCs w:val="22"/>
          <w:lang w:eastAsia="en-AU"/>
        </w:rPr>
        <w:fldChar w:fldCharType="separate"/>
      </w:r>
      <w:r w:rsidR="005F00D4" w:rsidRPr="005F00D4">
        <w:rPr>
          <w:rFonts w:ascii="Arial" w:hAnsi="Arial" w:cs="Arial"/>
          <w:color w:val="000000" w:themeColor="text1"/>
          <w:szCs w:val="22"/>
        </w:rPr>
        <w:t xml:space="preserve">Table </w:t>
      </w:r>
      <w:r w:rsidR="005F00D4" w:rsidRPr="005F00D4">
        <w:rPr>
          <w:rFonts w:ascii="Arial" w:hAnsi="Arial" w:cs="Arial"/>
          <w:noProof/>
          <w:color w:val="000000" w:themeColor="text1"/>
          <w:szCs w:val="22"/>
        </w:rPr>
        <w:t>22</w:t>
      </w:r>
      <w:r w:rsidR="00EB19B4" w:rsidRPr="00CB093C">
        <w:rPr>
          <w:rFonts w:ascii="Arial" w:hAnsi="Arial" w:cs="Arial"/>
          <w:color w:val="000000" w:themeColor="text1"/>
          <w:szCs w:val="22"/>
          <w:lang w:eastAsia="en-AU"/>
        </w:rPr>
        <w:fldChar w:fldCharType="end"/>
      </w:r>
      <w:r w:rsidRPr="00CB093C">
        <w:rPr>
          <w:rFonts w:ascii="Arial" w:hAnsi="Arial" w:cs="Arial"/>
          <w:color w:val="000000" w:themeColor="text1"/>
          <w:szCs w:val="22"/>
          <w:lang w:eastAsia="en-AU"/>
        </w:rPr>
        <w:t>).</w:t>
      </w:r>
    </w:p>
    <w:p w14:paraId="6FF8FF44" w14:textId="27262D64" w:rsidR="006A4F44" w:rsidRPr="00CB093C" w:rsidRDefault="003D1F7F" w:rsidP="003D1F7F">
      <w:pPr>
        <w:rPr>
          <w:rFonts w:ascii="Arial" w:hAnsi="Arial" w:cs="Arial"/>
          <w:color w:val="000000" w:themeColor="text1"/>
          <w:szCs w:val="22"/>
        </w:rPr>
      </w:pPr>
      <w:r w:rsidRPr="00CB093C">
        <w:rPr>
          <w:rFonts w:ascii="Arial" w:hAnsi="Arial" w:cs="Arial"/>
          <w:color w:val="000000" w:themeColor="text1"/>
          <w:szCs w:val="22"/>
        </w:rPr>
        <w:lastRenderedPageBreak/>
        <w:t xml:space="preserve">The presence of inshore seagrass meadows along the </w:t>
      </w:r>
      <w:r w:rsidR="00F206BF" w:rsidRPr="00CB093C">
        <w:rPr>
          <w:rFonts w:ascii="Arial" w:hAnsi="Arial" w:cs="Arial"/>
          <w:color w:val="000000" w:themeColor="text1"/>
          <w:szCs w:val="22"/>
        </w:rPr>
        <w:t>Reef</w:t>
      </w:r>
      <w:r w:rsidRPr="00CB093C">
        <w:rPr>
          <w:rFonts w:ascii="Arial" w:hAnsi="Arial" w:cs="Arial"/>
          <w:color w:val="000000" w:themeColor="text1"/>
          <w:szCs w:val="22"/>
        </w:rPr>
        <w:t xml:space="preserve"> places them at high risk of exposure to waters from adjacent water</w:t>
      </w:r>
      <w:r w:rsidR="001E57DF" w:rsidRPr="00CB093C">
        <w:rPr>
          <w:rFonts w:ascii="Arial" w:hAnsi="Arial" w:cs="Arial"/>
          <w:color w:val="000000" w:themeColor="text1"/>
          <w:szCs w:val="22"/>
        </w:rPr>
        <w:t xml:space="preserve"> basins</w:t>
      </w:r>
      <w:r w:rsidRPr="00CB093C">
        <w:rPr>
          <w:rFonts w:ascii="Arial" w:hAnsi="Arial" w:cs="Arial"/>
          <w:color w:val="000000" w:themeColor="text1"/>
          <w:szCs w:val="22"/>
        </w:rPr>
        <w:t xml:space="preserve"> and exposure to flood plumes </w:t>
      </w:r>
      <w:r w:rsidR="00696C43" w:rsidRPr="00CB093C">
        <w:rPr>
          <w:rFonts w:ascii="Arial" w:hAnsi="Arial" w:cs="Arial"/>
          <w:color w:val="000000" w:themeColor="text1"/>
          <w:szCs w:val="22"/>
        </w:rPr>
        <w:t>is likely to</w:t>
      </w:r>
      <w:r w:rsidRPr="00CB093C">
        <w:rPr>
          <w:rFonts w:ascii="Arial" w:hAnsi="Arial" w:cs="Arial"/>
          <w:color w:val="000000" w:themeColor="text1"/>
          <w:szCs w:val="22"/>
        </w:rPr>
        <w:t xml:space="preserve"> be a significant factor in structuring inshore seagrass communities (</w:t>
      </w:r>
      <w:r w:rsidR="00644A84" w:rsidRPr="00CB093C">
        <w:rPr>
          <w:rFonts w:ascii="Arial" w:hAnsi="Arial" w:cs="Arial"/>
          <w:color w:val="000000" w:themeColor="text1"/>
          <w:szCs w:val="22"/>
        </w:rPr>
        <w:fldChar w:fldCharType="begin">
          <w:fldData xml:space="preserve">PEVuZE5vdGU+PENpdGU+PEF1dGhvcj5Db2xsaWVyPC9BdXRob3I+PFllYXI+MjAxNDwvWWVhcj48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</w:fldData>
        </w:fldChar>
      </w:r>
      <w:r w:rsidR="00521D93" w:rsidRPr="00CB093C">
        <w:rPr>
          <w:rFonts w:ascii="Arial" w:hAnsi="Arial" w:cs="Arial"/>
          <w:color w:val="000000" w:themeColor="text1"/>
          <w:szCs w:val="22"/>
        </w:rPr>
        <w:instrText xml:space="preserve"> ADDIN EN.CITE </w:instrText>
      </w:r>
      <w:r w:rsidR="00521D93" w:rsidRPr="00CB093C">
        <w:rPr>
          <w:rFonts w:ascii="Arial" w:hAnsi="Arial" w:cs="Arial"/>
          <w:color w:val="000000" w:themeColor="text1"/>
          <w:szCs w:val="22"/>
        </w:rPr>
        <w:fldChar w:fldCharType="begin">
          <w:fldData xml:space="preserve">PEVuZE5vdGU+PENpdGU+PEF1dGhvcj5Db2xsaWVyPC9BdXRob3I+PFllYXI+MjAxNDwvWWVhcj48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</w:fldData>
        </w:fldChar>
      </w:r>
      <w:r w:rsidR="00521D93" w:rsidRPr="00CB093C">
        <w:rPr>
          <w:rFonts w:ascii="Arial" w:hAnsi="Arial" w:cs="Arial"/>
          <w:color w:val="000000" w:themeColor="text1"/>
          <w:szCs w:val="22"/>
        </w:rPr>
        <w:instrText xml:space="preserve"> ADDIN EN.CITE.DATA </w:instrText>
      </w:r>
      <w:r w:rsidR="00521D93" w:rsidRPr="00CB093C">
        <w:rPr>
          <w:rFonts w:ascii="Arial" w:hAnsi="Arial" w:cs="Arial"/>
          <w:color w:val="000000" w:themeColor="text1"/>
          <w:szCs w:val="22"/>
        </w:rPr>
      </w:r>
      <w:r w:rsidR="00521D93" w:rsidRPr="00CB093C">
        <w:rPr>
          <w:rFonts w:ascii="Arial" w:hAnsi="Arial" w:cs="Arial"/>
          <w:color w:val="000000" w:themeColor="text1"/>
          <w:szCs w:val="22"/>
        </w:rPr>
        <w:fldChar w:fldCharType="end"/>
      </w:r>
      <w:r w:rsidR="00644A84" w:rsidRPr="00CB093C">
        <w:rPr>
          <w:rFonts w:ascii="Arial" w:hAnsi="Arial" w:cs="Arial"/>
          <w:color w:val="000000" w:themeColor="text1"/>
          <w:szCs w:val="22"/>
        </w:rPr>
      </w:r>
      <w:r w:rsidR="00644A84" w:rsidRPr="00CB093C">
        <w:rPr>
          <w:rFonts w:ascii="Arial" w:hAnsi="Arial" w:cs="Arial"/>
          <w:color w:val="000000" w:themeColor="text1"/>
          <w:szCs w:val="22"/>
        </w:rPr>
        <w:fldChar w:fldCharType="separate"/>
      </w:r>
      <w:hyperlink w:anchor="_ENREF_30" w:tooltip="Collier, 2014 #9685" w:history="1">
        <w:r w:rsidR="00513C39" w:rsidRPr="00CB093C">
          <w:rPr>
            <w:rFonts w:ascii="Arial" w:hAnsi="Arial" w:cs="Arial"/>
            <w:noProof/>
            <w:color w:val="000000" w:themeColor="text1"/>
            <w:szCs w:val="22"/>
          </w:rPr>
          <w:t>Collier</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2014</w:t>
        </w:r>
      </w:hyperlink>
      <w:r w:rsidR="00521D93" w:rsidRPr="00CB093C">
        <w:rPr>
          <w:rFonts w:ascii="Arial" w:hAnsi="Arial" w:cs="Arial"/>
          <w:noProof/>
          <w:color w:val="000000" w:themeColor="text1"/>
          <w:szCs w:val="22"/>
        </w:rPr>
        <w:t xml:space="preserve">; </w:t>
      </w:r>
      <w:hyperlink w:anchor="_ENREF_125" w:tooltip="Petus, 2016 #10580" w:history="1">
        <w:r w:rsidR="00513C39" w:rsidRPr="00CB093C">
          <w:rPr>
            <w:rFonts w:ascii="Arial" w:hAnsi="Arial" w:cs="Arial"/>
            <w:noProof/>
            <w:color w:val="000000" w:themeColor="text1"/>
            <w:szCs w:val="22"/>
          </w:rPr>
          <w:t>Petus</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2016</w:t>
        </w:r>
      </w:hyperlink>
      <w:r w:rsidR="00644A84" w:rsidRPr="00CB093C">
        <w:rPr>
          <w:rFonts w:ascii="Arial" w:hAnsi="Arial" w:cs="Arial"/>
          <w:color w:val="000000" w:themeColor="text1"/>
          <w:szCs w:val="22"/>
        </w:rPr>
        <w:fldChar w:fldCharType="end"/>
      </w:r>
      <w:r w:rsidR="007B36D3" w:rsidRPr="00CB093C">
        <w:rPr>
          <w:rFonts w:ascii="Arial" w:hAnsi="Arial" w:cs="Arial"/>
          <w:color w:val="000000" w:themeColor="text1"/>
          <w:szCs w:val="22"/>
        </w:rPr>
        <w:t>)</w:t>
      </w:r>
      <w:r w:rsidRPr="00CB093C">
        <w:rPr>
          <w:rFonts w:ascii="Arial" w:hAnsi="Arial" w:cs="Arial"/>
          <w:color w:val="000000" w:themeColor="text1"/>
          <w:szCs w:val="22"/>
        </w:rPr>
        <w:t xml:space="preserve">. </w:t>
      </w:r>
      <w:r w:rsidR="00F10D48" w:rsidRPr="00CB093C">
        <w:rPr>
          <w:rFonts w:ascii="Arial" w:hAnsi="Arial" w:cs="Arial"/>
          <w:color w:val="000000" w:themeColor="text1"/>
          <w:szCs w:val="22"/>
        </w:rPr>
        <w:t>Hence we</w:t>
      </w:r>
      <w:r w:rsidRPr="00CB093C">
        <w:rPr>
          <w:rFonts w:ascii="Arial" w:hAnsi="Arial" w:cs="Arial"/>
          <w:color w:val="000000" w:themeColor="text1"/>
          <w:szCs w:val="22"/>
        </w:rPr>
        <w:t xml:space="preserve"> used river discharge volumes as well as frequency of exposure to inshore flood plumes as indicators of flood plume impacts to seagrasses. </w:t>
      </w:r>
    </w:p>
    <w:p w14:paraId="517FF7E0" w14:textId="7FF4B1E8" w:rsidR="00B7275D" w:rsidRPr="00CB093C" w:rsidRDefault="003D1F7F" w:rsidP="00B7275D">
      <w:pPr>
        <w:rPr>
          <w:rFonts w:ascii="Arial" w:hAnsi="Arial" w:cs="Arial"/>
          <w:color w:val="000000" w:themeColor="text1"/>
          <w:szCs w:val="22"/>
        </w:rPr>
      </w:pPr>
      <w:r w:rsidRPr="00CB093C">
        <w:rPr>
          <w:rFonts w:ascii="Arial" w:hAnsi="Arial" w:cs="Arial"/>
          <w:color w:val="000000" w:themeColor="text1"/>
          <w:szCs w:val="22"/>
        </w:rPr>
        <w:t>Plume exposure is generated by wet season monitoring under the water quality sub-program (</w:t>
      </w:r>
      <w:hyperlink w:anchor="_ENREF_65" w:tooltip="Gruber, 2019 #11860"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Gruber</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2019</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The </w:t>
      </w:r>
      <w:r w:rsidR="007B36D3" w:rsidRPr="00CB093C">
        <w:rPr>
          <w:rFonts w:ascii="Arial" w:hAnsi="Arial" w:cs="Arial"/>
          <w:color w:val="000000" w:themeColor="text1"/>
          <w:szCs w:val="22"/>
        </w:rPr>
        <w:t xml:space="preserve">inshore </w:t>
      </w:r>
      <w:r w:rsidRPr="00CB093C">
        <w:rPr>
          <w:rFonts w:ascii="Arial" w:hAnsi="Arial" w:cs="Arial"/>
          <w:color w:val="000000" w:themeColor="text1"/>
          <w:szCs w:val="22"/>
        </w:rPr>
        <w:t xml:space="preserve">water quality sub-program includes a remote sensing component, which describes water quality </w:t>
      </w:r>
      <w:r w:rsidR="00E51B48" w:rsidRPr="00CB093C">
        <w:rPr>
          <w:rFonts w:ascii="Arial" w:hAnsi="Arial" w:cs="Arial"/>
          <w:color w:val="000000" w:themeColor="text1"/>
          <w:szCs w:val="22"/>
        </w:rPr>
        <w:t>characteristics</w:t>
      </w:r>
      <w:r w:rsidRPr="00CB093C">
        <w:rPr>
          <w:rFonts w:ascii="Arial" w:hAnsi="Arial" w:cs="Arial"/>
          <w:color w:val="000000" w:themeColor="text1"/>
          <w:szCs w:val="22"/>
        </w:rPr>
        <w:t xml:space="preserve"> for 22 weeks </w:t>
      </w:r>
      <w:r w:rsidR="00F10D48" w:rsidRPr="00CB093C">
        <w:rPr>
          <w:rFonts w:ascii="Arial" w:hAnsi="Arial" w:cs="Arial"/>
          <w:color w:val="000000" w:themeColor="text1"/>
          <w:szCs w:val="22"/>
        </w:rPr>
        <w:t xml:space="preserve">of the </w:t>
      </w:r>
      <w:r w:rsidRPr="00CB093C">
        <w:rPr>
          <w:rFonts w:ascii="Arial" w:hAnsi="Arial" w:cs="Arial"/>
          <w:color w:val="000000" w:themeColor="text1"/>
          <w:szCs w:val="22"/>
        </w:rPr>
        <w:t xml:space="preserve">wet season (November–April). Water quality is described as colour classes of turbid, brown primary water (class 1–4), green secondary water (class 5), and waters influenced by flood plumes (salinity </w:t>
      </w:r>
      <w:r w:rsidR="005D1E4E" w:rsidRPr="00CB093C">
        <w:rPr>
          <w:rFonts w:ascii="Arial" w:hAnsi="Arial" w:cs="Arial"/>
          <w:color w:val="000000" w:themeColor="text1"/>
          <w:szCs w:val="22"/>
        </w:rPr>
        <w:t>&lt;</w:t>
      </w:r>
      <w:r w:rsidRPr="00CB093C">
        <w:rPr>
          <w:rFonts w:ascii="Arial" w:hAnsi="Arial" w:cs="Arial"/>
          <w:color w:val="000000" w:themeColor="text1"/>
          <w:szCs w:val="22"/>
        </w:rPr>
        <w:t>30</w:t>
      </w:r>
      <w:r w:rsidR="006A4F44" w:rsidRPr="00CB093C">
        <w:rPr>
          <w:rFonts w:ascii="Arial" w:hAnsi="Arial" w:cs="Arial"/>
          <w:color w:val="000000" w:themeColor="text1"/>
          <w:szCs w:val="22"/>
        </w:rPr>
        <w:t xml:space="preserve"> </w:t>
      </w:r>
      <w:r w:rsidRPr="00CB093C">
        <w:rPr>
          <w:rFonts w:ascii="Arial" w:hAnsi="Arial" w:cs="Arial"/>
          <w:color w:val="000000" w:themeColor="text1"/>
          <w:szCs w:val="22"/>
        </w:rPr>
        <w:t>PSU, coloured dissolved organic matter (CDOM) threshold of 0.24 m</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xml:space="preserve"> class 6). Colour classes are derived from MODIS True colour satellite images. Exposure to flood plumes is described in this report as frequency of exposure to primary </w:t>
      </w:r>
      <w:r w:rsidR="00E51B48" w:rsidRPr="00CB093C">
        <w:rPr>
          <w:rFonts w:ascii="Arial" w:hAnsi="Arial" w:cs="Arial"/>
          <w:color w:val="000000" w:themeColor="text1"/>
          <w:szCs w:val="22"/>
        </w:rPr>
        <w:t xml:space="preserve">(turbid, sediment laden) </w:t>
      </w:r>
      <w:r w:rsidRPr="00CB093C">
        <w:rPr>
          <w:rFonts w:ascii="Arial" w:hAnsi="Arial" w:cs="Arial"/>
          <w:color w:val="000000" w:themeColor="text1"/>
          <w:szCs w:val="22"/>
        </w:rPr>
        <w:t xml:space="preserve">or secondary </w:t>
      </w:r>
      <w:r w:rsidR="00E51B48" w:rsidRPr="00CB093C">
        <w:rPr>
          <w:rFonts w:ascii="Arial" w:hAnsi="Arial" w:cs="Arial"/>
          <w:color w:val="000000" w:themeColor="text1"/>
          <w:szCs w:val="22"/>
        </w:rPr>
        <w:t xml:space="preserve">(green, nutrient rich) </w:t>
      </w:r>
      <w:r w:rsidRPr="00CB093C">
        <w:rPr>
          <w:rFonts w:ascii="Arial" w:hAnsi="Arial" w:cs="Arial"/>
          <w:color w:val="000000" w:themeColor="text1"/>
          <w:szCs w:val="22"/>
        </w:rPr>
        <w:t xml:space="preserve">water during the wet season. Methods are detailed in </w:t>
      </w:r>
      <w:hyperlink w:anchor="_ENREF_48" w:tooltip="Devlin, 2015 #10405"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 ExcludeYear="1"&gt;&lt;Author&gt;Devlin&lt;/Author&gt;&lt;RecNum&gt;10405&lt;/RecNum&gt;&lt;DisplayText&gt;Devlin&lt;style face="italic"&gt; et al.&lt;/style&gt; &lt;/DisplayText&gt;&lt;record&gt;&lt;rec-number&gt;10405&lt;/rec-number&gt;&lt;foreign-keys&gt;&lt;key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Devlin</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w:t>
      </w:r>
      <w:hyperlink w:anchor="_ENREF_48" w:tooltip="Devlin, 2015 #10405"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 ExcludeAuth="1"&gt;&lt;Year&gt;2015&lt;/Year&gt;&lt;RecNum&gt;10405&lt;/RecNum&gt;&lt;DisplayText&gt;2015&lt;/DisplayText&gt;&lt;record&gt;&lt;rec-number&gt;10405&lt;/rec-number&gt;&lt;foreign-keys&gt;&lt;key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2015</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w:t>
      </w:r>
      <w:r w:rsidR="007B36D3" w:rsidRPr="00CB093C">
        <w:rPr>
          <w:rFonts w:ascii="Arial" w:hAnsi="Arial" w:cs="Arial"/>
          <w:color w:val="000000" w:themeColor="text1"/>
          <w:szCs w:val="22"/>
        </w:rPr>
        <w:t>.</w:t>
      </w:r>
      <w:r w:rsidR="00B7275D" w:rsidRPr="00CB093C">
        <w:rPr>
          <w:rFonts w:ascii="Arial" w:hAnsi="Arial" w:cs="Arial"/>
          <w:color w:val="000000" w:themeColor="text1"/>
          <w:szCs w:val="22"/>
        </w:rPr>
        <w:t xml:space="preserve"> Flood plume mapping (</w:t>
      </w:r>
      <w:hyperlink w:anchor="_ENREF_48" w:tooltip="Devlin, 2015 #10405"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Devlin</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2015</w:t>
        </w:r>
        <w:r w:rsidR="00513C39" w:rsidRPr="00CB093C">
          <w:rPr>
            <w:rFonts w:ascii="Arial" w:hAnsi="Arial" w:cs="Arial"/>
            <w:color w:val="000000" w:themeColor="text1"/>
            <w:szCs w:val="22"/>
          </w:rPr>
          <w:fldChar w:fldCharType="end"/>
        </w:r>
      </w:hyperlink>
      <w:r w:rsidR="00B7275D" w:rsidRPr="00CB093C">
        <w:rPr>
          <w:rFonts w:ascii="Arial" w:hAnsi="Arial" w:cs="Arial"/>
          <w:color w:val="000000" w:themeColor="text1"/>
          <w:szCs w:val="22"/>
        </w:rPr>
        <w:t>) interpreted to water type and frequency of exposure at seagrass sites has been confirmed as</w:t>
      </w:r>
      <w:r w:rsidR="00B7275D" w:rsidRPr="00CB093C" w:rsidDel="00900467">
        <w:rPr>
          <w:rFonts w:ascii="Arial" w:hAnsi="Arial" w:cs="Arial"/>
          <w:color w:val="000000" w:themeColor="text1"/>
          <w:szCs w:val="22"/>
        </w:rPr>
        <w:t xml:space="preserve"> a predictor of changes in seagrass abundance (see case study 2, in McKenzie </w:t>
      </w:r>
      <w:r w:rsidR="00B7275D" w:rsidRPr="00CB093C" w:rsidDel="00900467">
        <w:rPr>
          <w:rFonts w:ascii="Arial" w:hAnsi="Arial" w:cs="Arial"/>
          <w:i/>
          <w:color w:val="000000" w:themeColor="text1"/>
          <w:szCs w:val="22"/>
        </w:rPr>
        <w:t>et al.</w:t>
      </w:r>
      <w:r w:rsidR="00B7275D" w:rsidRPr="00CB093C" w:rsidDel="00900467">
        <w:rPr>
          <w:rFonts w:ascii="Arial" w:hAnsi="Arial" w:cs="Arial"/>
          <w:color w:val="000000" w:themeColor="text1"/>
          <w:szCs w:val="22"/>
        </w:rPr>
        <w:t xml:space="preserve"> 2016). </w:t>
      </w:r>
    </w:p>
    <w:p w14:paraId="25A05618" w14:textId="033B959D" w:rsidR="007231A4" w:rsidRPr="00CB093C" w:rsidRDefault="007231A4" w:rsidP="003D1F7F">
      <w:pPr>
        <w:rPr>
          <w:rFonts w:ascii="Arial" w:hAnsi="Arial" w:cs="Arial"/>
          <w:b/>
          <w:color w:val="000000" w:themeColor="text1"/>
          <w:szCs w:val="22"/>
        </w:rPr>
      </w:pPr>
      <w:r w:rsidRPr="00CB093C">
        <w:rPr>
          <w:rFonts w:ascii="Arial" w:hAnsi="Arial" w:cs="Arial"/>
          <w:b/>
          <w:color w:val="000000" w:themeColor="text1"/>
          <w:szCs w:val="22"/>
        </w:rPr>
        <w:t xml:space="preserve">Environment within seagrass canopy </w:t>
      </w:r>
    </w:p>
    <w:p w14:paraId="03260F30" w14:textId="037BD060" w:rsidR="003D1F7F" w:rsidRPr="00CB093C" w:rsidRDefault="003D1F7F" w:rsidP="003D1F7F">
      <w:pPr>
        <w:rPr>
          <w:rFonts w:ascii="Arial" w:hAnsi="Arial" w:cs="Arial"/>
          <w:color w:val="000000" w:themeColor="text1"/>
          <w:szCs w:val="22"/>
        </w:rPr>
      </w:pPr>
      <w:r w:rsidRPr="00CB093C">
        <w:rPr>
          <w:rFonts w:ascii="Arial" w:hAnsi="Arial" w:cs="Arial"/>
          <w:color w:val="000000" w:themeColor="text1"/>
          <w:szCs w:val="22"/>
        </w:rPr>
        <w:t>Autonomous iBTag</w:t>
      </w:r>
      <w:r w:rsidRPr="00CB093C">
        <w:rPr>
          <w:rFonts w:ascii="Arial" w:hAnsi="Arial" w:cs="Arial"/>
          <w:color w:val="000000" w:themeColor="text1"/>
          <w:szCs w:val="22"/>
          <w:vertAlign w:val="superscript"/>
        </w:rPr>
        <w:t>™</w:t>
      </w:r>
      <w:r w:rsidRPr="00CB093C">
        <w:rPr>
          <w:rFonts w:ascii="Arial" w:hAnsi="Arial" w:cs="Arial"/>
          <w:color w:val="000000" w:themeColor="text1"/>
          <w:szCs w:val="22"/>
        </w:rPr>
        <w:t xml:space="preserve"> submersible temperature loggers were deployed at all </w:t>
      </w:r>
      <w:r w:rsidRPr="00CB093C">
        <w:rPr>
          <w:rFonts w:ascii="Arial" w:hAnsi="Arial" w:cs="Arial"/>
          <w:bCs/>
          <w:color w:val="000000" w:themeColor="text1"/>
          <w:szCs w:val="22"/>
        </w:rPr>
        <w:t xml:space="preserve">sites identified in </w:t>
      </w:r>
      <w:r w:rsidR="009E0200" w:rsidRPr="00CB093C">
        <w:rPr>
          <w:rFonts w:ascii="Arial" w:hAnsi="Arial" w:cs="Arial"/>
          <w:bCs/>
          <w:color w:val="000000" w:themeColor="text1"/>
          <w:szCs w:val="22"/>
        </w:rPr>
        <w:fldChar w:fldCharType="begin"/>
      </w:r>
      <w:r w:rsidR="009E0200" w:rsidRPr="00CB093C">
        <w:rPr>
          <w:rFonts w:ascii="Arial" w:hAnsi="Arial" w:cs="Arial"/>
          <w:bCs/>
          <w:color w:val="000000" w:themeColor="text1"/>
          <w:szCs w:val="22"/>
        </w:rPr>
        <w:instrText xml:space="preserve"> REF _Ref534181942 \r \h </w:instrText>
      </w:r>
      <w:r w:rsidR="00CB093C" w:rsidRPr="00CB093C">
        <w:rPr>
          <w:rFonts w:ascii="Arial" w:hAnsi="Arial" w:cs="Arial"/>
          <w:bCs/>
          <w:color w:val="000000" w:themeColor="text1"/>
          <w:szCs w:val="22"/>
        </w:rPr>
        <w:instrText xml:space="preserve"> \* MERGEFORMAT </w:instrText>
      </w:r>
      <w:r w:rsidR="009E0200" w:rsidRPr="00CB093C">
        <w:rPr>
          <w:rFonts w:ascii="Arial" w:hAnsi="Arial" w:cs="Arial"/>
          <w:bCs/>
          <w:color w:val="000000" w:themeColor="text1"/>
          <w:szCs w:val="22"/>
        </w:rPr>
      </w:r>
      <w:r w:rsidR="009E0200" w:rsidRPr="00CB093C">
        <w:rPr>
          <w:rFonts w:ascii="Arial" w:hAnsi="Arial" w:cs="Arial"/>
          <w:bCs/>
          <w:color w:val="000000" w:themeColor="text1"/>
          <w:szCs w:val="22"/>
        </w:rPr>
        <w:fldChar w:fldCharType="separate"/>
      </w:r>
      <w:r w:rsidR="005F00D4">
        <w:rPr>
          <w:rFonts w:ascii="Arial" w:hAnsi="Arial" w:cs="Arial"/>
          <w:bCs/>
          <w:color w:val="000000" w:themeColor="text1"/>
          <w:szCs w:val="22"/>
        </w:rPr>
        <w:t>Appendix 3</w:t>
      </w:r>
      <w:r w:rsidR="009E0200" w:rsidRPr="00CB093C">
        <w:rPr>
          <w:rFonts w:ascii="Arial" w:hAnsi="Arial" w:cs="Arial"/>
          <w:bCs/>
          <w:color w:val="000000" w:themeColor="text1"/>
          <w:szCs w:val="22"/>
        </w:rPr>
        <w:fldChar w:fldCharType="end"/>
      </w:r>
      <w:r w:rsidRPr="00CB093C">
        <w:rPr>
          <w:rFonts w:ascii="Arial" w:hAnsi="Arial" w:cs="Arial"/>
          <w:bCs/>
          <w:color w:val="000000" w:themeColor="text1"/>
          <w:szCs w:val="22"/>
        </w:rPr>
        <w:t xml:space="preserve">, </w:t>
      </w:r>
      <w:r w:rsidR="00302C4F" w:rsidRPr="00CB093C">
        <w:rPr>
          <w:rFonts w:ascii="Arial" w:hAnsi="Arial" w:cs="Arial"/>
          <w:bCs/>
          <w:color w:val="000000" w:themeColor="text1"/>
          <w:szCs w:val="22"/>
        </w:rPr>
        <w:fldChar w:fldCharType="begin"/>
      </w:r>
      <w:r w:rsidR="00302C4F" w:rsidRPr="00CB093C">
        <w:rPr>
          <w:rFonts w:ascii="Arial" w:hAnsi="Arial" w:cs="Arial"/>
          <w:bCs/>
          <w:color w:val="000000" w:themeColor="text1"/>
          <w:szCs w:val="22"/>
        </w:rPr>
        <w:instrText xml:space="preserve"> REF _Ref511373432 \h </w:instrText>
      </w:r>
      <w:r w:rsidR="00DA741D" w:rsidRPr="00CB093C">
        <w:rPr>
          <w:rFonts w:ascii="Arial" w:hAnsi="Arial" w:cs="Arial"/>
          <w:bCs/>
          <w:color w:val="000000" w:themeColor="text1"/>
          <w:szCs w:val="22"/>
        </w:rPr>
        <w:instrText xml:space="preserve"> \* MERGEFORMAT </w:instrText>
      </w:r>
      <w:r w:rsidR="00302C4F" w:rsidRPr="00CB093C">
        <w:rPr>
          <w:rFonts w:ascii="Arial" w:hAnsi="Arial" w:cs="Arial"/>
          <w:bCs/>
          <w:color w:val="000000" w:themeColor="text1"/>
          <w:szCs w:val="22"/>
        </w:rPr>
      </w:r>
      <w:r w:rsidR="00302C4F" w:rsidRPr="00CB093C">
        <w:rPr>
          <w:rFonts w:ascii="Arial" w:hAnsi="Arial" w:cs="Arial"/>
          <w:bCs/>
          <w:color w:val="000000" w:themeColor="text1"/>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21</w:t>
      </w:r>
      <w:r w:rsidR="00302C4F" w:rsidRPr="00CB093C">
        <w:rPr>
          <w:rFonts w:ascii="Arial" w:hAnsi="Arial" w:cs="Arial"/>
          <w:bCs/>
          <w:color w:val="000000" w:themeColor="text1"/>
          <w:szCs w:val="22"/>
        </w:rPr>
        <w:fldChar w:fldCharType="end"/>
      </w:r>
      <w:r w:rsidRPr="00CB093C">
        <w:rPr>
          <w:rFonts w:ascii="Arial" w:hAnsi="Arial" w:cs="Arial"/>
          <w:bCs/>
          <w:color w:val="000000" w:themeColor="text1"/>
          <w:szCs w:val="22"/>
        </w:rPr>
        <w:t>. The loggers recorded</w:t>
      </w:r>
      <w:r w:rsidRPr="00CB093C">
        <w:rPr>
          <w:rFonts w:ascii="Arial" w:hAnsi="Arial" w:cs="Arial"/>
          <w:color w:val="000000" w:themeColor="text1"/>
          <w:szCs w:val="22"/>
        </w:rPr>
        <w:t xml:space="preserve"> temperature (accuracy 0.0625°C) within the seagrass canopy every 30 – 90 minutes</w:t>
      </w:r>
      <w:r w:rsidR="005055DC" w:rsidRPr="00CB093C">
        <w:rPr>
          <w:rFonts w:ascii="Arial" w:hAnsi="Arial" w:cs="Arial"/>
          <w:color w:val="000000" w:themeColor="text1"/>
          <w:szCs w:val="22"/>
        </w:rPr>
        <w:t xml:space="preserve"> (</w:t>
      </w:r>
      <w:r w:rsidR="005055DC" w:rsidRPr="00CB093C">
        <w:rPr>
          <w:rFonts w:ascii="Arial" w:hAnsi="Arial" w:cs="Arial"/>
          <w:color w:val="000000" w:themeColor="text1"/>
          <w:szCs w:val="22"/>
        </w:rPr>
        <w:fldChar w:fldCharType="begin"/>
      </w:r>
      <w:r w:rsidR="005055DC" w:rsidRPr="00CB093C">
        <w:rPr>
          <w:rFonts w:ascii="Arial" w:hAnsi="Arial" w:cs="Arial"/>
          <w:color w:val="000000" w:themeColor="text1"/>
          <w:szCs w:val="22"/>
        </w:rPr>
        <w:instrText xml:space="preserve"> REF _Ref461015425 \h </w:instrText>
      </w:r>
      <w:r w:rsidR="00DA741D" w:rsidRPr="00CB093C">
        <w:rPr>
          <w:rFonts w:ascii="Arial" w:hAnsi="Arial" w:cs="Arial"/>
          <w:color w:val="000000" w:themeColor="text1"/>
          <w:szCs w:val="22"/>
        </w:rPr>
        <w:instrText xml:space="preserve"> \* MERGEFORMAT </w:instrText>
      </w:r>
      <w:r w:rsidR="005055DC" w:rsidRPr="00CB093C">
        <w:rPr>
          <w:rFonts w:ascii="Arial" w:hAnsi="Arial" w:cs="Arial"/>
          <w:color w:val="000000" w:themeColor="text1"/>
          <w:szCs w:val="22"/>
        </w:rPr>
      </w:r>
      <w:r w:rsidR="005055DC" w:rsidRPr="00CB093C">
        <w:rPr>
          <w:rFonts w:ascii="Arial" w:hAnsi="Arial" w:cs="Arial"/>
          <w:color w:val="000000" w:themeColor="text1"/>
          <w:szCs w:val="22"/>
        </w:rPr>
        <w:fldChar w:fldCharType="separate"/>
      </w:r>
      <w:r w:rsidR="005F00D4" w:rsidRPr="00CB093C">
        <w:rPr>
          <w:rFonts w:ascii="Arial" w:hAnsi="Arial" w:cs="Arial"/>
          <w:szCs w:val="22"/>
        </w:rPr>
        <w:t xml:space="preserve">Table </w:t>
      </w:r>
      <w:r w:rsidR="005F00D4">
        <w:rPr>
          <w:rFonts w:ascii="Arial" w:hAnsi="Arial" w:cs="Arial"/>
          <w:noProof/>
          <w:szCs w:val="22"/>
        </w:rPr>
        <w:t>1</w:t>
      </w:r>
      <w:r w:rsidR="005055DC" w:rsidRPr="00CB093C">
        <w:rPr>
          <w:rFonts w:ascii="Arial" w:hAnsi="Arial" w:cs="Arial"/>
          <w:color w:val="000000" w:themeColor="text1"/>
          <w:szCs w:val="22"/>
        </w:rPr>
        <w:fldChar w:fldCharType="end"/>
      </w:r>
      <w:r w:rsidR="005055DC" w:rsidRPr="00CB093C">
        <w:rPr>
          <w:rFonts w:ascii="Arial" w:hAnsi="Arial" w:cs="Arial"/>
          <w:color w:val="000000" w:themeColor="text1"/>
          <w:szCs w:val="22"/>
        </w:rPr>
        <w:t>)</w:t>
      </w:r>
      <w:r w:rsidRPr="00CB093C">
        <w:rPr>
          <w:rFonts w:ascii="Arial" w:hAnsi="Arial" w:cs="Arial"/>
          <w:color w:val="000000" w:themeColor="text1"/>
          <w:szCs w:val="22"/>
        </w:rPr>
        <w:t>. iBCod</w:t>
      </w:r>
      <w:r w:rsidRPr="00CB093C">
        <w:rPr>
          <w:rFonts w:ascii="Arial" w:hAnsi="Arial" w:cs="Arial"/>
          <w:color w:val="000000" w:themeColor="text1"/>
          <w:szCs w:val="22"/>
          <w:vertAlign w:val="superscript"/>
        </w:rPr>
        <w:t>™</w:t>
      </w:r>
      <w:r w:rsidRPr="00CB093C">
        <w:rPr>
          <w:rFonts w:ascii="Arial" w:hAnsi="Arial" w:cs="Arial"/>
          <w:color w:val="000000" w:themeColor="text1"/>
          <w:szCs w:val="22"/>
        </w:rPr>
        <w:t>22L submersible temperature loggers were attached to the permanent marker at each site above the sediment-water interface.</w:t>
      </w:r>
    </w:p>
    <w:p w14:paraId="66216360" w14:textId="3FF5969E" w:rsidR="003D1F7F" w:rsidRPr="00CB093C" w:rsidRDefault="003D1F7F" w:rsidP="003D1F7F">
      <w:pPr>
        <w:rPr>
          <w:rFonts w:ascii="Arial" w:hAnsi="Arial" w:cs="Arial"/>
          <w:color w:val="000000" w:themeColor="text1"/>
          <w:szCs w:val="22"/>
          <w:lang w:val="en-US"/>
        </w:rPr>
      </w:pPr>
      <w:r w:rsidRPr="00CB093C">
        <w:rPr>
          <w:rFonts w:ascii="Arial" w:hAnsi="Arial" w:cs="Arial"/>
          <w:color w:val="000000" w:themeColor="text1"/>
          <w:szCs w:val="22"/>
          <w:lang w:val="en-US"/>
        </w:rPr>
        <w:t>Submersible Odyssey</w:t>
      </w:r>
      <w:r w:rsidRPr="00CB093C">
        <w:rPr>
          <w:rFonts w:ascii="Arial" w:hAnsi="Arial" w:cs="Arial"/>
          <w:color w:val="000000" w:themeColor="text1"/>
          <w:szCs w:val="22"/>
          <w:vertAlign w:val="superscript"/>
          <w:lang w:val="en-US"/>
        </w:rPr>
        <w:t>™</w:t>
      </w:r>
      <w:r w:rsidRPr="00CB093C">
        <w:rPr>
          <w:rFonts w:ascii="Arial" w:hAnsi="Arial" w:cs="Arial"/>
          <w:color w:val="000000" w:themeColor="text1"/>
          <w:szCs w:val="22"/>
          <w:lang w:val="en-US"/>
        </w:rPr>
        <w:t xml:space="preserve"> </w:t>
      </w:r>
      <w:r w:rsidRPr="00CB093C">
        <w:rPr>
          <w:rFonts w:ascii="Arial" w:hAnsi="Arial" w:cs="Arial"/>
          <w:color w:val="000000" w:themeColor="text1"/>
          <w:szCs w:val="22"/>
        </w:rPr>
        <w:t>photosynthetic irradiance a</w:t>
      </w:r>
      <w:r w:rsidRPr="00CB093C">
        <w:rPr>
          <w:rFonts w:ascii="Arial" w:hAnsi="Arial" w:cs="Arial"/>
          <w:color w:val="000000" w:themeColor="text1"/>
          <w:szCs w:val="22"/>
          <w:lang w:val="en-US"/>
        </w:rPr>
        <w:t xml:space="preserve">utonomous loggers were attached to permanent station markers at </w:t>
      </w:r>
      <w:r w:rsidRPr="00CB093C">
        <w:rPr>
          <w:rFonts w:ascii="Arial" w:hAnsi="Arial" w:cs="Arial"/>
          <w:color w:val="000000" w:themeColor="text1"/>
          <w:szCs w:val="22"/>
        </w:rPr>
        <w:t xml:space="preserve">20 intertidal and 4 subtidal </w:t>
      </w:r>
      <w:r w:rsidRPr="00CB093C">
        <w:rPr>
          <w:rFonts w:ascii="Arial" w:hAnsi="Arial" w:cs="Arial"/>
          <w:color w:val="000000" w:themeColor="text1"/>
          <w:szCs w:val="22"/>
          <w:lang w:val="en-US"/>
        </w:rPr>
        <w:t>seagrass locations from the Cape York region to the Burnett Mary region (</w:t>
      </w:r>
      <w:r w:rsidR="006F061E" w:rsidRPr="00CB093C">
        <w:rPr>
          <w:rFonts w:ascii="Arial" w:hAnsi="Arial" w:cs="Arial"/>
          <w:color w:val="000000" w:themeColor="text1"/>
          <w:szCs w:val="22"/>
          <w:lang w:val="en-US"/>
        </w:rPr>
        <w:fldChar w:fldCharType="begin"/>
      </w:r>
      <w:r w:rsidR="006F061E" w:rsidRPr="00CB093C">
        <w:rPr>
          <w:rFonts w:ascii="Arial" w:hAnsi="Arial" w:cs="Arial"/>
          <w:color w:val="000000" w:themeColor="text1"/>
          <w:szCs w:val="22"/>
          <w:lang w:val="en-US"/>
        </w:rPr>
        <w:instrText xml:space="preserve"> REF _Ref534181942 \r \h </w:instrText>
      </w:r>
      <w:r w:rsidR="00CB093C" w:rsidRPr="00CB093C">
        <w:rPr>
          <w:rFonts w:ascii="Arial" w:hAnsi="Arial" w:cs="Arial"/>
          <w:color w:val="000000" w:themeColor="text1"/>
          <w:szCs w:val="22"/>
          <w:lang w:val="en-US"/>
        </w:rPr>
        <w:instrText xml:space="preserve"> \* MERGEFORMAT </w:instrText>
      </w:r>
      <w:r w:rsidR="006F061E" w:rsidRPr="00CB093C">
        <w:rPr>
          <w:rFonts w:ascii="Arial" w:hAnsi="Arial" w:cs="Arial"/>
          <w:color w:val="000000" w:themeColor="text1"/>
          <w:szCs w:val="22"/>
          <w:lang w:val="en-US"/>
        </w:rPr>
      </w:r>
      <w:r w:rsidR="006F061E" w:rsidRPr="00CB093C">
        <w:rPr>
          <w:rFonts w:ascii="Arial" w:hAnsi="Arial" w:cs="Arial"/>
          <w:color w:val="000000" w:themeColor="text1"/>
          <w:szCs w:val="22"/>
          <w:lang w:val="en-US"/>
        </w:rPr>
        <w:fldChar w:fldCharType="separate"/>
      </w:r>
      <w:r w:rsidR="005F00D4">
        <w:rPr>
          <w:rFonts w:ascii="Arial" w:hAnsi="Arial" w:cs="Arial"/>
          <w:color w:val="000000" w:themeColor="text1"/>
          <w:szCs w:val="22"/>
          <w:lang w:val="en-US"/>
        </w:rPr>
        <w:t>Appendix 3</w:t>
      </w:r>
      <w:r w:rsidR="006F061E" w:rsidRPr="00CB093C">
        <w:rPr>
          <w:rFonts w:ascii="Arial" w:hAnsi="Arial" w:cs="Arial"/>
          <w:color w:val="000000" w:themeColor="text1"/>
          <w:szCs w:val="22"/>
          <w:lang w:val="en-US"/>
        </w:rPr>
        <w:fldChar w:fldCharType="end"/>
      </w:r>
      <w:r w:rsidR="006F061E" w:rsidRPr="00CB093C">
        <w:rPr>
          <w:rFonts w:ascii="Arial" w:hAnsi="Arial" w:cs="Arial"/>
          <w:color w:val="000000" w:themeColor="text1"/>
          <w:szCs w:val="22"/>
          <w:lang w:val="en-US"/>
        </w:rPr>
        <w:t xml:space="preserve">, </w:t>
      </w:r>
      <w:r w:rsidR="00302C4F" w:rsidRPr="00CB093C">
        <w:rPr>
          <w:rFonts w:ascii="Arial" w:hAnsi="Arial" w:cs="Arial"/>
          <w:bCs/>
          <w:color w:val="000000" w:themeColor="text1"/>
          <w:szCs w:val="22"/>
        </w:rPr>
        <w:fldChar w:fldCharType="begin"/>
      </w:r>
      <w:r w:rsidR="00302C4F" w:rsidRPr="00CB093C">
        <w:rPr>
          <w:rFonts w:ascii="Arial" w:hAnsi="Arial" w:cs="Arial"/>
          <w:bCs/>
          <w:color w:val="000000" w:themeColor="text1"/>
          <w:szCs w:val="22"/>
        </w:rPr>
        <w:instrText xml:space="preserve"> REF _Ref511373432 \h </w:instrText>
      </w:r>
      <w:r w:rsidR="00DA741D" w:rsidRPr="00CB093C">
        <w:rPr>
          <w:rFonts w:ascii="Arial" w:hAnsi="Arial" w:cs="Arial"/>
          <w:bCs/>
          <w:color w:val="000000" w:themeColor="text1"/>
          <w:szCs w:val="22"/>
        </w:rPr>
        <w:instrText xml:space="preserve"> \* MERGEFORMAT </w:instrText>
      </w:r>
      <w:r w:rsidR="00302C4F" w:rsidRPr="00CB093C">
        <w:rPr>
          <w:rFonts w:ascii="Arial" w:hAnsi="Arial" w:cs="Arial"/>
          <w:bCs/>
          <w:color w:val="000000" w:themeColor="text1"/>
          <w:szCs w:val="22"/>
        </w:rPr>
      </w:r>
      <w:r w:rsidR="00302C4F" w:rsidRPr="00CB093C">
        <w:rPr>
          <w:rFonts w:ascii="Arial" w:hAnsi="Arial" w:cs="Arial"/>
          <w:bCs/>
          <w:color w:val="000000" w:themeColor="text1"/>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21</w:t>
      </w:r>
      <w:r w:rsidR="00302C4F" w:rsidRPr="00CB093C">
        <w:rPr>
          <w:rFonts w:ascii="Arial" w:hAnsi="Arial" w:cs="Arial"/>
          <w:bCs/>
          <w:color w:val="000000" w:themeColor="text1"/>
          <w:szCs w:val="22"/>
        </w:rPr>
        <w:fldChar w:fldCharType="end"/>
      </w:r>
      <w:r w:rsidRPr="00CB093C">
        <w:rPr>
          <w:rFonts w:ascii="Arial" w:hAnsi="Arial" w:cs="Arial"/>
          <w:color w:val="000000" w:themeColor="text1"/>
          <w:szCs w:val="22"/>
          <w:lang w:val="en-US"/>
        </w:rPr>
        <w:t xml:space="preserve">). </w:t>
      </w:r>
      <w:r w:rsidRPr="00CB093C">
        <w:rPr>
          <w:rFonts w:ascii="Arial" w:hAnsi="Arial" w:cs="Arial"/>
          <w:color w:val="000000" w:themeColor="text1"/>
          <w:szCs w:val="22"/>
        </w:rPr>
        <w:t xml:space="preserve">Detailed methodology for the light monitoring can be found in </w:t>
      </w:r>
      <w:hyperlink w:anchor="_ENREF_106" w:tooltip="McKenzie, 2018 #11715" w:history="1">
        <w:r w:rsidR="00513C39" w:rsidRPr="00CB093C">
          <w:rPr>
            <w:rFonts w:ascii="Arial" w:hAnsi="Arial" w:cs="Arial"/>
            <w:szCs w:val="22"/>
            <w:lang w:val="en-US" w:eastAsia="en-AU"/>
          </w:rPr>
          <w:fldChar w:fldCharType="begin"/>
        </w:r>
        <w:r w:rsidR="00513C39" w:rsidRPr="00CB093C">
          <w:rPr>
            <w:rFonts w:ascii="Arial" w:hAnsi="Arial" w:cs="Arial"/>
            <w:szCs w:val="22"/>
            <w:lang w:val="en-US" w:eastAsia="en-AU"/>
          </w:rPr>
          <w:instrText xml:space="preserve"> ADDIN EN.CITE &lt;EndNote&gt;&lt;Cite&gt;&lt;Author&gt;McKenzie&lt;/Author&gt;&lt;Year&gt;2018&lt;/Year&gt;&lt;RecNum&gt;11715&lt;/RecNum&gt;&lt;DisplayText&gt;McKenzie&lt;style face="italic"&gt; et al.&lt;/style&gt; 2018b&lt;/DisplayText&gt;&lt;record&gt;&lt;rec-number&gt;11715&lt;/rec-number&gt;&lt;foreign-keys&gt;&lt;key app="EN" db-id="0eve55x9y5vfd6e9dacxtew4eatve2dzds9a" timestamp="1535166877"&gt;11715&lt;/key&gt;&lt;/foreign-keys&gt;&lt;ref-type name="Book Section"&gt;5&lt;/ref-type&gt;&lt;contributors&gt;&lt;authors&gt;&lt;author&gt;McKenzie, Len J&lt;/author&gt;&lt;author&gt;Waycott, Michelle&lt;/author&gt;&lt;author&gt;Unsworth Richard, K. F.&lt;/author&gt;&lt;author&gt;Collier, Catherine&lt;/author&gt;&lt;/authors&gt;&lt;/contributors&gt;&lt;titles&gt;&lt;title&gt;Inshore seagrass monitoring&lt;/title&gt;&lt;secondary-title&gt;Marine Monitoring Program quality assurance and quality control manual 2016/17&lt;/secondary-title&gt;&lt;/titles&gt;&lt;pages&gt;78-95&lt;/pages&gt;&lt;section&gt;6&lt;/section&gt;&lt;dates&gt;&lt;year&gt;2018&lt;/year&gt;&lt;/dates&gt;&lt;pub-location&gt;Townsville&lt;/pub-location&gt;&lt;publisher&gt;Great Barrier Reef Marine Park Authority &lt;/publisher&gt;&lt;urls&gt;&lt;/urls&gt;&lt;/record&gt;&lt;/Cite&gt;&lt;/EndNote&gt;</w:instrText>
        </w:r>
        <w:r w:rsidR="00513C39" w:rsidRPr="00CB093C">
          <w:rPr>
            <w:rFonts w:ascii="Arial" w:hAnsi="Arial" w:cs="Arial"/>
            <w:szCs w:val="22"/>
            <w:lang w:val="en-US" w:eastAsia="en-AU"/>
          </w:rPr>
          <w:fldChar w:fldCharType="separate"/>
        </w:r>
        <w:r w:rsidR="00513C39" w:rsidRPr="00CB093C">
          <w:rPr>
            <w:rFonts w:ascii="Arial" w:hAnsi="Arial" w:cs="Arial"/>
            <w:noProof/>
            <w:szCs w:val="22"/>
            <w:lang w:val="en-US" w:eastAsia="en-AU"/>
          </w:rPr>
          <w:t>McKenzie</w:t>
        </w:r>
        <w:r w:rsidR="00513C39" w:rsidRPr="00CB093C">
          <w:rPr>
            <w:rFonts w:ascii="Arial" w:hAnsi="Arial" w:cs="Arial"/>
            <w:i/>
            <w:noProof/>
            <w:szCs w:val="22"/>
            <w:lang w:val="en-US" w:eastAsia="en-AU"/>
          </w:rPr>
          <w:t xml:space="preserve"> et al.</w:t>
        </w:r>
        <w:r w:rsidR="00513C39" w:rsidRPr="00CB093C">
          <w:rPr>
            <w:rFonts w:ascii="Arial" w:hAnsi="Arial" w:cs="Arial"/>
            <w:noProof/>
            <w:szCs w:val="22"/>
            <w:lang w:val="en-US" w:eastAsia="en-AU"/>
          </w:rPr>
          <w:t xml:space="preserve"> 2018b</w:t>
        </w:r>
        <w:r w:rsidR="00513C39" w:rsidRPr="00CB093C">
          <w:rPr>
            <w:rFonts w:ascii="Arial" w:hAnsi="Arial" w:cs="Arial"/>
            <w:szCs w:val="22"/>
            <w:lang w:val="en-US" w:eastAsia="en-AU"/>
          </w:rPr>
          <w:fldChar w:fldCharType="end"/>
        </w:r>
      </w:hyperlink>
      <w:r w:rsidRPr="00CB093C">
        <w:rPr>
          <w:rFonts w:ascii="Arial" w:hAnsi="Arial" w:cs="Arial"/>
          <w:color w:val="000000" w:themeColor="text1"/>
          <w:szCs w:val="22"/>
        </w:rPr>
        <w:t xml:space="preserve">. </w:t>
      </w:r>
      <w:r w:rsidRPr="00CB093C">
        <w:rPr>
          <w:rFonts w:ascii="Arial" w:hAnsi="Arial" w:cs="Arial"/>
          <w:color w:val="000000" w:themeColor="text1"/>
          <w:szCs w:val="22"/>
          <w:lang w:val="en-US"/>
        </w:rPr>
        <w:t>Measurements were recorded by the logger every 15 minutes and are reported as total daily light (mol m</w:t>
      </w:r>
      <w:r w:rsidRPr="00CB093C">
        <w:rPr>
          <w:rFonts w:ascii="Arial" w:hAnsi="Arial" w:cs="Arial"/>
          <w:color w:val="000000" w:themeColor="text1"/>
          <w:szCs w:val="22"/>
          <w:vertAlign w:val="superscript"/>
          <w:lang w:val="en-US"/>
        </w:rPr>
        <w:t>-2</w:t>
      </w:r>
      <w:r w:rsidRPr="00CB093C">
        <w:rPr>
          <w:rFonts w:ascii="Arial" w:hAnsi="Arial" w:cs="Arial"/>
          <w:color w:val="000000" w:themeColor="text1"/>
          <w:szCs w:val="22"/>
          <w:lang w:val="en-US"/>
        </w:rPr>
        <w:t xml:space="preserve"> d</w:t>
      </w:r>
      <w:r w:rsidRPr="00CB093C">
        <w:rPr>
          <w:rFonts w:ascii="Arial" w:hAnsi="Arial" w:cs="Arial"/>
          <w:color w:val="000000" w:themeColor="text1"/>
          <w:szCs w:val="22"/>
          <w:vertAlign w:val="superscript"/>
          <w:lang w:val="en-US"/>
        </w:rPr>
        <w:t>-1</w:t>
      </w:r>
      <w:r w:rsidRPr="00CB093C">
        <w:rPr>
          <w:rFonts w:ascii="Arial" w:hAnsi="Arial" w:cs="Arial"/>
          <w:color w:val="000000" w:themeColor="text1"/>
          <w:szCs w:val="22"/>
          <w:lang w:val="en-US"/>
        </w:rPr>
        <w:t xml:space="preserve">). Automatic wiper brushes clean the optical surface of the sensor every 15 minutes to prevent marine organisms fouling. </w:t>
      </w:r>
    </w:p>
    <w:p w14:paraId="3595B5E0" w14:textId="1AA6224E" w:rsidR="003D1F7F" w:rsidRPr="00CB093C" w:rsidRDefault="0094059C" w:rsidP="003D1F7F">
      <w:pPr>
        <w:rPr>
          <w:rFonts w:ascii="Arial" w:hAnsi="Arial" w:cs="Arial"/>
          <w:color w:val="000000" w:themeColor="text1"/>
          <w:szCs w:val="22"/>
        </w:rPr>
      </w:pPr>
      <w:r w:rsidRPr="00CB093C">
        <w:rPr>
          <w:rFonts w:ascii="Arial" w:hAnsi="Arial" w:cs="Arial"/>
          <w:color w:val="000000" w:themeColor="text1"/>
          <w:szCs w:val="22"/>
        </w:rPr>
        <w:t xml:space="preserve">Sediment type affects seagrass community composition </w:t>
      </w:r>
      <w:r w:rsidR="009F1E43" w:rsidRPr="00CB093C">
        <w:rPr>
          <w:rFonts w:ascii="Arial" w:hAnsi="Arial" w:cs="Arial"/>
          <w:color w:val="000000" w:themeColor="text1"/>
          <w:szCs w:val="22"/>
        </w:rPr>
        <w:t xml:space="preserve">and vice versa </w:t>
      </w:r>
      <w:r w:rsidRPr="00CB093C">
        <w:rPr>
          <w:rFonts w:ascii="Arial" w:hAnsi="Arial" w:cs="Arial"/>
          <w:color w:val="000000" w:themeColor="text1"/>
          <w:szCs w:val="22"/>
        </w:rPr>
        <w:t>(</w:t>
      </w:r>
      <w:r w:rsidR="009F1E43" w:rsidRPr="00CB093C">
        <w:rPr>
          <w:rFonts w:ascii="Arial" w:hAnsi="Arial" w:cs="Arial"/>
          <w:color w:val="000000" w:themeColor="text1"/>
          <w:szCs w:val="22"/>
        </w:rPr>
        <w:t>McKenzie et al 2007, Collier et al In Prep). C</w:t>
      </w:r>
      <w:r w:rsidRPr="00CB093C">
        <w:rPr>
          <w:rFonts w:ascii="Arial" w:hAnsi="Arial" w:cs="Arial"/>
          <w:color w:val="000000" w:themeColor="text1"/>
          <w:szCs w:val="22"/>
        </w:rPr>
        <w:t xml:space="preserve">hanges in sediment composition can be an indicator of broader environmental changes (such as sediment </w:t>
      </w:r>
      <w:r w:rsidR="000E7607" w:rsidRPr="00CB093C">
        <w:rPr>
          <w:rFonts w:ascii="Arial" w:hAnsi="Arial" w:cs="Arial"/>
          <w:color w:val="000000" w:themeColor="text1"/>
          <w:szCs w:val="22"/>
        </w:rPr>
        <w:t xml:space="preserve">and </w:t>
      </w:r>
      <w:r w:rsidRPr="00CB093C">
        <w:rPr>
          <w:rFonts w:ascii="Arial" w:hAnsi="Arial" w:cs="Arial"/>
          <w:color w:val="000000" w:themeColor="text1"/>
          <w:szCs w:val="22"/>
        </w:rPr>
        <w:t xml:space="preserve">organic matter </w:t>
      </w:r>
      <w:r w:rsidR="000E7607" w:rsidRPr="00CB093C">
        <w:rPr>
          <w:rFonts w:ascii="Arial" w:hAnsi="Arial" w:cs="Arial"/>
          <w:color w:val="000000" w:themeColor="text1"/>
          <w:szCs w:val="22"/>
        </w:rPr>
        <w:t xml:space="preserve">loads </w:t>
      </w:r>
      <w:r w:rsidRPr="00CB093C">
        <w:rPr>
          <w:rFonts w:ascii="Arial" w:hAnsi="Arial" w:cs="Arial"/>
          <w:color w:val="000000" w:themeColor="text1"/>
          <w:szCs w:val="22"/>
        </w:rPr>
        <w:t xml:space="preserve">and </w:t>
      </w:r>
      <w:r w:rsidR="000E7607" w:rsidRPr="00CB093C">
        <w:rPr>
          <w:rFonts w:ascii="Arial" w:hAnsi="Arial" w:cs="Arial"/>
          <w:color w:val="000000" w:themeColor="text1"/>
          <w:szCs w:val="22"/>
        </w:rPr>
        <w:t xml:space="preserve">risk of </w:t>
      </w:r>
      <w:r w:rsidRPr="00CB093C">
        <w:rPr>
          <w:rFonts w:ascii="Arial" w:hAnsi="Arial" w:cs="Arial"/>
          <w:color w:val="000000" w:themeColor="text1"/>
          <w:szCs w:val="22"/>
        </w:rPr>
        <w:t xml:space="preserve">anoxia), and be an early-warning indicator of changing species composition. </w:t>
      </w:r>
      <w:r w:rsidR="006A3340" w:rsidRPr="00CB093C">
        <w:rPr>
          <w:rFonts w:ascii="Arial" w:hAnsi="Arial" w:cs="Arial"/>
          <w:color w:val="000000" w:themeColor="text1"/>
          <w:szCs w:val="22"/>
        </w:rPr>
        <w:t>Sediment type wa</w:t>
      </w:r>
      <w:r w:rsidR="007B36D3" w:rsidRPr="00CB093C">
        <w:rPr>
          <w:rFonts w:ascii="Arial" w:hAnsi="Arial" w:cs="Arial"/>
          <w:color w:val="000000" w:themeColor="text1"/>
          <w:szCs w:val="22"/>
        </w:rPr>
        <w:t xml:space="preserve">s recorded </w:t>
      </w:r>
      <w:r w:rsidR="00317475" w:rsidRPr="00CB093C">
        <w:rPr>
          <w:rFonts w:ascii="Arial" w:hAnsi="Arial" w:cs="Arial"/>
          <w:color w:val="000000" w:themeColor="text1"/>
          <w:szCs w:val="22"/>
        </w:rPr>
        <w:lastRenderedPageBreak/>
        <w:t xml:space="preserve">at the 33 quadrats at each site </w:t>
      </w:r>
      <w:r w:rsidR="006A3340" w:rsidRPr="00CB093C">
        <w:rPr>
          <w:rFonts w:ascii="Arial" w:hAnsi="Arial" w:cs="Arial"/>
          <w:color w:val="000000" w:themeColor="text1"/>
          <w:szCs w:val="22"/>
        </w:rPr>
        <w:t xml:space="preserve">in conjunction with seagrass abundance measures using a </w:t>
      </w:r>
      <w:r w:rsidR="00053571" w:rsidRPr="00CB093C">
        <w:rPr>
          <w:rFonts w:ascii="Arial" w:hAnsi="Arial" w:cs="Arial"/>
          <w:color w:val="000000" w:themeColor="text1"/>
          <w:szCs w:val="22"/>
        </w:rPr>
        <w:t>visual/tactile estimation of sediment grain size composition (0-2 cm below the sediment/water interface)</w:t>
      </w:r>
      <w:r w:rsidR="006A3340" w:rsidRPr="00CB093C">
        <w:rPr>
          <w:rFonts w:ascii="Arial" w:hAnsi="Arial" w:cs="Arial"/>
          <w:color w:val="000000" w:themeColor="text1"/>
          <w:szCs w:val="22"/>
        </w:rPr>
        <w:t xml:space="preserve"> as per standard</w:t>
      </w:r>
      <w:r w:rsidR="00053571" w:rsidRPr="00CB093C">
        <w:rPr>
          <w:rFonts w:ascii="Arial" w:hAnsi="Arial" w:cs="Arial"/>
          <w:color w:val="000000" w:themeColor="text1"/>
          <w:szCs w:val="22"/>
        </w:rPr>
        <w:t xml:space="preserve"> protocols described in McKenzie </w:t>
      </w:r>
      <w:r w:rsidR="00053571" w:rsidRPr="00CB093C">
        <w:rPr>
          <w:rFonts w:ascii="Arial" w:hAnsi="Arial" w:cs="Arial"/>
          <w:i/>
          <w:color w:val="000000" w:themeColor="text1"/>
          <w:szCs w:val="22"/>
        </w:rPr>
        <w:t>et al.</w:t>
      </w:r>
      <w:r w:rsidR="00053571" w:rsidRPr="00CB093C">
        <w:rPr>
          <w:rFonts w:ascii="Arial" w:hAnsi="Arial" w:cs="Arial"/>
          <w:color w:val="000000" w:themeColor="text1"/>
          <w:szCs w:val="22"/>
        </w:rPr>
        <w:t xml:space="preserve"> (</w:t>
      </w:r>
      <w:hyperlink w:anchor="_ENREF_96" w:tooltip="McKenzie, 2003 #9457"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 ExcludeAuth="1"&gt;&lt;Year&gt;2003&lt;/Year&gt;&lt;RecNum&gt;9457&lt;/RecNum&gt;&lt;DisplayText&gt;2003&lt;/DisplayText&gt;&lt;record&gt;&lt;rec-number&gt;9457&lt;/rec-number&gt;&lt;foreign-keys&gt;&lt;key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2003</w:t>
        </w:r>
        <w:r w:rsidR="00513C39" w:rsidRPr="00CB093C">
          <w:rPr>
            <w:rFonts w:ascii="Arial" w:hAnsi="Arial" w:cs="Arial"/>
            <w:color w:val="000000" w:themeColor="text1"/>
            <w:szCs w:val="22"/>
          </w:rPr>
          <w:fldChar w:fldCharType="end"/>
        </w:r>
      </w:hyperlink>
      <w:r w:rsidR="00053571" w:rsidRPr="00CB093C">
        <w:rPr>
          <w:rFonts w:ascii="Arial" w:hAnsi="Arial" w:cs="Arial"/>
          <w:color w:val="000000" w:themeColor="text1"/>
          <w:szCs w:val="22"/>
        </w:rPr>
        <w:t>).</w:t>
      </w:r>
      <w:r w:rsidR="006A3340" w:rsidRPr="00CB093C">
        <w:rPr>
          <w:rFonts w:ascii="Arial" w:hAnsi="Arial" w:cs="Arial"/>
          <w:color w:val="000000" w:themeColor="text1"/>
          <w:szCs w:val="22"/>
        </w:rPr>
        <w:t xml:space="preserve"> Qualitative field descriptions of sediment composition </w:t>
      </w:r>
      <w:r w:rsidR="005C0F26" w:rsidRPr="00CB093C">
        <w:rPr>
          <w:rFonts w:ascii="Arial" w:hAnsi="Arial" w:cs="Arial"/>
          <w:color w:val="000000" w:themeColor="text1"/>
          <w:szCs w:val="22"/>
        </w:rPr>
        <w:t xml:space="preserve">were differentiated according to the Udden-Wentworth grade scale </w:t>
      </w:r>
      <w:r w:rsidR="00DB32BE" w:rsidRPr="00CB093C">
        <w:rPr>
          <w:rFonts w:ascii="Arial" w:hAnsi="Arial" w:cs="Arial"/>
          <w:color w:val="000000" w:themeColor="text1"/>
          <w:szCs w:val="22"/>
        </w:rPr>
        <w:t xml:space="preserve">as this approach has previously been shown to provide an equivalent measure to sieve-derived datasets (Hamilton, 1999; McKenzie </w:t>
      </w:r>
      <w:hyperlink w:anchor="_ENREF_93" w:tooltip="McKenzie, 2007 #9456"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 ExcludeAuth="1"&gt;&lt;Year&gt;2007&lt;/Year&gt;&lt;RecNum&gt;9456&lt;/RecNum&gt;&lt;DisplayText&gt;2007&lt;/DisplayText&gt;&lt;record&gt;&lt;rec-number&gt;9456&lt;/rec-number&gt;&lt;foreign-keys&gt;&lt;key app="EN" db-id="0eve55x9y5vfd6e9dacxtew4eatve2dzds9a" timestamp="1375602923"&gt;9456&lt;/key&gt;&lt;/foreign-keys&gt;&lt;ref-type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Facility&lt;/title&gt;&lt;/titles&gt;&lt;pages&gt;25&lt;/pages&gt;&lt;dates&gt;&lt;year&gt;2007&lt;/year&gt;&lt;/dates&gt;&lt;pub-location&gt;Cairns &lt;/pub-location&gt;&lt;publisher&gt;Reef and Rainforest Research Centre Ltd&lt;/publisher&gt;&lt;urls&gt;&lt;/urls&gt;&lt;/record&gt;&lt;/Cite&gt;&lt;/EndNote&gt;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2007</w:t>
        </w:r>
        <w:r w:rsidR="00513C39" w:rsidRPr="00CB093C">
          <w:rPr>
            <w:rFonts w:ascii="Arial" w:hAnsi="Arial" w:cs="Arial"/>
            <w:color w:val="000000" w:themeColor="text1"/>
            <w:szCs w:val="22"/>
          </w:rPr>
          <w:fldChar w:fldCharType="end"/>
        </w:r>
      </w:hyperlink>
      <w:r w:rsidR="006A3340" w:rsidRPr="00CB093C">
        <w:rPr>
          <w:rFonts w:ascii="Arial" w:hAnsi="Arial" w:cs="Arial"/>
          <w:color w:val="000000" w:themeColor="text1"/>
          <w:szCs w:val="22"/>
        </w:rPr>
        <w:t>).</w:t>
      </w:r>
      <w:r w:rsidR="00527C29" w:rsidRPr="00CB093C">
        <w:rPr>
          <w:rFonts w:ascii="Arial" w:hAnsi="Arial" w:cs="Arial"/>
          <w:color w:val="000000" w:themeColor="text1"/>
          <w:szCs w:val="22"/>
        </w:rPr>
        <w:t xml:space="preserve"> </w:t>
      </w:r>
    </w:p>
    <w:p w14:paraId="7B5DBD5A" w14:textId="73C8EF4A" w:rsidR="003B152A" w:rsidRPr="00CB093C" w:rsidRDefault="003B152A" w:rsidP="003D1F7F">
      <w:pPr>
        <w:rPr>
          <w:rFonts w:ascii="Arial" w:hAnsi="Arial" w:cs="Arial"/>
          <w:color w:val="000000" w:themeColor="text1"/>
          <w:szCs w:val="22"/>
        </w:rPr>
      </w:pPr>
    </w:p>
    <w:p w14:paraId="7E90E8B2" w14:textId="28BC1DED" w:rsidR="003B152A" w:rsidRPr="00CB093C" w:rsidRDefault="003B152A" w:rsidP="003D1F7F">
      <w:pPr>
        <w:rPr>
          <w:rFonts w:ascii="Arial" w:hAnsi="Arial" w:cs="Arial"/>
          <w:color w:val="000000" w:themeColor="text1"/>
          <w:szCs w:val="22"/>
        </w:rPr>
      </w:pPr>
    </w:p>
    <w:p w14:paraId="53D4D15B" w14:textId="77777777" w:rsidR="003B152A" w:rsidRPr="00CB093C" w:rsidRDefault="003B152A" w:rsidP="003D1F7F">
      <w:pPr>
        <w:rPr>
          <w:rFonts w:ascii="Arial" w:hAnsi="Arial" w:cs="Arial"/>
          <w:color w:val="000000" w:themeColor="text1"/>
          <w:szCs w:val="22"/>
        </w:rPr>
        <w:sectPr w:rsidR="003B152A" w:rsidRPr="00CB093C" w:rsidSect="002B0842">
          <w:footerReference w:type="default" r:id="rId43"/>
          <w:pgSz w:w="11900" w:h="16840" w:code="9"/>
          <w:pgMar w:top="1418" w:right="1418" w:bottom="1418" w:left="1418" w:header="709" w:footer="709" w:gutter="0"/>
          <w:cols w:space="708"/>
          <w:docGrid w:linePitch="360"/>
        </w:sectPr>
      </w:pPr>
    </w:p>
    <w:p w14:paraId="02BDEEA2" w14:textId="20FE96C8" w:rsidR="00101AFE" w:rsidRPr="00CB093C" w:rsidRDefault="00101AFE" w:rsidP="00101AFE">
      <w:pPr>
        <w:jc w:val="center"/>
        <w:rPr>
          <w:rFonts w:ascii="Arial" w:hAnsi="Arial" w:cs="Arial"/>
          <w:i/>
          <w:vanish/>
          <w:szCs w:val="22"/>
          <w:specVanish/>
        </w:rPr>
      </w:pPr>
      <w:bookmarkStart w:id="40" w:name="_Ref461015425"/>
      <w:bookmarkStart w:id="41" w:name="_Ref515961668"/>
      <w:bookmarkStart w:id="42" w:name="_Toc5616029"/>
      <w:r w:rsidRPr="00CB093C">
        <w:rPr>
          <w:rFonts w:ascii="Arial" w:hAnsi="Arial" w:cs="Arial"/>
          <w:szCs w:val="22"/>
        </w:rPr>
        <w:lastRenderedPageBreak/>
        <w:t xml:space="preserve">Table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Table \* ARABIC </w:instrText>
      </w:r>
      <w:r w:rsidR="00C506C7" w:rsidRPr="00CB093C">
        <w:rPr>
          <w:rFonts w:ascii="Arial" w:hAnsi="Arial" w:cs="Arial"/>
          <w:noProof/>
          <w:szCs w:val="22"/>
        </w:rPr>
        <w:fldChar w:fldCharType="separate"/>
      </w:r>
      <w:r w:rsidR="005F00D4">
        <w:rPr>
          <w:rFonts w:ascii="Arial" w:hAnsi="Arial" w:cs="Arial"/>
          <w:noProof/>
          <w:szCs w:val="22"/>
        </w:rPr>
        <w:t>1</w:t>
      </w:r>
      <w:r w:rsidR="00C506C7" w:rsidRPr="00CB093C">
        <w:rPr>
          <w:rFonts w:ascii="Arial" w:hAnsi="Arial" w:cs="Arial"/>
          <w:noProof/>
          <w:szCs w:val="22"/>
        </w:rPr>
        <w:fldChar w:fldCharType="end"/>
      </w:r>
      <w:bookmarkEnd w:id="40"/>
      <w:r w:rsidRPr="00CB093C">
        <w:rPr>
          <w:rFonts w:ascii="Arial" w:hAnsi="Arial" w:cs="Arial"/>
          <w:szCs w:val="22"/>
        </w:rPr>
        <w:t xml:space="preserve">. </w:t>
      </w:r>
      <w:r w:rsidR="003D1F7F" w:rsidRPr="00CB093C">
        <w:rPr>
          <w:rFonts w:ascii="Arial" w:hAnsi="Arial" w:cs="Arial"/>
          <w:i/>
          <w:szCs w:val="22"/>
        </w:rPr>
        <w:t xml:space="preserve"> Summary of climate and environment data included in this report</w:t>
      </w:r>
      <w:bookmarkEnd w:id="41"/>
      <w:bookmarkEnd w:id="42"/>
    </w:p>
    <w:p w14:paraId="4B785B92" w14:textId="7A287996" w:rsidR="003D1F7F" w:rsidRPr="00CB093C" w:rsidRDefault="003D1F7F" w:rsidP="00101AFE">
      <w:pPr>
        <w:jc w:val="center"/>
        <w:rPr>
          <w:rFonts w:ascii="Arial" w:hAnsi="Arial" w:cs="Arial"/>
          <w:i/>
          <w:szCs w:val="22"/>
        </w:rPr>
      </w:pPr>
      <w:r w:rsidRPr="00CB093C">
        <w:rPr>
          <w:rFonts w:ascii="Arial" w:hAnsi="Arial" w:cs="Arial"/>
          <w:i/>
          <w:szCs w:val="22"/>
        </w:rPr>
        <w:t>, showing historical data range, measurement technique, measurement frequency, and data source. *</w:t>
      </w:r>
      <w:r w:rsidR="00D63ED2" w:rsidRPr="00CB093C">
        <w:rPr>
          <w:rFonts w:ascii="Arial" w:hAnsi="Arial" w:cs="Arial"/>
          <w:i/>
          <w:szCs w:val="22"/>
        </w:rPr>
        <w:t>=</w:t>
      </w:r>
      <w:r w:rsidRPr="00CB093C">
        <w:rPr>
          <w:rFonts w:ascii="Arial" w:hAnsi="Arial" w:cs="Arial"/>
          <w:i/>
          <w:szCs w:val="22"/>
        </w:rPr>
        <w:t>variable</w:t>
      </w:r>
      <w:r w:rsidR="00C3035F" w:rsidRPr="00CB093C">
        <w:rPr>
          <w:rFonts w:ascii="Arial" w:hAnsi="Arial" w:cs="Arial"/>
          <w:i/>
          <w:szCs w:val="22"/>
        </w:rPr>
        <w:t xml:space="preserve"> duration of data availability depending on site</w:t>
      </w:r>
    </w:p>
    <w:tbl>
      <w:tblPr>
        <w:tblW w:w="14384" w:type="dxa"/>
        <w:jc w:val="center"/>
        <w:tblBorders>
          <w:bottom w:val="single" w:sz="4" w:space="0" w:color="auto"/>
        </w:tblBorders>
        <w:tblLook w:val="04A0" w:firstRow="1" w:lastRow="0" w:firstColumn="1" w:lastColumn="0" w:noHBand="0" w:noVBand="1"/>
      </w:tblPr>
      <w:tblGrid>
        <w:gridCol w:w="2036"/>
        <w:gridCol w:w="1969"/>
        <w:gridCol w:w="2947"/>
        <w:gridCol w:w="1635"/>
        <w:gridCol w:w="2572"/>
        <w:gridCol w:w="3225"/>
      </w:tblGrid>
      <w:tr w:rsidR="003D1F7F" w:rsidRPr="00CB093C" w14:paraId="7A24F29D" w14:textId="77777777" w:rsidTr="00101AFE">
        <w:trPr>
          <w:trHeight w:val="397"/>
          <w:jc w:val="center"/>
        </w:trPr>
        <w:tc>
          <w:tcPr>
            <w:tcW w:w="2045" w:type="dxa"/>
            <w:tcBorders>
              <w:top w:val="single" w:sz="4" w:space="0" w:color="auto"/>
              <w:bottom w:val="single" w:sz="4" w:space="0" w:color="auto"/>
            </w:tcBorders>
            <w:shd w:val="clear" w:color="auto" w:fill="BBE0E3"/>
            <w:vAlign w:val="center"/>
          </w:tcPr>
          <w:p w14:paraId="635DDC03" w14:textId="77777777" w:rsidR="003D1F7F" w:rsidRPr="00CB093C" w:rsidRDefault="003D1F7F" w:rsidP="00101AFE">
            <w:pPr>
              <w:spacing w:before="0" w:after="0" w:line="200" w:lineRule="exact"/>
              <w:ind w:right="-108"/>
              <w:jc w:val="center"/>
              <w:rPr>
                <w:rFonts w:ascii="Arial" w:hAnsi="Arial" w:cs="Arial"/>
                <w:b/>
                <w:szCs w:val="22"/>
              </w:rPr>
            </w:pPr>
          </w:p>
        </w:tc>
        <w:tc>
          <w:tcPr>
            <w:tcW w:w="1990" w:type="dxa"/>
            <w:tcBorders>
              <w:top w:val="single" w:sz="4" w:space="0" w:color="auto"/>
              <w:bottom w:val="single" w:sz="4" w:space="0" w:color="auto"/>
            </w:tcBorders>
            <w:shd w:val="clear" w:color="auto" w:fill="BBE0E3"/>
            <w:vAlign w:val="center"/>
          </w:tcPr>
          <w:p w14:paraId="22CE461E" w14:textId="77777777" w:rsidR="003D1F7F" w:rsidRPr="00CB093C" w:rsidRDefault="003D1F7F" w:rsidP="00101AFE">
            <w:pPr>
              <w:spacing w:before="0" w:after="0" w:line="200" w:lineRule="exact"/>
              <w:jc w:val="center"/>
              <w:rPr>
                <w:rFonts w:ascii="Arial" w:hAnsi="Arial" w:cs="Arial"/>
                <w:b/>
                <w:szCs w:val="22"/>
              </w:rPr>
            </w:pPr>
            <w:r w:rsidRPr="00CB093C">
              <w:rPr>
                <w:rFonts w:ascii="Arial" w:hAnsi="Arial" w:cs="Arial"/>
                <w:b/>
                <w:szCs w:val="22"/>
              </w:rPr>
              <w:t>Data range</w:t>
            </w:r>
          </w:p>
        </w:tc>
        <w:tc>
          <w:tcPr>
            <w:tcW w:w="2977" w:type="dxa"/>
            <w:tcBorders>
              <w:top w:val="single" w:sz="4" w:space="0" w:color="auto"/>
              <w:bottom w:val="single" w:sz="4" w:space="0" w:color="auto"/>
            </w:tcBorders>
            <w:shd w:val="clear" w:color="auto" w:fill="BBE0E3"/>
            <w:vAlign w:val="center"/>
          </w:tcPr>
          <w:p w14:paraId="5E64BD5F" w14:textId="77777777" w:rsidR="003D1F7F" w:rsidRPr="00CB093C" w:rsidRDefault="003D1F7F" w:rsidP="00101AFE">
            <w:pPr>
              <w:spacing w:before="0" w:after="0" w:line="200" w:lineRule="exact"/>
              <w:jc w:val="center"/>
              <w:rPr>
                <w:rFonts w:ascii="Arial" w:hAnsi="Arial" w:cs="Arial"/>
                <w:b/>
                <w:szCs w:val="22"/>
              </w:rPr>
            </w:pPr>
            <w:r w:rsidRPr="00CB093C">
              <w:rPr>
                <w:rFonts w:ascii="Arial" w:hAnsi="Arial" w:cs="Arial"/>
                <w:b/>
                <w:szCs w:val="22"/>
              </w:rPr>
              <w:t>Method</w:t>
            </w:r>
          </w:p>
        </w:tc>
        <w:tc>
          <w:tcPr>
            <w:tcW w:w="1515" w:type="dxa"/>
            <w:tcBorders>
              <w:top w:val="single" w:sz="4" w:space="0" w:color="auto"/>
              <w:bottom w:val="single" w:sz="4" w:space="0" w:color="auto"/>
            </w:tcBorders>
            <w:shd w:val="clear" w:color="auto" w:fill="BBE0E3"/>
            <w:vAlign w:val="center"/>
          </w:tcPr>
          <w:p w14:paraId="59C1C27F" w14:textId="77777777" w:rsidR="00101AFE" w:rsidRPr="00CB093C" w:rsidRDefault="003D1F7F" w:rsidP="00101AFE">
            <w:pPr>
              <w:spacing w:before="0" w:after="0" w:line="200" w:lineRule="exact"/>
              <w:jc w:val="center"/>
              <w:rPr>
                <w:rFonts w:ascii="Arial" w:hAnsi="Arial" w:cs="Arial"/>
                <w:b/>
                <w:szCs w:val="22"/>
              </w:rPr>
            </w:pPr>
            <w:r w:rsidRPr="00CB093C">
              <w:rPr>
                <w:rFonts w:ascii="Arial" w:hAnsi="Arial" w:cs="Arial"/>
                <w:b/>
                <w:szCs w:val="22"/>
              </w:rPr>
              <w:t>Measurement</w:t>
            </w:r>
          </w:p>
          <w:p w14:paraId="794F6BEF" w14:textId="77777777" w:rsidR="003D1F7F" w:rsidRPr="00CB093C" w:rsidRDefault="003D1F7F" w:rsidP="00101AFE">
            <w:pPr>
              <w:spacing w:before="0" w:after="0" w:line="200" w:lineRule="exact"/>
              <w:jc w:val="center"/>
              <w:rPr>
                <w:rFonts w:ascii="Arial" w:hAnsi="Arial" w:cs="Arial"/>
                <w:b/>
                <w:szCs w:val="22"/>
              </w:rPr>
            </w:pPr>
            <w:r w:rsidRPr="00CB093C">
              <w:rPr>
                <w:rFonts w:ascii="Arial" w:hAnsi="Arial" w:cs="Arial"/>
                <w:b/>
                <w:szCs w:val="22"/>
              </w:rPr>
              <w:t>frequency</w:t>
            </w:r>
          </w:p>
        </w:tc>
        <w:tc>
          <w:tcPr>
            <w:tcW w:w="2596" w:type="dxa"/>
            <w:tcBorders>
              <w:top w:val="single" w:sz="4" w:space="0" w:color="auto"/>
              <w:bottom w:val="single" w:sz="4" w:space="0" w:color="auto"/>
            </w:tcBorders>
            <w:shd w:val="clear" w:color="auto" w:fill="BBE0E3"/>
            <w:vAlign w:val="center"/>
          </w:tcPr>
          <w:p w14:paraId="76EC9BF1" w14:textId="77777777" w:rsidR="003D1F7F" w:rsidRPr="00CB093C" w:rsidRDefault="003D1F7F" w:rsidP="00101AFE">
            <w:pPr>
              <w:spacing w:before="0" w:after="0" w:line="200" w:lineRule="exact"/>
              <w:jc w:val="center"/>
              <w:rPr>
                <w:rFonts w:ascii="Arial" w:hAnsi="Arial" w:cs="Arial"/>
                <w:b/>
                <w:szCs w:val="22"/>
              </w:rPr>
            </w:pPr>
            <w:r w:rsidRPr="00CB093C">
              <w:rPr>
                <w:rFonts w:ascii="Arial" w:hAnsi="Arial" w:cs="Arial"/>
                <w:b/>
                <w:szCs w:val="22"/>
              </w:rPr>
              <w:t>Reporting units</w:t>
            </w:r>
          </w:p>
        </w:tc>
        <w:tc>
          <w:tcPr>
            <w:tcW w:w="3261" w:type="dxa"/>
            <w:tcBorders>
              <w:top w:val="single" w:sz="4" w:space="0" w:color="auto"/>
              <w:bottom w:val="single" w:sz="4" w:space="0" w:color="auto"/>
            </w:tcBorders>
            <w:shd w:val="clear" w:color="auto" w:fill="BBE0E3"/>
            <w:vAlign w:val="center"/>
          </w:tcPr>
          <w:p w14:paraId="6E2770F2" w14:textId="77777777" w:rsidR="003D1F7F" w:rsidRPr="00CB093C" w:rsidRDefault="003D1F7F" w:rsidP="00101AFE">
            <w:pPr>
              <w:spacing w:before="0" w:after="0" w:line="200" w:lineRule="exact"/>
              <w:jc w:val="center"/>
              <w:rPr>
                <w:rFonts w:ascii="Arial" w:hAnsi="Arial" w:cs="Arial"/>
                <w:b/>
                <w:szCs w:val="22"/>
              </w:rPr>
            </w:pPr>
            <w:r w:rsidRPr="00CB093C">
              <w:rPr>
                <w:rFonts w:ascii="Arial" w:hAnsi="Arial" w:cs="Arial"/>
                <w:b/>
                <w:szCs w:val="22"/>
              </w:rPr>
              <w:t>Data source</w:t>
            </w:r>
          </w:p>
        </w:tc>
      </w:tr>
      <w:tr w:rsidR="003D1F7F" w:rsidRPr="00CB093C" w14:paraId="102FCDD6" w14:textId="77777777" w:rsidTr="00101AFE">
        <w:trPr>
          <w:trHeight w:val="397"/>
          <w:jc w:val="center"/>
        </w:trPr>
        <w:tc>
          <w:tcPr>
            <w:tcW w:w="2045" w:type="dxa"/>
            <w:tcBorders>
              <w:top w:val="single" w:sz="4" w:space="0" w:color="auto"/>
            </w:tcBorders>
            <w:shd w:val="clear" w:color="auto" w:fill="E7F3F4"/>
          </w:tcPr>
          <w:p w14:paraId="767C773B" w14:textId="77777777" w:rsidR="003D1F7F" w:rsidRPr="00CB093C" w:rsidRDefault="003D1F7F" w:rsidP="00101AFE">
            <w:pPr>
              <w:spacing w:before="0" w:after="0" w:line="200" w:lineRule="exact"/>
              <w:rPr>
                <w:rFonts w:ascii="Arial" w:hAnsi="Arial" w:cs="Arial"/>
                <w:i/>
                <w:szCs w:val="22"/>
              </w:rPr>
            </w:pPr>
            <w:r w:rsidRPr="00CB093C">
              <w:rPr>
                <w:rFonts w:ascii="Arial" w:hAnsi="Arial" w:cs="Arial"/>
                <w:i/>
                <w:szCs w:val="22"/>
              </w:rPr>
              <w:t>Climate</w:t>
            </w:r>
          </w:p>
        </w:tc>
        <w:tc>
          <w:tcPr>
            <w:tcW w:w="1990" w:type="dxa"/>
            <w:tcBorders>
              <w:top w:val="single" w:sz="4" w:space="0" w:color="auto"/>
            </w:tcBorders>
            <w:shd w:val="clear" w:color="auto" w:fill="E7F3F4"/>
          </w:tcPr>
          <w:p w14:paraId="1FF6F890" w14:textId="77777777" w:rsidR="003D1F7F" w:rsidRPr="00CB093C" w:rsidRDefault="003D1F7F" w:rsidP="00101AFE">
            <w:pPr>
              <w:spacing w:before="0" w:after="0" w:line="200" w:lineRule="exact"/>
              <w:rPr>
                <w:rFonts w:ascii="Arial" w:hAnsi="Arial" w:cs="Arial"/>
                <w:szCs w:val="22"/>
              </w:rPr>
            </w:pPr>
          </w:p>
        </w:tc>
        <w:tc>
          <w:tcPr>
            <w:tcW w:w="2977" w:type="dxa"/>
            <w:tcBorders>
              <w:top w:val="single" w:sz="4" w:space="0" w:color="auto"/>
            </w:tcBorders>
            <w:shd w:val="clear" w:color="auto" w:fill="E7F3F4"/>
          </w:tcPr>
          <w:p w14:paraId="60AA75F7" w14:textId="77777777" w:rsidR="003D1F7F" w:rsidRPr="00CB093C" w:rsidRDefault="003D1F7F" w:rsidP="00101AFE">
            <w:pPr>
              <w:spacing w:before="0" w:after="0" w:line="200" w:lineRule="exact"/>
              <w:rPr>
                <w:rFonts w:ascii="Arial" w:hAnsi="Arial" w:cs="Arial"/>
                <w:szCs w:val="22"/>
              </w:rPr>
            </w:pPr>
          </w:p>
        </w:tc>
        <w:tc>
          <w:tcPr>
            <w:tcW w:w="1515" w:type="dxa"/>
            <w:tcBorders>
              <w:top w:val="single" w:sz="4" w:space="0" w:color="auto"/>
            </w:tcBorders>
            <w:shd w:val="clear" w:color="auto" w:fill="E7F3F4"/>
          </w:tcPr>
          <w:p w14:paraId="067C73C7" w14:textId="77777777" w:rsidR="003D1F7F" w:rsidRPr="00CB093C" w:rsidRDefault="003D1F7F" w:rsidP="00101AFE">
            <w:pPr>
              <w:spacing w:before="0" w:after="0" w:line="200" w:lineRule="exact"/>
              <w:rPr>
                <w:rFonts w:ascii="Arial" w:hAnsi="Arial" w:cs="Arial"/>
                <w:szCs w:val="22"/>
              </w:rPr>
            </w:pPr>
          </w:p>
        </w:tc>
        <w:tc>
          <w:tcPr>
            <w:tcW w:w="2596" w:type="dxa"/>
            <w:tcBorders>
              <w:top w:val="single" w:sz="4" w:space="0" w:color="auto"/>
            </w:tcBorders>
            <w:shd w:val="clear" w:color="auto" w:fill="E7F3F4"/>
          </w:tcPr>
          <w:p w14:paraId="6F72541C" w14:textId="77777777" w:rsidR="003D1F7F" w:rsidRPr="00CB093C" w:rsidRDefault="003D1F7F" w:rsidP="00101AFE">
            <w:pPr>
              <w:spacing w:before="0" w:after="0" w:line="200" w:lineRule="exact"/>
              <w:rPr>
                <w:rFonts w:ascii="Arial" w:hAnsi="Arial" w:cs="Arial"/>
                <w:szCs w:val="22"/>
              </w:rPr>
            </w:pPr>
          </w:p>
        </w:tc>
        <w:tc>
          <w:tcPr>
            <w:tcW w:w="3261" w:type="dxa"/>
            <w:tcBorders>
              <w:top w:val="single" w:sz="4" w:space="0" w:color="auto"/>
            </w:tcBorders>
            <w:shd w:val="clear" w:color="auto" w:fill="E7F3F4"/>
          </w:tcPr>
          <w:p w14:paraId="1011A691" w14:textId="77777777" w:rsidR="003D1F7F" w:rsidRPr="00CB093C" w:rsidRDefault="003D1F7F" w:rsidP="00101AFE">
            <w:pPr>
              <w:spacing w:before="0" w:after="0" w:line="200" w:lineRule="exact"/>
              <w:rPr>
                <w:rFonts w:ascii="Arial" w:hAnsi="Arial" w:cs="Arial"/>
                <w:szCs w:val="22"/>
              </w:rPr>
            </w:pPr>
          </w:p>
        </w:tc>
      </w:tr>
      <w:tr w:rsidR="003D1F7F" w:rsidRPr="00CB093C" w14:paraId="6DDE0F88" w14:textId="77777777" w:rsidTr="00101AFE">
        <w:trPr>
          <w:trHeight w:val="397"/>
          <w:jc w:val="center"/>
        </w:trPr>
        <w:tc>
          <w:tcPr>
            <w:tcW w:w="2045" w:type="dxa"/>
            <w:shd w:val="clear" w:color="auto" w:fill="E7F3F4"/>
          </w:tcPr>
          <w:p w14:paraId="14F85752" w14:textId="77777777" w:rsidR="003D1F7F" w:rsidRPr="00CB093C" w:rsidRDefault="003D1F7F" w:rsidP="00037AE5">
            <w:pPr>
              <w:spacing w:before="0" w:after="0"/>
              <w:ind w:left="176"/>
              <w:rPr>
                <w:rFonts w:ascii="Arial" w:hAnsi="Arial" w:cs="Arial"/>
                <w:szCs w:val="22"/>
              </w:rPr>
            </w:pPr>
            <w:r w:rsidRPr="00CB093C">
              <w:rPr>
                <w:rFonts w:ascii="Arial" w:hAnsi="Arial" w:cs="Arial"/>
                <w:szCs w:val="22"/>
              </w:rPr>
              <w:t>Cyclones</w:t>
            </w:r>
          </w:p>
        </w:tc>
        <w:tc>
          <w:tcPr>
            <w:tcW w:w="1990" w:type="dxa"/>
            <w:shd w:val="clear" w:color="auto" w:fill="E7F3F4"/>
          </w:tcPr>
          <w:p w14:paraId="163AB0B2" w14:textId="4C8881B0" w:rsidR="003D1F7F" w:rsidRPr="00CB093C" w:rsidRDefault="00037AE5" w:rsidP="00E70F6B">
            <w:pPr>
              <w:spacing w:before="0" w:after="0"/>
              <w:rPr>
                <w:rFonts w:ascii="Arial" w:hAnsi="Arial" w:cs="Arial"/>
                <w:szCs w:val="22"/>
              </w:rPr>
            </w:pPr>
            <w:r w:rsidRPr="00CB093C">
              <w:rPr>
                <w:rFonts w:ascii="Arial" w:hAnsi="Arial" w:cs="Arial"/>
                <w:szCs w:val="22"/>
              </w:rPr>
              <w:t>1968</w:t>
            </w:r>
            <w:r w:rsidR="00AD633E" w:rsidRPr="00CB093C">
              <w:rPr>
                <w:rFonts w:ascii="Arial" w:hAnsi="Arial" w:cs="Arial"/>
                <w:szCs w:val="22"/>
              </w:rPr>
              <w:t>–</w:t>
            </w:r>
            <w:r w:rsidRPr="00CB093C">
              <w:rPr>
                <w:rFonts w:ascii="Arial" w:hAnsi="Arial" w:cs="Arial"/>
                <w:szCs w:val="22"/>
              </w:rPr>
              <w:t>201</w:t>
            </w:r>
            <w:r w:rsidR="00E70F6B" w:rsidRPr="00CB093C">
              <w:rPr>
                <w:rFonts w:ascii="Arial" w:hAnsi="Arial" w:cs="Arial"/>
                <w:szCs w:val="22"/>
              </w:rPr>
              <w:t>8</w:t>
            </w:r>
          </w:p>
        </w:tc>
        <w:tc>
          <w:tcPr>
            <w:tcW w:w="2977" w:type="dxa"/>
            <w:shd w:val="clear" w:color="auto" w:fill="E7F3F4"/>
          </w:tcPr>
          <w:p w14:paraId="64995036" w14:textId="77777777" w:rsidR="003D1F7F" w:rsidRPr="00CB093C" w:rsidRDefault="00037AE5" w:rsidP="00037AE5">
            <w:pPr>
              <w:spacing w:before="0" w:after="0"/>
              <w:rPr>
                <w:rFonts w:ascii="Arial" w:hAnsi="Arial" w:cs="Arial"/>
                <w:szCs w:val="22"/>
              </w:rPr>
            </w:pPr>
            <w:r w:rsidRPr="00CB093C">
              <w:rPr>
                <w:rFonts w:ascii="Arial" w:hAnsi="Arial" w:cs="Arial"/>
                <w:szCs w:val="22"/>
              </w:rPr>
              <w:t>remote sensing and observations at nearest weather station</w:t>
            </w:r>
          </w:p>
        </w:tc>
        <w:tc>
          <w:tcPr>
            <w:tcW w:w="1515" w:type="dxa"/>
            <w:shd w:val="clear" w:color="auto" w:fill="E7F3F4"/>
          </w:tcPr>
          <w:p w14:paraId="68A7269E" w14:textId="77777777" w:rsidR="003D1F7F" w:rsidRPr="00CB093C" w:rsidRDefault="00F6139F" w:rsidP="00037AE5">
            <w:pPr>
              <w:spacing w:before="0" w:after="0"/>
              <w:rPr>
                <w:rFonts w:ascii="Arial" w:hAnsi="Arial" w:cs="Arial"/>
                <w:szCs w:val="22"/>
              </w:rPr>
            </w:pPr>
            <w:r w:rsidRPr="00CB093C">
              <w:rPr>
                <w:rFonts w:ascii="Arial" w:hAnsi="Arial" w:cs="Arial"/>
                <w:szCs w:val="22"/>
              </w:rPr>
              <w:t>yearly</w:t>
            </w:r>
          </w:p>
        </w:tc>
        <w:tc>
          <w:tcPr>
            <w:tcW w:w="2596" w:type="dxa"/>
            <w:shd w:val="clear" w:color="auto" w:fill="E7F3F4"/>
          </w:tcPr>
          <w:p w14:paraId="6F817707" w14:textId="77777777" w:rsidR="003D1F7F" w:rsidRPr="00CB093C" w:rsidRDefault="003D1F7F" w:rsidP="00037AE5">
            <w:pPr>
              <w:spacing w:before="0" w:after="0"/>
              <w:rPr>
                <w:rFonts w:ascii="Arial" w:hAnsi="Arial" w:cs="Arial"/>
                <w:szCs w:val="22"/>
              </w:rPr>
            </w:pPr>
            <w:r w:rsidRPr="00CB093C">
              <w:rPr>
                <w:rFonts w:ascii="Arial" w:hAnsi="Arial" w:cs="Arial"/>
                <w:szCs w:val="22"/>
              </w:rPr>
              <w:t>No. yr</w:t>
            </w:r>
            <w:r w:rsidRPr="00CB093C">
              <w:rPr>
                <w:rFonts w:ascii="Arial" w:hAnsi="Arial" w:cs="Arial"/>
                <w:szCs w:val="22"/>
                <w:vertAlign w:val="superscript"/>
              </w:rPr>
              <w:t>-1</w:t>
            </w:r>
          </w:p>
        </w:tc>
        <w:tc>
          <w:tcPr>
            <w:tcW w:w="3261" w:type="dxa"/>
            <w:shd w:val="clear" w:color="auto" w:fill="E7F3F4"/>
          </w:tcPr>
          <w:p w14:paraId="54C03C81" w14:textId="77777777" w:rsidR="003D1F7F" w:rsidRPr="00CB093C" w:rsidRDefault="003D1F7F" w:rsidP="00037AE5">
            <w:pPr>
              <w:spacing w:before="0" w:after="0"/>
              <w:rPr>
                <w:rFonts w:ascii="Arial" w:hAnsi="Arial" w:cs="Arial"/>
                <w:szCs w:val="22"/>
              </w:rPr>
            </w:pPr>
            <w:r w:rsidRPr="00CB093C">
              <w:rPr>
                <w:rFonts w:ascii="Arial" w:hAnsi="Arial" w:cs="Arial"/>
                <w:szCs w:val="22"/>
              </w:rPr>
              <w:t xml:space="preserve">Bureau of </w:t>
            </w:r>
            <w:r w:rsidR="00037AE5" w:rsidRPr="00CB093C">
              <w:rPr>
                <w:rFonts w:ascii="Arial" w:hAnsi="Arial" w:cs="Arial"/>
                <w:szCs w:val="22"/>
              </w:rPr>
              <w:t>M</w:t>
            </w:r>
            <w:r w:rsidRPr="00CB093C">
              <w:rPr>
                <w:rFonts w:ascii="Arial" w:hAnsi="Arial" w:cs="Arial"/>
                <w:szCs w:val="22"/>
              </w:rPr>
              <w:t>eteorology</w:t>
            </w:r>
          </w:p>
        </w:tc>
      </w:tr>
      <w:tr w:rsidR="003D1F7F" w:rsidRPr="00CB093C" w14:paraId="04091E56" w14:textId="77777777" w:rsidTr="00101AFE">
        <w:trPr>
          <w:trHeight w:val="397"/>
          <w:jc w:val="center"/>
        </w:trPr>
        <w:tc>
          <w:tcPr>
            <w:tcW w:w="2045" w:type="dxa"/>
            <w:shd w:val="clear" w:color="auto" w:fill="E7F3F4"/>
          </w:tcPr>
          <w:p w14:paraId="7B06B91B" w14:textId="77777777" w:rsidR="003D1F7F" w:rsidRPr="00CB093C" w:rsidRDefault="003D1F7F" w:rsidP="00037AE5">
            <w:pPr>
              <w:spacing w:before="0" w:after="0"/>
              <w:ind w:left="176"/>
              <w:rPr>
                <w:rFonts w:ascii="Arial" w:hAnsi="Arial" w:cs="Arial"/>
                <w:szCs w:val="22"/>
              </w:rPr>
            </w:pPr>
            <w:r w:rsidRPr="00CB093C">
              <w:rPr>
                <w:rFonts w:ascii="Arial" w:hAnsi="Arial" w:cs="Arial"/>
                <w:szCs w:val="22"/>
              </w:rPr>
              <w:t>Rainfall</w:t>
            </w:r>
          </w:p>
        </w:tc>
        <w:tc>
          <w:tcPr>
            <w:tcW w:w="1990" w:type="dxa"/>
            <w:shd w:val="clear" w:color="auto" w:fill="E7F3F4"/>
          </w:tcPr>
          <w:p w14:paraId="4BF845CE" w14:textId="78452D8F" w:rsidR="003D1F7F" w:rsidRPr="00CB093C" w:rsidRDefault="00F6139F" w:rsidP="00E70F6B">
            <w:pPr>
              <w:spacing w:before="0" w:after="0"/>
              <w:rPr>
                <w:rFonts w:ascii="Arial" w:hAnsi="Arial" w:cs="Arial"/>
                <w:szCs w:val="22"/>
              </w:rPr>
            </w:pPr>
            <w:r w:rsidRPr="00CB093C">
              <w:rPr>
                <w:rFonts w:ascii="Arial" w:hAnsi="Arial" w:cs="Arial"/>
                <w:szCs w:val="22"/>
              </w:rPr>
              <w:t>1889</w:t>
            </w:r>
            <w:r w:rsidR="00AD633E" w:rsidRPr="00CB093C">
              <w:rPr>
                <w:rFonts w:ascii="Arial" w:hAnsi="Arial" w:cs="Arial"/>
                <w:szCs w:val="22"/>
              </w:rPr>
              <w:t>–</w:t>
            </w:r>
            <w:r w:rsidRPr="00CB093C">
              <w:rPr>
                <w:rFonts w:ascii="Arial" w:hAnsi="Arial" w:cs="Arial"/>
                <w:szCs w:val="22"/>
              </w:rPr>
              <w:t>201</w:t>
            </w:r>
            <w:r w:rsidR="00E70F6B" w:rsidRPr="00CB093C">
              <w:rPr>
                <w:rFonts w:ascii="Arial" w:hAnsi="Arial" w:cs="Arial"/>
                <w:szCs w:val="22"/>
              </w:rPr>
              <w:t>8</w:t>
            </w:r>
            <w:r w:rsidRPr="00CB093C">
              <w:rPr>
                <w:rFonts w:ascii="Arial" w:hAnsi="Arial" w:cs="Arial"/>
                <w:szCs w:val="22"/>
              </w:rPr>
              <w:t>*</w:t>
            </w:r>
          </w:p>
        </w:tc>
        <w:tc>
          <w:tcPr>
            <w:tcW w:w="2977" w:type="dxa"/>
            <w:shd w:val="clear" w:color="auto" w:fill="E7F3F4"/>
          </w:tcPr>
          <w:p w14:paraId="0E9AD990" w14:textId="77777777" w:rsidR="003D1F7F" w:rsidRPr="00CB093C" w:rsidRDefault="00037AE5" w:rsidP="00037AE5">
            <w:pPr>
              <w:spacing w:before="0" w:after="0"/>
              <w:rPr>
                <w:rFonts w:ascii="Arial" w:hAnsi="Arial" w:cs="Arial"/>
                <w:szCs w:val="22"/>
              </w:rPr>
            </w:pPr>
            <w:r w:rsidRPr="00CB093C">
              <w:rPr>
                <w:rFonts w:ascii="Arial" w:hAnsi="Arial" w:cs="Arial"/>
                <w:szCs w:val="22"/>
              </w:rPr>
              <w:t>r</w:t>
            </w:r>
            <w:r w:rsidR="003D1F7F" w:rsidRPr="00CB093C">
              <w:rPr>
                <w:rFonts w:ascii="Arial" w:hAnsi="Arial" w:cs="Arial"/>
                <w:szCs w:val="22"/>
              </w:rPr>
              <w:t>ain gauges</w:t>
            </w:r>
            <w:r w:rsidRPr="00CB093C">
              <w:rPr>
                <w:rFonts w:ascii="Arial" w:hAnsi="Arial" w:cs="Arial"/>
                <w:szCs w:val="22"/>
              </w:rPr>
              <w:t xml:space="preserve"> at nearest weather station</w:t>
            </w:r>
          </w:p>
        </w:tc>
        <w:tc>
          <w:tcPr>
            <w:tcW w:w="1515" w:type="dxa"/>
            <w:shd w:val="clear" w:color="auto" w:fill="E7F3F4"/>
          </w:tcPr>
          <w:p w14:paraId="6599281A" w14:textId="77777777" w:rsidR="003D1F7F" w:rsidRPr="00CB093C" w:rsidRDefault="00F6139F" w:rsidP="00037AE5">
            <w:pPr>
              <w:spacing w:before="0" w:after="0"/>
              <w:rPr>
                <w:rFonts w:ascii="Arial" w:hAnsi="Arial" w:cs="Arial"/>
                <w:szCs w:val="22"/>
              </w:rPr>
            </w:pPr>
            <w:r w:rsidRPr="00CB093C">
              <w:rPr>
                <w:rFonts w:ascii="Arial" w:hAnsi="Arial" w:cs="Arial"/>
                <w:szCs w:val="22"/>
              </w:rPr>
              <w:t>d</w:t>
            </w:r>
            <w:r w:rsidR="003D1F7F" w:rsidRPr="00CB093C">
              <w:rPr>
                <w:rFonts w:ascii="Arial" w:hAnsi="Arial" w:cs="Arial"/>
                <w:szCs w:val="22"/>
              </w:rPr>
              <w:t>aily</w:t>
            </w:r>
          </w:p>
        </w:tc>
        <w:tc>
          <w:tcPr>
            <w:tcW w:w="2596" w:type="dxa"/>
            <w:shd w:val="clear" w:color="auto" w:fill="E7F3F4"/>
          </w:tcPr>
          <w:p w14:paraId="3FA44F87" w14:textId="77777777" w:rsidR="003D1F7F" w:rsidRPr="00CB093C" w:rsidRDefault="00101AFE" w:rsidP="00037AE5">
            <w:pPr>
              <w:spacing w:before="0" w:after="0"/>
              <w:rPr>
                <w:rFonts w:ascii="Arial" w:hAnsi="Arial" w:cs="Arial"/>
                <w:szCs w:val="22"/>
              </w:rPr>
            </w:pPr>
            <w:r w:rsidRPr="00CB093C">
              <w:rPr>
                <w:rFonts w:ascii="Arial" w:hAnsi="Arial" w:cs="Arial"/>
                <w:szCs w:val="22"/>
              </w:rPr>
              <w:t>m</w:t>
            </w:r>
            <w:r w:rsidR="003D1F7F" w:rsidRPr="00CB093C">
              <w:rPr>
                <w:rFonts w:ascii="Arial" w:hAnsi="Arial" w:cs="Arial"/>
                <w:szCs w:val="22"/>
              </w:rPr>
              <w:t>m mo</w:t>
            </w:r>
            <w:r w:rsidR="003D1F7F" w:rsidRPr="00CB093C">
              <w:rPr>
                <w:rFonts w:ascii="Arial" w:hAnsi="Arial" w:cs="Arial"/>
                <w:szCs w:val="22"/>
                <w:vertAlign w:val="superscript"/>
              </w:rPr>
              <w:t>-1</w:t>
            </w:r>
          </w:p>
          <w:p w14:paraId="1D8BBEF8" w14:textId="77777777" w:rsidR="003D1F7F" w:rsidRPr="00CB093C" w:rsidRDefault="003D1F7F" w:rsidP="00037AE5">
            <w:pPr>
              <w:spacing w:before="0" w:after="0"/>
              <w:rPr>
                <w:rFonts w:ascii="Arial" w:hAnsi="Arial" w:cs="Arial"/>
                <w:szCs w:val="22"/>
              </w:rPr>
            </w:pPr>
            <w:r w:rsidRPr="00CB093C">
              <w:rPr>
                <w:rFonts w:ascii="Arial" w:hAnsi="Arial" w:cs="Arial"/>
                <w:szCs w:val="22"/>
              </w:rPr>
              <w:t>mm yr</w:t>
            </w:r>
            <w:r w:rsidRPr="00CB093C">
              <w:rPr>
                <w:rFonts w:ascii="Arial" w:hAnsi="Arial" w:cs="Arial"/>
                <w:szCs w:val="22"/>
                <w:vertAlign w:val="superscript"/>
              </w:rPr>
              <w:t>-1</w:t>
            </w:r>
          </w:p>
        </w:tc>
        <w:tc>
          <w:tcPr>
            <w:tcW w:w="3261" w:type="dxa"/>
            <w:shd w:val="clear" w:color="auto" w:fill="E7F3F4"/>
          </w:tcPr>
          <w:p w14:paraId="1529EA2B" w14:textId="77777777" w:rsidR="003D1F7F" w:rsidRPr="00CB093C" w:rsidRDefault="00037AE5" w:rsidP="00037AE5">
            <w:pPr>
              <w:spacing w:before="0" w:after="0"/>
              <w:rPr>
                <w:rFonts w:ascii="Arial" w:hAnsi="Arial" w:cs="Arial"/>
                <w:szCs w:val="22"/>
              </w:rPr>
            </w:pPr>
            <w:r w:rsidRPr="00CB093C">
              <w:rPr>
                <w:rFonts w:ascii="Arial" w:hAnsi="Arial" w:cs="Arial"/>
                <w:szCs w:val="22"/>
              </w:rPr>
              <w:t>Bureau of M</w:t>
            </w:r>
            <w:r w:rsidR="003D1F7F" w:rsidRPr="00CB093C">
              <w:rPr>
                <w:rFonts w:ascii="Arial" w:hAnsi="Arial" w:cs="Arial"/>
                <w:szCs w:val="22"/>
              </w:rPr>
              <w:t>eteorology</w:t>
            </w:r>
          </w:p>
        </w:tc>
      </w:tr>
      <w:tr w:rsidR="003D1F7F" w:rsidRPr="00CB093C" w14:paraId="339E0D48" w14:textId="77777777" w:rsidTr="00101AFE">
        <w:trPr>
          <w:trHeight w:val="397"/>
          <w:jc w:val="center"/>
        </w:trPr>
        <w:tc>
          <w:tcPr>
            <w:tcW w:w="2045" w:type="dxa"/>
            <w:shd w:val="clear" w:color="auto" w:fill="E7F3F4"/>
          </w:tcPr>
          <w:p w14:paraId="6CDD6AE2" w14:textId="77777777" w:rsidR="003D1F7F" w:rsidRPr="00CB093C" w:rsidRDefault="003D1F7F" w:rsidP="00037AE5">
            <w:pPr>
              <w:spacing w:before="0" w:after="0"/>
              <w:ind w:left="176"/>
              <w:rPr>
                <w:rFonts w:ascii="Arial" w:hAnsi="Arial" w:cs="Arial"/>
                <w:szCs w:val="22"/>
              </w:rPr>
            </w:pPr>
            <w:r w:rsidRPr="00CB093C">
              <w:rPr>
                <w:rFonts w:ascii="Arial" w:hAnsi="Arial" w:cs="Arial"/>
                <w:szCs w:val="22"/>
              </w:rPr>
              <w:t>Riverine discharge</w:t>
            </w:r>
          </w:p>
        </w:tc>
        <w:tc>
          <w:tcPr>
            <w:tcW w:w="1990" w:type="dxa"/>
            <w:shd w:val="clear" w:color="auto" w:fill="E7F3F4"/>
          </w:tcPr>
          <w:p w14:paraId="055A4F4D" w14:textId="6E3A29B1" w:rsidR="003D1F7F" w:rsidRPr="00CB093C" w:rsidRDefault="003D1F7F" w:rsidP="00E70F6B">
            <w:pPr>
              <w:spacing w:before="0" w:after="0"/>
              <w:rPr>
                <w:rFonts w:ascii="Arial" w:hAnsi="Arial" w:cs="Arial"/>
                <w:szCs w:val="22"/>
              </w:rPr>
            </w:pPr>
            <w:r w:rsidRPr="00CB093C">
              <w:rPr>
                <w:rFonts w:ascii="Arial" w:hAnsi="Arial" w:cs="Arial"/>
                <w:szCs w:val="22"/>
              </w:rPr>
              <w:t>1970</w:t>
            </w:r>
            <w:r w:rsidR="00AD633E" w:rsidRPr="00CB093C">
              <w:rPr>
                <w:rFonts w:ascii="Arial" w:hAnsi="Arial" w:cs="Arial"/>
                <w:szCs w:val="22"/>
              </w:rPr>
              <w:t>–</w:t>
            </w:r>
            <w:r w:rsidRPr="00CB093C">
              <w:rPr>
                <w:rFonts w:ascii="Arial" w:hAnsi="Arial" w:cs="Arial"/>
                <w:szCs w:val="22"/>
              </w:rPr>
              <w:t>201</w:t>
            </w:r>
            <w:r w:rsidR="00E70F6B" w:rsidRPr="00CB093C">
              <w:rPr>
                <w:rFonts w:ascii="Arial" w:hAnsi="Arial" w:cs="Arial"/>
                <w:szCs w:val="22"/>
              </w:rPr>
              <w:t>8</w:t>
            </w:r>
          </w:p>
        </w:tc>
        <w:tc>
          <w:tcPr>
            <w:tcW w:w="2977" w:type="dxa"/>
            <w:shd w:val="clear" w:color="auto" w:fill="E7F3F4"/>
          </w:tcPr>
          <w:p w14:paraId="74A0DF5D" w14:textId="77777777" w:rsidR="003D1F7F" w:rsidRPr="00CB093C" w:rsidRDefault="00037AE5" w:rsidP="00037AE5">
            <w:pPr>
              <w:spacing w:before="0" w:after="0"/>
              <w:rPr>
                <w:rFonts w:ascii="Arial" w:hAnsi="Arial" w:cs="Arial"/>
                <w:szCs w:val="22"/>
              </w:rPr>
            </w:pPr>
            <w:r w:rsidRPr="00CB093C">
              <w:rPr>
                <w:rFonts w:ascii="Arial" w:hAnsi="Arial" w:cs="Arial"/>
                <w:szCs w:val="22"/>
              </w:rPr>
              <w:t>water g</w:t>
            </w:r>
            <w:r w:rsidR="003D1F7F" w:rsidRPr="00CB093C">
              <w:rPr>
                <w:rFonts w:ascii="Arial" w:hAnsi="Arial" w:cs="Arial"/>
                <w:szCs w:val="22"/>
              </w:rPr>
              <w:t>auging stations at river mouth</w:t>
            </w:r>
          </w:p>
        </w:tc>
        <w:tc>
          <w:tcPr>
            <w:tcW w:w="1515" w:type="dxa"/>
            <w:shd w:val="clear" w:color="auto" w:fill="E7F3F4"/>
          </w:tcPr>
          <w:p w14:paraId="5AA5DAEF" w14:textId="77777777" w:rsidR="003D1F7F" w:rsidRPr="00CB093C" w:rsidRDefault="003D1F7F" w:rsidP="00037AE5">
            <w:pPr>
              <w:spacing w:before="0" w:after="0"/>
              <w:rPr>
                <w:rFonts w:ascii="Arial" w:hAnsi="Arial" w:cs="Arial"/>
                <w:szCs w:val="22"/>
              </w:rPr>
            </w:pPr>
          </w:p>
        </w:tc>
        <w:tc>
          <w:tcPr>
            <w:tcW w:w="2596" w:type="dxa"/>
            <w:shd w:val="clear" w:color="auto" w:fill="E7F3F4"/>
          </w:tcPr>
          <w:p w14:paraId="27CCEF3F" w14:textId="77777777" w:rsidR="003D1F7F" w:rsidRPr="00CB093C" w:rsidRDefault="003D1F7F" w:rsidP="00037AE5">
            <w:pPr>
              <w:spacing w:before="0" w:after="0"/>
              <w:rPr>
                <w:rFonts w:ascii="Arial" w:hAnsi="Arial" w:cs="Arial"/>
                <w:szCs w:val="22"/>
                <w:vertAlign w:val="superscript"/>
              </w:rPr>
            </w:pPr>
            <w:r w:rsidRPr="00CB093C">
              <w:rPr>
                <w:rFonts w:ascii="Arial" w:hAnsi="Arial" w:cs="Arial"/>
                <w:szCs w:val="22"/>
              </w:rPr>
              <w:t>L d</w:t>
            </w:r>
            <w:r w:rsidRPr="00CB093C">
              <w:rPr>
                <w:rFonts w:ascii="Arial" w:hAnsi="Arial" w:cs="Arial"/>
                <w:szCs w:val="22"/>
                <w:vertAlign w:val="superscript"/>
              </w:rPr>
              <w:t>-1</w:t>
            </w:r>
          </w:p>
          <w:p w14:paraId="7C03175A" w14:textId="77777777" w:rsidR="003D1F7F" w:rsidRPr="00CB093C" w:rsidRDefault="003D1F7F" w:rsidP="00037AE5">
            <w:pPr>
              <w:spacing w:before="0" w:after="0"/>
              <w:rPr>
                <w:rFonts w:ascii="Arial" w:hAnsi="Arial" w:cs="Arial"/>
                <w:szCs w:val="22"/>
              </w:rPr>
            </w:pPr>
            <w:r w:rsidRPr="00CB093C">
              <w:rPr>
                <w:rFonts w:ascii="Arial" w:hAnsi="Arial" w:cs="Arial"/>
                <w:szCs w:val="22"/>
              </w:rPr>
              <w:t>L yr</w:t>
            </w:r>
            <w:r w:rsidRPr="00CB093C">
              <w:rPr>
                <w:rFonts w:ascii="Arial" w:hAnsi="Arial" w:cs="Arial"/>
                <w:szCs w:val="22"/>
                <w:vertAlign w:val="superscript"/>
              </w:rPr>
              <w:t>-1</w:t>
            </w:r>
          </w:p>
        </w:tc>
        <w:tc>
          <w:tcPr>
            <w:tcW w:w="3261" w:type="dxa"/>
            <w:shd w:val="clear" w:color="auto" w:fill="E7F3F4"/>
          </w:tcPr>
          <w:p w14:paraId="1DA3E53D" w14:textId="55A13C97" w:rsidR="003D1F7F" w:rsidRPr="00CB093C" w:rsidRDefault="00322A68" w:rsidP="00513C39">
            <w:pPr>
              <w:spacing w:before="0" w:after="0"/>
              <w:rPr>
                <w:rFonts w:ascii="Arial" w:hAnsi="Arial" w:cs="Arial"/>
                <w:szCs w:val="22"/>
              </w:rPr>
            </w:pPr>
            <w:r w:rsidRPr="00CB093C">
              <w:rPr>
                <w:rFonts w:ascii="Arial" w:hAnsi="Arial" w:cs="Arial"/>
                <w:szCs w:val="22"/>
              </w:rPr>
              <w:t>DES</w:t>
            </w:r>
            <w:r w:rsidR="00C3035F" w:rsidRPr="00CB093C">
              <w:rPr>
                <w:rFonts w:ascii="Arial" w:hAnsi="Arial" w:cs="Arial"/>
                <w:szCs w:val="22"/>
                <w:vertAlign w:val="superscript"/>
              </w:rPr>
              <w:t>#</w:t>
            </w:r>
            <w:r w:rsidR="003D1F7F" w:rsidRPr="00CB093C">
              <w:rPr>
                <w:rFonts w:ascii="Arial" w:hAnsi="Arial" w:cs="Arial"/>
                <w:szCs w:val="22"/>
              </w:rPr>
              <w:t xml:space="preserve">, compiled by </w:t>
            </w:r>
            <w:hyperlink w:anchor="_ENREF_65" w:tooltip="Gruber, 2019 #1186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Gruber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2019</w:t>
              </w:r>
              <w:r w:rsidR="00513C39" w:rsidRPr="00CB093C">
                <w:rPr>
                  <w:rFonts w:ascii="Arial" w:hAnsi="Arial" w:cs="Arial"/>
                  <w:szCs w:val="22"/>
                </w:rPr>
                <w:fldChar w:fldCharType="end"/>
              </w:r>
            </w:hyperlink>
          </w:p>
        </w:tc>
      </w:tr>
      <w:tr w:rsidR="003D1F7F" w:rsidRPr="00CB093C" w14:paraId="5FE54245" w14:textId="77777777" w:rsidTr="00101AFE">
        <w:trPr>
          <w:trHeight w:val="397"/>
          <w:jc w:val="center"/>
        </w:trPr>
        <w:tc>
          <w:tcPr>
            <w:tcW w:w="2045" w:type="dxa"/>
            <w:tcBorders>
              <w:bottom w:val="nil"/>
            </w:tcBorders>
            <w:shd w:val="clear" w:color="auto" w:fill="E7F3F4"/>
          </w:tcPr>
          <w:p w14:paraId="51705EDE" w14:textId="77777777" w:rsidR="003D1F7F" w:rsidRPr="00CB093C" w:rsidRDefault="003D1F7F" w:rsidP="00037AE5">
            <w:pPr>
              <w:spacing w:before="0" w:after="0"/>
              <w:ind w:left="176"/>
              <w:rPr>
                <w:rFonts w:ascii="Arial" w:hAnsi="Arial" w:cs="Arial"/>
                <w:szCs w:val="22"/>
              </w:rPr>
            </w:pPr>
            <w:r w:rsidRPr="00CB093C">
              <w:rPr>
                <w:rFonts w:ascii="Arial" w:hAnsi="Arial" w:cs="Arial"/>
                <w:szCs w:val="22"/>
              </w:rPr>
              <w:t>Plume exposure</w:t>
            </w:r>
          </w:p>
        </w:tc>
        <w:tc>
          <w:tcPr>
            <w:tcW w:w="1990" w:type="dxa"/>
            <w:tcBorders>
              <w:bottom w:val="nil"/>
            </w:tcBorders>
            <w:shd w:val="clear" w:color="auto" w:fill="E7F3F4"/>
          </w:tcPr>
          <w:p w14:paraId="5EF45113" w14:textId="429AF1EC" w:rsidR="003D1F7F" w:rsidRPr="00CB093C" w:rsidRDefault="003D1F7F" w:rsidP="00037AE5">
            <w:pPr>
              <w:spacing w:before="0" w:after="0"/>
              <w:rPr>
                <w:rFonts w:ascii="Arial" w:hAnsi="Arial" w:cs="Arial"/>
                <w:szCs w:val="22"/>
              </w:rPr>
            </w:pPr>
            <w:r w:rsidRPr="00CB093C">
              <w:rPr>
                <w:rFonts w:ascii="Arial" w:hAnsi="Arial" w:cs="Arial"/>
                <w:szCs w:val="22"/>
              </w:rPr>
              <w:t>2006</w:t>
            </w:r>
            <w:r w:rsidR="00AD633E" w:rsidRPr="00CB093C">
              <w:rPr>
                <w:rFonts w:ascii="Arial" w:hAnsi="Arial" w:cs="Arial"/>
                <w:szCs w:val="22"/>
              </w:rPr>
              <w:t>–</w:t>
            </w:r>
            <w:r w:rsidRPr="00CB093C">
              <w:rPr>
                <w:rFonts w:ascii="Arial" w:hAnsi="Arial" w:cs="Arial"/>
                <w:szCs w:val="22"/>
              </w:rPr>
              <w:t>201</w:t>
            </w:r>
            <w:r w:rsidR="00E70F6B" w:rsidRPr="00CB093C">
              <w:rPr>
                <w:rFonts w:ascii="Arial" w:hAnsi="Arial" w:cs="Arial"/>
                <w:szCs w:val="22"/>
              </w:rPr>
              <w:t>8</w:t>
            </w:r>
          </w:p>
          <w:p w14:paraId="5DD72B5B" w14:textId="4A2229EC" w:rsidR="003D1F7F" w:rsidRPr="00CB093C" w:rsidRDefault="003D1F7F" w:rsidP="00037AE5">
            <w:pPr>
              <w:spacing w:before="0" w:after="0"/>
              <w:rPr>
                <w:rFonts w:ascii="Arial" w:hAnsi="Arial" w:cs="Arial"/>
                <w:szCs w:val="22"/>
              </w:rPr>
            </w:pPr>
            <w:r w:rsidRPr="00CB093C">
              <w:rPr>
                <w:rFonts w:ascii="Arial" w:hAnsi="Arial" w:cs="Arial"/>
                <w:szCs w:val="22"/>
              </w:rPr>
              <w:t>wet season (</w:t>
            </w:r>
            <w:r w:rsidR="00101AFE" w:rsidRPr="00CB093C">
              <w:rPr>
                <w:rFonts w:ascii="Arial" w:hAnsi="Arial" w:cs="Arial"/>
                <w:szCs w:val="22"/>
              </w:rPr>
              <w:t>De</w:t>
            </w:r>
            <w:r w:rsidR="00AD633E" w:rsidRPr="00CB093C">
              <w:rPr>
                <w:rFonts w:ascii="Arial" w:hAnsi="Arial" w:cs="Arial"/>
                <w:szCs w:val="22"/>
              </w:rPr>
              <w:t>c</w:t>
            </w:r>
            <w:r w:rsidRPr="00CB093C">
              <w:rPr>
                <w:rFonts w:ascii="Arial" w:hAnsi="Arial" w:cs="Arial"/>
                <w:szCs w:val="22"/>
              </w:rPr>
              <w:t>–</w:t>
            </w:r>
            <w:r w:rsidR="00101AFE" w:rsidRPr="00CB093C">
              <w:rPr>
                <w:rFonts w:ascii="Arial" w:hAnsi="Arial" w:cs="Arial"/>
                <w:szCs w:val="22"/>
              </w:rPr>
              <w:t>Apr</w:t>
            </w:r>
            <w:r w:rsidRPr="00CB093C">
              <w:rPr>
                <w:rFonts w:ascii="Arial" w:hAnsi="Arial" w:cs="Arial"/>
                <w:szCs w:val="22"/>
              </w:rPr>
              <w:t>)</w:t>
            </w:r>
          </w:p>
        </w:tc>
        <w:tc>
          <w:tcPr>
            <w:tcW w:w="2977" w:type="dxa"/>
            <w:tcBorders>
              <w:bottom w:val="nil"/>
            </w:tcBorders>
            <w:shd w:val="clear" w:color="auto" w:fill="E7F3F4"/>
          </w:tcPr>
          <w:p w14:paraId="22A719A7" w14:textId="77777777" w:rsidR="003D1F7F" w:rsidRPr="00CB093C" w:rsidRDefault="00037AE5" w:rsidP="00037AE5">
            <w:pPr>
              <w:spacing w:before="0" w:after="0"/>
              <w:rPr>
                <w:rFonts w:ascii="Arial" w:hAnsi="Arial" w:cs="Arial"/>
                <w:szCs w:val="22"/>
              </w:rPr>
            </w:pPr>
            <w:r w:rsidRPr="00CB093C">
              <w:rPr>
                <w:rFonts w:ascii="Arial" w:hAnsi="Arial" w:cs="Arial"/>
                <w:szCs w:val="22"/>
              </w:rPr>
              <w:t>r</w:t>
            </w:r>
            <w:r w:rsidR="003D1F7F" w:rsidRPr="00CB093C">
              <w:rPr>
                <w:rFonts w:ascii="Arial" w:hAnsi="Arial" w:cs="Arial"/>
                <w:szCs w:val="22"/>
              </w:rPr>
              <w:t>emo</w:t>
            </w:r>
            <w:r w:rsidRPr="00CB093C">
              <w:rPr>
                <w:rFonts w:ascii="Arial" w:hAnsi="Arial" w:cs="Arial"/>
                <w:szCs w:val="22"/>
              </w:rPr>
              <w:t>te sensing and field validation</w:t>
            </w:r>
          </w:p>
        </w:tc>
        <w:tc>
          <w:tcPr>
            <w:tcW w:w="1515" w:type="dxa"/>
            <w:tcBorders>
              <w:bottom w:val="nil"/>
            </w:tcBorders>
            <w:shd w:val="clear" w:color="auto" w:fill="E7F3F4"/>
          </w:tcPr>
          <w:p w14:paraId="7F8FDC1A" w14:textId="77777777" w:rsidR="003D1F7F" w:rsidRPr="00CB093C" w:rsidRDefault="00F6139F" w:rsidP="00037AE5">
            <w:pPr>
              <w:spacing w:before="0" w:after="0"/>
              <w:rPr>
                <w:rFonts w:ascii="Arial" w:hAnsi="Arial" w:cs="Arial"/>
                <w:szCs w:val="22"/>
              </w:rPr>
            </w:pPr>
            <w:r w:rsidRPr="00CB093C">
              <w:rPr>
                <w:rFonts w:ascii="Arial" w:hAnsi="Arial" w:cs="Arial"/>
                <w:szCs w:val="22"/>
              </w:rPr>
              <w:t>w</w:t>
            </w:r>
            <w:r w:rsidR="003D1F7F" w:rsidRPr="00CB093C">
              <w:rPr>
                <w:rFonts w:ascii="Arial" w:hAnsi="Arial" w:cs="Arial"/>
                <w:szCs w:val="22"/>
              </w:rPr>
              <w:t>eekly</w:t>
            </w:r>
          </w:p>
        </w:tc>
        <w:tc>
          <w:tcPr>
            <w:tcW w:w="2596" w:type="dxa"/>
            <w:tcBorders>
              <w:bottom w:val="nil"/>
            </w:tcBorders>
            <w:shd w:val="clear" w:color="auto" w:fill="E7F3F4"/>
          </w:tcPr>
          <w:p w14:paraId="4CFBD9BD" w14:textId="2A0367AC" w:rsidR="003D1F7F" w:rsidRPr="00CB093C" w:rsidRDefault="00101AFE" w:rsidP="00037AE5">
            <w:pPr>
              <w:spacing w:before="0" w:after="0"/>
              <w:rPr>
                <w:rFonts w:ascii="Arial" w:hAnsi="Arial" w:cs="Arial"/>
                <w:szCs w:val="22"/>
              </w:rPr>
            </w:pPr>
            <w:r w:rsidRPr="00CB093C">
              <w:rPr>
                <w:rFonts w:ascii="Arial" w:hAnsi="Arial" w:cs="Arial"/>
                <w:szCs w:val="22"/>
              </w:rPr>
              <w:t>f</w:t>
            </w:r>
            <w:r w:rsidR="003D1F7F" w:rsidRPr="00CB093C">
              <w:rPr>
                <w:rFonts w:ascii="Arial" w:hAnsi="Arial" w:cs="Arial"/>
                <w:szCs w:val="22"/>
              </w:rPr>
              <w:t>requency of water type (1</w:t>
            </w:r>
            <w:r w:rsidR="00AD633E" w:rsidRPr="00CB093C">
              <w:rPr>
                <w:rFonts w:ascii="Arial" w:hAnsi="Arial" w:cs="Arial"/>
                <w:szCs w:val="22"/>
              </w:rPr>
              <w:t>–</w:t>
            </w:r>
            <w:r w:rsidR="003D1F7F" w:rsidRPr="00CB093C">
              <w:rPr>
                <w:rFonts w:ascii="Arial" w:hAnsi="Arial" w:cs="Arial"/>
                <w:szCs w:val="22"/>
              </w:rPr>
              <w:t>6)</w:t>
            </w:r>
            <w:r w:rsidR="00C3035F" w:rsidRPr="00CB093C">
              <w:rPr>
                <w:rFonts w:ascii="Arial" w:hAnsi="Arial" w:cs="Arial"/>
                <w:szCs w:val="22"/>
              </w:rPr>
              <w:t xml:space="preserve"> at the site</w:t>
            </w:r>
          </w:p>
        </w:tc>
        <w:tc>
          <w:tcPr>
            <w:tcW w:w="3261" w:type="dxa"/>
            <w:tcBorders>
              <w:bottom w:val="nil"/>
            </w:tcBorders>
            <w:shd w:val="clear" w:color="auto" w:fill="E7F3F4"/>
          </w:tcPr>
          <w:p w14:paraId="74DD1115" w14:textId="5AECEBE3" w:rsidR="003D1F7F" w:rsidRPr="00CB093C" w:rsidRDefault="003D1F7F" w:rsidP="00513C39">
            <w:pPr>
              <w:spacing w:before="0" w:after="0"/>
              <w:rPr>
                <w:rFonts w:ascii="Arial" w:hAnsi="Arial" w:cs="Arial"/>
                <w:szCs w:val="22"/>
              </w:rPr>
            </w:pPr>
            <w:r w:rsidRPr="00CB093C">
              <w:rPr>
                <w:rFonts w:ascii="Arial" w:hAnsi="Arial" w:cs="Arial"/>
                <w:szCs w:val="22"/>
              </w:rPr>
              <w:t>MMP inshore water quality program (</w:t>
            </w:r>
            <w:hyperlink w:anchor="_ENREF_65" w:tooltip="Gruber, 2019 #1186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Gruber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2019</w:t>
              </w:r>
              <w:r w:rsidR="00513C39" w:rsidRPr="00CB093C">
                <w:rPr>
                  <w:rFonts w:ascii="Arial" w:hAnsi="Arial" w:cs="Arial"/>
                  <w:szCs w:val="22"/>
                </w:rPr>
                <w:fldChar w:fldCharType="end"/>
              </w:r>
            </w:hyperlink>
            <w:r w:rsidR="009B09C9" w:rsidRPr="00CB093C">
              <w:rPr>
                <w:rFonts w:ascii="Arial" w:hAnsi="Arial" w:cs="Arial"/>
                <w:szCs w:val="22"/>
              </w:rPr>
              <w:t>)</w:t>
            </w:r>
          </w:p>
        </w:tc>
      </w:tr>
      <w:tr w:rsidR="003D1F7F" w:rsidRPr="00CB093C" w14:paraId="3AB29AEC" w14:textId="77777777" w:rsidTr="00101AFE">
        <w:trPr>
          <w:trHeight w:val="397"/>
          <w:jc w:val="center"/>
        </w:trPr>
        <w:tc>
          <w:tcPr>
            <w:tcW w:w="2045" w:type="dxa"/>
            <w:tcBorders>
              <w:bottom w:val="nil"/>
            </w:tcBorders>
            <w:shd w:val="clear" w:color="auto" w:fill="E7F3F4"/>
          </w:tcPr>
          <w:p w14:paraId="792C43C7" w14:textId="77777777" w:rsidR="003D1F7F" w:rsidRPr="00CB093C" w:rsidRDefault="003D1F7F" w:rsidP="00037AE5">
            <w:pPr>
              <w:spacing w:before="0" w:after="0"/>
              <w:ind w:left="176"/>
              <w:rPr>
                <w:rFonts w:ascii="Arial" w:hAnsi="Arial" w:cs="Arial"/>
                <w:szCs w:val="22"/>
              </w:rPr>
            </w:pPr>
            <w:r w:rsidRPr="00CB093C">
              <w:rPr>
                <w:rFonts w:ascii="Arial" w:hAnsi="Arial" w:cs="Arial"/>
                <w:szCs w:val="22"/>
              </w:rPr>
              <w:t>Wind</w:t>
            </w:r>
          </w:p>
        </w:tc>
        <w:tc>
          <w:tcPr>
            <w:tcW w:w="1990" w:type="dxa"/>
            <w:tcBorders>
              <w:bottom w:val="nil"/>
            </w:tcBorders>
            <w:shd w:val="clear" w:color="auto" w:fill="E7F3F4"/>
          </w:tcPr>
          <w:p w14:paraId="32312D05" w14:textId="28A5BC8A" w:rsidR="003D1F7F" w:rsidRPr="00CB093C" w:rsidRDefault="003D1F7F" w:rsidP="00E70F6B">
            <w:pPr>
              <w:spacing w:before="0" w:after="0"/>
              <w:rPr>
                <w:rFonts w:ascii="Arial" w:hAnsi="Arial" w:cs="Arial"/>
                <w:szCs w:val="22"/>
              </w:rPr>
            </w:pPr>
            <w:r w:rsidRPr="00CB093C">
              <w:rPr>
                <w:rFonts w:ascii="Arial" w:hAnsi="Arial" w:cs="Arial"/>
                <w:szCs w:val="22"/>
              </w:rPr>
              <w:t>1997–201</w:t>
            </w:r>
            <w:r w:rsidR="00E70F6B" w:rsidRPr="00CB093C">
              <w:rPr>
                <w:rFonts w:ascii="Arial" w:hAnsi="Arial" w:cs="Arial"/>
                <w:szCs w:val="22"/>
              </w:rPr>
              <w:t>8</w:t>
            </w:r>
            <w:r w:rsidRPr="00CB093C">
              <w:rPr>
                <w:rFonts w:ascii="Arial" w:hAnsi="Arial" w:cs="Arial"/>
                <w:szCs w:val="22"/>
              </w:rPr>
              <w:t>*</w:t>
            </w:r>
          </w:p>
        </w:tc>
        <w:tc>
          <w:tcPr>
            <w:tcW w:w="2977" w:type="dxa"/>
            <w:tcBorders>
              <w:bottom w:val="nil"/>
            </w:tcBorders>
            <w:shd w:val="clear" w:color="auto" w:fill="E7F3F4"/>
          </w:tcPr>
          <w:p w14:paraId="2398D8E2" w14:textId="77777777" w:rsidR="003D1F7F" w:rsidRPr="00CB093C" w:rsidRDefault="006C265D" w:rsidP="006C265D">
            <w:pPr>
              <w:spacing w:before="0" w:after="0"/>
              <w:rPr>
                <w:rFonts w:ascii="Arial" w:hAnsi="Arial" w:cs="Arial"/>
                <w:szCs w:val="22"/>
              </w:rPr>
            </w:pPr>
            <w:r w:rsidRPr="00CB093C">
              <w:rPr>
                <w:rFonts w:ascii="Arial" w:hAnsi="Arial" w:cs="Arial"/>
                <w:szCs w:val="22"/>
              </w:rPr>
              <w:t xml:space="preserve">anemometer at 10 m above the surface, </w:t>
            </w:r>
            <w:r w:rsidR="00037AE5" w:rsidRPr="00CB093C">
              <w:rPr>
                <w:rFonts w:ascii="Arial" w:hAnsi="Arial" w:cs="Arial"/>
                <w:szCs w:val="22"/>
              </w:rPr>
              <w:t>averaged over 10 minutes</w:t>
            </w:r>
            <w:r w:rsidRPr="00CB093C">
              <w:rPr>
                <w:rFonts w:ascii="Arial" w:hAnsi="Arial" w:cs="Arial"/>
                <w:szCs w:val="22"/>
              </w:rPr>
              <w:t>,</w:t>
            </w:r>
            <w:r w:rsidR="00037AE5" w:rsidRPr="00CB093C">
              <w:rPr>
                <w:rFonts w:ascii="Arial" w:hAnsi="Arial" w:cs="Arial"/>
                <w:szCs w:val="22"/>
              </w:rPr>
              <w:t xml:space="preserve"> at nearest weather station</w:t>
            </w:r>
          </w:p>
        </w:tc>
        <w:tc>
          <w:tcPr>
            <w:tcW w:w="1515" w:type="dxa"/>
            <w:tcBorders>
              <w:bottom w:val="nil"/>
            </w:tcBorders>
            <w:shd w:val="clear" w:color="auto" w:fill="E7F3F4"/>
          </w:tcPr>
          <w:p w14:paraId="39C51531" w14:textId="77777777" w:rsidR="003D1F7F" w:rsidRPr="00CB093C" w:rsidRDefault="003D1F7F" w:rsidP="00037AE5">
            <w:pPr>
              <w:spacing w:before="0" w:after="0"/>
              <w:rPr>
                <w:rFonts w:ascii="Arial" w:hAnsi="Arial" w:cs="Arial"/>
                <w:szCs w:val="22"/>
              </w:rPr>
            </w:pPr>
            <w:r w:rsidRPr="00CB093C">
              <w:rPr>
                <w:rFonts w:ascii="Arial" w:hAnsi="Arial" w:cs="Arial"/>
                <w:szCs w:val="22"/>
              </w:rPr>
              <w:t>3pm wind speed</w:t>
            </w:r>
          </w:p>
        </w:tc>
        <w:tc>
          <w:tcPr>
            <w:tcW w:w="2596" w:type="dxa"/>
            <w:tcBorders>
              <w:bottom w:val="nil"/>
            </w:tcBorders>
            <w:shd w:val="clear" w:color="auto" w:fill="E7F3F4"/>
          </w:tcPr>
          <w:p w14:paraId="58CAD064" w14:textId="77777777" w:rsidR="003D1F7F" w:rsidRPr="00CB093C" w:rsidRDefault="003D1F7F" w:rsidP="00037AE5">
            <w:pPr>
              <w:spacing w:before="0" w:after="0"/>
              <w:rPr>
                <w:rFonts w:ascii="Arial" w:hAnsi="Arial" w:cs="Arial"/>
                <w:szCs w:val="22"/>
              </w:rPr>
            </w:pPr>
            <w:r w:rsidRPr="00CB093C">
              <w:rPr>
                <w:rFonts w:ascii="Arial" w:hAnsi="Arial" w:cs="Arial"/>
                <w:szCs w:val="22"/>
              </w:rPr>
              <w:t>days &gt;25 km hr</w:t>
            </w:r>
            <w:r w:rsidRPr="00CB093C">
              <w:rPr>
                <w:rFonts w:ascii="Arial" w:hAnsi="Arial" w:cs="Arial"/>
                <w:szCs w:val="22"/>
                <w:vertAlign w:val="superscript"/>
              </w:rPr>
              <w:t>-1</w:t>
            </w:r>
          </w:p>
        </w:tc>
        <w:tc>
          <w:tcPr>
            <w:tcW w:w="3261" w:type="dxa"/>
            <w:tcBorders>
              <w:bottom w:val="nil"/>
            </w:tcBorders>
            <w:shd w:val="clear" w:color="auto" w:fill="E7F3F4"/>
          </w:tcPr>
          <w:p w14:paraId="77A97320" w14:textId="77777777" w:rsidR="003D1F7F" w:rsidRPr="00CB093C" w:rsidRDefault="003D1F7F" w:rsidP="00037AE5">
            <w:pPr>
              <w:spacing w:before="0" w:after="0"/>
              <w:rPr>
                <w:rFonts w:ascii="Arial" w:hAnsi="Arial" w:cs="Arial"/>
                <w:szCs w:val="22"/>
              </w:rPr>
            </w:pPr>
            <w:r w:rsidRPr="00CB093C">
              <w:rPr>
                <w:rFonts w:ascii="Arial" w:hAnsi="Arial" w:cs="Arial"/>
                <w:szCs w:val="22"/>
              </w:rPr>
              <w:t xml:space="preserve">Bureau of </w:t>
            </w:r>
            <w:r w:rsidR="00037AE5" w:rsidRPr="00CB093C">
              <w:rPr>
                <w:rFonts w:ascii="Arial" w:hAnsi="Arial" w:cs="Arial"/>
                <w:szCs w:val="22"/>
              </w:rPr>
              <w:t>M</w:t>
            </w:r>
            <w:r w:rsidRPr="00CB093C">
              <w:rPr>
                <w:rFonts w:ascii="Arial" w:hAnsi="Arial" w:cs="Arial"/>
                <w:szCs w:val="22"/>
              </w:rPr>
              <w:t>eteorology</w:t>
            </w:r>
          </w:p>
        </w:tc>
      </w:tr>
      <w:tr w:rsidR="003D1F7F" w:rsidRPr="00CB093C" w14:paraId="5A255796" w14:textId="77777777" w:rsidTr="00101AFE">
        <w:trPr>
          <w:trHeight w:val="397"/>
          <w:jc w:val="center"/>
        </w:trPr>
        <w:tc>
          <w:tcPr>
            <w:tcW w:w="2045" w:type="dxa"/>
            <w:tcBorders>
              <w:bottom w:val="nil"/>
            </w:tcBorders>
            <w:shd w:val="clear" w:color="auto" w:fill="E7F3F4"/>
          </w:tcPr>
          <w:p w14:paraId="70EE12CB" w14:textId="77777777" w:rsidR="003D1F7F" w:rsidRPr="00CB093C" w:rsidRDefault="003D1F7F" w:rsidP="00037AE5">
            <w:pPr>
              <w:spacing w:before="0" w:after="0"/>
              <w:ind w:left="176"/>
              <w:rPr>
                <w:rFonts w:ascii="Arial" w:hAnsi="Arial" w:cs="Arial"/>
                <w:szCs w:val="22"/>
              </w:rPr>
            </w:pPr>
            <w:r w:rsidRPr="00CB093C">
              <w:rPr>
                <w:rFonts w:ascii="Arial" w:hAnsi="Arial" w:cs="Arial"/>
                <w:szCs w:val="22"/>
              </w:rPr>
              <w:t>Tidal exposure</w:t>
            </w:r>
          </w:p>
        </w:tc>
        <w:tc>
          <w:tcPr>
            <w:tcW w:w="1990" w:type="dxa"/>
            <w:tcBorders>
              <w:bottom w:val="nil"/>
            </w:tcBorders>
            <w:shd w:val="clear" w:color="auto" w:fill="E7F3F4"/>
          </w:tcPr>
          <w:p w14:paraId="7853E563" w14:textId="79C14FDA" w:rsidR="003D1F7F" w:rsidRPr="00CB093C" w:rsidRDefault="003D1F7F" w:rsidP="00E70F6B">
            <w:pPr>
              <w:spacing w:before="0" w:after="0"/>
              <w:rPr>
                <w:rFonts w:ascii="Arial" w:hAnsi="Arial" w:cs="Arial"/>
                <w:szCs w:val="22"/>
              </w:rPr>
            </w:pPr>
            <w:r w:rsidRPr="00CB093C">
              <w:rPr>
                <w:rFonts w:ascii="Arial" w:hAnsi="Arial" w:cs="Arial"/>
                <w:szCs w:val="22"/>
              </w:rPr>
              <w:t>1999–201</w:t>
            </w:r>
            <w:r w:rsidR="00E70F6B" w:rsidRPr="00CB093C">
              <w:rPr>
                <w:rFonts w:ascii="Arial" w:hAnsi="Arial" w:cs="Arial"/>
                <w:szCs w:val="22"/>
              </w:rPr>
              <w:t>8</w:t>
            </w:r>
          </w:p>
        </w:tc>
        <w:tc>
          <w:tcPr>
            <w:tcW w:w="2977" w:type="dxa"/>
            <w:tcBorders>
              <w:bottom w:val="nil"/>
            </w:tcBorders>
            <w:shd w:val="clear" w:color="auto" w:fill="E7F3F4"/>
          </w:tcPr>
          <w:p w14:paraId="4593F9AE" w14:textId="77777777" w:rsidR="003D1F7F" w:rsidRPr="00CB093C" w:rsidRDefault="00037AE5" w:rsidP="00037AE5">
            <w:pPr>
              <w:spacing w:before="0" w:after="0"/>
              <w:rPr>
                <w:rFonts w:ascii="Arial" w:hAnsi="Arial" w:cs="Arial"/>
                <w:szCs w:val="22"/>
              </w:rPr>
            </w:pPr>
            <w:r w:rsidRPr="00CB093C">
              <w:rPr>
                <w:rFonts w:ascii="Arial" w:hAnsi="Arial" w:cs="Arial"/>
                <w:szCs w:val="22"/>
              </w:rPr>
              <w:t>w</w:t>
            </w:r>
            <w:r w:rsidR="003D1F7F" w:rsidRPr="00CB093C">
              <w:rPr>
                <w:rFonts w:ascii="Arial" w:hAnsi="Arial" w:cs="Arial"/>
                <w:szCs w:val="22"/>
              </w:rPr>
              <w:t>ave height buoys at station nearest to monitoring site</w:t>
            </w:r>
          </w:p>
        </w:tc>
        <w:tc>
          <w:tcPr>
            <w:tcW w:w="1515" w:type="dxa"/>
            <w:tcBorders>
              <w:bottom w:val="nil"/>
            </w:tcBorders>
            <w:shd w:val="clear" w:color="auto" w:fill="E7F3F4"/>
          </w:tcPr>
          <w:p w14:paraId="58DE65A5" w14:textId="1738EE01" w:rsidR="003D1F7F" w:rsidRPr="00CB093C" w:rsidRDefault="003D1F7F" w:rsidP="00037AE5">
            <w:pPr>
              <w:spacing w:before="0" w:after="0"/>
              <w:rPr>
                <w:rFonts w:ascii="Arial" w:hAnsi="Arial" w:cs="Arial"/>
                <w:szCs w:val="22"/>
              </w:rPr>
            </w:pPr>
            <w:r w:rsidRPr="00CB093C">
              <w:rPr>
                <w:rFonts w:ascii="Arial" w:hAnsi="Arial" w:cs="Arial"/>
                <w:szCs w:val="22"/>
              </w:rPr>
              <w:t>3</w:t>
            </w:r>
            <w:r w:rsidR="00AD633E" w:rsidRPr="00CB093C">
              <w:rPr>
                <w:rFonts w:ascii="Arial" w:hAnsi="Arial" w:cs="Arial"/>
                <w:szCs w:val="22"/>
              </w:rPr>
              <w:t>–</w:t>
            </w:r>
            <w:r w:rsidRPr="00CB093C">
              <w:rPr>
                <w:rFonts w:ascii="Arial" w:hAnsi="Arial" w:cs="Arial"/>
                <w:szCs w:val="22"/>
              </w:rPr>
              <w:t>10 min</w:t>
            </w:r>
          </w:p>
        </w:tc>
        <w:tc>
          <w:tcPr>
            <w:tcW w:w="2596" w:type="dxa"/>
            <w:tcBorders>
              <w:bottom w:val="nil"/>
            </w:tcBorders>
            <w:shd w:val="clear" w:color="auto" w:fill="E7F3F4"/>
          </w:tcPr>
          <w:p w14:paraId="66EE582F" w14:textId="77777777" w:rsidR="003D1F7F" w:rsidRPr="00CB093C" w:rsidRDefault="007B0A21" w:rsidP="00037AE5">
            <w:pPr>
              <w:spacing w:before="0" w:after="0"/>
              <w:rPr>
                <w:rFonts w:ascii="Arial" w:hAnsi="Arial" w:cs="Arial"/>
                <w:szCs w:val="22"/>
              </w:rPr>
            </w:pPr>
            <w:r w:rsidRPr="00CB093C">
              <w:rPr>
                <w:rFonts w:ascii="Arial" w:hAnsi="Arial" w:cs="Arial"/>
                <w:szCs w:val="22"/>
              </w:rPr>
              <w:t>h</w:t>
            </w:r>
            <w:r w:rsidR="003D1F7F" w:rsidRPr="00CB093C">
              <w:rPr>
                <w:rFonts w:ascii="Arial" w:hAnsi="Arial" w:cs="Arial"/>
                <w:szCs w:val="22"/>
              </w:rPr>
              <w:t>ours exposed during daylight</w:t>
            </w:r>
          </w:p>
        </w:tc>
        <w:tc>
          <w:tcPr>
            <w:tcW w:w="3261" w:type="dxa"/>
            <w:tcBorders>
              <w:bottom w:val="nil"/>
            </w:tcBorders>
            <w:shd w:val="clear" w:color="auto" w:fill="E7F3F4"/>
          </w:tcPr>
          <w:p w14:paraId="60B9FCD5" w14:textId="77777777" w:rsidR="003D1F7F" w:rsidRPr="00CB093C" w:rsidRDefault="003D1F7F" w:rsidP="00037AE5">
            <w:pPr>
              <w:spacing w:before="0" w:after="0"/>
              <w:rPr>
                <w:rFonts w:ascii="Arial" w:hAnsi="Arial" w:cs="Arial"/>
                <w:szCs w:val="22"/>
              </w:rPr>
            </w:pPr>
            <w:r w:rsidRPr="00CB093C">
              <w:rPr>
                <w:rFonts w:ascii="Arial" w:hAnsi="Arial" w:cs="Arial"/>
                <w:szCs w:val="22"/>
              </w:rPr>
              <w:t xml:space="preserve">Maritime Safety Queensland, calculated exposure by </w:t>
            </w:r>
            <w:r w:rsidR="00101AFE" w:rsidRPr="00CB093C">
              <w:rPr>
                <w:rFonts w:ascii="Arial" w:hAnsi="Arial" w:cs="Arial"/>
                <w:szCs w:val="22"/>
              </w:rPr>
              <w:t>MMP Inshore Seagrass monitoring</w:t>
            </w:r>
          </w:p>
        </w:tc>
      </w:tr>
      <w:tr w:rsidR="003D1F7F" w:rsidRPr="00CB093C" w14:paraId="7D898E63" w14:textId="77777777" w:rsidTr="00101AFE">
        <w:trPr>
          <w:trHeight w:val="397"/>
          <w:jc w:val="center"/>
        </w:trPr>
        <w:tc>
          <w:tcPr>
            <w:tcW w:w="4035" w:type="dxa"/>
            <w:gridSpan w:val="2"/>
            <w:tcBorders>
              <w:top w:val="single" w:sz="4" w:space="0" w:color="auto"/>
            </w:tcBorders>
            <w:shd w:val="clear" w:color="auto" w:fill="F3F9FA"/>
          </w:tcPr>
          <w:p w14:paraId="3DFB3CD4" w14:textId="77777777" w:rsidR="003D1F7F" w:rsidRPr="00CB093C" w:rsidRDefault="003D1F7F" w:rsidP="00101AFE">
            <w:pPr>
              <w:spacing w:before="0" w:after="0" w:line="200" w:lineRule="exact"/>
              <w:rPr>
                <w:rFonts w:ascii="Arial" w:hAnsi="Arial" w:cs="Arial"/>
                <w:szCs w:val="22"/>
              </w:rPr>
            </w:pPr>
            <w:r w:rsidRPr="00CB093C">
              <w:rPr>
                <w:rFonts w:ascii="Arial" w:hAnsi="Arial" w:cs="Arial"/>
                <w:i/>
                <w:szCs w:val="22"/>
              </w:rPr>
              <w:t>Environment within seagrass canopy</w:t>
            </w:r>
          </w:p>
        </w:tc>
        <w:tc>
          <w:tcPr>
            <w:tcW w:w="2977" w:type="dxa"/>
            <w:tcBorders>
              <w:top w:val="single" w:sz="4" w:space="0" w:color="auto"/>
            </w:tcBorders>
            <w:shd w:val="clear" w:color="auto" w:fill="F3F9FA"/>
          </w:tcPr>
          <w:p w14:paraId="6A596455" w14:textId="77777777" w:rsidR="003D1F7F" w:rsidRPr="00CB093C" w:rsidRDefault="003D1F7F" w:rsidP="00101AFE">
            <w:pPr>
              <w:spacing w:before="0" w:after="0" w:line="200" w:lineRule="exact"/>
              <w:rPr>
                <w:rFonts w:ascii="Arial" w:hAnsi="Arial" w:cs="Arial"/>
                <w:szCs w:val="22"/>
              </w:rPr>
            </w:pPr>
          </w:p>
        </w:tc>
        <w:tc>
          <w:tcPr>
            <w:tcW w:w="1515" w:type="dxa"/>
            <w:tcBorders>
              <w:top w:val="single" w:sz="4" w:space="0" w:color="auto"/>
            </w:tcBorders>
            <w:shd w:val="clear" w:color="auto" w:fill="F3F9FA"/>
          </w:tcPr>
          <w:p w14:paraId="026B107C" w14:textId="77777777" w:rsidR="003D1F7F" w:rsidRPr="00CB093C" w:rsidRDefault="003D1F7F" w:rsidP="00101AFE">
            <w:pPr>
              <w:spacing w:before="0" w:after="0" w:line="200" w:lineRule="exact"/>
              <w:rPr>
                <w:rFonts w:ascii="Arial" w:hAnsi="Arial" w:cs="Arial"/>
                <w:szCs w:val="22"/>
              </w:rPr>
            </w:pPr>
          </w:p>
        </w:tc>
        <w:tc>
          <w:tcPr>
            <w:tcW w:w="2596" w:type="dxa"/>
            <w:tcBorders>
              <w:top w:val="single" w:sz="4" w:space="0" w:color="auto"/>
            </w:tcBorders>
            <w:shd w:val="clear" w:color="auto" w:fill="F3F9FA"/>
          </w:tcPr>
          <w:p w14:paraId="60642555" w14:textId="77777777" w:rsidR="003D1F7F" w:rsidRPr="00CB093C" w:rsidRDefault="003D1F7F" w:rsidP="00101AFE">
            <w:pPr>
              <w:spacing w:before="0" w:after="0" w:line="200" w:lineRule="exact"/>
              <w:rPr>
                <w:rFonts w:ascii="Arial" w:hAnsi="Arial" w:cs="Arial"/>
                <w:szCs w:val="22"/>
              </w:rPr>
            </w:pPr>
          </w:p>
        </w:tc>
        <w:tc>
          <w:tcPr>
            <w:tcW w:w="3261" w:type="dxa"/>
            <w:tcBorders>
              <w:top w:val="single" w:sz="4" w:space="0" w:color="auto"/>
            </w:tcBorders>
            <w:shd w:val="clear" w:color="auto" w:fill="F3F9FA"/>
          </w:tcPr>
          <w:p w14:paraId="7CF9283C" w14:textId="77777777" w:rsidR="003D1F7F" w:rsidRPr="00CB093C" w:rsidRDefault="003D1F7F" w:rsidP="00101AFE">
            <w:pPr>
              <w:spacing w:before="0" w:after="0" w:line="200" w:lineRule="exact"/>
              <w:rPr>
                <w:rFonts w:ascii="Arial" w:hAnsi="Arial" w:cs="Arial"/>
                <w:szCs w:val="22"/>
              </w:rPr>
            </w:pPr>
          </w:p>
        </w:tc>
      </w:tr>
      <w:tr w:rsidR="003D1F7F" w:rsidRPr="00CB093C" w14:paraId="6F610102" w14:textId="77777777" w:rsidTr="00101AFE">
        <w:trPr>
          <w:trHeight w:val="397"/>
          <w:jc w:val="center"/>
        </w:trPr>
        <w:tc>
          <w:tcPr>
            <w:tcW w:w="2045" w:type="dxa"/>
            <w:shd w:val="clear" w:color="auto" w:fill="F3F9FA"/>
          </w:tcPr>
          <w:p w14:paraId="21287144" w14:textId="77777777" w:rsidR="003D1F7F" w:rsidRPr="00CB093C" w:rsidRDefault="00101AFE" w:rsidP="00037AE5">
            <w:pPr>
              <w:spacing w:before="0" w:after="0" w:line="200" w:lineRule="exact"/>
              <w:ind w:left="176"/>
              <w:rPr>
                <w:rFonts w:ascii="Arial" w:hAnsi="Arial" w:cs="Arial"/>
                <w:szCs w:val="22"/>
              </w:rPr>
            </w:pPr>
            <w:r w:rsidRPr="00CB093C">
              <w:rPr>
                <w:rFonts w:ascii="Arial" w:hAnsi="Arial" w:cs="Arial"/>
                <w:szCs w:val="22"/>
              </w:rPr>
              <w:t xml:space="preserve">Water </w:t>
            </w:r>
            <w:r w:rsidR="003D1F7F" w:rsidRPr="00CB093C">
              <w:rPr>
                <w:rFonts w:ascii="Arial" w:hAnsi="Arial" w:cs="Arial"/>
                <w:szCs w:val="22"/>
              </w:rPr>
              <w:t>temperature</w:t>
            </w:r>
          </w:p>
        </w:tc>
        <w:tc>
          <w:tcPr>
            <w:tcW w:w="1990" w:type="dxa"/>
            <w:shd w:val="clear" w:color="auto" w:fill="F3F9FA"/>
          </w:tcPr>
          <w:p w14:paraId="278DF693" w14:textId="53124E24" w:rsidR="003D1F7F" w:rsidRPr="00CB093C" w:rsidRDefault="003D1F7F" w:rsidP="00E70F6B">
            <w:pPr>
              <w:spacing w:before="0" w:after="0" w:line="200" w:lineRule="exact"/>
              <w:rPr>
                <w:rFonts w:ascii="Arial" w:hAnsi="Arial" w:cs="Arial"/>
                <w:szCs w:val="22"/>
              </w:rPr>
            </w:pPr>
            <w:r w:rsidRPr="00CB093C">
              <w:rPr>
                <w:rFonts w:ascii="Arial" w:hAnsi="Arial" w:cs="Arial"/>
                <w:szCs w:val="22"/>
              </w:rPr>
              <w:t>2002</w:t>
            </w:r>
            <w:r w:rsidR="00AD633E" w:rsidRPr="00CB093C">
              <w:rPr>
                <w:rFonts w:ascii="Arial" w:hAnsi="Arial" w:cs="Arial"/>
                <w:szCs w:val="22"/>
              </w:rPr>
              <w:t>–</w:t>
            </w:r>
            <w:r w:rsidRPr="00CB093C">
              <w:rPr>
                <w:rFonts w:ascii="Arial" w:hAnsi="Arial" w:cs="Arial"/>
                <w:szCs w:val="22"/>
              </w:rPr>
              <w:t>201</w:t>
            </w:r>
            <w:r w:rsidR="00E70F6B" w:rsidRPr="00CB093C">
              <w:rPr>
                <w:rFonts w:ascii="Arial" w:hAnsi="Arial" w:cs="Arial"/>
                <w:szCs w:val="22"/>
              </w:rPr>
              <w:t>8</w:t>
            </w:r>
          </w:p>
        </w:tc>
        <w:tc>
          <w:tcPr>
            <w:tcW w:w="2977" w:type="dxa"/>
            <w:shd w:val="clear" w:color="auto" w:fill="F3F9FA"/>
          </w:tcPr>
          <w:p w14:paraId="0C393A13" w14:textId="77777777" w:rsidR="003D1F7F" w:rsidRPr="00CB093C" w:rsidRDefault="003D1F7F" w:rsidP="00101AFE">
            <w:pPr>
              <w:spacing w:before="0" w:after="0" w:line="200" w:lineRule="exact"/>
              <w:rPr>
                <w:rFonts w:ascii="Arial" w:hAnsi="Arial" w:cs="Arial"/>
                <w:szCs w:val="22"/>
              </w:rPr>
            </w:pPr>
            <w:r w:rsidRPr="00CB093C">
              <w:rPr>
                <w:rFonts w:ascii="Arial" w:hAnsi="Arial" w:cs="Arial"/>
                <w:szCs w:val="22"/>
              </w:rPr>
              <w:t>iBTag</w:t>
            </w:r>
          </w:p>
        </w:tc>
        <w:tc>
          <w:tcPr>
            <w:tcW w:w="1515" w:type="dxa"/>
            <w:shd w:val="clear" w:color="auto" w:fill="F3F9FA"/>
          </w:tcPr>
          <w:p w14:paraId="0A75A81F" w14:textId="14F16837" w:rsidR="003D1F7F" w:rsidRPr="00CB093C" w:rsidRDefault="003D1F7F" w:rsidP="00101AFE">
            <w:pPr>
              <w:spacing w:before="0" w:after="0" w:line="200" w:lineRule="exact"/>
              <w:rPr>
                <w:rFonts w:ascii="Arial" w:hAnsi="Arial" w:cs="Arial"/>
                <w:szCs w:val="22"/>
              </w:rPr>
            </w:pPr>
            <w:r w:rsidRPr="00CB093C">
              <w:rPr>
                <w:rFonts w:ascii="Arial" w:hAnsi="Arial" w:cs="Arial"/>
                <w:szCs w:val="22"/>
              </w:rPr>
              <w:t>30–90 min</w:t>
            </w:r>
          </w:p>
        </w:tc>
        <w:tc>
          <w:tcPr>
            <w:tcW w:w="2596" w:type="dxa"/>
            <w:shd w:val="clear" w:color="auto" w:fill="F3F9FA"/>
          </w:tcPr>
          <w:p w14:paraId="5EBF7019" w14:textId="4C235E58" w:rsidR="003D1F7F" w:rsidRPr="00CB093C" w:rsidRDefault="003D1F7F" w:rsidP="00101AFE">
            <w:pPr>
              <w:spacing w:before="0" w:after="0" w:line="200" w:lineRule="exact"/>
              <w:rPr>
                <w:rFonts w:ascii="Arial" w:hAnsi="Arial" w:cs="Arial"/>
                <w:szCs w:val="22"/>
              </w:rPr>
            </w:pPr>
            <w:r w:rsidRPr="00CB093C">
              <w:rPr>
                <w:rFonts w:ascii="Arial" w:hAnsi="Arial" w:cs="Arial"/>
                <w:szCs w:val="22"/>
                <w:vertAlign w:val="superscript"/>
              </w:rPr>
              <w:t>o</w:t>
            </w:r>
            <w:r w:rsidRPr="00CB093C">
              <w:rPr>
                <w:rFonts w:ascii="Arial" w:hAnsi="Arial" w:cs="Arial"/>
                <w:szCs w:val="22"/>
              </w:rPr>
              <w:t xml:space="preserve">C, </w:t>
            </w:r>
            <w:r w:rsidR="00322A68" w:rsidRPr="00CB093C">
              <w:rPr>
                <w:rFonts w:ascii="Arial" w:hAnsi="Arial" w:cs="Arial"/>
                <w:szCs w:val="22"/>
              </w:rPr>
              <w:t xml:space="preserve">temperature </w:t>
            </w:r>
            <w:r w:rsidRPr="00CB093C">
              <w:rPr>
                <w:rFonts w:ascii="Arial" w:hAnsi="Arial" w:cs="Arial"/>
                <w:szCs w:val="22"/>
              </w:rPr>
              <w:t>anomalies,</w:t>
            </w:r>
          </w:p>
          <w:p w14:paraId="713C49D1" w14:textId="77777777" w:rsidR="003D1F7F" w:rsidRPr="00CB093C" w:rsidRDefault="006C265D" w:rsidP="00101AFE">
            <w:pPr>
              <w:spacing w:before="0" w:after="0" w:line="200" w:lineRule="exact"/>
              <w:rPr>
                <w:rFonts w:ascii="Arial" w:hAnsi="Arial" w:cs="Arial"/>
                <w:szCs w:val="22"/>
              </w:rPr>
            </w:pPr>
            <w:r w:rsidRPr="00CB093C">
              <w:rPr>
                <w:rFonts w:ascii="Arial" w:hAnsi="Arial" w:cs="Arial"/>
                <w:szCs w:val="22"/>
              </w:rPr>
              <w:t>e</w:t>
            </w:r>
            <w:r w:rsidR="003D1F7F" w:rsidRPr="00CB093C">
              <w:rPr>
                <w:rFonts w:ascii="Arial" w:hAnsi="Arial" w:cs="Arial"/>
                <w:szCs w:val="22"/>
              </w:rPr>
              <w:t>xceedance of thresholds</w:t>
            </w:r>
          </w:p>
        </w:tc>
        <w:tc>
          <w:tcPr>
            <w:tcW w:w="3261" w:type="dxa"/>
            <w:shd w:val="clear" w:color="auto" w:fill="F3F9FA"/>
          </w:tcPr>
          <w:p w14:paraId="30E8D5DB" w14:textId="77777777" w:rsidR="003D1F7F" w:rsidRPr="00CB093C" w:rsidRDefault="00101AFE" w:rsidP="00101AFE">
            <w:pPr>
              <w:spacing w:before="0" w:after="0" w:line="200" w:lineRule="exact"/>
              <w:rPr>
                <w:rFonts w:ascii="Arial" w:hAnsi="Arial" w:cs="Arial"/>
                <w:szCs w:val="22"/>
              </w:rPr>
            </w:pPr>
            <w:r w:rsidRPr="00CB093C">
              <w:rPr>
                <w:rFonts w:ascii="Arial" w:hAnsi="Arial" w:cs="Arial"/>
                <w:szCs w:val="22"/>
              </w:rPr>
              <w:t xml:space="preserve">MMP </w:t>
            </w:r>
            <w:r w:rsidR="003D1F7F" w:rsidRPr="00CB093C">
              <w:rPr>
                <w:rFonts w:ascii="Arial" w:hAnsi="Arial" w:cs="Arial"/>
                <w:szCs w:val="22"/>
              </w:rPr>
              <w:t xml:space="preserve">Inshore </w:t>
            </w:r>
            <w:r w:rsidRPr="00CB093C">
              <w:rPr>
                <w:rFonts w:ascii="Arial" w:hAnsi="Arial" w:cs="Arial"/>
                <w:szCs w:val="22"/>
              </w:rPr>
              <w:t>S</w:t>
            </w:r>
            <w:r w:rsidR="003D1F7F" w:rsidRPr="00CB093C">
              <w:rPr>
                <w:rFonts w:ascii="Arial" w:hAnsi="Arial" w:cs="Arial"/>
                <w:szCs w:val="22"/>
              </w:rPr>
              <w:t>eagrass monitoring</w:t>
            </w:r>
          </w:p>
        </w:tc>
      </w:tr>
      <w:tr w:rsidR="003D1F7F" w:rsidRPr="00CB093C" w14:paraId="4D66F285" w14:textId="77777777" w:rsidTr="00101AFE">
        <w:trPr>
          <w:trHeight w:val="397"/>
          <w:jc w:val="center"/>
        </w:trPr>
        <w:tc>
          <w:tcPr>
            <w:tcW w:w="2045" w:type="dxa"/>
            <w:shd w:val="clear" w:color="auto" w:fill="F3F9FA"/>
          </w:tcPr>
          <w:p w14:paraId="77708A62" w14:textId="77777777" w:rsidR="003D1F7F" w:rsidRPr="00CB093C" w:rsidRDefault="00101AFE" w:rsidP="00101AFE">
            <w:pPr>
              <w:spacing w:before="0" w:after="0" w:line="200" w:lineRule="exact"/>
              <w:ind w:left="176"/>
              <w:rPr>
                <w:rFonts w:ascii="Arial" w:hAnsi="Arial" w:cs="Arial"/>
                <w:szCs w:val="22"/>
              </w:rPr>
            </w:pPr>
            <w:r w:rsidRPr="00CB093C">
              <w:rPr>
                <w:rFonts w:ascii="Arial" w:hAnsi="Arial" w:cs="Arial"/>
                <w:szCs w:val="22"/>
              </w:rPr>
              <w:t>L</w:t>
            </w:r>
            <w:r w:rsidR="003D1F7F" w:rsidRPr="00CB093C">
              <w:rPr>
                <w:rFonts w:ascii="Arial" w:hAnsi="Arial" w:cs="Arial"/>
                <w:szCs w:val="22"/>
              </w:rPr>
              <w:t>ight</w:t>
            </w:r>
          </w:p>
        </w:tc>
        <w:tc>
          <w:tcPr>
            <w:tcW w:w="1990" w:type="dxa"/>
            <w:shd w:val="clear" w:color="auto" w:fill="F3F9FA"/>
          </w:tcPr>
          <w:p w14:paraId="3379B7BB" w14:textId="0E109B13" w:rsidR="003D1F7F" w:rsidRPr="00CB093C" w:rsidRDefault="003D1F7F" w:rsidP="00E70F6B">
            <w:pPr>
              <w:spacing w:before="0" w:after="0" w:line="200" w:lineRule="exact"/>
              <w:rPr>
                <w:rFonts w:ascii="Arial" w:hAnsi="Arial" w:cs="Arial"/>
                <w:szCs w:val="22"/>
              </w:rPr>
            </w:pPr>
            <w:r w:rsidRPr="00CB093C">
              <w:rPr>
                <w:rFonts w:ascii="Arial" w:hAnsi="Arial" w:cs="Arial"/>
                <w:szCs w:val="22"/>
              </w:rPr>
              <w:t>2008</w:t>
            </w:r>
            <w:r w:rsidR="00AD633E" w:rsidRPr="00CB093C">
              <w:rPr>
                <w:rFonts w:ascii="Arial" w:hAnsi="Arial" w:cs="Arial"/>
                <w:szCs w:val="22"/>
              </w:rPr>
              <w:t>–</w:t>
            </w:r>
            <w:r w:rsidRPr="00CB093C">
              <w:rPr>
                <w:rFonts w:ascii="Arial" w:hAnsi="Arial" w:cs="Arial"/>
                <w:szCs w:val="22"/>
              </w:rPr>
              <w:t>201</w:t>
            </w:r>
            <w:r w:rsidR="00E70F6B" w:rsidRPr="00CB093C">
              <w:rPr>
                <w:rFonts w:ascii="Arial" w:hAnsi="Arial" w:cs="Arial"/>
                <w:szCs w:val="22"/>
              </w:rPr>
              <w:t>8</w:t>
            </w:r>
          </w:p>
        </w:tc>
        <w:tc>
          <w:tcPr>
            <w:tcW w:w="2977" w:type="dxa"/>
            <w:shd w:val="clear" w:color="auto" w:fill="F3F9FA"/>
          </w:tcPr>
          <w:p w14:paraId="5F8A4A96" w14:textId="77777777" w:rsidR="003D1F7F" w:rsidRPr="00CB093C" w:rsidRDefault="003D1F7F" w:rsidP="00101AFE">
            <w:pPr>
              <w:spacing w:before="0" w:after="0" w:line="200" w:lineRule="exact"/>
              <w:rPr>
                <w:rFonts w:ascii="Arial" w:hAnsi="Arial" w:cs="Arial"/>
                <w:szCs w:val="22"/>
              </w:rPr>
            </w:pPr>
            <w:r w:rsidRPr="00CB093C">
              <w:rPr>
                <w:rFonts w:ascii="Arial" w:hAnsi="Arial" w:cs="Arial"/>
                <w:szCs w:val="22"/>
              </w:rPr>
              <w:t>Odyssey 2Pi PAR light loggers with wiper unit</w:t>
            </w:r>
          </w:p>
        </w:tc>
        <w:tc>
          <w:tcPr>
            <w:tcW w:w="1515" w:type="dxa"/>
            <w:shd w:val="clear" w:color="auto" w:fill="F3F9FA"/>
          </w:tcPr>
          <w:p w14:paraId="575C4B89" w14:textId="77777777" w:rsidR="003D1F7F" w:rsidRPr="00CB093C" w:rsidRDefault="003D1F7F" w:rsidP="00101AFE">
            <w:pPr>
              <w:spacing w:before="0" w:after="0" w:line="200" w:lineRule="exact"/>
              <w:rPr>
                <w:rFonts w:ascii="Arial" w:hAnsi="Arial" w:cs="Arial"/>
                <w:szCs w:val="22"/>
              </w:rPr>
            </w:pPr>
            <w:r w:rsidRPr="00CB093C">
              <w:rPr>
                <w:rFonts w:ascii="Arial" w:hAnsi="Arial" w:cs="Arial"/>
                <w:szCs w:val="22"/>
              </w:rPr>
              <w:t>15 min</w:t>
            </w:r>
          </w:p>
        </w:tc>
        <w:tc>
          <w:tcPr>
            <w:tcW w:w="2596" w:type="dxa"/>
            <w:shd w:val="clear" w:color="auto" w:fill="F3F9FA"/>
          </w:tcPr>
          <w:p w14:paraId="0ACAA7F5" w14:textId="03E72C84" w:rsidR="003D1F7F" w:rsidRPr="00CB093C" w:rsidRDefault="00322A68" w:rsidP="00101AFE">
            <w:pPr>
              <w:spacing w:before="0" w:after="0" w:line="200" w:lineRule="exact"/>
              <w:rPr>
                <w:rFonts w:ascii="Arial" w:hAnsi="Arial" w:cs="Arial"/>
                <w:szCs w:val="22"/>
              </w:rPr>
            </w:pPr>
            <w:r w:rsidRPr="00CB093C">
              <w:rPr>
                <w:rFonts w:ascii="Arial" w:hAnsi="Arial" w:cs="Arial"/>
                <w:szCs w:val="22"/>
              </w:rPr>
              <w:t xml:space="preserve">daily </w:t>
            </w:r>
            <w:r w:rsidR="003D1F7F" w:rsidRPr="00CB093C">
              <w:rPr>
                <w:rFonts w:ascii="Arial" w:hAnsi="Arial" w:cs="Arial"/>
                <w:szCs w:val="22"/>
              </w:rPr>
              <w:t>light (I</w:t>
            </w:r>
            <w:r w:rsidR="003D1F7F" w:rsidRPr="00CB093C">
              <w:rPr>
                <w:rFonts w:ascii="Arial" w:hAnsi="Arial" w:cs="Arial"/>
                <w:szCs w:val="22"/>
                <w:vertAlign w:val="subscript"/>
              </w:rPr>
              <w:t>d</w:t>
            </w:r>
            <w:r w:rsidR="003D1F7F" w:rsidRPr="00CB093C">
              <w:rPr>
                <w:rFonts w:ascii="Arial" w:hAnsi="Arial" w:cs="Arial"/>
                <w:szCs w:val="22"/>
              </w:rPr>
              <w:t>) mol m</w:t>
            </w:r>
            <w:r w:rsidR="003D1F7F" w:rsidRPr="00CB093C">
              <w:rPr>
                <w:rFonts w:ascii="Arial" w:hAnsi="Arial" w:cs="Arial"/>
                <w:szCs w:val="22"/>
                <w:vertAlign w:val="superscript"/>
              </w:rPr>
              <w:t>-2</w:t>
            </w:r>
            <w:r w:rsidR="003D1F7F" w:rsidRPr="00CB093C">
              <w:rPr>
                <w:rFonts w:ascii="Arial" w:hAnsi="Arial" w:cs="Arial"/>
                <w:szCs w:val="22"/>
              </w:rPr>
              <w:t xml:space="preserve"> d</w:t>
            </w:r>
            <w:r w:rsidR="003D1F7F" w:rsidRPr="00CB093C">
              <w:rPr>
                <w:rFonts w:ascii="Arial" w:hAnsi="Arial" w:cs="Arial"/>
                <w:szCs w:val="22"/>
                <w:vertAlign w:val="superscript"/>
              </w:rPr>
              <w:t>-1</w:t>
            </w:r>
          </w:p>
          <w:p w14:paraId="1B9A05AC" w14:textId="6DF89909" w:rsidR="003D1F7F" w:rsidRPr="00CB093C" w:rsidRDefault="00322A68" w:rsidP="00101AFE">
            <w:pPr>
              <w:spacing w:before="0" w:after="0" w:line="200" w:lineRule="exact"/>
              <w:rPr>
                <w:rFonts w:ascii="Arial" w:hAnsi="Arial" w:cs="Arial"/>
                <w:szCs w:val="22"/>
              </w:rPr>
            </w:pPr>
            <w:r w:rsidRPr="00CB093C">
              <w:rPr>
                <w:rFonts w:ascii="Arial" w:hAnsi="Arial" w:cs="Arial"/>
                <w:szCs w:val="22"/>
              </w:rPr>
              <w:t xml:space="preserve">frequency </w:t>
            </w:r>
            <w:r w:rsidR="003D1F7F" w:rsidRPr="00CB093C">
              <w:rPr>
                <w:rFonts w:ascii="Arial" w:hAnsi="Arial" w:cs="Arial"/>
                <w:szCs w:val="22"/>
              </w:rPr>
              <w:t>of threshold exceedance (</w:t>
            </w:r>
            <w:r w:rsidR="00882B72" w:rsidRPr="00CB093C">
              <w:rPr>
                <w:rFonts w:ascii="Arial" w:hAnsi="Arial" w:cs="Arial"/>
                <w:szCs w:val="22"/>
              </w:rPr>
              <w:t>%</w:t>
            </w:r>
            <w:r w:rsidR="003D1F7F" w:rsidRPr="00CB093C">
              <w:rPr>
                <w:rFonts w:ascii="Arial" w:hAnsi="Arial" w:cs="Arial"/>
                <w:szCs w:val="22"/>
              </w:rPr>
              <w:t xml:space="preserve"> days)</w:t>
            </w:r>
          </w:p>
        </w:tc>
        <w:tc>
          <w:tcPr>
            <w:tcW w:w="3261" w:type="dxa"/>
            <w:shd w:val="clear" w:color="auto" w:fill="F3F9FA"/>
          </w:tcPr>
          <w:p w14:paraId="7ED85CA4" w14:textId="77777777" w:rsidR="003D1F7F" w:rsidRPr="00CB093C" w:rsidRDefault="00101AFE" w:rsidP="00101AFE">
            <w:pPr>
              <w:spacing w:before="0" w:after="0" w:line="200" w:lineRule="exact"/>
              <w:rPr>
                <w:rFonts w:ascii="Arial" w:hAnsi="Arial" w:cs="Arial"/>
                <w:szCs w:val="22"/>
              </w:rPr>
            </w:pPr>
            <w:r w:rsidRPr="00CB093C">
              <w:rPr>
                <w:rFonts w:ascii="Arial" w:hAnsi="Arial" w:cs="Arial"/>
                <w:szCs w:val="22"/>
              </w:rPr>
              <w:t>MMP Inshore Seagrass monitoring</w:t>
            </w:r>
          </w:p>
        </w:tc>
      </w:tr>
      <w:tr w:rsidR="003D1F7F" w:rsidRPr="00CB093C" w14:paraId="32E858CB" w14:textId="77777777" w:rsidTr="00101AFE">
        <w:trPr>
          <w:trHeight w:val="397"/>
          <w:jc w:val="center"/>
        </w:trPr>
        <w:tc>
          <w:tcPr>
            <w:tcW w:w="2045" w:type="dxa"/>
            <w:shd w:val="clear" w:color="auto" w:fill="F3F9FA"/>
          </w:tcPr>
          <w:p w14:paraId="0172A45F" w14:textId="77777777" w:rsidR="003D1F7F" w:rsidRPr="00CB093C" w:rsidRDefault="003D1F7F" w:rsidP="00101AFE">
            <w:pPr>
              <w:spacing w:before="0" w:after="0" w:line="200" w:lineRule="exact"/>
              <w:ind w:left="176"/>
              <w:rPr>
                <w:rFonts w:ascii="Arial" w:hAnsi="Arial" w:cs="Arial"/>
                <w:szCs w:val="22"/>
              </w:rPr>
            </w:pPr>
            <w:r w:rsidRPr="00CB093C">
              <w:rPr>
                <w:rFonts w:ascii="Arial" w:hAnsi="Arial" w:cs="Arial"/>
                <w:szCs w:val="22"/>
              </w:rPr>
              <w:t xml:space="preserve">Sediment </w:t>
            </w:r>
            <w:r w:rsidR="00101AFE" w:rsidRPr="00CB093C">
              <w:rPr>
                <w:rFonts w:ascii="Arial" w:hAnsi="Arial" w:cs="Arial"/>
                <w:szCs w:val="22"/>
              </w:rPr>
              <w:t>grain size</w:t>
            </w:r>
          </w:p>
        </w:tc>
        <w:tc>
          <w:tcPr>
            <w:tcW w:w="1990" w:type="dxa"/>
            <w:shd w:val="clear" w:color="auto" w:fill="F3F9FA"/>
          </w:tcPr>
          <w:p w14:paraId="26189200" w14:textId="3FD40BAF" w:rsidR="003D1F7F" w:rsidRPr="00CB093C" w:rsidRDefault="00101AFE" w:rsidP="00E70F6B">
            <w:pPr>
              <w:spacing w:before="0" w:after="0" w:line="200" w:lineRule="exact"/>
              <w:rPr>
                <w:rFonts w:ascii="Arial" w:hAnsi="Arial" w:cs="Arial"/>
                <w:szCs w:val="22"/>
              </w:rPr>
            </w:pPr>
            <w:r w:rsidRPr="00CB093C">
              <w:rPr>
                <w:rFonts w:ascii="Arial" w:hAnsi="Arial" w:cs="Arial"/>
                <w:szCs w:val="22"/>
              </w:rPr>
              <w:t>1999</w:t>
            </w:r>
            <w:r w:rsidR="00AD633E" w:rsidRPr="00CB093C">
              <w:rPr>
                <w:rFonts w:ascii="Arial" w:hAnsi="Arial" w:cs="Arial"/>
                <w:szCs w:val="22"/>
              </w:rPr>
              <w:t>–</w:t>
            </w:r>
            <w:r w:rsidR="003D1F7F" w:rsidRPr="00CB093C">
              <w:rPr>
                <w:rFonts w:ascii="Arial" w:hAnsi="Arial" w:cs="Arial"/>
                <w:szCs w:val="22"/>
              </w:rPr>
              <w:t>201</w:t>
            </w:r>
            <w:r w:rsidR="00E70F6B" w:rsidRPr="00CB093C">
              <w:rPr>
                <w:rFonts w:ascii="Arial" w:hAnsi="Arial" w:cs="Arial"/>
                <w:szCs w:val="22"/>
              </w:rPr>
              <w:t>8</w:t>
            </w:r>
          </w:p>
        </w:tc>
        <w:tc>
          <w:tcPr>
            <w:tcW w:w="2977" w:type="dxa"/>
            <w:shd w:val="clear" w:color="auto" w:fill="F3F9FA"/>
          </w:tcPr>
          <w:p w14:paraId="17A5DA67" w14:textId="56FBB636" w:rsidR="003D1F7F" w:rsidRPr="00CB093C" w:rsidRDefault="00322A68" w:rsidP="00101AFE">
            <w:pPr>
              <w:spacing w:before="0" w:after="0" w:line="200" w:lineRule="exact"/>
              <w:rPr>
                <w:rFonts w:ascii="Arial" w:hAnsi="Arial" w:cs="Arial"/>
                <w:szCs w:val="22"/>
              </w:rPr>
            </w:pPr>
            <w:r w:rsidRPr="00CB093C">
              <w:rPr>
                <w:rFonts w:ascii="Arial" w:hAnsi="Arial" w:cs="Arial"/>
                <w:szCs w:val="22"/>
              </w:rPr>
              <w:t xml:space="preserve">visual </w:t>
            </w:r>
            <w:r w:rsidR="003D1F7F" w:rsidRPr="00CB093C">
              <w:rPr>
                <w:rFonts w:ascii="Arial" w:hAnsi="Arial" w:cs="Arial"/>
                <w:szCs w:val="22"/>
              </w:rPr>
              <w:t>/ tactile description of sediment grain size composition</w:t>
            </w:r>
          </w:p>
        </w:tc>
        <w:tc>
          <w:tcPr>
            <w:tcW w:w="1515" w:type="dxa"/>
            <w:shd w:val="clear" w:color="auto" w:fill="F3F9FA"/>
          </w:tcPr>
          <w:p w14:paraId="50B85C93" w14:textId="4F6E1F36" w:rsidR="003D1F7F" w:rsidRPr="00CB093C" w:rsidRDefault="003D1F7F" w:rsidP="00101AFE">
            <w:pPr>
              <w:spacing w:before="0" w:after="0" w:line="200" w:lineRule="exact"/>
              <w:rPr>
                <w:rFonts w:ascii="Arial" w:hAnsi="Arial" w:cs="Arial"/>
                <w:szCs w:val="22"/>
              </w:rPr>
            </w:pPr>
            <w:r w:rsidRPr="00CB093C">
              <w:rPr>
                <w:rFonts w:ascii="Arial" w:hAnsi="Arial" w:cs="Arial"/>
                <w:szCs w:val="22"/>
              </w:rPr>
              <w:t>3 mo–1yr</w:t>
            </w:r>
          </w:p>
        </w:tc>
        <w:tc>
          <w:tcPr>
            <w:tcW w:w="2596" w:type="dxa"/>
            <w:shd w:val="clear" w:color="auto" w:fill="F3F9FA"/>
          </w:tcPr>
          <w:p w14:paraId="4BC4499B" w14:textId="77777777" w:rsidR="003D1F7F" w:rsidRPr="00CB093C" w:rsidRDefault="00101AFE" w:rsidP="00101AFE">
            <w:pPr>
              <w:spacing w:before="0" w:after="0" w:line="200" w:lineRule="exact"/>
              <w:rPr>
                <w:rFonts w:ascii="Arial" w:hAnsi="Arial" w:cs="Arial"/>
                <w:szCs w:val="22"/>
              </w:rPr>
            </w:pPr>
            <w:r w:rsidRPr="00CB093C">
              <w:rPr>
                <w:rFonts w:ascii="Arial" w:hAnsi="Arial" w:cs="Arial"/>
                <w:szCs w:val="22"/>
              </w:rPr>
              <w:t>proportion mud</w:t>
            </w:r>
          </w:p>
        </w:tc>
        <w:tc>
          <w:tcPr>
            <w:tcW w:w="3261" w:type="dxa"/>
            <w:shd w:val="clear" w:color="auto" w:fill="F3F9FA"/>
          </w:tcPr>
          <w:p w14:paraId="4448AB81" w14:textId="77777777" w:rsidR="003D1F7F" w:rsidRPr="00CB093C" w:rsidRDefault="00101AFE" w:rsidP="00101AFE">
            <w:pPr>
              <w:spacing w:before="0" w:after="0" w:line="200" w:lineRule="exact"/>
              <w:rPr>
                <w:rFonts w:ascii="Arial" w:hAnsi="Arial" w:cs="Arial"/>
                <w:szCs w:val="22"/>
              </w:rPr>
            </w:pPr>
            <w:r w:rsidRPr="00CB093C">
              <w:rPr>
                <w:rFonts w:ascii="Arial" w:hAnsi="Arial" w:cs="Arial"/>
                <w:szCs w:val="22"/>
              </w:rPr>
              <w:t>MMP Inshore Seagrass monitoring</w:t>
            </w:r>
          </w:p>
        </w:tc>
      </w:tr>
    </w:tbl>
    <w:p w14:paraId="16A330ED" w14:textId="118A19B9" w:rsidR="003D1F7F" w:rsidRPr="00EB6CC6" w:rsidRDefault="00C3035F" w:rsidP="003D1F7F">
      <w:pPr>
        <w:rPr>
          <w:rFonts w:ascii="Arial" w:hAnsi="Arial" w:cs="Arial"/>
          <w:sz w:val="18"/>
          <w:szCs w:val="18"/>
        </w:rPr>
      </w:pPr>
      <w:r w:rsidRPr="00EB6CC6">
        <w:rPr>
          <w:rFonts w:ascii="Arial" w:hAnsi="Arial" w:cs="Arial"/>
          <w:sz w:val="18"/>
          <w:szCs w:val="18"/>
          <w:vertAlign w:val="superscript"/>
        </w:rPr>
        <w:t xml:space="preserve"># </w:t>
      </w:r>
      <w:r w:rsidRPr="00EB6CC6">
        <w:rPr>
          <w:rFonts w:ascii="Arial" w:hAnsi="Arial" w:cs="Arial"/>
          <w:sz w:val="18"/>
          <w:szCs w:val="18"/>
        </w:rPr>
        <w:t xml:space="preserve">Department of </w:t>
      </w:r>
      <w:r w:rsidR="00322A68" w:rsidRPr="00EB6CC6">
        <w:rPr>
          <w:rFonts w:ascii="Arial" w:hAnsi="Arial" w:cs="Arial"/>
          <w:sz w:val="18"/>
          <w:szCs w:val="18"/>
        </w:rPr>
        <w:t xml:space="preserve">Environment and </w:t>
      </w:r>
      <w:r w:rsidRPr="00EB6CC6">
        <w:rPr>
          <w:rFonts w:ascii="Arial" w:hAnsi="Arial" w:cs="Arial"/>
          <w:sz w:val="18"/>
          <w:szCs w:val="18"/>
        </w:rPr>
        <w:t>Science</w:t>
      </w:r>
    </w:p>
    <w:p w14:paraId="0D98AB06" w14:textId="77777777" w:rsidR="00101AFE" w:rsidRPr="00CB093C" w:rsidRDefault="00101AFE" w:rsidP="003D1F7F">
      <w:pPr>
        <w:rPr>
          <w:rFonts w:ascii="Arial" w:hAnsi="Arial" w:cs="Arial"/>
          <w:szCs w:val="22"/>
        </w:rPr>
      </w:pPr>
    </w:p>
    <w:p w14:paraId="34E5BE20" w14:textId="77777777" w:rsidR="003D1F7F" w:rsidRPr="00CB093C" w:rsidRDefault="003D1F7F" w:rsidP="003D1F7F">
      <w:pPr>
        <w:rPr>
          <w:rFonts w:ascii="Arial" w:hAnsi="Arial" w:cs="Arial"/>
          <w:szCs w:val="22"/>
        </w:rPr>
        <w:sectPr w:rsidR="003D1F7F" w:rsidRPr="00CB093C" w:rsidSect="00D10D59">
          <w:pgSz w:w="16840" w:h="11900" w:orient="landscape" w:code="9"/>
          <w:pgMar w:top="1418" w:right="1418" w:bottom="1418" w:left="1418" w:header="709" w:footer="709" w:gutter="0"/>
          <w:cols w:space="708"/>
          <w:docGrid w:linePitch="360"/>
        </w:sectPr>
      </w:pPr>
    </w:p>
    <w:p w14:paraId="5AC99A10" w14:textId="1BCF6B74" w:rsidR="003B152A" w:rsidRPr="00CB093C" w:rsidRDefault="003B152A" w:rsidP="0015509E">
      <w:pPr>
        <w:pStyle w:val="Heading2"/>
      </w:pPr>
      <w:bookmarkStart w:id="43" w:name="_Toc11394694"/>
      <w:r w:rsidRPr="00CB093C">
        <w:lastRenderedPageBreak/>
        <w:t>Inshore seagrass and habitat condition</w:t>
      </w:r>
      <w:bookmarkEnd w:id="43"/>
    </w:p>
    <w:p w14:paraId="6CBBAD43" w14:textId="5CF5BFBD" w:rsidR="003D1F7F" w:rsidRPr="00CB093C" w:rsidRDefault="003D1F7F" w:rsidP="00AD06D4">
      <w:pPr>
        <w:pStyle w:val="Heading3"/>
        <w:numPr>
          <w:ilvl w:val="2"/>
          <w:numId w:val="4"/>
        </w:numPr>
        <w:rPr>
          <w:rFonts w:ascii="Arial" w:hAnsi="Arial" w:cs="Arial"/>
          <w:sz w:val="22"/>
          <w:szCs w:val="22"/>
        </w:rPr>
      </w:pPr>
      <w:bookmarkStart w:id="44" w:name="_Toc11394695"/>
      <w:r w:rsidRPr="00CB093C">
        <w:rPr>
          <w:rFonts w:ascii="Arial" w:hAnsi="Arial" w:cs="Arial"/>
          <w:sz w:val="22"/>
          <w:szCs w:val="22"/>
        </w:rPr>
        <w:t>Sampling design &amp; site selection</w:t>
      </w:r>
      <w:bookmarkEnd w:id="44"/>
    </w:p>
    <w:p w14:paraId="76F2C2CC" w14:textId="2D46463F" w:rsidR="003D1F7F" w:rsidRPr="00CB093C" w:rsidRDefault="00881D4F" w:rsidP="003D1F7F">
      <w:pPr>
        <w:spacing w:before="240"/>
        <w:rPr>
          <w:rFonts w:ascii="Arial" w:hAnsi="Arial" w:cs="Arial"/>
          <w:szCs w:val="22"/>
          <w:lang w:val="en-US"/>
        </w:rPr>
      </w:pPr>
      <w:r w:rsidRPr="00CB093C">
        <w:rPr>
          <w:rFonts w:ascii="Arial" w:hAnsi="Arial" w:cs="Arial"/>
          <w:szCs w:val="22"/>
          <w:lang w:val="en-US"/>
        </w:rPr>
        <w:t>S</w:t>
      </w:r>
      <w:r w:rsidR="003D1F7F" w:rsidRPr="00CB093C">
        <w:rPr>
          <w:rFonts w:ascii="Arial" w:hAnsi="Arial" w:cs="Arial"/>
          <w:szCs w:val="22"/>
          <w:lang w:val="en-US"/>
        </w:rPr>
        <w:t xml:space="preserve">ampling </w:t>
      </w:r>
      <w:r w:rsidRPr="00CB093C">
        <w:rPr>
          <w:rFonts w:ascii="Arial" w:hAnsi="Arial" w:cs="Arial"/>
          <w:szCs w:val="22"/>
          <w:lang w:val="en-US"/>
        </w:rPr>
        <w:t xml:space="preserve">is </w:t>
      </w:r>
      <w:r w:rsidR="003D1F7F" w:rsidRPr="00CB093C">
        <w:rPr>
          <w:rFonts w:ascii="Arial" w:hAnsi="Arial" w:cs="Arial"/>
          <w:szCs w:val="22"/>
          <w:lang w:val="en-US"/>
        </w:rPr>
        <w:t>design</w:t>
      </w:r>
      <w:r w:rsidRPr="00CB093C">
        <w:rPr>
          <w:rFonts w:ascii="Arial" w:hAnsi="Arial" w:cs="Arial"/>
          <w:szCs w:val="22"/>
          <w:lang w:val="en-US"/>
        </w:rPr>
        <w:t>ed</w:t>
      </w:r>
      <w:r w:rsidR="003D1F7F" w:rsidRPr="00CB093C">
        <w:rPr>
          <w:rFonts w:ascii="Arial" w:hAnsi="Arial" w:cs="Arial"/>
          <w:szCs w:val="22"/>
          <w:lang w:val="en-US"/>
        </w:rPr>
        <w:t xml:space="preserve"> to detect changes in inshore seagrass meadows in response to </w:t>
      </w:r>
      <w:r w:rsidR="00527C29" w:rsidRPr="00CB093C">
        <w:rPr>
          <w:rFonts w:ascii="Arial" w:hAnsi="Arial" w:cs="Arial"/>
          <w:szCs w:val="22"/>
          <w:lang w:val="en-US"/>
        </w:rPr>
        <w:t>changes</w:t>
      </w:r>
      <w:r w:rsidR="003D1F7F" w:rsidRPr="00CB093C">
        <w:rPr>
          <w:rFonts w:ascii="Arial" w:hAnsi="Arial" w:cs="Arial"/>
          <w:szCs w:val="22"/>
          <w:lang w:val="en-US"/>
        </w:rPr>
        <w:t xml:space="preserve"> in water quality associated with specific catchments or groups of catchments (</w:t>
      </w:r>
      <w:r w:rsidRPr="00CB093C">
        <w:rPr>
          <w:rFonts w:ascii="Arial" w:hAnsi="Arial" w:cs="Arial"/>
          <w:szCs w:val="22"/>
          <w:lang w:val="en-US"/>
        </w:rPr>
        <w:t>region</w:t>
      </w:r>
      <w:r w:rsidR="003D1F7F" w:rsidRPr="00CB093C">
        <w:rPr>
          <w:rFonts w:ascii="Arial" w:hAnsi="Arial" w:cs="Arial"/>
          <w:szCs w:val="22"/>
          <w:lang w:val="en-US"/>
        </w:rPr>
        <w:t>) and to disturbance events.</w:t>
      </w:r>
      <w:r w:rsidR="004902B0" w:rsidRPr="00CB093C">
        <w:rPr>
          <w:rFonts w:ascii="Arial" w:hAnsi="Arial" w:cs="Arial"/>
          <w:szCs w:val="22"/>
          <w:lang w:val="en-US"/>
        </w:rPr>
        <w:t xml:space="preserve"> </w:t>
      </w:r>
      <w:r w:rsidR="003D1F7F" w:rsidRPr="00CB093C">
        <w:rPr>
          <w:rFonts w:ascii="Arial" w:hAnsi="Arial" w:cs="Arial"/>
          <w:szCs w:val="22"/>
          <w:lang w:val="en-US"/>
        </w:rPr>
        <w:t xml:space="preserve">The selection of </w:t>
      </w:r>
      <w:r w:rsidR="001D0B44" w:rsidRPr="00CB093C">
        <w:rPr>
          <w:rFonts w:ascii="Arial" w:hAnsi="Arial" w:cs="Arial"/>
          <w:szCs w:val="22"/>
          <w:lang w:val="en-US"/>
        </w:rPr>
        <w:t>locations/</w:t>
      </w:r>
      <w:r w:rsidR="003D1F7F" w:rsidRPr="00CB093C">
        <w:rPr>
          <w:rFonts w:ascii="Arial" w:hAnsi="Arial" w:cs="Arial"/>
          <w:szCs w:val="22"/>
          <w:lang w:val="en-US"/>
        </w:rPr>
        <w:t>meadows was based upon a number of competing factors:</w:t>
      </w:r>
    </w:p>
    <w:p w14:paraId="5A27F5D5" w14:textId="31B7333D" w:rsidR="003D1F7F" w:rsidRPr="00CB093C" w:rsidRDefault="003D1F7F" w:rsidP="00AD06D4">
      <w:pPr>
        <w:numPr>
          <w:ilvl w:val="0"/>
          <w:numId w:val="23"/>
        </w:numPr>
        <w:spacing w:before="0" w:after="0"/>
        <w:rPr>
          <w:rFonts w:ascii="Arial" w:hAnsi="Arial" w:cs="Arial"/>
          <w:szCs w:val="22"/>
        </w:rPr>
      </w:pPr>
      <w:r w:rsidRPr="00CB093C">
        <w:rPr>
          <w:rFonts w:ascii="Arial" w:hAnsi="Arial" w:cs="Arial"/>
          <w:szCs w:val="22"/>
        </w:rPr>
        <w:t xml:space="preserve">meadows were representative of </w:t>
      </w:r>
      <w:r w:rsidR="00C3035F" w:rsidRPr="00CB093C">
        <w:rPr>
          <w:rFonts w:ascii="Arial" w:hAnsi="Arial" w:cs="Arial"/>
          <w:szCs w:val="22"/>
        </w:rPr>
        <w:t xml:space="preserve">inshore </w:t>
      </w:r>
      <w:r w:rsidRPr="00CB093C">
        <w:rPr>
          <w:rFonts w:ascii="Arial" w:hAnsi="Arial" w:cs="Arial"/>
          <w:szCs w:val="22"/>
        </w:rPr>
        <w:t xml:space="preserve">seagrass habitats and seagrass communities across each region (based on </w:t>
      </w:r>
      <w:hyperlink w:anchor="_ENREF_86" w:tooltip="Lee Long, 1993 #682"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Lee Long</w:t>
        </w:r>
        <w:r w:rsidR="00513C39" w:rsidRPr="00CB093C">
          <w:rPr>
            <w:rFonts w:ascii="Arial" w:hAnsi="Arial" w:cs="Arial"/>
            <w:i/>
            <w:noProof/>
            <w:szCs w:val="22"/>
          </w:rPr>
          <w:t xml:space="preserve"> et al.</w:t>
        </w:r>
        <w:r w:rsidR="00513C39" w:rsidRPr="00CB093C">
          <w:rPr>
            <w:rFonts w:ascii="Arial" w:hAnsi="Arial" w:cs="Arial"/>
            <w:noProof/>
            <w:szCs w:val="22"/>
          </w:rPr>
          <w:t xml:space="preserve"> 1993</w:t>
        </w:r>
        <w:r w:rsidR="00513C39" w:rsidRPr="00CB093C">
          <w:rPr>
            <w:rFonts w:ascii="Arial" w:hAnsi="Arial" w:cs="Arial"/>
            <w:szCs w:val="22"/>
          </w:rPr>
          <w:fldChar w:fldCharType="end"/>
        </w:r>
      </w:hyperlink>
      <w:r w:rsidRPr="00CB093C">
        <w:rPr>
          <w:rFonts w:ascii="Arial" w:hAnsi="Arial" w:cs="Arial"/>
          <w:szCs w:val="22"/>
        </w:rPr>
        <w:t xml:space="preserve">, </w:t>
      </w:r>
      <w:hyperlink w:anchor="_ENREF_84" w:tooltip="Lee Long, 1997 #5808"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&lt;EndNote&gt;&lt;Cite&gt;&lt;Author&gt;Lee Long&lt;/Author&gt;&lt;Year&gt;1997&lt;/Year&gt;&lt;RecNum&gt;5808&lt;/RecNum&gt;&lt;DisplayText&gt;Lee Long&lt;style face="italic"&gt; et al.&lt;/style&gt; 1997&lt;/DisplayText&gt;&lt;record&gt;&lt;rec-number&gt;5808&lt;/rec-number&gt;&lt;foreign-keys&gt;&lt;key app="EN" db-id="0eve55x9y5vfd6e9dacxtew4eatve2dzds9a" timestamp="0"&gt;5808&lt;/key&gt;&lt;/foreign-keys&gt;&lt;ref-type name="Report"&gt;27&lt;/ref-type&gt;&lt;contributors&gt;&lt;authors&gt;&lt;author&gt;Lee Long, W.J.&lt;/author&gt;&lt;author&gt;McKenzie, Len J&lt;/author&gt;&lt;author&gt;Coles, R G&lt;/author&gt;&lt;/authors&gt;&lt;/contributors&gt;&lt;titles&gt;&lt;title&gt;Seagrass Communities in the Shoalwater Bay Region, Queensland; Spring (September) 1995 &amp;amp; Autumn (April) 1996&lt;/title&gt;&lt;secondary-title&gt;Queensland Department of Primary Industries Information Series QI96042&lt;/secondary-title&gt;&lt;/titles&gt;&lt;pages&gt;38&lt;/pages&gt;&lt;dates&gt;&lt;year&gt;1997&lt;/year&gt;&lt;/dates&gt;&lt;pub-location&gt;Cairns, QLD&lt;/pub-location&gt;&lt;publisher&gt;Queensland Department of Primary Industries,Northern Fisheries Centre&lt;/publisher&gt;&lt;isbn&gt;QI96042&lt;/isbn&gt;&lt;work-type&gt;Information Series&lt;/work-type&gt;&lt;urls&gt;&lt;/urls&gt;&lt;/record&gt;&lt;/Cite&gt;&lt;/EndNote&gt;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Lee Long</w:t>
        </w:r>
        <w:r w:rsidR="00513C39" w:rsidRPr="00CB093C">
          <w:rPr>
            <w:rFonts w:ascii="Arial" w:hAnsi="Arial" w:cs="Arial"/>
            <w:i/>
            <w:noProof/>
            <w:szCs w:val="22"/>
          </w:rPr>
          <w:t xml:space="preserve"> et al.</w:t>
        </w:r>
        <w:r w:rsidR="00513C39" w:rsidRPr="00CB093C">
          <w:rPr>
            <w:rFonts w:ascii="Arial" w:hAnsi="Arial" w:cs="Arial"/>
            <w:noProof/>
            <w:szCs w:val="22"/>
          </w:rPr>
          <w:t xml:space="preserve"> 1997</w:t>
        </w:r>
        <w:r w:rsidR="00513C39" w:rsidRPr="00CB093C">
          <w:rPr>
            <w:rFonts w:ascii="Arial" w:hAnsi="Arial" w:cs="Arial"/>
            <w:szCs w:val="22"/>
          </w:rPr>
          <w:fldChar w:fldCharType="end"/>
        </w:r>
      </w:hyperlink>
      <w:r w:rsidRPr="00CB093C">
        <w:rPr>
          <w:rFonts w:ascii="Arial" w:hAnsi="Arial" w:cs="Arial"/>
          <w:szCs w:val="22"/>
        </w:rPr>
        <w:t xml:space="preserve">, </w:t>
      </w:r>
      <w:hyperlink w:anchor="_ENREF_85" w:tooltip="Lee Long, 1998 #7423"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&lt;EndNote&gt;&lt;Cite&gt;&lt;Author&gt;Lee Long&lt;/Author&gt;&lt;Year&gt;1998&lt;/Year&gt;&lt;RecNum&gt;7423&lt;/RecNum&gt;&lt;DisplayText&gt;Lee Long&lt;style face="italic"&gt; et al.&lt;/style&gt; 1998&lt;/DisplayText&gt;&lt;record&gt;&lt;rec-number&gt;7423&lt;/rec-number&gt;&lt;foreign-keys&gt;&lt;key app="EN" db-id="0eve55x9y5vfd6e9dacxtew4eatve2dzds9a" timestamp="0"&gt;7423&lt;/key&gt;&lt;/foreign-keys&gt;&lt;ref-type name="Report"&gt;27&lt;/ref-type&gt;&lt;contributors&gt;&lt;authors&gt;&lt;author&gt;Lee Long, Warren J.&lt;/author&gt;&lt;author&gt;McKenzie, Len J.&lt;/author&gt;&lt;author&gt;Roelofs, A.J.&lt;/author&gt;&lt;author&gt;Makey, L.J.&lt;/author&gt;&lt;author&gt;Coles, R. G.&lt;/author&gt;&lt;author&gt;Roder C.A.&lt;/author&gt;&lt;/authors&gt;&lt;/contributors&gt;&lt;titles&gt;&lt;title&gt;Baseline Survey of Hinchinbrook Region Seagrasses - October (Spring) 1996. Research publication No. 51&lt;/title&gt;&lt;/titles&gt;&lt;pages&gt;26&lt;/pages&gt;&lt;dates&gt;&lt;year&gt;1998&lt;/year&gt;&lt;pub-dates&gt;&lt;date&gt;June 1998&lt;/date&gt;&lt;/pub-dates&gt;&lt;/dates&gt;&lt;pub-location&gt;Townsville&lt;/pub-location&gt;&lt;publisher&gt;Great Barrier Reef Marine Park Authority&lt;/publisher&gt;&lt;isbn&gt;51&lt;/isbn&gt;&lt;label&gt;distribution&lt;/label&gt;&lt;urls&gt;&lt;/urls&gt;&lt;/record&gt;&lt;/Cite&gt;&lt;/EndNote&gt;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Lee Long</w:t>
        </w:r>
        <w:r w:rsidR="00513C39" w:rsidRPr="00CB093C">
          <w:rPr>
            <w:rFonts w:ascii="Arial" w:hAnsi="Arial" w:cs="Arial"/>
            <w:i/>
            <w:noProof/>
            <w:szCs w:val="22"/>
          </w:rPr>
          <w:t xml:space="preserve"> et al.</w:t>
        </w:r>
        <w:r w:rsidR="00513C39" w:rsidRPr="00CB093C">
          <w:rPr>
            <w:rFonts w:ascii="Arial" w:hAnsi="Arial" w:cs="Arial"/>
            <w:noProof/>
            <w:szCs w:val="22"/>
          </w:rPr>
          <w:t xml:space="preserve"> 1998</w:t>
        </w:r>
        <w:r w:rsidR="00513C39" w:rsidRPr="00CB093C">
          <w:rPr>
            <w:rFonts w:ascii="Arial" w:hAnsi="Arial" w:cs="Arial"/>
            <w:szCs w:val="22"/>
          </w:rPr>
          <w:fldChar w:fldCharType="end"/>
        </w:r>
      </w:hyperlink>
      <w:r w:rsidRPr="00CB093C">
        <w:rPr>
          <w:rFonts w:ascii="Arial" w:hAnsi="Arial" w:cs="Arial"/>
          <w:szCs w:val="22"/>
          <w:lang w:val="fr-FR"/>
        </w:rPr>
        <w:t xml:space="preserve">; </w:t>
      </w:r>
      <w:hyperlink w:anchor="_ENREF_102" w:tooltip="McKenzie, 2000 #282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&lt;EndNote&gt;&lt;Cite&gt;&lt;Author&gt;McKenzie&lt;/Author&gt;&lt;Year&gt;2000&lt;/Year&gt;&lt;RecNum&gt;2827&lt;/RecNum&gt;&lt;DisplayText&gt;McKenzie&lt;style face="italic"&gt; et al.&lt;/style&gt; 2000&lt;/DisplayText&gt;&lt;record&gt;&lt;rec-number&gt;2827&lt;/rec-number&gt;&lt;foreign-keys&gt;&lt;key app="EN" db-id="0eve55x9y5vfd6e9dacxtew4eatve2dzds9a" timestamp="0"&gt;2827&lt;/key&gt;&lt;/foreign-keys&gt;&lt;ref-type name="Report"&gt;27&lt;/ref-type&gt;&lt;contributors&gt;&lt;authors&gt;&lt;author&gt;McKenzie, Len J&lt;/author&gt;&lt;author&gt;Roder, C.A.&lt;/author&gt;&lt;author&gt;Roelofs, A.J.&lt;/author&gt;&lt;author&gt;Lee Long, W.J.&lt;/author&gt;&lt;/authors&gt;&lt;/contributors&gt;&lt;titles&gt;&lt;title&gt;Post-flood monitoring of seagrasses in Hervey Bay and the Great Sandy Strait, 1999: Implications for dugong, turtle and fisheries management.&lt;/title&gt;&lt;secondary-title&gt;Department of Primary Industries Information Series QI00059&lt;/secondary-title&gt;&lt;/titles&gt;&lt;pages&gt;46&lt;/pages&gt;&lt;dates&gt;&lt;year&gt;2000&lt;/year&gt;&lt;/dates&gt;&lt;pub-location&gt;Cairns&lt;/pub-location&gt;&lt;publisher&gt;Queensland Department of Primary Industries, NFC&lt;/publisher&gt;&lt;isbn&gt;QI00059&lt;/isbn&gt;&lt;work-type&gt;DPI Information Series&lt;/work-type&gt;&lt;urls&gt;&lt;/urls&gt;&lt;/record&gt;&lt;/Cite&gt;&lt;/EndNote&gt;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2000</w:t>
        </w:r>
        <w:r w:rsidR="00513C39" w:rsidRPr="00CB093C">
          <w:rPr>
            <w:rFonts w:ascii="Arial" w:hAnsi="Arial" w:cs="Arial"/>
            <w:szCs w:val="22"/>
          </w:rPr>
          <w:fldChar w:fldCharType="end"/>
        </w:r>
      </w:hyperlink>
      <w:r w:rsidRPr="00CB093C">
        <w:rPr>
          <w:rFonts w:ascii="Arial" w:hAnsi="Arial" w:cs="Arial"/>
          <w:szCs w:val="22"/>
          <w:lang w:val="fr-FR"/>
        </w:rPr>
        <w:t xml:space="preserve">; </w:t>
      </w:r>
      <w:hyperlink w:anchor="_ENREF_129" w:tooltip="Rasheed, 2003 #9496"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 timestamp="1375843860"&gt;9496&lt;/key&gt;&lt;/foreign-keys&gt;&lt;ref-type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Rasheed</w:t>
        </w:r>
        <w:r w:rsidR="00513C39" w:rsidRPr="00CB093C">
          <w:rPr>
            <w:rFonts w:ascii="Arial" w:hAnsi="Arial" w:cs="Arial"/>
            <w:i/>
            <w:noProof/>
            <w:szCs w:val="22"/>
          </w:rPr>
          <w:t xml:space="preserve"> et al.</w:t>
        </w:r>
        <w:r w:rsidR="00513C39" w:rsidRPr="00CB093C">
          <w:rPr>
            <w:rFonts w:ascii="Arial" w:hAnsi="Arial" w:cs="Arial"/>
            <w:noProof/>
            <w:szCs w:val="22"/>
          </w:rPr>
          <w:t xml:space="preserve"> 2003</w:t>
        </w:r>
        <w:r w:rsidR="00513C39" w:rsidRPr="00CB093C">
          <w:rPr>
            <w:rFonts w:ascii="Arial" w:hAnsi="Arial" w:cs="Arial"/>
            <w:szCs w:val="22"/>
          </w:rPr>
          <w:fldChar w:fldCharType="end"/>
        </w:r>
      </w:hyperlink>
      <w:r w:rsidRPr="00CB093C">
        <w:rPr>
          <w:rFonts w:ascii="Arial" w:hAnsi="Arial" w:cs="Arial"/>
          <w:szCs w:val="22"/>
        </w:rPr>
        <w:t xml:space="preserve">; </w:t>
      </w:r>
      <w:hyperlink w:anchor="_ENREF_20" w:tooltip="Campbell, 2002 #9304"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&lt;EndNote&gt;&lt;Cite&gt;&lt;Author&gt;Campbell&lt;/Author&gt;&lt;Year&gt;2002&lt;/Year&gt;&lt;RecNum&gt;9304&lt;/RecNum&gt;&lt;DisplayText&gt;Campbell&lt;style face="italic"&gt; et al.&lt;/style&gt; 2002&lt;/DisplayText&gt;&lt;record&gt;&lt;rec-number&gt;9304&lt;/rec-number&gt;&lt;foreign-keys&gt;&lt;key app="EN" db-id="0eve55x9y5vfd6e9dacxtew4eatve2dzds9a" timestamp="1375005084"&gt;9304&lt;/key&gt;&lt;/foreign-keys&gt;&lt;ref-type name="Report"&gt;27&lt;/ref-type&gt;&lt;contributors&gt;&lt;authors&gt;&lt;author&gt;Campbell, Stuart J&lt;/author&gt;&lt;author&gt;Roder, Chantal A.&lt;/author&gt;&lt;author&gt;McKenzie, Len J&lt;/author&gt;&lt;author&gt;Lee Long, Warren J&lt;/author&gt;&lt;/authors&gt;&lt;/contributors&gt;&lt;titles&gt;&lt;title&gt;Seagrass resources in the Whitsunday region 1999 and 2000&lt;/title&gt;&lt;secondary-title&gt;DPI Information Series QI02043&lt;/secondary-title&gt;&lt;/titles&gt;&lt;pages&gt;50&lt;/pages&gt;&lt;dates&gt;&lt;year&gt;2002&lt;/year&gt;&lt;/dates&gt;&lt;pub-location&gt;Cairns&lt;/pub-location&gt;&lt;publisher&gt;DPI&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Campbell</w:t>
        </w:r>
        <w:r w:rsidR="00513C39" w:rsidRPr="00CB093C">
          <w:rPr>
            <w:rFonts w:ascii="Arial" w:hAnsi="Arial" w:cs="Arial"/>
            <w:i/>
            <w:noProof/>
            <w:szCs w:val="22"/>
          </w:rPr>
          <w:t xml:space="preserve"> et al.</w:t>
        </w:r>
        <w:r w:rsidR="00513C39" w:rsidRPr="00CB093C">
          <w:rPr>
            <w:rFonts w:ascii="Arial" w:hAnsi="Arial" w:cs="Arial"/>
            <w:noProof/>
            <w:szCs w:val="22"/>
          </w:rPr>
          <w:t xml:space="preserve"> 2002</w:t>
        </w:r>
        <w:r w:rsidR="00513C39" w:rsidRPr="00CB093C">
          <w:rPr>
            <w:rFonts w:ascii="Arial" w:hAnsi="Arial" w:cs="Arial"/>
            <w:szCs w:val="22"/>
          </w:rPr>
          <w:fldChar w:fldCharType="end"/>
        </w:r>
      </w:hyperlink>
      <w:r w:rsidR="00206A72" w:rsidRPr="00CB093C">
        <w:rPr>
          <w:rFonts w:ascii="Arial" w:hAnsi="Arial" w:cs="Arial"/>
          <w:szCs w:val="22"/>
        </w:rPr>
        <w:t>;</w:t>
      </w:r>
      <w:r w:rsidRPr="00CB093C">
        <w:rPr>
          <w:rFonts w:ascii="Arial" w:hAnsi="Arial" w:cs="Arial"/>
          <w:szCs w:val="22"/>
        </w:rPr>
        <w:t xml:space="preserve"> </w:t>
      </w:r>
      <w:hyperlink w:anchor="_ENREF_58" w:tooltip="Goldsworthy, 1994 #949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&lt;EndNote&gt;&lt;Cite&gt;&lt;Author&gt;Goldsworthy&lt;/Author&gt;&lt;Year&gt;1994&lt;/Year&gt;&lt;RecNum&gt;9497&lt;/RecNum&gt;&lt;DisplayText&gt;Goldsworthy 1994&lt;/DisplayText&gt;&lt;record&gt;&lt;rec-number&gt;9497&lt;/rec-number&gt;&lt;foreign-keys&gt;&lt;key app="EN" db-id="0eve55x9y5vfd6e9dacxtew4eatve2dzds9a" timestamp="1375844058"&gt;9497&lt;/key&gt;&lt;/foreign-keys&gt;&lt;ref-type name="Book Section"&gt;5&lt;/ref-type&gt;&lt;contributors&gt;&lt;authors&gt;&lt;author&gt;Goldsworthy, Paul M&lt;/author&gt;&lt;/authors&gt;&lt;secondary-authors&gt;&lt;author&gt;Benson, L&lt;/author&gt;&lt;author&gt;Goldsworthy, P&lt;/author&gt;&lt;author&gt;Butler, R&lt;/author&gt;&lt;author&gt;Oliver, J&lt;/author&gt;&lt;/secondary-authors&gt;&lt;/contributors&gt;&lt;titles&gt;&lt;title&gt;Seagrasses&lt;/title&gt;&lt;secondary-title&gt;Townsville Port Authority Capital Dredging Works 1993: Environmental Monitoring Program&lt;/secondary-title&gt;&lt;/titles&gt;&lt;pages&gt;89-115&lt;/pages&gt;&lt;dates&gt;&lt;year&gt;1994&lt;/year&gt;&lt;/dates&gt;&lt;pub-location&gt;Townsville&lt;/pub-location&gt;&lt;publisher&gt;Townsville Port Authority&lt;/publisher&gt;&lt;urls&gt;&lt;/urls&gt;&lt;/record&gt;&lt;/Cite&gt;&lt;/EndNote&gt;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Goldsworthy 1994</w:t>
        </w:r>
        <w:r w:rsidR="00513C39" w:rsidRPr="00CB093C">
          <w:rPr>
            <w:rFonts w:ascii="Arial" w:hAnsi="Arial" w:cs="Arial"/>
            <w:szCs w:val="22"/>
          </w:rPr>
          <w:fldChar w:fldCharType="end"/>
        </w:r>
      </w:hyperlink>
      <w:r w:rsidRPr="00CB093C">
        <w:rPr>
          <w:rFonts w:ascii="Arial" w:hAnsi="Arial" w:cs="Arial"/>
          <w:szCs w:val="22"/>
        </w:rPr>
        <w:t>)</w:t>
      </w:r>
    </w:p>
    <w:p w14:paraId="4A0ED19B" w14:textId="48EFC83D" w:rsidR="003D1F7F" w:rsidRPr="00CB093C" w:rsidRDefault="004902B0" w:rsidP="00AD06D4">
      <w:pPr>
        <w:numPr>
          <w:ilvl w:val="0"/>
          <w:numId w:val="23"/>
        </w:numPr>
        <w:spacing w:before="0" w:after="0"/>
        <w:rPr>
          <w:rFonts w:ascii="Arial" w:hAnsi="Arial" w:cs="Arial"/>
          <w:szCs w:val="22"/>
        </w:rPr>
      </w:pPr>
      <w:r w:rsidRPr="00CB093C">
        <w:rPr>
          <w:rFonts w:ascii="Arial" w:hAnsi="Arial" w:cs="Arial"/>
          <w:szCs w:val="22"/>
        </w:rPr>
        <w:t xml:space="preserve">where possible </w:t>
      </w:r>
      <w:r w:rsidR="003D1F7F" w:rsidRPr="00CB093C">
        <w:rPr>
          <w:rFonts w:ascii="Arial" w:hAnsi="Arial" w:cs="Arial"/>
          <w:szCs w:val="22"/>
        </w:rPr>
        <w:t>include legacy sites (e.g. Seagr</w:t>
      </w:r>
      <w:r w:rsidR="009C2E98" w:rsidRPr="00CB093C">
        <w:rPr>
          <w:rFonts w:ascii="Arial" w:hAnsi="Arial" w:cs="Arial"/>
          <w:szCs w:val="22"/>
        </w:rPr>
        <w:t>ass-Watch)</w:t>
      </w:r>
      <w:r w:rsidR="003D1F7F" w:rsidRPr="00CB093C">
        <w:rPr>
          <w:rFonts w:ascii="Arial" w:hAnsi="Arial" w:cs="Arial"/>
          <w:szCs w:val="22"/>
        </w:rPr>
        <w:t xml:space="preserve"> or </w:t>
      </w:r>
      <w:r w:rsidRPr="00CB093C">
        <w:rPr>
          <w:rFonts w:ascii="Arial" w:hAnsi="Arial" w:cs="Arial"/>
          <w:szCs w:val="22"/>
        </w:rPr>
        <w:t xml:space="preserve">former seagrass research </w:t>
      </w:r>
      <w:r w:rsidR="008D142C" w:rsidRPr="00CB093C">
        <w:rPr>
          <w:rFonts w:ascii="Arial" w:hAnsi="Arial" w:cs="Arial"/>
          <w:szCs w:val="22"/>
        </w:rPr>
        <w:t>sites (e.g.</w:t>
      </w:r>
      <w:r w:rsidR="003D1F7F" w:rsidRPr="00CB093C">
        <w:rPr>
          <w:rFonts w:ascii="Arial" w:hAnsi="Arial" w:cs="Arial"/>
          <w:szCs w:val="22"/>
        </w:rPr>
        <w:t xml:space="preserve"> </w:t>
      </w:r>
      <w:r w:rsidR="00644A84" w:rsidRPr="00CB093C">
        <w:rPr>
          <w:rFonts w:ascii="Arial" w:hAnsi="Arial" w:cs="Arial"/>
          <w:szCs w:val="22"/>
        </w:rPr>
        <w:fldChar w:fldCharType="begin">
          <w:fldData xml:space="preserve">PEVuZE5vdGU+PENpdGU+PEF1dGhvcj5Mb2JiPC9BdXRob3I+PFllYXI+MjAwNjwvWWVhcj48UmVj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==
</w:fldData>
        </w:fldChar>
      </w:r>
      <w:r w:rsidR="00DB32BE" w:rsidRPr="00CB093C">
        <w:rPr>
          <w:rFonts w:ascii="Arial" w:hAnsi="Arial" w:cs="Arial"/>
          <w:szCs w:val="22"/>
        </w:rPr>
        <w:instrText xml:space="preserve"> ADDIN EN.CITE </w:instrText>
      </w:r>
      <w:r w:rsidR="00DB32BE" w:rsidRPr="00CB093C">
        <w:rPr>
          <w:rFonts w:ascii="Arial" w:hAnsi="Arial" w:cs="Arial"/>
          <w:szCs w:val="22"/>
        </w:rPr>
        <w:fldChar w:fldCharType="begin">
          <w:fldData xml:space="preserve">PEVuZE5vdGU+PENpdGU+PEF1dGhvcj5Mb2JiPC9BdXRob3I+PFllYXI+MjAwNjwvWWVhcj48UmVj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==
</w:fldData>
        </w:fldChar>
      </w:r>
      <w:r w:rsidR="00DB32BE" w:rsidRPr="00CB093C">
        <w:rPr>
          <w:rFonts w:ascii="Arial" w:hAnsi="Arial" w:cs="Arial"/>
          <w:szCs w:val="22"/>
        </w:rPr>
        <w:instrText xml:space="preserve"> ADDIN EN.CITE.DATA </w:instrText>
      </w:r>
      <w:r w:rsidR="00DB32BE" w:rsidRPr="00CB093C">
        <w:rPr>
          <w:rFonts w:ascii="Arial" w:hAnsi="Arial" w:cs="Arial"/>
          <w:szCs w:val="22"/>
        </w:rPr>
      </w:r>
      <w:r w:rsidR="00DB32BE" w:rsidRPr="00CB093C">
        <w:rPr>
          <w:rFonts w:ascii="Arial" w:hAnsi="Arial" w:cs="Arial"/>
          <w:szCs w:val="22"/>
        </w:rPr>
        <w:fldChar w:fldCharType="end"/>
      </w:r>
      <w:r w:rsidR="00644A84" w:rsidRPr="00CB093C">
        <w:rPr>
          <w:rFonts w:ascii="Arial" w:hAnsi="Arial" w:cs="Arial"/>
          <w:szCs w:val="22"/>
        </w:rPr>
      </w:r>
      <w:r w:rsidR="00644A84" w:rsidRPr="00CB093C">
        <w:rPr>
          <w:rFonts w:ascii="Arial" w:hAnsi="Arial" w:cs="Arial"/>
          <w:szCs w:val="22"/>
        </w:rPr>
        <w:fldChar w:fldCharType="separate"/>
      </w:r>
      <w:hyperlink w:anchor="_ENREF_44" w:tooltip="Dennison, 1995 #9771" w:history="1">
        <w:r w:rsidR="00513C39" w:rsidRPr="00CB093C">
          <w:rPr>
            <w:rFonts w:ascii="Arial" w:hAnsi="Arial" w:cs="Arial"/>
            <w:noProof/>
            <w:szCs w:val="22"/>
          </w:rPr>
          <w:t>Dennison</w:t>
        </w:r>
        <w:r w:rsidR="00513C39" w:rsidRPr="00CB093C">
          <w:rPr>
            <w:rFonts w:ascii="Arial" w:hAnsi="Arial" w:cs="Arial"/>
            <w:i/>
            <w:noProof/>
            <w:szCs w:val="22"/>
          </w:rPr>
          <w:t xml:space="preserve"> et al.</w:t>
        </w:r>
        <w:r w:rsidR="00513C39" w:rsidRPr="00CB093C">
          <w:rPr>
            <w:rFonts w:ascii="Arial" w:hAnsi="Arial" w:cs="Arial"/>
            <w:noProof/>
            <w:szCs w:val="22"/>
          </w:rPr>
          <w:t xml:space="preserve"> 1995</w:t>
        </w:r>
      </w:hyperlink>
      <w:r w:rsidR="00DB32BE" w:rsidRPr="00CB093C">
        <w:rPr>
          <w:rFonts w:ascii="Arial" w:hAnsi="Arial" w:cs="Arial"/>
          <w:noProof/>
          <w:szCs w:val="22"/>
        </w:rPr>
        <w:t xml:space="preserve">; </w:t>
      </w:r>
      <w:hyperlink w:anchor="_ENREF_72" w:tooltip="Inglis, 1999 #5408" w:history="1">
        <w:r w:rsidR="00513C39" w:rsidRPr="00CB093C">
          <w:rPr>
            <w:rFonts w:ascii="Arial" w:hAnsi="Arial" w:cs="Arial"/>
            <w:noProof/>
            <w:szCs w:val="22"/>
          </w:rPr>
          <w:t>Inglis 1999</w:t>
        </w:r>
      </w:hyperlink>
      <w:r w:rsidR="00DB32BE" w:rsidRPr="00CB093C">
        <w:rPr>
          <w:rFonts w:ascii="Arial" w:hAnsi="Arial" w:cs="Arial"/>
          <w:noProof/>
          <w:szCs w:val="22"/>
        </w:rPr>
        <w:t xml:space="preserve">; </w:t>
      </w:r>
      <w:hyperlink w:anchor="_ENREF_139" w:tooltip="Thorogood, 1999 #9772" w:history="1">
        <w:r w:rsidR="00513C39" w:rsidRPr="00CB093C">
          <w:rPr>
            <w:rFonts w:ascii="Arial" w:hAnsi="Arial" w:cs="Arial"/>
            <w:noProof/>
            <w:szCs w:val="22"/>
          </w:rPr>
          <w:t>Thorogood and Boggon 1999</w:t>
        </w:r>
      </w:hyperlink>
      <w:r w:rsidR="00DB32BE" w:rsidRPr="00CB093C">
        <w:rPr>
          <w:rFonts w:ascii="Arial" w:hAnsi="Arial" w:cs="Arial"/>
          <w:noProof/>
          <w:szCs w:val="22"/>
        </w:rPr>
        <w:t xml:space="preserve">; </w:t>
      </w:r>
      <w:hyperlink w:anchor="_ENREF_140" w:tooltip="Udy, 1999 #2371" w:history="1">
        <w:r w:rsidR="00513C39" w:rsidRPr="00CB093C">
          <w:rPr>
            <w:rFonts w:ascii="Arial" w:hAnsi="Arial" w:cs="Arial"/>
            <w:noProof/>
            <w:szCs w:val="22"/>
          </w:rPr>
          <w:t>Udy</w:t>
        </w:r>
        <w:r w:rsidR="00513C39" w:rsidRPr="00CB093C">
          <w:rPr>
            <w:rFonts w:ascii="Arial" w:hAnsi="Arial" w:cs="Arial"/>
            <w:i/>
            <w:noProof/>
            <w:szCs w:val="22"/>
          </w:rPr>
          <w:t xml:space="preserve"> et al.</w:t>
        </w:r>
        <w:r w:rsidR="00513C39" w:rsidRPr="00CB093C">
          <w:rPr>
            <w:rFonts w:ascii="Arial" w:hAnsi="Arial" w:cs="Arial"/>
            <w:noProof/>
            <w:szCs w:val="22"/>
          </w:rPr>
          <w:t xml:space="preserve"> 1999</w:t>
        </w:r>
      </w:hyperlink>
      <w:r w:rsidR="00DB32BE" w:rsidRPr="00CB093C">
        <w:rPr>
          <w:rFonts w:ascii="Arial" w:hAnsi="Arial" w:cs="Arial"/>
          <w:noProof/>
          <w:szCs w:val="22"/>
        </w:rPr>
        <w:t xml:space="preserve">; </w:t>
      </w:r>
      <w:hyperlink w:anchor="_ENREF_66" w:tooltip="Haynes, 2000 #7340" w:history="1">
        <w:r w:rsidR="00513C39" w:rsidRPr="00CB093C">
          <w:rPr>
            <w:rFonts w:ascii="Arial" w:hAnsi="Arial" w:cs="Arial"/>
            <w:noProof/>
            <w:szCs w:val="22"/>
          </w:rPr>
          <w:t>Haynes</w:t>
        </w:r>
        <w:r w:rsidR="00513C39" w:rsidRPr="00CB093C">
          <w:rPr>
            <w:rFonts w:ascii="Arial" w:hAnsi="Arial" w:cs="Arial"/>
            <w:i/>
            <w:noProof/>
            <w:szCs w:val="22"/>
          </w:rPr>
          <w:t xml:space="preserve"> et al.</w:t>
        </w:r>
        <w:r w:rsidR="00513C39" w:rsidRPr="00CB093C">
          <w:rPr>
            <w:rFonts w:ascii="Arial" w:hAnsi="Arial" w:cs="Arial"/>
            <w:noProof/>
            <w:szCs w:val="22"/>
          </w:rPr>
          <w:t xml:space="preserve"> 2000</w:t>
        </w:r>
      </w:hyperlink>
      <w:r w:rsidR="00DB32BE" w:rsidRPr="00CB093C">
        <w:rPr>
          <w:rFonts w:ascii="Arial" w:hAnsi="Arial" w:cs="Arial"/>
          <w:noProof/>
          <w:szCs w:val="22"/>
        </w:rPr>
        <w:t xml:space="preserve">; </w:t>
      </w:r>
      <w:hyperlink w:anchor="_ENREF_17" w:tooltip="Campbell, 2001 #9341" w:history="1">
        <w:r w:rsidR="00513C39" w:rsidRPr="00CB093C">
          <w:rPr>
            <w:rFonts w:ascii="Arial" w:hAnsi="Arial" w:cs="Arial"/>
            <w:noProof/>
            <w:szCs w:val="22"/>
          </w:rPr>
          <w:t>Campbell and McKenzie 2001</w:t>
        </w:r>
      </w:hyperlink>
      <w:r w:rsidR="00DB32BE" w:rsidRPr="00CB093C">
        <w:rPr>
          <w:rFonts w:ascii="Arial" w:hAnsi="Arial" w:cs="Arial"/>
          <w:noProof/>
          <w:szCs w:val="22"/>
        </w:rPr>
        <w:t xml:space="preserve">; </w:t>
      </w:r>
      <w:hyperlink w:anchor="_ENREF_115" w:tooltip="Mellors, 2003 #7086" w:history="1">
        <w:r w:rsidR="00513C39" w:rsidRPr="00CB093C">
          <w:rPr>
            <w:rFonts w:ascii="Arial" w:hAnsi="Arial" w:cs="Arial"/>
            <w:noProof/>
            <w:szCs w:val="22"/>
          </w:rPr>
          <w:t>Mellors 2003</w:t>
        </w:r>
      </w:hyperlink>
      <w:r w:rsidR="00DB32BE" w:rsidRPr="00CB093C">
        <w:rPr>
          <w:rFonts w:ascii="Arial" w:hAnsi="Arial" w:cs="Arial"/>
          <w:noProof/>
          <w:szCs w:val="22"/>
        </w:rPr>
        <w:t xml:space="preserve">; </w:t>
      </w:r>
      <w:hyperlink w:anchor="_ENREF_18" w:tooltip="Campbell, 2004 #2838" w:history="1">
        <w:r w:rsidR="00513C39" w:rsidRPr="00CB093C">
          <w:rPr>
            <w:rFonts w:ascii="Arial" w:hAnsi="Arial" w:cs="Arial"/>
            <w:noProof/>
            <w:szCs w:val="22"/>
          </w:rPr>
          <w:t>Campbell and McKenzie 2004</w:t>
        </w:r>
      </w:hyperlink>
      <w:r w:rsidR="00DB32BE" w:rsidRPr="00CB093C">
        <w:rPr>
          <w:rFonts w:ascii="Arial" w:hAnsi="Arial" w:cs="Arial"/>
          <w:noProof/>
          <w:szCs w:val="22"/>
        </w:rPr>
        <w:t xml:space="preserve">; </w:t>
      </w:r>
      <w:hyperlink w:anchor="_ENREF_87" w:tooltip="Limpus, 2005 #9691" w:history="1">
        <w:r w:rsidR="00513C39" w:rsidRPr="00CB093C">
          <w:rPr>
            <w:rFonts w:ascii="Arial" w:hAnsi="Arial" w:cs="Arial"/>
            <w:noProof/>
            <w:szCs w:val="22"/>
          </w:rPr>
          <w:t>Limpus</w:t>
        </w:r>
        <w:r w:rsidR="00513C39" w:rsidRPr="00CB093C">
          <w:rPr>
            <w:rFonts w:ascii="Arial" w:hAnsi="Arial" w:cs="Arial"/>
            <w:i/>
            <w:noProof/>
            <w:szCs w:val="22"/>
          </w:rPr>
          <w:t xml:space="preserve"> et al.</w:t>
        </w:r>
        <w:r w:rsidR="00513C39" w:rsidRPr="00CB093C">
          <w:rPr>
            <w:rFonts w:ascii="Arial" w:hAnsi="Arial" w:cs="Arial"/>
            <w:noProof/>
            <w:szCs w:val="22"/>
          </w:rPr>
          <w:t xml:space="preserve"> 2005</w:t>
        </w:r>
      </w:hyperlink>
      <w:r w:rsidR="00DB32BE" w:rsidRPr="00CB093C">
        <w:rPr>
          <w:rFonts w:ascii="Arial" w:hAnsi="Arial" w:cs="Arial"/>
          <w:noProof/>
          <w:szCs w:val="22"/>
        </w:rPr>
        <w:t xml:space="preserve">; </w:t>
      </w:r>
      <w:hyperlink w:anchor="_ENREF_113" w:tooltip="McMahon, 2005 #7418" w:history="1">
        <w:r w:rsidR="00513C39" w:rsidRPr="00CB093C">
          <w:rPr>
            <w:rFonts w:ascii="Arial" w:hAnsi="Arial" w:cs="Arial"/>
            <w:noProof/>
            <w:szCs w:val="22"/>
          </w:rPr>
          <w:t>McMahon</w:t>
        </w:r>
        <w:r w:rsidR="00513C39" w:rsidRPr="00CB093C">
          <w:rPr>
            <w:rFonts w:ascii="Arial" w:hAnsi="Arial" w:cs="Arial"/>
            <w:i/>
            <w:noProof/>
            <w:szCs w:val="22"/>
          </w:rPr>
          <w:t xml:space="preserve"> et al.</w:t>
        </w:r>
        <w:r w:rsidR="00513C39" w:rsidRPr="00CB093C">
          <w:rPr>
            <w:rFonts w:ascii="Arial" w:hAnsi="Arial" w:cs="Arial"/>
            <w:noProof/>
            <w:szCs w:val="22"/>
          </w:rPr>
          <w:t xml:space="preserve"> 2005</w:t>
        </w:r>
      </w:hyperlink>
      <w:r w:rsidR="00DB32BE" w:rsidRPr="00CB093C">
        <w:rPr>
          <w:rFonts w:ascii="Arial" w:hAnsi="Arial" w:cs="Arial"/>
          <w:noProof/>
          <w:szCs w:val="22"/>
        </w:rPr>
        <w:t xml:space="preserve">; </w:t>
      </w:r>
      <w:hyperlink w:anchor="_ENREF_114" w:tooltip="Mellors, 2005 #3739" w:history="1">
        <w:r w:rsidR="00513C39" w:rsidRPr="00CB093C">
          <w:rPr>
            <w:rFonts w:ascii="Arial" w:hAnsi="Arial" w:cs="Arial"/>
            <w:noProof/>
            <w:szCs w:val="22"/>
          </w:rPr>
          <w:t>Mellors</w:t>
        </w:r>
        <w:r w:rsidR="00513C39" w:rsidRPr="00CB093C">
          <w:rPr>
            <w:rFonts w:ascii="Arial" w:hAnsi="Arial" w:cs="Arial"/>
            <w:i/>
            <w:noProof/>
            <w:szCs w:val="22"/>
          </w:rPr>
          <w:t xml:space="preserve"> et al.</w:t>
        </w:r>
        <w:r w:rsidR="00513C39" w:rsidRPr="00CB093C">
          <w:rPr>
            <w:rFonts w:ascii="Arial" w:hAnsi="Arial" w:cs="Arial"/>
            <w:noProof/>
            <w:szCs w:val="22"/>
          </w:rPr>
          <w:t xml:space="preserve"> 2005</w:t>
        </w:r>
      </w:hyperlink>
      <w:r w:rsidR="00DB32BE" w:rsidRPr="00CB093C">
        <w:rPr>
          <w:rFonts w:ascii="Arial" w:hAnsi="Arial" w:cs="Arial"/>
          <w:noProof/>
          <w:szCs w:val="22"/>
        </w:rPr>
        <w:t xml:space="preserve">; </w:t>
      </w:r>
      <w:hyperlink w:anchor="_ENREF_88" w:tooltip="Lobb, 2006 #9758" w:history="1">
        <w:r w:rsidR="00513C39" w:rsidRPr="00CB093C">
          <w:rPr>
            <w:rFonts w:ascii="Arial" w:hAnsi="Arial" w:cs="Arial"/>
            <w:noProof/>
            <w:szCs w:val="22"/>
          </w:rPr>
          <w:t>Lobb 2006</w:t>
        </w:r>
      </w:hyperlink>
      <w:r w:rsidR="00644A84" w:rsidRPr="00CB093C">
        <w:rPr>
          <w:rFonts w:ascii="Arial" w:hAnsi="Arial" w:cs="Arial"/>
          <w:szCs w:val="22"/>
        </w:rPr>
        <w:fldChar w:fldCharType="end"/>
      </w:r>
      <w:r w:rsidR="003D1F7F" w:rsidRPr="00CB093C">
        <w:rPr>
          <w:rFonts w:ascii="Arial" w:hAnsi="Arial" w:cs="Arial"/>
          <w:szCs w:val="22"/>
        </w:rPr>
        <w:t>)</w:t>
      </w:r>
    </w:p>
    <w:p w14:paraId="358C105C" w14:textId="6007FB65" w:rsidR="003D1F7F" w:rsidRPr="00CB093C" w:rsidRDefault="001D0B44" w:rsidP="00AD06D4">
      <w:pPr>
        <w:numPr>
          <w:ilvl w:val="0"/>
          <w:numId w:val="23"/>
        </w:numPr>
        <w:spacing w:before="0" w:after="0"/>
        <w:rPr>
          <w:rFonts w:ascii="Arial" w:hAnsi="Arial" w:cs="Arial"/>
          <w:szCs w:val="22"/>
        </w:rPr>
      </w:pPr>
      <w:r w:rsidRPr="00CB093C">
        <w:rPr>
          <w:rFonts w:ascii="Arial" w:hAnsi="Arial" w:cs="Arial"/>
          <w:szCs w:val="22"/>
          <w:lang w:val="en-US"/>
        </w:rPr>
        <w:t>a</w:t>
      </w:r>
      <w:r w:rsidR="003D1F7F" w:rsidRPr="00CB093C">
        <w:rPr>
          <w:rFonts w:ascii="Arial" w:hAnsi="Arial" w:cs="Arial"/>
          <w:szCs w:val="22"/>
          <w:lang w:val="en-US"/>
        </w:rPr>
        <w:t xml:space="preserve"> Minimum Detectable Difference (MDD) below 20</w:t>
      </w:r>
      <w:r w:rsidR="00882B72" w:rsidRPr="00CB093C">
        <w:rPr>
          <w:rFonts w:ascii="Arial" w:hAnsi="Arial" w:cs="Arial"/>
          <w:szCs w:val="22"/>
          <w:lang w:val="en-US"/>
        </w:rPr>
        <w:t>%</w:t>
      </w:r>
      <w:r w:rsidR="003D1F7F" w:rsidRPr="00CB093C">
        <w:rPr>
          <w:rFonts w:ascii="Arial" w:hAnsi="Arial" w:cs="Arial"/>
          <w:szCs w:val="22"/>
          <w:lang w:val="en-US"/>
        </w:rPr>
        <w:t xml:space="preserve"> (at the 5</w:t>
      </w:r>
      <w:r w:rsidR="006F061E" w:rsidRPr="00CB093C">
        <w:rPr>
          <w:rFonts w:ascii="Arial" w:hAnsi="Arial" w:cs="Arial"/>
          <w:szCs w:val="22"/>
          <w:lang w:val="en-US"/>
        </w:rPr>
        <w:t>%</w:t>
      </w:r>
      <w:r w:rsidR="003D1F7F" w:rsidRPr="00CB093C">
        <w:rPr>
          <w:rFonts w:ascii="Arial" w:hAnsi="Arial" w:cs="Arial"/>
          <w:szCs w:val="22"/>
          <w:lang w:val="en-US"/>
        </w:rPr>
        <w:t xml:space="preserve"> level of significance with 80</w:t>
      </w:r>
      <w:r w:rsidR="006F061E" w:rsidRPr="00CB093C">
        <w:rPr>
          <w:rFonts w:ascii="Arial" w:hAnsi="Arial" w:cs="Arial"/>
          <w:szCs w:val="22"/>
          <w:lang w:val="en-US"/>
        </w:rPr>
        <w:t>%</w:t>
      </w:r>
      <w:r w:rsidR="003D1F7F" w:rsidRPr="00CB093C">
        <w:rPr>
          <w:rFonts w:ascii="Arial" w:hAnsi="Arial" w:cs="Arial"/>
          <w:szCs w:val="22"/>
          <w:lang w:val="en-US"/>
        </w:rPr>
        <w:t xml:space="preserve"> power) (</w:t>
      </w:r>
      <w:hyperlink w:anchor="_ENREF_14" w:tooltip="Bros, 1987 #9156"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&lt;EndNote&gt;&lt;Cite&gt;&lt;Author&gt;Bros&lt;/Author&gt;&lt;Year&gt;1987&lt;/Year&gt;&lt;RecNum&gt;9156&lt;/RecNum&gt;&lt;DisplayText&gt;Bros and Cowell 1987&lt;/DisplayText&gt;&lt;record&gt;&lt;rec-number&gt;9156&lt;/rec-number&gt;&lt;foreign-keys&gt;&lt;key app="EN" db-id="0eve55x9y5vfd6e9dacxtew4eatve2dzds9a" timestamp="1374984599"&gt;9156&lt;/key&gt;&lt;/foreign-keys&gt;&lt;ref-type name="Journal Article"&gt;17&lt;/ref-type&gt;&lt;contributors&gt;&lt;authors&gt;&lt;author&gt;Bros, W.E.&lt;/author&gt;&lt;author&gt;Cowell, B.C.&lt;/author&gt;&lt;/authors&gt;&lt;/contributors&gt;&lt;titles&gt;&lt;title&gt;A technique for optimising sample size (replication)&lt;/title&gt;&lt;secondary-title&gt;Journal of  Experimental Marine Biology and Ecology&lt;/secondary-title&gt;&lt;/titles&gt;&lt;periodical&gt;&lt;full-title&gt;Journal of  Experimental Marine Biology and Ecology&lt;/full-title&gt;&lt;/periodical&gt;&lt;pages&gt;63-71&lt;/pages&gt;&lt;volume&gt;114&lt;/volume&gt;&lt;dates&gt;&lt;year&gt;1987&lt;/year&gt;&lt;/dates&gt;&lt;urls&gt;&lt;/urls&gt;&lt;/record&gt;&lt;/Cite&gt;&lt;/EndNote&gt;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Bros and Cowell 1987</w:t>
        </w:r>
        <w:r w:rsidR="00513C39" w:rsidRPr="00CB093C">
          <w:rPr>
            <w:rFonts w:ascii="Arial" w:hAnsi="Arial" w:cs="Arial"/>
            <w:szCs w:val="22"/>
            <w:lang w:val="en-US"/>
          </w:rPr>
          <w:fldChar w:fldCharType="end"/>
        </w:r>
      </w:hyperlink>
      <w:r w:rsidR="003D1F7F" w:rsidRPr="00CB093C">
        <w:rPr>
          <w:rFonts w:ascii="Arial" w:hAnsi="Arial" w:cs="Arial"/>
          <w:szCs w:val="22"/>
          <w:lang w:val="en-US"/>
        </w:rPr>
        <w:t>).</w:t>
      </w:r>
    </w:p>
    <w:p w14:paraId="1B3E83E4" w14:textId="7A40F60D" w:rsidR="006907CE" w:rsidRPr="00CB093C" w:rsidRDefault="003D1F7F" w:rsidP="003D1F7F">
      <w:pPr>
        <w:spacing w:before="240"/>
        <w:rPr>
          <w:rFonts w:ascii="Arial" w:hAnsi="Arial" w:cs="Arial"/>
          <w:szCs w:val="22"/>
          <w:lang w:val="en-US"/>
        </w:rPr>
      </w:pPr>
      <w:r w:rsidRPr="00CB093C">
        <w:rPr>
          <w:rFonts w:ascii="Arial" w:hAnsi="Arial" w:cs="Arial"/>
          <w:szCs w:val="22"/>
          <w:lang w:val="en-US"/>
        </w:rPr>
        <w:t xml:space="preserve">Sites were selected using mapping surveys across the regions prior to site establishment. Ideally mapping was conducted immediately prior to site positioning, however in most cases </w:t>
      </w:r>
      <w:r w:rsidR="006907CE" w:rsidRPr="00CB093C">
        <w:rPr>
          <w:rFonts w:ascii="Arial" w:hAnsi="Arial" w:cs="Arial"/>
          <w:szCs w:val="22"/>
          <w:lang w:val="en-US"/>
        </w:rPr>
        <w:t xml:space="preserve">(60 %) </w:t>
      </w:r>
      <w:r w:rsidRPr="00CB093C">
        <w:rPr>
          <w:rFonts w:ascii="Arial" w:hAnsi="Arial" w:cs="Arial"/>
          <w:szCs w:val="22"/>
          <w:lang w:val="en-US"/>
        </w:rPr>
        <w:t>it was based on historic (&gt;5</w:t>
      </w:r>
      <w:r w:rsidR="006907CE" w:rsidRPr="00CB093C">
        <w:rPr>
          <w:rFonts w:ascii="Arial" w:hAnsi="Arial" w:cs="Arial"/>
          <w:szCs w:val="22"/>
          <w:lang w:val="en-US"/>
        </w:rPr>
        <w:t xml:space="preserve"> </w:t>
      </w:r>
      <w:r w:rsidRPr="00CB093C">
        <w:rPr>
          <w:rFonts w:ascii="Arial" w:hAnsi="Arial" w:cs="Arial"/>
          <w:szCs w:val="22"/>
          <w:lang w:val="en-US"/>
        </w:rPr>
        <w:t xml:space="preserve">yr) information. </w:t>
      </w:r>
    </w:p>
    <w:p w14:paraId="595C6639" w14:textId="76B27B6E" w:rsidR="003D1F7F" w:rsidRPr="00CB093C" w:rsidRDefault="003D1F7F" w:rsidP="003D1F7F">
      <w:pPr>
        <w:spacing w:before="240"/>
        <w:rPr>
          <w:rFonts w:ascii="Arial" w:hAnsi="Arial" w:cs="Arial"/>
          <w:szCs w:val="22"/>
          <w:lang w:val="en-US"/>
        </w:rPr>
      </w:pPr>
      <w:r w:rsidRPr="00CB093C">
        <w:rPr>
          <w:rFonts w:ascii="Arial" w:hAnsi="Arial" w:cs="Arial"/>
          <w:szCs w:val="22"/>
          <w:lang w:val="en-US"/>
        </w:rPr>
        <w:t xml:space="preserve">Representative meadows were those which covered the greater extent within the inshore region, were generally the dominant seagrass community type and were within </w:t>
      </w:r>
      <w:r w:rsidR="00F206BF" w:rsidRPr="00CB093C">
        <w:rPr>
          <w:rFonts w:ascii="Arial" w:hAnsi="Arial" w:cs="Arial"/>
          <w:szCs w:val="22"/>
          <w:lang w:val="en-US"/>
        </w:rPr>
        <w:t>Reef</w:t>
      </w:r>
      <w:r w:rsidRPr="00CB093C">
        <w:rPr>
          <w:rFonts w:ascii="Arial" w:hAnsi="Arial" w:cs="Arial"/>
          <w:szCs w:val="22"/>
          <w:lang w:val="en-US"/>
        </w:rPr>
        <w:t xml:space="preserve"> </w:t>
      </w:r>
      <w:r w:rsidR="001D0B44" w:rsidRPr="00CB093C">
        <w:rPr>
          <w:rFonts w:ascii="Arial" w:hAnsi="Arial" w:cs="Arial"/>
          <w:szCs w:val="22"/>
          <w:lang w:val="en-US"/>
        </w:rPr>
        <w:t>baseline</w:t>
      </w:r>
      <w:r w:rsidRPr="00CB093C">
        <w:rPr>
          <w:rFonts w:ascii="Arial" w:hAnsi="Arial" w:cs="Arial"/>
          <w:szCs w:val="22"/>
          <w:lang w:val="en-US"/>
        </w:rPr>
        <w:t xml:space="preserve"> abundances (based on </w:t>
      </w:r>
      <w:r w:rsidR="00644A84" w:rsidRPr="00CB093C">
        <w:rPr>
          <w:rFonts w:ascii="Arial" w:hAnsi="Arial" w:cs="Arial"/>
          <w:szCs w:val="22"/>
          <w:lang w:val="en-US"/>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ZXZlNTV4OXk1dmZkNmU5ZGFjeHRldzRlYXR2ZTJkemRzOWEiIHRpbWVzdGFtcD0iMTM5NDI1NTc4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</w:fldData>
        </w:fldChar>
      </w:r>
      <w:r w:rsidR="005B0C7C" w:rsidRPr="00CB093C">
        <w:rPr>
          <w:rFonts w:ascii="Arial" w:hAnsi="Arial" w:cs="Arial"/>
          <w:szCs w:val="22"/>
          <w:lang w:val="en-US"/>
        </w:rPr>
        <w:instrText xml:space="preserve"> ADDIN EN.CITE </w:instrText>
      </w:r>
      <w:r w:rsidR="005B0C7C" w:rsidRPr="00CB093C">
        <w:rPr>
          <w:rFonts w:ascii="Arial" w:hAnsi="Arial" w:cs="Arial"/>
          <w:szCs w:val="22"/>
          <w:lang w:val="en-US"/>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ZXZlNTV4OXk1dmZkNmU5ZGFjeHRldzRlYXR2ZTJkemRzOWEiIHRpbWVzdGFtcD0iMTM5NDI1NTc4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</w:fldData>
        </w:fldChar>
      </w:r>
      <w:r w:rsidR="005B0C7C" w:rsidRPr="00CB093C">
        <w:rPr>
          <w:rFonts w:ascii="Arial" w:hAnsi="Arial" w:cs="Arial"/>
          <w:szCs w:val="22"/>
          <w:lang w:val="en-US"/>
        </w:rPr>
        <w:instrText xml:space="preserve"> ADDIN EN.CITE.DATA </w:instrText>
      </w:r>
      <w:r w:rsidR="005B0C7C" w:rsidRPr="00CB093C">
        <w:rPr>
          <w:rFonts w:ascii="Arial" w:hAnsi="Arial" w:cs="Arial"/>
          <w:szCs w:val="22"/>
          <w:lang w:val="en-US"/>
        </w:rPr>
      </w:r>
      <w:r w:rsidR="005B0C7C" w:rsidRPr="00CB093C">
        <w:rPr>
          <w:rFonts w:ascii="Arial" w:hAnsi="Arial" w:cs="Arial"/>
          <w:szCs w:val="22"/>
          <w:lang w:val="en-US"/>
        </w:rPr>
        <w:fldChar w:fldCharType="end"/>
      </w:r>
      <w:r w:rsidR="00644A84" w:rsidRPr="00CB093C">
        <w:rPr>
          <w:rFonts w:ascii="Arial" w:hAnsi="Arial" w:cs="Arial"/>
          <w:szCs w:val="22"/>
          <w:lang w:val="en-US"/>
        </w:rPr>
      </w:r>
      <w:r w:rsidR="00644A84" w:rsidRPr="00CB093C">
        <w:rPr>
          <w:rFonts w:ascii="Arial" w:hAnsi="Arial" w:cs="Arial"/>
          <w:szCs w:val="22"/>
          <w:lang w:val="en-US"/>
        </w:rPr>
        <w:fldChar w:fldCharType="separate"/>
      </w:r>
      <w:hyperlink w:anchor="_ENREF_26" w:tooltip="Coles, 2001 #9760" w:history="1">
        <w:r w:rsidR="00513C39" w:rsidRPr="00CB093C">
          <w:rPr>
            <w:rFonts w:ascii="Arial" w:hAnsi="Arial" w:cs="Arial"/>
            <w:noProof/>
            <w:szCs w:val="22"/>
            <w:lang w:val="en-US"/>
          </w:rPr>
          <w:t>Coles</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2001a</w:t>
        </w:r>
      </w:hyperlink>
      <w:r w:rsidR="00644A84" w:rsidRPr="00CB093C">
        <w:rPr>
          <w:rFonts w:ascii="Arial" w:hAnsi="Arial" w:cs="Arial"/>
          <w:noProof/>
          <w:szCs w:val="22"/>
          <w:lang w:val="en-US"/>
        </w:rPr>
        <w:t xml:space="preserve">; </w:t>
      </w:r>
      <w:hyperlink w:anchor="_ENREF_28" w:tooltip="Coles, 2001 #9759" w:history="1">
        <w:r w:rsidR="00513C39" w:rsidRPr="00CB093C">
          <w:rPr>
            <w:rFonts w:ascii="Arial" w:hAnsi="Arial" w:cs="Arial"/>
            <w:noProof/>
            <w:szCs w:val="22"/>
            <w:lang w:val="en-US"/>
          </w:rPr>
          <w:t>Coles</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2001c</w:t>
        </w:r>
      </w:hyperlink>
      <w:r w:rsidR="00644A84" w:rsidRPr="00CB093C">
        <w:rPr>
          <w:rFonts w:ascii="Arial" w:hAnsi="Arial" w:cs="Arial"/>
          <w:noProof/>
          <w:szCs w:val="22"/>
          <w:lang w:val="en-US"/>
        </w:rPr>
        <w:t xml:space="preserve">, </w:t>
      </w:r>
      <w:hyperlink w:anchor="_ENREF_27" w:tooltip="Coles, 2001 #9761" w:history="1">
        <w:r w:rsidR="00513C39" w:rsidRPr="00CB093C">
          <w:rPr>
            <w:rFonts w:ascii="Arial" w:hAnsi="Arial" w:cs="Arial"/>
            <w:noProof/>
            <w:szCs w:val="22"/>
            <w:lang w:val="en-US"/>
          </w:rPr>
          <w:t>2001b</w:t>
        </w:r>
      </w:hyperlink>
      <w:r w:rsidR="00644A84" w:rsidRPr="00CB093C">
        <w:rPr>
          <w:rFonts w:ascii="Arial" w:hAnsi="Arial" w:cs="Arial"/>
          <w:noProof/>
          <w:szCs w:val="22"/>
          <w:lang w:val="en-US"/>
        </w:rPr>
        <w:t xml:space="preserve">, </w:t>
      </w:r>
      <w:hyperlink w:anchor="_ENREF_29" w:tooltip="Coles, 2001 #9762" w:history="1">
        <w:r w:rsidR="00513C39" w:rsidRPr="00CB093C">
          <w:rPr>
            <w:rFonts w:ascii="Arial" w:hAnsi="Arial" w:cs="Arial"/>
            <w:noProof/>
            <w:szCs w:val="22"/>
            <w:lang w:val="en-US"/>
          </w:rPr>
          <w:t>2001d</w:t>
        </w:r>
      </w:hyperlink>
      <w:r w:rsidR="00644A84" w:rsidRPr="00CB093C">
        <w:rPr>
          <w:rFonts w:ascii="Arial" w:hAnsi="Arial" w:cs="Arial"/>
          <w:szCs w:val="22"/>
          <w:lang w:val="en-US"/>
        </w:rPr>
        <w:fldChar w:fldCharType="end"/>
      </w:r>
      <w:r w:rsidRPr="00CB093C">
        <w:rPr>
          <w:rFonts w:ascii="Arial" w:hAnsi="Arial" w:cs="Arial"/>
          <w:szCs w:val="22"/>
          <w:lang w:val="en-US"/>
        </w:rPr>
        <w:t xml:space="preserve">). To account for spatial heterogeneity of meadows within habitats, </w:t>
      </w:r>
      <w:r w:rsidR="00106862" w:rsidRPr="00CB093C">
        <w:rPr>
          <w:rFonts w:ascii="Arial" w:hAnsi="Arial" w:cs="Arial"/>
          <w:szCs w:val="22"/>
          <w:lang w:val="en-US"/>
        </w:rPr>
        <w:t xml:space="preserve">at least </w:t>
      </w:r>
      <w:r w:rsidRPr="00CB093C">
        <w:rPr>
          <w:rFonts w:ascii="Arial" w:hAnsi="Arial" w:cs="Arial"/>
          <w:szCs w:val="22"/>
          <w:lang w:val="en-US"/>
        </w:rPr>
        <w:t xml:space="preserve">two sites were selected at each location. </w:t>
      </w:r>
      <w:r w:rsidR="00566CA2" w:rsidRPr="00CB093C">
        <w:rPr>
          <w:rFonts w:ascii="Arial" w:hAnsi="Arial" w:cs="Arial"/>
          <w:szCs w:val="22"/>
          <w:lang w:val="en-US"/>
        </w:rPr>
        <w:t>If meadow overall extent was larger than ~15</w:t>
      </w:r>
      <w:r w:rsidR="006907CE" w:rsidRPr="00CB093C">
        <w:rPr>
          <w:rFonts w:ascii="Arial" w:hAnsi="Arial" w:cs="Arial"/>
          <w:szCs w:val="22"/>
          <w:lang w:val="en-US"/>
        </w:rPr>
        <w:t xml:space="preserve"> </w:t>
      </w:r>
      <w:r w:rsidR="00566CA2" w:rsidRPr="00CB093C">
        <w:rPr>
          <w:rFonts w:ascii="Arial" w:hAnsi="Arial" w:cs="Arial"/>
          <w:szCs w:val="22"/>
          <w:lang w:val="en-US"/>
        </w:rPr>
        <w:t>hec</w:t>
      </w:r>
      <w:r w:rsidR="006907CE" w:rsidRPr="00CB093C">
        <w:rPr>
          <w:rFonts w:ascii="Arial" w:hAnsi="Arial" w:cs="Arial"/>
          <w:szCs w:val="22"/>
          <w:lang w:val="en-US"/>
        </w:rPr>
        <w:t>t</w:t>
      </w:r>
      <w:r w:rsidR="00566CA2" w:rsidRPr="00CB093C">
        <w:rPr>
          <w:rFonts w:ascii="Arial" w:hAnsi="Arial" w:cs="Arial"/>
          <w:szCs w:val="22"/>
          <w:lang w:val="en-US"/>
        </w:rPr>
        <w:t>ares (0.15 km</w:t>
      </w:r>
      <w:r w:rsidR="00566CA2" w:rsidRPr="00CB093C">
        <w:rPr>
          <w:rFonts w:ascii="Arial" w:hAnsi="Arial" w:cs="Arial"/>
          <w:szCs w:val="22"/>
          <w:vertAlign w:val="superscript"/>
          <w:lang w:val="en-US"/>
        </w:rPr>
        <w:t>2</w:t>
      </w:r>
      <w:r w:rsidR="00566CA2" w:rsidRPr="00CB093C">
        <w:rPr>
          <w:rFonts w:ascii="Arial" w:hAnsi="Arial" w:cs="Arial"/>
          <w:szCs w:val="22"/>
          <w:lang w:val="en-US"/>
        </w:rPr>
        <w:t>), replicate sites were often located within the same meadow</w:t>
      </w:r>
      <w:r w:rsidR="00106862" w:rsidRPr="00CB093C">
        <w:rPr>
          <w:rFonts w:ascii="Arial" w:hAnsi="Arial" w:cs="Arial"/>
          <w:szCs w:val="22"/>
          <w:lang w:val="en-US"/>
        </w:rPr>
        <w:t xml:space="preserve"> (a greater number of sites was desirable with increasing meadow size , however not possible due to funding constraints)</w:t>
      </w:r>
      <w:r w:rsidR="00566CA2" w:rsidRPr="00CB093C">
        <w:rPr>
          <w:rFonts w:ascii="Arial" w:hAnsi="Arial" w:cs="Arial"/>
          <w:szCs w:val="22"/>
          <w:lang w:val="en-US"/>
        </w:rPr>
        <w:t>.</w:t>
      </w:r>
    </w:p>
    <w:p w14:paraId="48CA7984" w14:textId="77777777" w:rsidR="003D1F7F" w:rsidRPr="00CB093C" w:rsidRDefault="003D1F7F" w:rsidP="003D1F7F">
      <w:pPr>
        <w:spacing w:before="240"/>
        <w:rPr>
          <w:rFonts w:ascii="Arial" w:hAnsi="Arial" w:cs="Arial"/>
          <w:szCs w:val="22"/>
          <w:lang w:val="en-US"/>
        </w:rPr>
      </w:pPr>
      <w:r w:rsidRPr="00CB093C">
        <w:rPr>
          <w:rFonts w:ascii="Arial" w:hAnsi="Arial" w:cs="Arial"/>
          <w:szCs w:val="22"/>
          <w:lang w:val="en-US"/>
        </w:rPr>
        <w:t>From the onset, inshore seagrass monitoring for the MMP was focused primarily on intertidal</w:t>
      </w:r>
      <w:r w:rsidR="00566CA2" w:rsidRPr="00CB093C">
        <w:rPr>
          <w:rFonts w:ascii="Arial" w:hAnsi="Arial" w:cs="Arial"/>
          <w:szCs w:val="22"/>
          <w:lang w:val="en-US"/>
        </w:rPr>
        <w:t>/lower littoral</w:t>
      </w:r>
      <w:r w:rsidRPr="00CB093C">
        <w:rPr>
          <w:rFonts w:ascii="Arial" w:hAnsi="Arial" w:cs="Arial"/>
          <w:szCs w:val="22"/>
          <w:lang w:val="en-US"/>
        </w:rPr>
        <w:t xml:space="preserve"> seagrass meadows due to:</w:t>
      </w:r>
    </w:p>
    <w:p w14:paraId="1AA48A82" w14:textId="77777777"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accessibility and cost effectiveness (limiting use of vessels and divers)</w:t>
      </w:r>
    </w:p>
    <w:p w14:paraId="356250A1" w14:textId="213847BB" w:rsidR="003D1F7F" w:rsidRPr="00CB093C" w:rsidRDefault="00AB452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lastRenderedPageBreak/>
        <w:t>Occupational</w:t>
      </w:r>
      <w:r w:rsidR="003D1F7F" w:rsidRPr="00CB093C">
        <w:rPr>
          <w:rFonts w:ascii="Arial" w:hAnsi="Arial" w:cs="Arial"/>
          <w:szCs w:val="22"/>
        </w:rPr>
        <w:t xml:space="preserve"> Health and Safety </w:t>
      </w:r>
      <w:r w:rsidR="006907CE" w:rsidRPr="00CB093C">
        <w:rPr>
          <w:rFonts w:ascii="Arial" w:hAnsi="Arial" w:cs="Arial"/>
          <w:szCs w:val="22"/>
        </w:rPr>
        <w:t>issues with</w:t>
      </w:r>
      <w:r w:rsidR="008D142C" w:rsidRPr="00CB093C">
        <w:rPr>
          <w:rFonts w:ascii="Arial" w:hAnsi="Arial" w:cs="Arial"/>
          <w:szCs w:val="22"/>
        </w:rPr>
        <w:t xml:space="preserve"> dangerous marine animals (e.g.</w:t>
      </w:r>
      <w:r w:rsidR="003D1F7F" w:rsidRPr="00CB093C">
        <w:rPr>
          <w:rFonts w:ascii="Arial" w:hAnsi="Arial" w:cs="Arial"/>
          <w:szCs w:val="22"/>
        </w:rPr>
        <w:t xml:space="preserve"> crocodiles, box jellyfish and irukandji)</w:t>
      </w:r>
    </w:p>
    <w:p w14:paraId="17BBFB32" w14:textId="7A57BE27"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 xml:space="preserve">occurrence of meadows in estuarine, coastal and reef habitats across the entire </w:t>
      </w:r>
      <w:r w:rsidR="00F206BF" w:rsidRPr="00CB093C">
        <w:rPr>
          <w:rFonts w:ascii="Arial" w:hAnsi="Arial" w:cs="Arial"/>
          <w:szCs w:val="22"/>
        </w:rPr>
        <w:t>Reef</w:t>
      </w:r>
    </w:p>
    <w:p w14:paraId="21A06450" w14:textId="20C74CFF"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where possible, provid</w:t>
      </w:r>
      <w:r w:rsidR="006907CE" w:rsidRPr="00CB093C">
        <w:rPr>
          <w:rFonts w:ascii="Arial" w:hAnsi="Arial" w:cs="Arial"/>
          <w:szCs w:val="22"/>
        </w:rPr>
        <w:t>ing</w:t>
      </w:r>
      <w:r w:rsidRPr="00CB093C">
        <w:rPr>
          <w:rFonts w:ascii="Arial" w:hAnsi="Arial" w:cs="Arial"/>
          <w:szCs w:val="22"/>
        </w:rPr>
        <w:t xml:space="preserve"> an opportunity for </w:t>
      </w:r>
      <w:r w:rsidR="00106862" w:rsidRPr="00CB093C">
        <w:rPr>
          <w:rFonts w:ascii="Arial" w:hAnsi="Arial" w:cs="Arial"/>
          <w:szCs w:val="22"/>
        </w:rPr>
        <w:t>citizen</w:t>
      </w:r>
      <w:r w:rsidRPr="00CB093C">
        <w:rPr>
          <w:rFonts w:ascii="Arial" w:hAnsi="Arial" w:cs="Arial"/>
          <w:szCs w:val="22"/>
        </w:rPr>
        <w:t xml:space="preserve"> involvement, ensuring broad acceptance and ownership of Reef </w:t>
      </w:r>
      <w:r w:rsidR="009E0200" w:rsidRPr="00CB093C">
        <w:rPr>
          <w:rFonts w:ascii="Arial" w:hAnsi="Arial" w:cs="Arial"/>
          <w:szCs w:val="22"/>
        </w:rPr>
        <w:t xml:space="preserve">2050 </w:t>
      </w:r>
      <w:r w:rsidRPr="00CB093C">
        <w:rPr>
          <w:rFonts w:ascii="Arial" w:hAnsi="Arial" w:cs="Arial"/>
          <w:szCs w:val="22"/>
        </w:rPr>
        <w:t>Plan by the Queensland and Australian community.</w:t>
      </w:r>
    </w:p>
    <w:p w14:paraId="7B6F8052" w14:textId="77777777" w:rsidR="00834641" w:rsidRPr="00CB093C" w:rsidRDefault="003D1F7F" w:rsidP="003D1F7F">
      <w:pPr>
        <w:spacing w:before="240"/>
        <w:rPr>
          <w:rFonts w:ascii="Arial" w:hAnsi="Arial" w:cs="Arial"/>
          <w:szCs w:val="22"/>
          <w:lang w:val="en-US"/>
        </w:rPr>
      </w:pPr>
      <w:r w:rsidRPr="00CB093C">
        <w:rPr>
          <w:rFonts w:ascii="Arial" w:hAnsi="Arial" w:cs="Arial"/>
          <w:szCs w:val="22"/>
          <w:lang w:val="en-US"/>
        </w:rPr>
        <w:t>Some of the restrictions for working in hazardous waters are overcome by using drop cameras</w:t>
      </w:r>
      <w:r w:rsidR="000945E8" w:rsidRPr="00CB093C">
        <w:rPr>
          <w:rFonts w:ascii="Arial" w:hAnsi="Arial" w:cs="Arial"/>
          <w:szCs w:val="22"/>
          <w:lang w:val="en-US"/>
        </w:rPr>
        <w:t>, however, drop cameras only provide</w:t>
      </w:r>
      <w:r w:rsidRPr="00CB093C">
        <w:rPr>
          <w:rFonts w:ascii="Arial" w:hAnsi="Arial" w:cs="Arial"/>
          <w:szCs w:val="22"/>
          <w:lang w:val="en-US"/>
        </w:rPr>
        <w:t xml:space="preserve"> abundance</w:t>
      </w:r>
      <w:r w:rsidR="000945E8" w:rsidRPr="00CB093C">
        <w:rPr>
          <w:rFonts w:ascii="Arial" w:hAnsi="Arial" w:cs="Arial"/>
          <w:szCs w:val="22"/>
          <w:lang w:val="en-US"/>
        </w:rPr>
        <w:t xml:space="preserve"> measures and do</w:t>
      </w:r>
      <w:r w:rsidRPr="00CB093C">
        <w:rPr>
          <w:rFonts w:ascii="Arial" w:hAnsi="Arial" w:cs="Arial"/>
          <w:szCs w:val="22"/>
          <w:lang w:val="en-US"/>
        </w:rPr>
        <w:t xml:space="preserve"> not contribute to </w:t>
      </w:r>
      <w:r w:rsidR="000945E8" w:rsidRPr="00CB093C">
        <w:rPr>
          <w:rFonts w:ascii="Arial" w:hAnsi="Arial" w:cs="Arial"/>
          <w:szCs w:val="22"/>
          <w:lang w:val="en-US"/>
        </w:rPr>
        <w:t xml:space="preserve">the other metrics </w:t>
      </w:r>
      <w:r w:rsidRPr="00CB093C">
        <w:rPr>
          <w:rFonts w:ascii="Arial" w:hAnsi="Arial" w:cs="Arial"/>
          <w:szCs w:val="22"/>
          <w:lang w:val="en-US"/>
        </w:rPr>
        <w:t>(e.g. tissue nutrients, reproductive ef</w:t>
      </w:r>
      <w:r w:rsidR="000945E8" w:rsidRPr="00CB093C">
        <w:rPr>
          <w:rFonts w:ascii="Arial" w:hAnsi="Arial" w:cs="Arial"/>
          <w:szCs w:val="22"/>
          <w:lang w:val="en-US"/>
        </w:rPr>
        <w:t>fort)</w:t>
      </w:r>
      <w:r w:rsidRPr="00CB093C">
        <w:rPr>
          <w:rFonts w:ascii="Arial" w:hAnsi="Arial" w:cs="Arial"/>
          <w:szCs w:val="22"/>
          <w:lang w:val="en-US"/>
        </w:rPr>
        <w:t xml:space="preserve">. Although considered intertidal within the MMP, the meadows chosen for monitoring were in fact lower littoral (rarely exposed to air). </w:t>
      </w:r>
    </w:p>
    <w:p w14:paraId="354E6678" w14:textId="6D3A36D8" w:rsidR="00834641" w:rsidRPr="00CB093C" w:rsidRDefault="003D1F7F" w:rsidP="003D1F7F">
      <w:pPr>
        <w:spacing w:before="240"/>
        <w:rPr>
          <w:rFonts w:ascii="Arial" w:hAnsi="Arial" w:cs="Arial"/>
          <w:szCs w:val="22"/>
          <w:lang w:val="en-US"/>
        </w:rPr>
      </w:pPr>
      <w:r w:rsidRPr="00CB093C">
        <w:rPr>
          <w:rFonts w:ascii="Arial" w:hAnsi="Arial" w:cs="Arial"/>
          <w:szCs w:val="22"/>
          <w:lang w:val="en-US"/>
        </w:rPr>
        <w:t xml:space="preserve">The long-term median annual daylight exposure (the time intertidal meadows are exposed to air during daylight hours) was </w:t>
      </w:r>
      <w:r w:rsidR="001E57DF" w:rsidRPr="00CB093C">
        <w:rPr>
          <w:rFonts w:ascii="Arial" w:hAnsi="Arial" w:cs="Arial"/>
          <w:szCs w:val="22"/>
          <w:lang w:val="en-US"/>
        </w:rPr>
        <w:t>1.7%</w:t>
      </w:r>
      <w:r w:rsidRPr="00CB093C">
        <w:rPr>
          <w:rFonts w:ascii="Arial" w:hAnsi="Arial" w:cs="Arial"/>
          <w:szCs w:val="22"/>
          <w:lang w:val="en-US"/>
        </w:rPr>
        <w:t xml:space="preserve"> (all meadows pooled) (</w:t>
      </w:r>
      <w:r w:rsidRPr="00CB093C">
        <w:rPr>
          <w:rFonts w:ascii="Arial" w:hAnsi="Arial" w:cs="Arial"/>
          <w:szCs w:val="22"/>
          <w:lang w:val="en-US"/>
        </w:rPr>
        <w:fldChar w:fldCharType="begin"/>
      </w:r>
      <w:r w:rsidRPr="00CB093C">
        <w:rPr>
          <w:rFonts w:ascii="Arial" w:hAnsi="Arial" w:cs="Arial"/>
          <w:szCs w:val="22"/>
          <w:lang w:val="en-US"/>
        </w:rPr>
        <w:instrText xml:space="preserve"> REF _Ref409806677 \h </w:instrText>
      </w:r>
      <w:r w:rsidR="00DA741D" w:rsidRPr="00CB093C">
        <w:rPr>
          <w:rFonts w:ascii="Arial" w:hAnsi="Arial" w:cs="Arial"/>
          <w:szCs w:val="22"/>
          <w:lang w:val="en-US"/>
        </w:rPr>
        <w:instrText xml:space="preserve"> \* MERGEFORMAT </w:instrText>
      </w:r>
      <w:r w:rsidRPr="00CB093C">
        <w:rPr>
          <w:rFonts w:ascii="Arial" w:hAnsi="Arial" w:cs="Arial"/>
          <w:szCs w:val="22"/>
          <w:lang w:val="en-US"/>
        </w:rPr>
      </w:r>
      <w:r w:rsidRPr="00CB093C">
        <w:rPr>
          <w:rFonts w:ascii="Arial" w:hAnsi="Arial" w:cs="Arial"/>
          <w:szCs w:val="22"/>
          <w:lang w:val="en-US"/>
        </w:rPr>
        <w:fldChar w:fldCharType="separate"/>
      </w:r>
      <w:r w:rsidR="005F00D4" w:rsidRPr="00CB093C">
        <w:rPr>
          <w:rFonts w:ascii="Arial" w:hAnsi="Arial" w:cs="Arial"/>
          <w:szCs w:val="22"/>
        </w:rPr>
        <w:t xml:space="preserve">Table </w:t>
      </w:r>
      <w:r w:rsidR="005F00D4">
        <w:rPr>
          <w:rFonts w:ascii="Arial" w:hAnsi="Arial" w:cs="Arial"/>
          <w:noProof/>
          <w:szCs w:val="22"/>
        </w:rPr>
        <w:t>22</w:t>
      </w:r>
      <w:r w:rsidRPr="00CB093C">
        <w:rPr>
          <w:rFonts w:ascii="Arial" w:hAnsi="Arial" w:cs="Arial"/>
          <w:szCs w:val="22"/>
          <w:lang w:val="en-US"/>
        </w:rPr>
        <w:fldChar w:fldCharType="end"/>
      </w:r>
      <w:r w:rsidRPr="00CB093C">
        <w:rPr>
          <w:rFonts w:ascii="Arial" w:hAnsi="Arial" w:cs="Arial"/>
          <w:szCs w:val="22"/>
          <w:lang w:val="en-US"/>
        </w:rPr>
        <w:t>). This limited the time monitoring could be conducted to the very low spring tides within small tidal windows (mostly 1</w:t>
      </w:r>
      <w:r w:rsidR="00834641" w:rsidRPr="00CB093C">
        <w:rPr>
          <w:rFonts w:ascii="Arial" w:hAnsi="Arial" w:cs="Arial"/>
          <w:szCs w:val="22"/>
          <w:lang w:val="en-US"/>
        </w:rPr>
        <w:t>–</w:t>
      </w:r>
      <w:r w:rsidRPr="00CB093C">
        <w:rPr>
          <w:rFonts w:ascii="Arial" w:hAnsi="Arial" w:cs="Arial"/>
          <w:szCs w:val="22"/>
          <w:lang w:val="en-US"/>
        </w:rPr>
        <w:t>4</w:t>
      </w:r>
      <w:r w:rsidR="00A12DFC" w:rsidRPr="00CB093C">
        <w:rPr>
          <w:rFonts w:ascii="Arial" w:hAnsi="Arial" w:cs="Arial"/>
          <w:szCs w:val="22"/>
          <w:lang w:val="en-US"/>
        </w:rPr>
        <w:t xml:space="preserve"> </w:t>
      </w:r>
      <w:r w:rsidRPr="00CB093C">
        <w:rPr>
          <w:rFonts w:ascii="Arial" w:hAnsi="Arial" w:cs="Arial"/>
          <w:szCs w:val="22"/>
          <w:lang w:val="en-US"/>
        </w:rPr>
        <w:t>hrs per day for 3</w:t>
      </w:r>
      <w:r w:rsidR="00834641" w:rsidRPr="00CB093C">
        <w:rPr>
          <w:rFonts w:ascii="Arial" w:hAnsi="Arial" w:cs="Arial"/>
          <w:szCs w:val="22"/>
          <w:lang w:val="en-US"/>
        </w:rPr>
        <w:t>–</w:t>
      </w:r>
      <w:r w:rsidRPr="00CB093C">
        <w:rPr>
          <w:rFonts w:ascii="Arial" w:hAnsi="Arial" w:cs="Arial"/>
          <w:szCs w:val="22"/>
          <w:lang w:val="en-US"/>
        </w:rPr>
        <w:t>6 days per month for 6</w:t>
      </w:r>
      <w:r w:rsidR="00834641" w:rsidRPr="00CB093C">
        <w:rPr>
          <w:rFonts w:ascii="Arial" w:hAnsi="Arial" w:cs="Arial"/>
          <w:szCs w:val="22"/>
          <w:lang w:val="en-US"/>
        </w:rPr>
        <w:t>–</w:t>
      </w:r>
      <w:r w:rsidRPr="00CB093C">
        <w:rPr>
          <w:rFonts w:ascii="Arial" w:hAnsi="Arial" w:cs="Arial"/>
          <w:szCs w:val="22"/>
          <w:lang w:val="en-US"/>
        </w:rPr>
        <w:t>9 months of the year). Traditionally, approaches developed for monitoring seagrass to assess changes in water quality were developed for subtidal meadows typif</w:t>
      </w:r>
      <w:r w:rsidR="008D142C" w:rsidRPr="00CB093C">
        <w:rPr>
          <w:rFonts w:ascii="Arial" w:hAnsi="Arial" w:cs="Arial"/>
          <w:szCs w:val="22"/>
          <w:lang w:val="en-US"/>
        </w:rPr>
        <w:t>ied by small tidal ranges (e.g.</w:t>
      </w:r>
      <w:r w:rsidRPr="00CB093C">
        <w:rPr>
          <w:rFonts w:ascii="Arial" w:hAnsi="Arial" w:cs="Arial"/>
          <w:szCs w:val="22"/>
          <w:lang w:val="en-US"/>
        </w:rPr>
        <w:t xml:space="preserve"> Florida = 0.7</w:t>
      </w:r>
      <w:r w:rsidR="00834641" w:rsidRPr="00CB093C">
        <w:rPr>
          <w:rFonts w:ascii="Arial" w:hAnsi="Arial" w:cs="Arial"/>
          <w:szCs w:val="22"/>
          <w:lang w:val="en-US"/>
        </w:rPr>
        <w:t xml:space="preserve"> </w:t>
      </w:r>
      <w:r w:rsidRPr="00CB093C">
        <w:rPr>
          <w:rFonts w:ascii="Arial" w:hAnsi="Arial" w:cs="Arial"/>
          <w:szCs w:val="22"/>
          <w:lang w:val="en-US"/>
        </w:rPr>
        <w:t>m, Chesapeake Bay = 0.6</w:t>
      </w:r>
      <w:r w:rsidR="00834641" w:rsidRPr="00CB093C">
        <w:rPr>
          <w:rFonts w:ascii="Arial" w:hAnsi="Arial" w:cs="Arial"/>
          <w:szCs w:val="22"/>
          <w:lang w:val="en-US"/>
        </w:rPr>
        <w:t xml:space="preserve"> </w:t>
      </w:r>
      <w:r w:rsidRPr="00CB093C">
        <w:rPr>
          <w:rFonts w:ascii="Arial" w:hAnsi="Arial" w:cs="Arial"/>
          <w:szCs w:val="22"/>
          <w:lang w:val="en-US"/>
        </w:rPr>
        <w:t>m) and clear waters where the seaward edges of meadows were only determined by light (</w:t>
      </w:r>
      <w:hyperlink w:anchor="_ENREF_52" w:tooltip="EHMP, 2008 #9478"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&lt;EndNote&gt;&lt;Cite&gt;&lt;Author&gt;EHMP&lt;/Author&gt;&lt;Year&gt;2008&lt;/Year&gt;&lt;RecNum&gt;9478&lt;/RecNum&gt;&lt;DisplayText&gt;EHMP 2008&lt;/DisplayText&gt;&lt;record&gt;&lt;rec-number&gt;9478&lt;/rec-number&gt;&lt;foreign-keys&gt;&lt;key app="EN" db-id="0eve55x9y5vfd6e9dacxtew4eatve2dzds9a" timestamp="1375681258"&gt;9478&lt;/key&gt;&lt;/foreign-keys&gt;&lt;ref-type name="Book"&gt;6&lt;/ref-type&gt;&lt;contributors&gt;&lt;authors&gt;&lt;author&gt;EHMP,&lt;/author&gt;&lt;/authors&gt;&lt;/contributors&gt;&lt;titles&gt;&lt;title&gt;Ecosystem Health Monitoring Program 2006-07: Annual Technical Report&lt;/title&gt;&lt;/titles&gt;&lt;section&gt;18-43&lt;/section&gt;&lt;dates&gt;&lt;year&gt;2008&lt;/year&gt;&lt;/dates&gt;&lt;pub-location&gt;Brisbane&lt;/pub-location&gt;&lt;publisher&gt;South East Queensland Healthy Waterways Partnership&lt;/publisher&gt;&lt;urls&gt;&lt;/urls&gt;&lt;/record&gt;&lt;/Cite&gt;&lt;/EndNote&gt;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EHMP 2008</w:t>
        </w:r>
        <w:r w:rsidR="00513C39" w:rsidRPr="00CB093C">
          <w:rPr>
            <w:rFonts w:ascii="Arial" w:hAnsi="Arial" w:cs="Arial"/>
            <w:szCs w:val="22"/>
            <w:lang w:val="en-US"/>
          </w:rPr>
          <w:fldChar w:fldCharType="end"/>
        </w:r>
      </w:hyperlink>
      <w:r w:rsidRPr="00CB093C">
        <w:rPr>
          <w:rFonts w:ascii="Arial" w:hAnsi="Arial" w:cs="Arial"/>
          <w:szCs w:val="22"/>
          <w:lang w:val="en-US"/>
        </w:rPr>
        <w:t xml:space="preserve">). </w:t>
      </w:r>
    </w:p>
    <w:p w14:paraId="21351EEA" w14:textId="5178CCED" w:rsidR="003D1F7F" w:rsidRPr="00CB093C" w:rsidRDefault="00DF2EA6" w:rsidP="003D1F7F">
      <w:pPr>
        <w:spacing w:before="240"/>
        <w:rPr>
          <w:rFonts w:ascii="Arial" w:hAnsi="Arial" w:cs="Arial"/>
          <w:szCs w:val="22"/>
          <w:lang w:val="en-US"/>
        </w:rPr>
      </w:pPr>
      <w:r w:rsidRPr="00CB093C">
        <w:rPr>
          <w:rFonts w:ascii="Arial" w:hAnsi="Arial" w:cs="Arial"/>
          <w:szCs w:val="22"/>
          <w:lang w:val="en-US"/>
        </w:rPr>
        <w:t>D</w:t>
      </w:r>
      <w:r w:rsidR="003D1F7F" w:rsidRPr="00CB093C">
        <w:rPr>
          <w:rFonts w:ascii="Arial" w:hAnsi="Arial" w:cs="Arial"/>
          <w:szCs w:val="22"/>
          <w:lang w:val="en-US"/>
        </w:rPr>
        <w:t xml:space="preserve">epth range monitoring in subtropical/tropical seagrass meadows </w:t>
      </w:r>
      <w:r w:rsidR="00CE7000" w:rsidRPr="00CB093C">
        <w:rPr>
          <w:rFonts w:ascii="Arial" w:hAnsi="Arial" w:cs="Arial"/>
          <w:szCs w:val="22"/>
          <w:lang w:val="en-US"/>
        </w:rPr>
        <w:t>has had</w:t>
      </w:r>
      <w:r w:rsidR="00B136DE" w:rsidRPr="00CB093C">
        <w:rPr>
          <w:rFonts w:ascii="Arial" w:hAnsi="Arial" w:cs="Arial"/>
          <w:szCs w:val="22"/>
          <w:lang w:val="en-US"/>
        </w:rPr>
        <w:t xml:space="preserve"> limited</w:t>
      </w:r>
      <w:r w:rsidR="003D1F7F" w:rsidRPr="00CB093C">
        <w:rPr>
          <w:rFonts w:ascii="Arial" w:hAnsi="Arial" w:cs="Arial"/>
          <w:szCs w:val="22"/>
          <w:lang w:val="en-US"/>
        </w:rPr>
        <w:t xml:space="preserve"> success </w:t>
      </w:r>
      <w:r w:rsidR="00B136DE" w:rsidRPr="00CB093C">
        <w:rPr>
          <w:rFonts w:ascii="Arial" w:hAnsi="Arial" w:cs="Arial"/>
          <w:szCs w:val="22"/>
          <w:lang w:val="en-US"/>
        </w:rPr>
        <w:t xml:space="preserve">due to logistic/technical issues  </w:t>
      </w:r>
      <w:r w:rsidR="003D1F7F" w:rsidRPr="00CB093C">
        <w:rPr>
          <w:rFonts w:ascii="Arial" w:hAnsi="Arial" w:cs="Arial"/>
          <w:szCs w:val="22"/>
          <w:lang w:val="en-US"/>
        </w:rPr>
        <w:t xml:space="preserve">and </w:t>
      </w:r>
      <w:r w:rsidR="00834641" w:rsidRPr="00CB093C">
        <w:rPr>
          <w:rFonts w:ascii="Arial" w:hAnsi="Arial" w:cs="Arial"/>
          <w:szCs w:val="22"/>
          <w:lang w:val="en-US"/>
        </w:rPr>
        <w:t>non-conformism with</w:t>
      </w:r>
      <w:r w:rsidR="003D1F7F" w:rsidRPr="00CB093C">
        <w:rPr>
          <w:rFonts w:ascii="Arial" w:hAnsi="Arial" w:cs="Arial"/>
          <w:szCs w:val="22"/>
          <w:lang w:val="en-US"/>
        </w:rPr>
        <w:t xml:space="preserve"> traditional ecosystem models because of the complexity (</w:t>
      </w:r>
      <w:hyperlink w:anchor="_ENREF_21" w:tooltip="Carruthers, 2002 #8021"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Carruthers</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2002</w:t>
        </w:r>
        <w:r w:rsidR="00513C39" w:rsidRPr="00CB093C">
          <w:rPr>
            <w:rFonts w:ascii="Arial" w:hAnsi="Arial" w:cs="Arial"/>
            <w:szCs w:val="22"/>
            <w:lang w:val="en-US"/>
          </w:rPr>
          <w:fldChar w:fldCharType="end"/>
        </w:r>
      </w:hyperlink>
      <w:r w:rsidR="003D1F7F" w:rsidRPr="00CB093C">
        <w:rPr>
          <w:rFonts w:ascii="Arial" w:hAnsi="Arial" w:cs="Arial"/>
          <w:szCs w:val="22"/>
          <w:lang w:val="en-US"/>
        </w:rPr>
        <w:t xml:space="preserve">), </w:t>
      </w:r>
      <w:bookmarkStart w:id="45" w:name="OLE_LINK33"/>
      <w:r w:rsidR="003D1F7F" w:rsidRPr="00CB093C">
        <w:rPr>
          <w:rFonts w:ascii="Arial" w:hAnsi="Arial" w:cs="Arial"/>
          <w:szCs w:val="22"/>
          <w:lang w:val="en-US"/>
        </w:rPr>
        <w:t>including:</w:t>
      </w:r>
    </w:p>
    <w:p w14:paraId="0DEFC649" w14:textId="381B6DED"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a variety of habitat types (estuarine, coastal, reef and deepwater)</w:t>
      </w:r>
    </w:p>
    <w:p w14:paraId="429698BD" w14:textId="0F54E315"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a large variety of seagrass species with differing life history traits and strategies</w:t>
      </w:r>
    </w:p>
    <w:p w14:paraId="266E69AC" w14:textId="100E7A50"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 xml:space="preserve">tidal amplitudes spanning 3.42m (Cairns) to 10.4m (Broad Sound) (www.msq.qld.gov.au; </w:t>
      </w:r>
      <w:hyperlink w:anchor="_ENREF_91" w:tooltip="Maxwell, 1968 #700" w:history="1">
        <w:r w:rsidR="00513C39" w:rsidRPr="00CB093C">
          <w:rPr>
            <w:rFonts w:ascii="Arial" w:hAnsi="Arial" w:cs="Arial"/>
            <w:szCs w:val="22"/>
            <w:lang w:val="en-GB"/>
          </w:rPr>
          <w:fldChar w:fldCharType="begin"/>
        </w:r>
        <w:r w:rsidR="00513C39" w:rsidRPr="00CB093C">
          <w:rPr>
            <w:rFonts w:ascii="Arial" w:hAnsi="Arial" w:cs="Arial"/>
            <w:szCs w:val="22"/>
            <w:lang w:val="en-GB"/>
          </w:rPr>
          <w:instrText xml:space="preserve"> ADDIN EN.CITE &lt;EndNote&gt;&lt;Cite&gt;&lt;Author&gt;Maxwell&lt;/Author&gt;&lt;Year&gt;1968&lt;/Year&gt;&lt;RecNum&gt;700&lt;/RecNum&gt;&lt;DisplayText&gt;Maxwell 1968&lt;/DisplayText&gt;&lt;record&gt;&lt;rec-number&gt;700&lt;/rec-number&gt;&lt;foreign-keys&gt;&lt;key app="EN" db-id="0eve55x9y5vfd6e9dacxtew4eatve2dzds9a" timestamp="0"&gt;700&lt;/key&gt;&lt;/foreign-keys&gt;&lt;ref-type name="Book"&gt;6&lt;/ref-type&gt;&lt;contributors&gt;&lt;authors&gt;&lt;author&gt;Maxwell, W. G. H.&lt;/author&gt;&lt;/authors&gt;&lt;/contributors&gt;&lt;titles&gt;&lt;title&gt;Atlas of the Great Barrier Reef&lt;/title&gt;&lt;/titles&gt;&lt;pages&gt;258&lt;/pages&gt;&lt;keywords&gt;&lt;keyword&gt;GREAT BARRIER REEF&lt;/keyword&gt;&lt;keyword&gt;LEN&amp;apos;S REFERENCES&lt;/keyword&gt;&lt;keyword&gt;SEDIMENTS&lt;/keyword&gt;&lt;/keywords&gt;&lt;dates&gt;&lt;year&gt;1968&lt;/year&gt;&lt;/dates&gt;&lt;pub-location&gt;Amsterdam&lt;/pub-location&gt;&lt;publisher&gt;Elsevier Publishing Company&lt;/publisher&gt;&lt;label&gt;702&lt;/label&gt;&lt;urls&gt;&lt;/urls&gt;&lt;custom1&gt;Annex&lt;/custom1&gt;&lt;/record&gt;&lt;/Cite&gt;&lt;/EndNote&gt;</w:instrText>
        </w:r>
        <w:r w:rsidR="00513C39" w:rsidRPr="00CB093C">
          <w:rPr>
            <w:rFonts w:ascii="Arial" w:hAnsi="Arial" w:cs="Arial"/>
            <w:szCs w:val="22"/>
            <w:lang w:val="en-GB"/>
          </w:rPr>
          <w:fldChar w:fldCharType="separate"/>
        </w:r>
        <w:r w:rsidR="00513C39" w:rsidRPr="00CB093C">
          <w:rPr>
            <w:rFonts w:ascii="Arial" w:hAnsi="Arial" w:cs="Arial"/>
            <w:noProof/>
            <w:szCs w:val="22"/>
            <w:lang w:val="en-GB"/>
          </w:rPr>
          <w:t>Maxwell 1968</w:t>
        </w:r>
        <w:r w:rsidR="00513C39" w:rsidRPr="00CB093C">
          <w:rPr>
            <w:rFonts w:ascii="Arial" w:hAnsi="Arial" w:cs="Arial"/>
            <w:szCs w:val="22"/>
            <w:lang w:val="en-GB"/>
          </w:rPr>
          <w:fldChar w:fldCharType="end"/>
        </w:r>
      </w:hyperlink>
      <w:r w:rsidRPr="00CB093C">
        <w:rPr>
          <w:rFonts w:ascii="Arial" w:hAnsi="Arial" w:cs="Arial"/>
          <w:szCs w:val="22"/>
        </w:rPr>
        <w:t>)</w:t>
      </w:r>
    </w:p>
    <w:p w14:paraId="74D8AB3F" w14:textId="60060249"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a variety of sediment substrates, from terrigenous with high organic content, to oligotrophic calcium carbonate</w:t>
      </w:r>
    </w:p>
    <w:p w14:paraId="372E7FD5" w14:textId="6192888E"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turbid nearshore to clearer offshore waters</w:t>
      </w:r>
    </w:p>
    <w:p w14:paraId="0DEAD03F" w14:textId="4D8D87DA"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grazing dugongs and sea turtles influencing meadow community structure and landscapes</w:t>
      </w:r>
    </w:p>
    <w:p w14:paraId="0443A767" w14:textId="51556BC1" w:rsidR="003D1F7F" w:rsidRPr="00CB093C" w:rsidRDefault="003D1F7F" w:rsidP="00AD06D4">
      <w:pPr>
        <w:numPr>
          <w:ilvl w:val="0"/>
          <w:numId w:val="1"/>
        </w:numPr>
        <w:tabs>
          <w:tab w:val="clear" w:pos="360"/>
          <w:tab w:val="num" w:pos="709"/>
        </w:tabs>
        <w:spacing w:before="0" w:after="0"/>
        <w:ind w:left="709" w:hanging="349"/>
        <w:rPr>
          <w:rFonts w:ascii="Arial" w:hAnsi="Arial" w:cs="Arial"/>
          <w:szCs w:val="22"/>
        </w:rPr>
      </w:pPr>
      <w:r w:rsidRPr="00CB093C">
        <w:rPr>
          <w:rFonts w:ascii="Arial" w:hAnsi="Arial" w:cs="Arial"/>
          <w:szCs w:val="22"/>
        </w:rPr>
        <w:t>near</w:t>
      </w:r>
      <w:r w:rsidR="00C3035F" w:rsidRPr="00CB093C">
        <w:rPr>
          <w:rFonts w:ascii="Arial" w:hAnsi="Arial" w:cs="Arial"/>
          <w:szCs w:val="22"/>
        </w:rPr>
        <w:t>-</w:t>
      </w:r>
      <w:r w:rsidRPr="00CB093C">
        <w:rPr>
          <w:rFonts w:ascii="Arial" w:hAnsi="Arial" w:cs="Arial"/>
          <w:szCs w:val="22"/>
        </w:rPr>
        <w:t xml:space="preserve">absence of shallow subtidal meadows south of </w:t>
      </w:r>
      <w:r w:rsidR="00637325">
        <w:rPr>
          <w:rFonts w:ascii="Arial" w:hAnsi="Arial" w:cs="Arial"/>
          <w:szCs w:val="22"/>
        </w:rPr>
        <w:t>Mackay-Whitsunday</w:t>
      </w:r>
      <w:r w:rsidRPr="00CB093C">
        <w:rPr>
          <w:rFonts w:ascii="Arial" w:hAnsi="Arial" w:cs="Arial"/>
          <w:szCs w:val="22"/>
        </w:rPr>
        <w:t xml:space="preserve"> due to the large tides which scour the seabed.</w:t>
      </w:r>
    </w:p>
    <w:bookmarkEnd w:id="45"/>
    <w:p w14:paraId="496F49FC" w14:textId="24FB96EC" w:rsidR="00F17593" w:rsidRPr="00CB093C" w:rsidRDefault="000945E8" w:rsidP="003D1F7F">
      <w:pPr>
        <w:spacing w:before="240"/>
        <w:rPr>
          <w:rFonts w:ascii="Arial" w:hAnsi="Arial" w:cs="Arial"/>
          <w:szCs w:val="22"/>
          <w:lang w:val="en-US"/>
        </w:rPr>
      </w:pPr>
      <w:r w:rsidRPr="00CB093C">
        <w:rPr>
          <w:rFonts w:ascii="Arial" w:hAnsi="Arial" w:cs="Arial"/>
          <w:szCs w:val="22"/>
          <w:lang w:val="en-US"/>
        </w:rPr>
        <w:lastRenderedPageBreak/>
        <w:t>Deepwater</w:t>
      </w:r>
      <w:r w:rsidR="003D1F7F" w:rsidRPr="00CB093C">
        <w:rPr>
          <w:rFonts w:ascii="Arial" w:hAnsi="Arial" w:cs="Arial"/>
          <w:szCs w:val="22"/>
          <w:lang w:val="en-US"/>
        </w:rPr>
        <w:t xml:space="preserve"> </w:t>
      </w:r>
      <w:r w:rsidR="00840A57" w:rsidRPr="00CB093C">
        <w:rPr>
          <w:rFonts w:ascii="Arial" w:hAnsi="Arial" w:cs="Arial"/>
          <w:szCs w:val="22"/>
          <w:lang w:val="en-US"/>
        </w:rPr>
        <w:t>(&gt;15</w:t>
      </w:r>
      <w:r w:rsidR="00834641" w:rsidRPr="00CB093C">
        <w:rPr>
          <w:rFonts w:ascii="Arial" w:hAnsi="Arial" w:cs="Arial"/>
          <w:szCs w:val="22"/>
          <w:lang w:val="en-US"/>
        </w:rPr>
        <w:t xml:space="preserve"> </w:t>
      </w:r>
      <w:r w:rsidR="00840A57" w:rsidRPr="00CB093C">
        <w:rPr>
          <w:rFonts w:ascii="Arial" w:hAnsi="Arial" w:cs="Arial"/>
          <w:szCs w:val="22"/>
          <w:lang w:val="en-US"/>
        </w:rPr>
        <w:t xml:space="preserve">m) </w:t>
      </w:r>
      <w:r w:rsidR="003D1F7F" w:rsidRPr="00CB093C">
        <w:rPr>
          <w:rFonts w:ascii="Arial" w:hAnsi="Arial" w:cs="Arial"/>
          <w:szCs w:val="22"/>
          <w:lang w:val="en-US"/>
        </w:rPr>
        <w:t xml:space="preserve">meadows across the </w:t>
      </w:r>
      <w:r w:rsidR="00F206BF" w:rsidRPr="00CB093C">
        <w:rPr>
          <w:rFonts w:ascii="Arial" w:hAnsi="Arial" w:cs="Arial"/>
          <w:szCs w:val="22"/>
          <w:lang w:val="en-US"/>
        </w:rPr>
        <w:t>Reef</w:t>
      </w:r>
      <w:r w:rsidR="003D1F7F" w:rsidRPr="00CB093C">
        <w:rPr>
          <w:rFonts w:ascii="Arial" w:hAnsi="Arial" w:cs="Arial"/>
          <w:szCs w:val="22"/>
          <w:lang w:val="en-US"/>
        </w:rPr>
        <w:t xml:space="preserve"> are </w:t>
      </w:r>
      <w:r w:rsidR="00106862" w:rsidRPr="00CB093C">
        <w:rPr>
          <w:rFonts w:ascii="Arial" w:hAnsi="Arial" w:cs="Arial"/>
          <w:szCs w:val="22"/>
          <w:lang w:val="en-US"/>
        </w:rPr>
        <w:t>comprised of only</w:t>
      </w:r>
      <w:r w:rsidR="003D1F7F" w:rsidRPr="00CB093C">
        <w:rPr>
          <w:rFonts w:ascii="Arial" w:hAnsi="Arial" w:cs="Arial"/>
          <w:szCs w:val="22"/>
          <w:lang w:val="en-US"/>
        </w:rPr>
        <w:t xml:space="preserve"> </w:t>
      </w:r>
      <w:r w:rsidR="003D1F7F" w:rsidRPr="00CB093C">
        <w:rPr>
          <w:rFonts w:ascii="Arial" w:hAnsi="Arial" w:cs="Arial"/>
          <w:i/>
          <w:szCs w:val="22"/>
          <w:lang w:val="en-US"/>
        </w:rPr>
        <w:t>Halophila</w:t>
      </w:r>
      <w:r w:rsidR="003D1F7F" w:rsidRPr="00CB093C">
        <w:rPr>
          <w:rFonts w:ascii="Arial" w:hAnsi="Arial" w:cs="Arial"/>
          <w:szCs w:val="22"/>
          <w:lang w:val="en-US"/>
        </w:rPr>
        <w:t xml:space="preserve"> species and are highly variable in abundance and distribution (</w:t>
      </w:r>
      <w:r w:rsidR="00850D03" w:rsidRPr="00CB093C">
        <w:rPr>
          <w:rFonts w:ascii="Arial" w:hAnsi="Arial" w:cs="Arial"/>
          <w:szCs w:val="22"/>
          <w:lang w:val="en-US"/>
        </w:rPr>
        <w:fldChar w:fldCharType="begin">
          <w:fldData xml:space="preserve">PEVuZE5vdGU+PENpdGU+PEF1dGhvcj5MZWUgTG9uZzwvQXV0aG9yPjxZZWFyPjE5OTk8L1llYXI+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</w:fldData>
        </w:fldChar>
      </w:r>
      <w:r w:rsidR="00DB131A" w:rsidRPr="00CB093C">
        <w:rPr>
          <w:rFonts w:ascii="Arial" w:hAnsi="Arial" w:cs="Arial"/>
          <w:szCs w:val="22"/>
          <w:lang w:val="en-US"/>
        </w:rPr>
        <w:instrText xml:space="preserve"> ADDIN EN.CITE </w:instrText>
      </w:r>
      <w:r w:rsidR="00DB131A" w:rsidRPr="00CB093C">
        <w:rPr>
          <w:rFonts w:ascii="Arial" w:hAnsi="Arial" w:cs="Arial"/>
          <w:szCs w:val="22"/>
          <w:lang w:val="en-US"/>
        </w:rPr>
        <w:fldChar w:fldCharType="begin">
          <w:fldData xml:space="preserve">PEVuZE5vdGU+PENpdGU+PEF1dGhvcj5MZWUgTG9uZzwvQXV0aG9yPjxZZWFyPjE5OTk8L1llYXI+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</w:fldData>
        </w:fldChar>
      </w:r>
      <w:r w:rsidR="00DB131A" w:rsidRPr="00CB093C">
        <w:rPr>
          <w:rFonts w:ascii="Arial" w:hAnsi="Arial" w:cs="Arial"/>
          <w:szCs w:val="22"/>
          <w:lang w:val="en-US"/>
        </w:rPr>
        <w:instrText xml:space="preserve"> ADDIN EN.CITE.DATA </w:instrText>
      </w:r>
      <w:r w:rsidR="00DB131A" w:rsidRPr="00CB093C">
        <w:rPr>
          <w:rFonts w:ascii="Arial" w:hAnsi="Arial" w:cs="Arial"/>
          <w:szCs w:val="22"/>
          <w:lang w:val="en-US"/>
        </w:rPr>
      </w:r>
      <w:r w:rsidR="00DB131A" w:rsidRPr="00CB093C">
        <w:rPr>
          <w:rFonts w:ascii="Arial" w:hAnsi="Arial" w:cs="Arial"/>
          <w:szCs w:val="22"/>
          <w:lang w:val="en-US"/>
        </w:rPr>
        <w:fldChar w:fldCharType="end"/>
      </w:r>
      <w:r w:rsidR="00850D03" w:rsidRPr="00CB093C">
        <w:rPr>
          <w:rFonts w:ascii="Arial" w:hAnsi="Arial" w:cs="Arial"/>
          <w:szCs w:val="22"/>
          <w:lang w:val="en-US"/>
        </w:rPr>
      </w:r>
      <w:r w:rsidR="00850D03" w:rsidRPr="00CB093C">
        <w:rPr>
          <w:rFonts w:ascii="Arial" w:hAnsi="Arial" w:cs="Arial"/>
          <w:szCs w:val="22"/>
          <w:lang w:val="en-US"/>
        </w:rPr>
        <w:fldChar w:fldCharType="separate"/>
      </w:r>
      <w:hyperlink w:anchor="_ENREF_83" w:tooltip="Lee Long, 1999 #5782" w:history="1">
        <w:r w:rsidR="00513C39" w:rsidRPr="00CB093C">
          <w:rPr>
            <w:rFonts w:ascii="Arial" w:hAnsi="Arial" w:cs="Arial"/>
            <w:noProof/>
            <w:szCs w:val="22"/>
            <w:lang w:val="en-US"/>
          </w:rPr>
          <w:t>Lee Long</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1999</w:t>
        </w:r>
      </w:hyperlink>
      <w:r w:rsidR="00867CCE" w:rsidRPr="00CB093C">
        <w:rPr>
          <w:rFonts w:ascii="Arial" w:hAnsi="Arial" w:cs="Arial"/>
          <w:noProof/>
          <w:szCs w:val="22"/>
          <w:lang w:val="en-US"/>
        </w:rPr>
        <w:t xml:space="preserve">; </w:t>
      </w:r>
      <w:hyperlink w:anchor="_ENREF_157" w:tooltip="York, 2015 #10404" w:history="1">
        <w:r w:rsidR="00513C39" w:rsidRPr="00CB093C">
          <w:rPr>
            <w:rFonts w:ascii="Arial" w:hAnsi="Arial" w:cs="Arial"/>
            <w:noProof/>
            <w:szCs w:val="22"/>
            <w:lang w:val="en-US"/>
          </w:rPr>
          <w:t>York</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2015</w:t>
        </w:r>
      </w:hyperlink>
      <w:r w:rsidR="00867CCE" w:rsidRPr="00CB093C">
        <w:rPr>
          <w:rFonts w:ascii="Arial" w:hAnsi="Arial" w:cs="Arial"/>
          <w:noProof/>
          <w:szCs w:val="22"/>
          <w:lang w:val="en-US"/>
        </w:rPr>
        <w:t xml:space="preserve">; </w:t>
      </w:r>
      <w:hyperlink w:anchor="_ENREF_23" w:tooltip="Chartrand, 2018 #11481" w:history="1">
        <w:r w:rsidR="00513C39" w:rsidRPr="00CB093C">
          <w:rPr>
            <w:rFonts w:ascii="Arial" w:hAnsi="Arial" w:cs="Arial"/>
            <w:noProof/>
            <w:szCs w:val="22"/>
            <w:lang w:val="en-US"/>
          </w:rPr>
          <w:t>Chartrand</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2018</w:t>
        </w:r>
      </w:hyperlink>
      <w:r w:rsidR="00850D03" w:rsidRPr="00CB093C">
        <w:rPr>
          <w:rFonts w:ascii="Arial" w:hAnsi="Arial" w:cs="Arial"/>
          <w:szCs w:val="22"/>
          <w:lang w:val="en-US"/>
        </w:rPr>
        <w:fldChar w:fldCharType="end"/>
      </w:r>
      <w:r w:rsidR="003D1F7F" w:rsidRPr="00CB093C">
        <w:rPr>
          <w:rFonts w:ascii="Arial" w:hAnsi="Arial" w:cs="Arial"/>
          <w:szCs w:val="22"/>
          <w:lang w:val="en-US"/>
        </w:rPr>
        <w:t xml:space="preserve">). Due to this high variability they </w:t>
      </w:r>
      <w:r w:rsidR="00840A57" w:rsidRPr="00CB093C">
        <w:rPr>
          <w:rFonts w:ascii="Arial" w:hAnsi="Arial" w:cs="Arial"/>
          <w:szCs w:val="22"/>
          <w:lang w:val="en-US"/>
        </w:rPr>
        <w:t xml:space="preserve">do not meet the current criteria </w:t>
      </w:r>
      <w:r w:rsidR="003D1F7F" w:rsidRPr="00CB093C">
        <w:rPr>
          <w:rFonts w:ascii="Arial" w:hAnsi="Arial" w:cs="Arial"/>
          <w:szCs w:val="22"/>
          <w:lang w:val="en-US"/>
        </w:rPr>
        <w:t>for monitoring</w:t>
      </w:r>
      <w:r w:rsidR="00840A57" w:rsidRPr="00CB093C">
        <w:rPr>
          <w:rFonts w:ascii="Arial" w:hAnsi="Arial" w:cs="Arial"/>
          <w:szCs w:val="22"/>
          <w:lang w:val="en-US"/>
        </w:rPr>
        <w:t>,</w:t>
      </w:r>
      <w:r w:rsidR="003D1F7F" w:rsidRPr="00CB093C">
        <w:rPr>
          <w:rFonts w:ascii="Arial" w:hAnsi="Arial" w:cs="Arial"/>
          <w:szCs w:val="22"/>
          <w:lang w:val="en-US"/>
        </w:rPr>
        <w:t xml:space="preserve"> as the MDD is very poor at the 5</w:t>
      </w:r>
      <w:r w:rsidR="00F17593" w:rsidRPr="00CB093C">
        <w:rPr>
          <w:rFonts w:ascii="Arial" w:hAnsi="Arial" w:cs="Arial"/>
          <w:szCs w:val="22"/>
          <w:lang w:val="en-US"/>
        </w:rPr>
        <w:t xml:space="preserve"> </w:t>
      </w:r>
      <w:r w:rsidR="006F061E" w:rsidRPr="00CB093C">
        <w:rPr>
          <w:rFonts w:ascii="Arial" w:hAnsi="Arial" w:cs="Arial"/>
          <w:szCs w:val="22"/>
          <w:lang w:val="en-US"/>
        </w:rPr>
        <w:t>%</w:t>
      </w:r>
      <w:r w:rsidR="003D1F7F" w:rsidRPr="00CB093C">
        <w:rPr>
          <w:rFonts w:ascii="Arial" w:hAnsi="Arial" w:cs="Arial"/>
          <w:szCs w:val="22"/>
          <w:lang w:val="en-US"/>
        </w:rPr>
        <w:t xml:space="preserve"> level of significance with 80</w:t>
      </w:r>
      <w:r w:rsidR="006F061E" w:rsidRPr="00CB093C">
        <w:rPr>
          <w:rFonts w:ascii="Arial" w:hAnsi="Arial" w:cs="Arial"/>
          <w:szCs w:val="22"/>
          <w:lang w:val="en-US"/>
        </w:rPr>
        <w:t>%</w:t>
      </w:r>
      <w:r w:rsidR="003D1F7F" w:rsidRPr="00CB093C">
        <w:rPr>
          <w:rFonts w:ascii="Arial" w:hAnsi="Arial" w:cs="Arial"/>
          <w:szCs w:val="22"/>
          <w:lang w:val="en-US"/>
        </w:rPr>
        <w:t xml:space="preserve"> power (</w:t>
      </w:r>
      <w:hyperlink w:anchor="_ENREF_101" w:tooltip="McKenzie, 1998 #6844"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&lt;EndNote&gt;&lt;Cite&gt;&lt;Author&gt;McKenzie&lt;/Author&gt;&lt;Year&gt;1998&lt;/Year&gt;&lt;RecNum&gt;6844&lt;/RecNum&gt;&lt;DisplayText&gt;McKenzie&lt;style face="italic"&gt; et al.&lt;/style&gt; 1998&lt;/DisplayText&gt;&lt;record&gt;&lt;rec-number&gt;6844&lt;/rec-number&gt;&lt;foreign-keys&gt;&lt;key app="EN" db-id="0eve55x9y5vfd6e9dacxtew4eatve2dzds9a" timestamp="0"&gt;6844&lt;/key&gt;&lt;/foreign-keys&gt;&lt;ref-type name="Book"&gt;6&lt;/ref-type&gt;&lt;contributors&gt;&lt;authors&gt;&lt;author&gt;McKenzie, Len J&lt;/author&gt;&lt;author&gt;Lee Long, W. J.&lt;/author&gt;&lt;author&gt;Roelofs, A&lt;/author&gt;&lt;author&gt;Roder, C A&lt;/author&gt;&lt;author&gt;Coles, R&lt;/author&gt;&lt;/authors&gt;&lt;/contributors&gt;&lt;titles&gt;&lt;title&gt;Port of Mourilyan seagrass monitoring - first four years. EcoPorts Monograph Serie No. 15.&lt;/title&gt;&lt;/titles&gt;&lt;pages&gt;30&lt;/pages&gt;&lt;dates&gt;&lt;year&gt;1998&lt;/year&gt;&lt;/dates&gt;&lt;pub-location&gt;Brisbane&lt;/pub-location&gt;&lt;publisher&gt;Ports Corporation of Queensland&lt;/publisher&gt;&lt;urls&gt;&lt;/urls&gt;&lt;/record&gt;&lt;/Cite&gt;&lt;/EndNote&gt;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McKenzie</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1998</w:t>
        </w:r>
        <w:r w:rsidR="00513C39" w:rsidRPr="00CB093C">
          <w:rPr>
            <w:rFonts w:ascii="Arial" w:hAnsi="Arial" w:cs="Arial"/>
            <w:szCs w:val="22"/>
            <w:lang w:val="en-US"/>
          </w:rPr>
          <w:fldChar w:fldCharType="end"/>
        </w:r>
      </w:hyperlink>
      <w:r w:rsidR="00F17593" w:rsidRPr="00CB093C">
        <w:rPr>
          <w:rFonts w:ascii="Arial" w:hAnsi="Arial" w:cs="Arial"/>
          <w:szCs w:val="22"/>
          <w:lang w:val="en-US"/>
        </w:rPr>
        <w:t>)</w:t>
      </w:r>
      <w:r w:rsidR="003D1F7F" w:rsidRPr="00CB093C">
        <w:rPr>
          <w:rFonts w:ascii="Arial" w:hAnsi="Arial" w:cs="Arial"/>
          <w:szCs w:val="22"/>
          <w:lang w:val="en-US"/>
        </w:rPr>
        <w:t xml:space="preserve">. </w:t>
      </w:r>
    </w:p>
    <w:p w14:paraId="3279DBD5" w14:textId="673B40B8" w:rsidR="003D1F7F" w:rsidRPr="00CB093C" w:rsidRDefault="003D1F7F" w:rsidP="003D1F7F">
      <w:pPr>
        <w:spacing w:before="240"/>
        <w:rPr>
          <w:rFonts w:ascii="Arial" w:hAnsi="Arial" w:cs="Arial"/>
          <w:szCs w:val="22"/>
          <w:lang w:val="en-US"/>
        </w:rPr>
      </w:pPr>
      <w:r w:rsidRPr="00CB093C">
        <w:rPr>
          <w:rFonts w:ascii="Arial" w:hAnsi="Arial" w:cs="Arial"/>
          <w:szCs w:val="22"/>
          <w:lang w:val="en-US"/>
        </w:rPr>
        <w:t xml:space="preserve">Predominately stable lower littoral </w:t>
      </w:r>
      <w:r w:rsidR="000945E8" w:rsidRPr="00CB093C">
        <w:rPr>
          <w:rFonts w:ascii="Arial" w:hAnsi="Arial" w:cs="Arial"/>
          <w:szCs w:val="22"/>
          <w:lang w:val="en-US"/>
        </w:rPr>
        <w:t>and shallow (&gt;1.5</w:t>
      </w:r>
      <w:r w:rsidR="00F17593" w:rsidRPr="00CB093C">
        <w:rPr>
          <w:rFonts w:ascii="Arial" w:hAnsi="Arial" w:cs="Arial"/>
          <w:szCs w:val="22"/>
          <w:lang w:val="en-US"/>
        </w:rPr>
        <w:t xml:space="preserve"> </w:t>
      </w:r>
      <w:r w:rsidR="000945E8" w:rsidRPr="00CB093C">
        <w:rPr>
          <w:rFonts w:ascii="Arial" w:hAnsi="Arial" w:cs="Arial"/>
          <w:szCs w:val="22"/>
          <w:lang w:val="en-US"/>
        </w:rPr>
        <w:t xml:space="preserve">m below </w:t>
      </w:r>
      <w:r w:rsidR="00F17593" w:rsidRPr="00CB093C">
        <w:rPr>
          <w:rFonts w:ascii="Arial" w:hAnsi="Arial" w:cs="Arial"/>
          <w:szCs w:val="22"/>
          <w:lang w:val="en-US"/>
        </w:rPr>
        <w:t>lowest astronomical tide</w:t>
      </w:r>
      <w:r w:rsidR="000945E8" w:rsidRPr="00CB093C">
        <w:rPr>
          <w:rFonts w:ascii="Arial" w:hAnsi="Arial" w:cs="Arial"/>
          <w:szCs w:val="22"/>
          <w:lang w:val="en-US"/>
        </w:rPr>
        <w:t xml:space="preserve">) subtidal </w:t>
      </w:r>
      <w:r w:rsidRPr="00CB093C">
        <w:rPr>
          <w:rFonts w:ascii="Arial" w:hAnsi="Arial" w:cs="Arial"/>
          <w:szCs w:val="22"/>
          <w:lang w:val="en-US"/>
        </w:rPr>
        <w:t>meadows of founda</w:t>
      </w:r>
      <w:r w:rsidR="008D142C" w:rsidRPr="00CB093C">
        <w:rPr>
          <w:rFonts w:ascii="Arial" w:hAnsi="Arial" w:cs="Arial"/>
          <w:szCs w:val="22"/>
          <w:lang w:val="en-US"/>
        </w:rPr>
        <w:t>tion species (e.g.</w:t>
      </w:r>
      <w:r w:rsidRPr="00CB093C">
        <w:rPr>
          <w:rFonts w:ascii="Arial" w:hAnsi="Arial" w:cs="Arial"/>
          <w:szCs w:val="22"/>
          <w:lang w:val="en-US"/>
        </w:rPr>
        <w:t xml:space="preserve"> </w:t>
      </w:r>
      <w:r w:rsidRPr="00CB093C">
        <w:rPr>
          <w:rFonts w:ascii="Arial" w:hAnsi="Arial" w:cs="Arial"/>
          <w:i/>
          <w:szCs w:val="22"/>
          <w:lang w:val="en-US"/>
        </w:rPr>
        <w:t>Zostera</w:t>
      </w:r>
      <w:r w:rsidR="000945E8" w:rsidRPr="00CB093C">
        <w:rPr>
          <w:rFonts w:ascii="Arial" w:hAnsi="Arial" w:cs="Arial"/>
          <w:i/>
          <w:szCs w:val="22"/>
          <w:lang w:val="en-US"/>
        </w:rPr>
        <w:t>, Halodule</w:t>
      </w:r>
      <w:r w:rsidRPr="00CB093C">
        <w:rPr>
          <w:rFonts w:ascii="Arial" w:hAnsi="Arial" w:cs="Arial"/>
          <w:szCs w:val="22"/>
          <w:lang w:val="en-US"/>
        </w:rPr>
        <w:t xml:space="preserve">) are best for determining significant change/impact (McKenzie </w:t>
      </w:r>
      <w:r w:rsidRPr="00CB093C">
        <w:rPr>
          <w:rFonts w:ascii="Arial" w:hAnsi="Arial" w:cs="Arial"/>
          <w:i/>
          <w:szCs w:val="22"/>
          <w:lang w:val="en-US"/>
        </w:rPr>
        <w:t>et al.</w:t>
      </w:r>
      <w:r w:rsidRPr="00CB093C">
        <w:rPr>
          <w:rFonts w:ascii="Arial" w:hAnsi="Arial" w:cs="Arial"/>
          <w:szCs w:val="22"/>
          <w:lang w:val="en-US"/>
        </w:rPr>
        <w:t xml:space="preserve"> 1998). </w:t>
      </w:r>
      <w:r w:rsidR="000945E8" w:rsidRPr="00CB093C">
        <w:rPr>
          <w:rFonts w:ascii="Arial" w:hAnsi="Arial" w:cs="Arial"/>
          <w:szCs w:val="22"/>
          <w:lang w:val="en-US"/>
        </w:rPr>
        <w:t>W</w:t>
      </w:r>
      <w:r w:rsidR="00206A72" w:rsidRPr="00CB093C">
        <w:rPr>
          <w:rFonts w:ascii="Arial" w:hAnsi="Arial" w:cs="Arial"/>
          <w:szCs w:val="22"/>
          <w:lang w:val="en-US"/>
        </w:rPr>
        <w:t xml:space="preserve">here possible, shallow </w:t>
      </w:r>
      <w:r w:rsidRPr="00CB093C">
        <w:rPr>
          <w:rFonts w:ascii="Arial" w:hAnsi="Arial" w:cs="Arial"/>
          <w:szCs w:val="22"/>
          <w:lang w:val="en-US"/>
        </w:rPr>
        <w:t xml:space="preserve">subtidal </w:t>
      </w:r>
      <w:r w:rsidR="000945E8" w:rsidRPr="00CB093C">
        <w:rPr>
          <w:rFonts w:ascii="Arial" w:hAnsi="Arial" w:cs="Arial"/>
          <w:szCs w:val="22"/>
          <w:lang w:val="en-US"/>
        </w:rPr>
        <w:t xml:space="preserve">and lower littoral </w:t>
      </w:r>
      <w:r w:rsidRPr="00CB093C">
        <w:rPr>
          <w:rFonts w:ascii="Arial" w:hAnsi="Arial" w:cs="Arial"/>
          <w:szCs w:val="22"/>
          <w:lang w:val="en-US"/>
        </w:rPr>
        <w:t xml:space="preserve">monitoring sites were </w:t>
      </w:r>
      <w:r w:rsidR="000945E8" w:rsidRPr="00CB093C">
        <w:rPr>
          <w:rFonts w:ascii="Arial" w:hAnsi="Arial" w:cs="Arial"/>
          <w:szCs w:val="22"/>
          <w:lang w:val="en-US"/>
        </w:rPr>
        <w:t>paired when</w:t>
      </w:r>
      <w:r w:rsidRPr="00CB093C">
        <w:rPr>
          <w:rFonts w:ascii="Arial" w:hAnsi="Arial" w:cs="Arial"/>
          <w:szCs w:val="22"/>
          <w:lang w:val="en-US"/>
        </w:rPr>
        <w:t xml:space="preserve"> dominated by </w:t>
      </w:r>
      <w:r w:rsidR="000945E8" w:rsidRPr="00CB093C">
        <w:rPr>
          <w:rFonts w:ascii="Arial" w:hAnsi="Arial" w:cs="Arial"/>
          <w:szCs w:val="22"/>
          <w:lang w:val="en-US"/>
        </w:rPr>
        <w:t xml:space="preserve">similar </w:t>
      </w:r>
      <w:r w:rsidRPr="00CB093C">
        <w:rPr>
          <w:rFonts w:ascii="Arial" w:hAnsi="Arial" w:cs="Arial"/>
          <w:szCs w:val="22"/>
          <w:lang w:val="en-US"/>
        </w:rPr>
        <w:t>species.</w:t>
      </w:r>
    </w:p>
    <w:p w14:paraId="2091290F" w14:textId="2AF41555" w:rsidR="009D7C70" w:rsidRPr="00CB093C" w:rsidRDefault="003D1F7F" w:rsidP="003D1F7F">
      <w:pPr>
        <w:rPr>
          <w:rFonts w:ascii="Arial" w:hAnsi="Arial" w:cs="Arial"/>
          <w:szCs w:val="22"/>
          <w:lang w:val="en-US"/>
        </w:rPr>
      </w:pPr>
      <w:r w:rsidRPr="00CB093C">
        <w:rPr>
          <w:rFonts w:ascii="Arial" w:hAnsi="Arial" w:cs="Arial"/>
          <w:szCs w:val="22"/>
          <w:lang w:val="en-US"/>
        </w:rPr>
        <w:t>Due to the high diversity of seagrass species it was decided to direct monitoring toward the foundation seagrass species across the seagrass habitats. A foundation species is the dominant primary producer in an ecosystem both in terms of abundance and influence, playing central roles in sustaining ecosystem services (</w:t>
      </w:r>
      <w:hyperlink w:anchor="_ENREF_2" w:tooltip="Angelini, 2011 #9077"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&lt;EndNote&gt;&lt;Cite&gt;&lt;Author&gt;Angelini&lt;/Author&gt;&lt;Year&gt;2011&lt;/Year&gt;&lt;RecNum&gt;9077&lt;/RecNum&gt;&lt;DisplayText&gt;Angelini&lt;style face="italic"&gt; et al.&lt;/style&gt; 2011&lt;/DisplayText&gt;&lt;record&gt;&lt;rec-number&gt;9077&lt;/rec-number&gt;&lt;foreign-keys&gt;&lt;key app="EN" db-id="0eve55x9y5vfd6e9dacxtew4eatve2dzds9a" timestamp="0"&gt;9077&lt;/key&gt;&lt;/foreign-keys&gt;&lt;ref-type name="Journal Article"&gt;17&lt;/ref-type&gt;&lt;contributors&gt;&lt;authors&gt;&lt;author&gt;Angelini, Christine &lt;/author&gt;&lt;author&gt;Altieri, Andrew H. &lt;/author&gt;&lt;author&gt;Silliman, Brian R.&lt;/author&gt;&lt;author&gt;Bertness, Mark D. &lt;/author&gt;&lt;/authors&gt;&lt;/contributors&gt;&lt;titles&gt;&lt;title&gt;Interactions among Foundation Species and their Consequences for Community Organization, Biodiversity, and Conservation&lt;/title&gt;&lt;secondary-title&gt;BioScience&lt;/secondary-title&gt;&lt;/titles&gt;&lt;periodical&gt;&lt;full-title&gt;BioScience&lt;/full-title&gt;&lt;/periodical&gt;&lt;pages&gt;782-789&lt;/pages&gt;&lt;volume&gt;61&lt;/volume&gt;&lt;number&gt;10&lt;/number&gt;&lt;dates&gt;&lt;year&gt;2011&lt;/year&gt;&lt;/dates&gt;&lt;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Angelini</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2011</w:t>
        </w:r>
        <w:r w:rsidR="00513C39" w:rsidRPr="00CB093C">
          <w:rPr>
            <w:rFonts w:ascii="Arial" w:hAnsi="Arial" w:cs="Arial"/>
            <w:szCs w:val="22"/>
            <w:lang w:val="en-US"/>
          </w:rPr>
          <w:fldChar w:fldCharType="end"/>
        </w:r>
      </w:hyperlink>
      <w:r w:rsidRPr="00CB093C">
        <w:rPr>
          <w:rFonts w:ascii="Arial" w:hAnsi="Arial" w:cs="Arial"/>
          <w:szCs w:val="22"/>
          <w:lang w:val="en-US"/>
        </w:rPr>
        <w:t>). The activities of foundation species physically modify the environment and produce and maintain habitats that benefit other organisms that use those habitats</w:t>
      </w:r>
      <w:r w:rsidR="00E127D1" w:rsidRPr="00CB093C">
        <w:rPr>
          <w:rFonts w:ascii="Arial" w:hAnsi="Arial" w:cs="Arial"/>
          <w:szCs w:val="22"/>
          <w:lang w:val="en-US"/>
        </w:rPr>
        <w:t xml:space="preserve"> (</w:t>
      </w:r>
      <w:hyperlink w:anchor="_ENREF_53" w:tooltip="Ellison, 2019 #11979"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&lt;EndNote&gt;&lt;Cite&gt;&lt;Author&gt;Ellison&lt;/Author&gt;&lt;Year&gt;2019&lt;/Year&gt;&lt;RecNum&gt;11979&lt;/RecNum&gt;&lt;DisplayText&gt;Ellison 2019&lt;/DisplayText&gt;&lt;record&gt;&lt;rec-number&gt;11979&lt;/rec-number&gt;&lt;foreign-keys&gt;&lt;key app="EN" db-id="0eve55x9y5vfd6e9dacxtew4eatve2dzds9a" timestamp="1553899622"&gt;11979&lt;/key&gt;&lt;/foreign-keys&gt;&lt;ref-type name="Journal Article"&gt;17&lt;/ref-type&gt;&lt;contributors&gt;&lt;authors&gt;&lt;author&gt;Ellison, Aaron M.&lt;/author&gt;&lt;/authors&gt;&lt;/contributors&gt;&lt;titles&gt;&lt;title&gt;Foundation Species, Non-trophic Interactions, and the Value of Being Common&lt;/title&gt;&lt;secondary-title&gt;iScience&lt;/secondary-title&gt;&lt;/titles&gt;&lt;periodical&gt;&lt;full-title&gt;iScience&lt;/full-title&gt;&lt;/periodical&gt;&lt;pages&gt;254-268&lt;/pages&gt;&lt;volume&gt;13&lt;/volume&gt;&lt;keywords&gt;&lt;keyword&gt;Global Change&lt;/keyword&gt;&lt;keyword&gt;Nature Conservation&lt;/keyword&gt;&lt;keyword&gt;Ecology&lt;/keyword&gt;&lt;/keywords&gt;&lt;dates&gt;&lt;year&gt;2019&lt;/year&gt;&lt;pub-dates&gt;&lt;date&gt;2019/03/29/&lt;/date&gt;&lt;/pub-dates&gt;&lt;/dates&gt;&lt;isbn&gt;2589-0042&lt;/isbn&gt;&lt;urls&gt;&lt;related-urls&gt;&lt;url&gt;http://www.sciencedirect.com/science/article/pii/S2589004219300549&lt;/url&gt;&lt;/related-urls&gt;&lt;/urls&gt;&lt;electronic-resource-num&gt;https://doi.org/10.1016/j.isci.2019.02.020&lt;/electronic-resource-num&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Ellison 2019</w:t>
        </w:r>
        <w:r w:rsidR="00513C39" w:rsidRPr="00CB093C">
          <w:rPr>
            <w:rFonts w:ascii="Arial" w:hAnsi="Arial" w:cs="Arial"/>
            <w:szCs w:val="22"/>
            <w:lang w:val="en-US"/>
          </w:rPr>
          <w:fldChar w:fldCharType="end"/>
        </w:r>
      </w:hyperlink>
      <w:r w:rsidR="00E127D1" w:rsidRPr="00CB093C">
        <w:rPr>
          <w:rFonts w:ascii="Arial" w:hAnsi="Arial" w:cs="Arial"/>
          <w:szCs w:val="22"/>
          <w:lang w:val="en-US"/>
        </w:rPr>
        <w:t>)</w:t>
      </w:r>
      <w:r w:rsidRPr="00CB093C">
        <w:rPr>
          <w:rFonts w:ascii="Arial" w:hAnsi="Arial" w:cs="Arial"/>
          <w:szCs w:val="22"/>
          <w:lang w:val="en-US"/>
        </w:rPr>
        <w:t xml:space="preserve">. </w:t>
      </w:r>
    </w:p>
    <w:p w14:paraId="69E7E6DB" w14:textId="038F4E5A" w:rsidR="00F17593" w:rsidRPr="00CB093C" w:rsidRDefault="005055DC" w:rsidP="009D7C70">
      <w:pPr>
        <w:rPr>
          <w:rFonts w:ascii="Arial" w:hAnsi="Arial" w:cs="Arial"/>
          <w:color w:val="000000" w:themeColor="text1"/>
          <w:szCs w:val="22"/>
        </w:rPr>
      </w:pPr>
      <w:r w:rsidRPr="00CB093C">
        <w:rPr>
          <w:rFonts w:ascii="Arial" w:hAnsi="Arial" w:cs="Arial"/>
          <w:color w:val="000000" w:themeColor="text1"/>
          <w:szCs w:val="22"/>
        </w:rPr>
        <w:t>Foundation species are the species types that are at the pinnacle of meadow succession.</w:t>
      </w:r>
      <w:r w:rsidRPr="00CB093C">
        <w:rPr>
          <w:rFonts w:ascii="Arial" w:hAnsi="Arial" w:cs="Arial"/>
          <w:color w:val="000000"/>
          <w:szCs w:val="22"/>
        </w:rPr>
        <w:t xml:space="preserve"> </w:t>
      </w:r>
      <w:r w:rsidRPr="00CB093C">
        <w:rPr>
          <w:rFonts w:ascii="Arial" w:hAnsi="Arial" w:cs="Arial"/>
          <w:color w:val="000000" w:themeColor="text1"/>
          <w:szCs w:val="22"/>
        </w:rPr>
        <w:t xml:space="preserve">A highly disturbed meadow (due to wave/wind exposure, or low light regime) might only ever have colonising species as the foundational species, while a less disturbed meadow can have persistent species form the foundation. Also, whether </w:t>
      </w:r>
      <w:r w:rsidRPr="00CB093C">
        <w:rPr>
          <w:rFonts w:ascii="Arial" w:hAnsi="Arial" w:cs="Arial"/>
          <w:i/>
          <w:color w:val="000000" w:themeColor="text1"/>
          <w:szCs w:val="22"/>
        </w:rPr>
        <w:t>Zostera muelleri</w:t>
      </w:r>
      <w:r w:rsidRPr="00CB093C">
        <w:rPr>
          <w:rFonts w:ascii="Arial" w:hAnsi="Arial" w:cs="Arial"/>
          <w:color w:val="000000" w:themeColor="text1"/>
          <w:szCs w:val="22"/>
        </w:rPr>
        <w:t xml:space="preserve"> is a foundation species is influenced by whether it grows in the tropics or in the sub-tropics, as it is more likely to form a foundation species in the sub-tropics even if it is disturbed.</w:t>
      </w:r>
      <w:r w:rsidR="00F17593" w:rsidRPr="00CB093C">
        <w:rPr>
          <w:rFonts w:ascii="Arial" w:hAnsi="Arial" w:cs="Arial"/>
          <w:color w:val="000000" w:themeColor="text1"/>
          <w:szCs w:val="22"/>
        </w:rPr>
        <w:t xml:space="preserve"> </w:t>
      </w:r>
    </w:p>
    <w:p w14:paraId="567B20F7" w14:textId="5EC73AE4" w:rsidR="009D7C70" w:rsidRPr="00CB093C" w:rsidRDefault="009D7C70" w:rsidP="009D7C70">
      <w:pPr>
        <w:rPr>
          <w:rFonts w:ascii="Arial" w:hAnsi="Arial" w:cs="Arial"/>
          <w:szCs w:val="22"/>
        </w:rPr>
      </w:pPr>
      <w:r w:rsidRPr="00CB093C">
        <w:rPr>
          <w:rFonts w:ascii="Arial" w:hAnsi="Arial" w:cs="Arial"/>
          <w:szCs w:val="22"/>
          <w:lang w:val="en-US"/>
        </w:rPr>
        <w:t>For the seagrass habitats assessed in the MMP, the foundation seagrass species were those species which typified the habitats both in abundance and structure when the meadow was considered in its steady state (opportunistic or persistent) (</w:t>
      </w:r>
      <w:hyperlink w:anchor="_ENREF_75" w:tooltip="Kilminster, 2015 #10294"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Kilminster</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2015</w:t>
        </w:r>
        <w:r w:rsidR="00513C39" w:rsidRPr="00CB093C">
          <w:rPr>
            <w:rFonts w:ascii="Arial" w:hAnsi="Arial" w:cs="Arial"/>
            <w:szCs w:val="22"/>
            <w:lang w:val="en-US"/>
          </w:rPr>
          <w:fldChar w:fldCharType="end"/>
        </w:r>
      </w:hyperlink>
      <w:r w:rsidRPr="00CB093C">
        <w:rPr>
          <w:rFonts w:ascii="Arial" w:hAnsi="Arial" w:cs="Arial"/>
          <w:szCs w:val="22"/>
          <w:lang w:val="en-US"/>
        </w:rPr>
        <w:t xml:space="preserve">). The </w:t>
      </w:r>
      <w:r w:rsidRPr="00CB093C">
        <w:rPr>
          <w:rFonts w:ascii="Arial" w:hAnsi="Arial" w:cs="Arial"/>
          <w:szCs w:val="22"/>
        </w:rPr>
        <w:t xml:space="preserve">foundation species were all di-meristematic leaf-replacing forms from the following families: </w:t>
      </w:r>
      <w:r w:rsidRPr="00CB093C">
        <w:rPr>
          <w:rFonts w:ascii="Arial" w:hAnsi="Arial" w:cs="Arial"/>
          <w:i/>
          <w:szCs w:val="22"/>
        </w:rPr>
        <w:t>Cymodocea, Enhalus, Halodule, Thalassia</w:t>
      </w:r>
      <w:r w:rsidRPr="00CB093C">
        <w:rPr>
          <w:rFonts w:ascii="Arial" w:hAnsi="Arial" w:cs="Arial"/>
          <w:szCs w:val="22"/>
        </w:rPr>
        <w:t xml:space="preserve"> and </w:t>
      </w:r>
      <w:r w:rsidRPr="00CB093C">
        <w:rPr>
          <w:rFonts w:ascii="Arial" w:hAnsi="Arial" w:cs="Arial"/>
          <w:i/>
          <w:szCs w:val="22"/>
        </w:rPr>
        <w:t>Zostera</w:t>
      </w:r>
      <w:r w:rsidRPr="00CB093C">
        <w:rPr>
          <w:rFonts w:ascii="Arial" w:hAnsi="Arial" w:cs="Arial"/>
          <w:szCs w:val="22"/>
        </w:rPr>
        <w:t xml:space="preserve"> (</w:t>
      </w:r>
      <w:r w:rsidRPr="00CB093C">
        <w:rPr>
          <w:rFonts w:ascii="Arial" w:hAnsi="Arial" w:cs="Arial"/>
          <w:szCs w:val="22"/>
        </w:rPr>
        <w:fldChar w:fldCharType="begin"/>
      </w:r>
      <w:r w:rsidRPr="00CB093C">
        <w:rPr>
          <w:rFonts w:ascii="Arial" w:hAnsi="Arial" w:cs="Arial"/>
          <w:szCs w:val="22"/>
        </w:rPr>
        <w:instrText xml:space="preserve"> REF _Ref236539751 \h </w:instrText>
      </w:r>
      <w:r w:rsidR="00DA741D"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w:t>
      </w:r>
      <w:r w:rsidRPr="00CB093C">
        <w:rPr>
          <w:rFonts w:ascii="Arial" w:hAnsi="Arial" w:cs="Arial"/>
          <w:szCs w:val="22"/>
        </w:rPr>
        <w:fldChar w:fldCharType="end"/>
      </w:r>
      <w:r w:rsidRPr="00CB093C">
        <w:rPr>
          <w:rFonts w:ascii="Arial" w:hAnsi="Arial" w:cs="Arial"/>
          <w:szCs w:val="22"/>
        </w:rPr>
        <w:t>).</w:t>
      </w:r>
    </w:p>
    <w:p w14:paraId="1A7D3657" w14:textId="0EDB500C" w:rsidR="003D1F7F" w:rsidRPr="00CB093C" w:rsidRDefault="003D1F7F" w:rsidP="003D1F7F">
      <w:pPr>
        <w:spacing w:before="240"/>
        <w:rPr>
          <w:rFonts w:ascii="Arial" w:hAnsi="Arial" w:cs="Arial"/>
          <w:szCs w:val="22"/>
        </w:rPr>
      </w:pPr>
      <w:r w:rsidRPr="00CB093C">
        <w:rPr>
          <w:rFonts w:ascii="Arial" w:hAnsi="Arial" w:cs="Arial"/>
          <w:szCs w:val="22"/>
          <w:lang w:val="en-US"/>
        </w:rPr>
        <w:t xml:space="preserve">As the major period of runoff from catchments and agricultural lands </w:t>
      </w:r>
      <w:r w:rsidR="009F070C" w:rsidRPr="00CB093C">
        <w:rPr>
          <w:rFonts w:ascii="Arial" w:hAnsi="Arial" w:cs="Arial"/>
          <w:szCs w:val="22"/>
          <w:lang w:val="en-US"/>
        </w:rPr>
        <w:t xml:space="preserve">is </w:t>
      </w:r>
      <w:r w:rsidRPr="00CB093C">
        <w:rPr>
          <w:rFonts w:ascii="Arial" w:hAnsi="Arial" w:cs="Arial"/>
          <w:szCs w:val="22"/>
          <w:lang w:val="en-US"/>
        </w:rPr>
        <w:t xml:space="preserve">the tropical wet season/monsoon (December to April), </w:t>
      </w:r>
      <w:r w:rsidRPr="00CB093C">
        <w:rPr>
          <w:rFonts w:ascii="Arial" w:hAnsi="Arial" w:cs="Arial"/>
          <w:szCs w:val="22"/>
        </w:rPr>
        <w:t xml:space="preserve">monitoring </w:t>
      </w:r>
      <w:r w:rsidR="009F070C" w:rsidRPr="00CB093C">
        <w:rPr>
          <w:rFonts w:ascii="Arial" w:hAnsi="Arial" w:cs="Arial"/>
          <w:szCs w:val="22"/>
        </w:rPr>
        <w:t xml:space="preserve">is </w:t>
      </w:r>
      <w:r w:rsidRPr="00CB093C">
        <w:rPr>
          <w:rFonts w:ascii="Arial" w:hAnsi="Arial" w:cs="Arial"/>
          <w:szCs w:val="22"/>
        </w:rPr>
        <w:t xml:space="preserve">focussed on the late dry (growing) season and late wet season to capture the </w:t>
      </w:r>
      <w:r w:rsidR="00A1555C" w:rsidRPr="00CB093C">
        <w:rPr>
          <w:rFonts w:ascii="Arial" w:hAnsi="Arial" w:cs="Arial"/>
          <w:szCs w:val="22"/>
        </w:rPr>
        <w:t>condition</w:t>
      </w:r>
      <w:r w:rsidRPr="00CB093C">
        <w:rPr>
          <w:rFonts w:ascii="Arial" w:hAnsi="Arial" w:cs="Arial"/>
          <w:szCs w:val="22"/>
        </w:rPr>
        <w:t xml:space="preserve"> of seagrass pre and post wet.</w:t>
      </w:r>
    </w:p>
    <w:p w14:paraId="1C791BA4" w14:textId="0CA19B10" w:rsidR="00406759" w:rsidRPr="00CB093C" w:rsidRDefault="00E127D1" w:rsidP="004902B0">
      <w:pPr>
        <w:spacing w:before="240"/>
        <w:rPr>
          <w:rFonts w:ascii="Arial" w:hAnsi="Arial" w:cs="Arial"/>
          <w:color w:val="000000" w:themeColor="text1"/>
          <w:szCs w:val="22"/>
        </w:rPr>
      </w:pPr>
      <w:r w:rsidRPr="00CB093C">
        <w:rPr>
          <w:rFonts w:ascii="Arial" w:hAnsi="Arial" w:cs="Arial"/>
          <w:color w:val="000000" w:themeColor="text1"/>
          <w:szCs w:val="22"/>
        </w:rPr>
        <w:t>Sixty</w:t>
      </w:r>
      <w:r w:rsidR="00406759" w:rsidRPr="00CB093C">
        <w:rPr>
          <w:rFonts w:ascii="Arial" w:hAnsi="Arial" w:cs="Arial"/>
          <w:color w:val="000000" w:themeColor="text1"/>
          <w:szCs w:val="22"/>
        </w:rPr>
        <w:t>-</w:t>
      </w:r>
      <w:r w:rsidR="00557CEB" w:rsidRPr="00CB093C">
        <w:rPr>
          <w:rFonts w:ascii="Arial" w:hAnsi="Arial" w:cs="Arial"/>
          <w:color w:val="000000" w:themeColor="text1"/>
          <w:szCs w:val="22"/>
        </w:rPr>
        <w:t>seven</w:t>
      </w:r>
      <w:r w:rsidR="003D1F7F" w:rsidRPr="00CB093C">
        <w:rPr>
          <w:rFonts w:ascii="Arial" w:hAnsi="Arial" w:cs="Arial"/>
          <w:color w:val="000000" w:themeColor="text1"/>
          <w:szCs w:val="22"/>
        </w:rPr>
        <w:t xml:space="preserve"> sites at </w:t>
      </w:r>
      <w:r w:rsidRPr="00CB093C">
        <w:rPr>
          <w:rFonts w:ascii="Arial" w:hAnsi="Arial" w:cs="Arial"/>
          <w:color w:val="000000" w:themeColor="text1"/>
          <w:szCs w:val="22"/>
        </w:rPr>
        <w:t>30</w:t>
      </w:r>
      <w:r w:rsidR="003D1F7F" w:rsidRPr="00CB093C">
        <w:rPr>
          <w:rFonts w:ascii="Arial" w:hAnsi="Arial" w:cs="Arial"/>
          <w:color w:val="000000" w:themeColor="text1"/>
          <w:szCs w:val="22"/>
        </w:rPr>
        <w:t xml:space="preserve"> locations were </w:t>
      </w:r>
      <w:r w:rsidR="00106862" w:rsidRPr="00CB093C">
        <w:rPr>
          <w:rFonts w:ascii="Arial" w:hAnsi="Arial" w:cs="Arial"/>
          <w:color w:val="000000" w:themeColor="text1"/>
          <w:szCs w:val="22"/>
        </w:rPr>
        <w:t>assessed</w:t>
      </w:r>
      <w:r w:rsidR="003D1F7F" w:rsidRPr="00CB093C">
        <w:rPr>
          <w:rFonts w:ascii="Arial" w:hAnsi="Arial" w:cs="Arial"/>
          <w:color w:val="000000" w:themeColor="text1"/>
          <w:szCs w:val="22"/>
        </w:rPr>
        <w:t xml:space="preserve"> during the </w:t>
      </w:r>
      <w:r w:rsidR="003654C6">
        <w:rPr>
          <w:rFonts w:ascii="Arial" w:hAnsi="Arial" w:cs="Arial"/>
          <w:color w:val="000000" w:themeColor="text1"/>
          <w:szCs w:val="22"/>
        </w:rPr>
        <w:t>2017–18</w:t>
      </w:r>
      <w:r w:rsidR="00C81636" w:rsidRPr="00CB093C">
        <w:rPr>
          <w:rFonts w:ascii="Arial" w:hAnsi="Arial" w:cs="Arial"/>
          <w:color w:val="000000" w:themeColor="text1"/>
          <w:szCs w:val="22"/>
        </w:rPr>
        <w:t xml:space="preserve"> </w:t>
      </w:r>
      <w:r w:rsidR="003D1F7F" w:rsidRPr="00CB093C">
        <w:rPr>
          <w:rFonts w:ascii="Arial" w:hAnsi="Arial" w:cs="Arial"/>
          <w:color w:val="000000" w:themeColor="text1"/>
          <w:szCs w:val="22"/>
        </w:rPr>
        <w:t>monitoring period (</w:t>
      </w:r>
      <w:r w:rsidR="006F061E" w:rsidRPr="00CB093C">
        <w:rPr>
          <w:rFonts w:ascii="Arial" w:hAnsi="Arial" w:cs="Arial"/>
          <w:bCs/>
          <w:color w:val="000000" w:themeColor="text1"/>
          <w:szCs w:val="22"/>
        </w:rPr>
        <w:fldChar w:fldCharType="begin"/>
      </w:r>
      <w:r w:rsidR="006F061E" w:rsidRPr="00CB093C">
        <w:rPr>
          <w:rFonts w:ascii="Arial" w:hAnsi="Arial" w:cs="Arial"/>
          <w:color w:val="000000" w:themeColor="text1"/>
          <w:szCs w:val="22"/>
        </w:rPr>
        <w:instrText xml:space="preserve"> REF _Ref534182043 \r \h </w:instrText>
      </w:r>
      <w:r w:rsidR="00CB093C" w:rsidRPr="00CB093C">
        <w:rPr>
          <w:rFonts w:ascii="Arial" w:hAnsi="Arial" w:cs="Arial"/>
          <w:bCs/>
          <w:color w:val="000000" w:themeColor="text1"/>
          <w:szCs w:val="22"/>
        </w:rPr>
        <w:instrText xml:space="preserve"> \* MERGEFORMAT </w:instrText>
      </w:r>
      <w:r w:rsidR="006F061E" w:rsidRPr="00CB093C">
        <w:rPr>
          <w:rFonts w:ascii="Arial" w:hAnsi="Arial" w:cs="Arial"/>
          <w:bCs/>
          <w:color w:val="000000" w:themeColor="text1"/>
          <w:szCs w:val="22"/>
        </w:rPr>
      </w:r>
      <w:r w:rsidR="006F061E" w:rsidRPr="00CB093C">
        <w:rPr>
          <w:rFonts w:ascii="Arial" w:hAnsi="Arial" w:cs="Arial"/>
          <w:bCs/>
          <w:color w:val="000000" w:themeColor="text1"/>
          <w:szCs w:val="22"/>
        </w:rPr>
        <w:fldChar w:fldCharType="separate"/>
      </w:r>
      <w:r w:rsidR="005F00D4">
        <w:rPr>
          <w:rFonts w:ascii="Arial" w:hAnsi="Arial" w:cs="Arial"/>
          <w:color w:val="000000" w:themeColor="text1"/>
          <w:szCs w:val="22"/>
        </w:rPr>
        <w:t>Appendix 3</w:t>
      </w:r>
      <w:r w:rsidR="006F061E" w:rsidRPr="00CB093C">
        <w:rPr>
          <w:rFonts w:ascii="Arial" w:hAnsi="Arial" w:cs="Arial"/>
          <w:bCs/>
          <w:color w:val="000000" w:themeColor="text1"/>
          <w:szCs w:val="22"/>
        </w:rPr>
        <w:fldChar w:fldCharType="end"/>
      </w:r>
      <w:r w:rsidR="00106862" w:rsidRPr="00CB093C">
        <w:rPr>
          <w:rFonts w:ascii="Arial" w:hAnsi="Arial" w:cs="Arial"/>
          <w:bCs/>
          <w:color w:val="000000" w:themeColor="text1"/>
          <w:szCs w:val="22"/>
        </w:rPr>
        <w:t xml:space="preserve">, </w:t>
      </w:r>
      <w:r w:rsidR="00106862" w:rsidRPr="00CB093C">
        <w:rPr>
          <w:rFonts w:ascii="Arial" w:hAnsi="Arial" w:cs="Arial"/>
          <w:bCs/>
          <w:color w:val="000000" w:themeColor="text1"/>
          <w:szCs w:val="22"/>
        </w:rPr>
        <w:fldChar w:fldCharType="begin"/>
      </w:r>
      <w:r w:rsidR="00106862" w:rsidRPr="00CB093C">
        <w:rPr>
          <w:rFonts w:ascii="Arial" w:hAnsi="Arial" w:cs="Arial"/>
          <w:bCs/>
          <w:color w:val="000000" w:themeColor="text1"/>
          <w:szCs w:val="22"/>
        </w:rPr>
        <w:instrText xml:space="preserve"> REF _Ref511373432 \h </w:instrText>
      </w:r>
      <w:r w:rsidR="00DA741D" w:rsidRPr="00CB093C">
        <w:rPr>
          <w:rFonts w:ascii="Arial" w:hAnsi="Arial" w:cs="Arial"/>
          <w:bCs/>
          <w:color w:val="000000" w:themeColor="text1"/>
          <w:szCs w:val="22"/>
        </w:rPr>
        <w:instrText xml:space="preserve"> \* MERGEFORMAT </w:instrText>
      </w:r>
      <w:r w:rsidR="00106862" w:rsidRPr="00CB093C">
        <w:rPr>
          <w:rFonts w:ascii="Arial" w:hAnsi="Arial" w:cs="Arial"/>
          <w:bCs/>
          <w:color w:val="000000" w:themeColor="text1"/>
          <w:szCs w:val="22"/>
        </w:rPr>
      </w:r>
      <w:r w:rsidR="00106862" w:rsidRPr="00CB093C">
        <w:rPr>
          <w:rFonts w:ascii="Arial" w:hAnsi="Arial" w:cs="Arial"/>
          <w:bCs/>
          <w:color w:val="000000" w:themeColor="text1"/>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21</w:t>
      </w:r>
      <w:r w:rsidR="00106862" w:rsidRPr="00CB093C">
        <w:rPr>
          <w:rFonts w:ascii="Arial" w:hAnsi="Arial" w:cs="Arial"/>
          <w:bCs/>
          <w:color w:val="000000" w:themeColor="text1"/>
          <w:szCs w:val="22"/>
        </w:rPr>
        <w:fldChar w:fldCharType="end"/>
      </w:r>
      <w:r w:rsidR="003D1F7F" w:rsidRPr="00CB093C">
        <w:rPr>
          <w:rFonts w:ascii="Arial" w:hAnsi="Arial" w:cs="Arial"/>
          <w:color w:val="000000" w:themeColor="text1"/>
          <w:szCs w:val="22"/>
        </w:rPr>
        <w:t xml:space="preserve">). This </w:t>
      </w:r>
      <w:r w:rsidR="00640BF3" w:rsidRPr="00CB093C">
        <w:rPr>
          <w:rFonts w:ascii="Arial" w:hAnsi="Arial" w:cs="Arial"/>
          <w:color w:val="000000" w:themeColor="text1"/>
          <w:szCs w:val="22"/>
        </w:rPr>
        <w:t>covered</w:t>
      </w:r>
      <w:r w:rsidR="003D1F7F" w:rsidRPr="00CB093C">
        <w:rPr>
          <w:rFonts w:ascii="Arial" w:hAnsi="Arial" w:cs="Arial"/>
          <w:color w:val="000000" w:themeColor="text1"/>
          <w:szCs w:val="22"/>
        </w:rPr>
        <w:t xml:space="preserve"> </w:t>
      </w:r>
      <w:r w:rsidR="007E33C4" w:rsidRPr="00CB093C">
        <w:rPr>
          <w:rFonts w:ascii="Arial" w:hAnsi="Arial" w:cs="Arial"/>
          <w:color w:val="000000" w:themeColor="text1"/>
          <w:szCs w:val="22"/>
        </w:rPr>
        <w:t>fourteen</w:t>
      </w:r>
      <w:r w:rsidR="003D1F7F" w:rsidRPr="00CB093C">
        <w:rPr>
          <w:rFonts w:ascii="Arial" w:hAnsi="Arial" w:cs="Arial"/>
          <w:color w:val="000000" w:themeColor="text1"/>
          <w:szCs w:val="22"/>
        </w:rPr>
        <w:t xml:space="preserve"> coastal, four estuarine and </w:t>
      </w:r>
      <w:r w:rsidR="007E33C4" w:rsidRPr="00CB093C">
        <w:rPr>
          <w:rFonts w:ascii="Arial" w:hAnsi="Arial" w:cs="Arial"/>
          <w:color w:val="000000" w:themeColor="text1"/>
          <w:szCs w:val="22"/>
        </w:rPr>
        <w:t>twelve</w:t>
      </w:r>
      <w:r w:rsidR="00697B76" w:rsidRPr="00CB093C">
        <w:rPr>
          <w:rFonts w:ascii="Arial" w:hAnsi="Arial" w:cs="Arial"/>
          <w:color w:val="000000" w:themeColor="text1"/>
          <w:szCs w:val="22"/>
        </w:rPr>
        <w:t xml:space="preserve"> </w:t>
      </w:r>
      <w:r w:rsidR="00A12DFC" w:rsidRPr="00CB093C">
        <w:rPr>
          <w:rFonts w:ascii="Arial" w:hAnsi="Arial" w:cs="Arial"/>
          <w:color w:val="000000" w:themeColor="text1"/>
          <w:szCs w:val="22"/>
        </w:rPr>
        <w:t xml:space="preserve">reef locations (i.e. two or </w:t>
      </w:r>
      <w:r w:rsidR="003D1F7F" w:rsidRPr="00CB093C">
        <w:rPr>
          <w:rFonts w:ascii="Arial" w:hAnsi="Arial" w:cs="Arial"/>
          <w:color w:val="000000" w:themeColor="text1"/>
          <w:szCs w:val="22"/>
        </w:rPr>
        <w:t xml:space="preserve">three sites at each location). </w:t>
      </w:r>
    </w:p>
    <w:p w14:paraId="2A26BD31" w14:textId="3E6DC3D6" w:rsidR="00406759" w:rsidRPr="00CB093C" w:rsidRDefault="003D1F7F" w:rsidP="004902B0">
      <w:pPr>
        <w:spacing w:before="240"/>
        <w:rPr>
          <w:rFonts w:ascii="Arial" w:hAnsi="Arial" w:cs="Arial"/>
          <w:color w:val="000000" w:themeColor="text1"/>
          <w:szCs w:val="22"/>
        </w:rPr>
      </w:pPr>
      <w:r w:rsidRPr="00CB093C">
        <w:rPr>
          <w:rFonts w:ascii="Arial" w:hAnsi="Arial" w:cs="Arial"/>
          <w:color w:val="000000" w:themeColor="text1"/>
          <w:szCs w:val="22"/>
        </w:rPr>
        <w:lastRenderedPageBreak/>
        <w:t>At the reef locations in the Burdekin and Wet Tropics, intertidal sites were paired with a subtidal site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_Ref236539751 \h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5F00D4">
        <w:rPr>
          <w:rFonts w:ascii="Arial" w:hAnsi="Arial" w:cs="Arial"/>
          <w:color w:val="000000" w:themeColor="text1"/>
          <w:szCs w:val="22"/>
        </w:rPr>
        <w:t xml:space="preserve">Table </w:t>
      </w:r>
      <w:r w:rsidR="005F00D4" w:rsidRPr="005F00D4">
        <w:rPr>
          <w:rFonts w:ascii="Arial" w:hAnsi="Arial" w:cs="Arial"/>
          <w:noProof/>
          <w:color w:val="000000" w:themeColor="text1"/>
          <w:szCs w:val="22"/>
        </w:rPr>
        <w:t>2</w:t>
      </w:r>
      <w:r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w:t>
      </w:r>
      <w:r w:rsidR="00106862" w:rsidRPr="00CB093C">
        <w:rPr>
          <w:rFonts w:ascii="Arial" w:hAnsi="Arial" w:cs="Arial"/>
          <w:color w:val="000000" w:themeColor="text1"/>
          <w:szCs w:val="22"/>
        </w:rPr>
        <w:t xml:space="preserve">Apart from the </w:t>
      </w:r>
      <w:r w:rsidR="00A12DFC" w:rsidRPr="00CB093C">
        <w:rPr>
          <w:rFonts w:ascii="Arial" w:hAnsi="Arial" w:cs="Arial"/>
          <w:color w:val="000000" w:themeColor="text1"/>
          <w:szCs w:val="22"/>
        </w:rPr>
        <w:t>4</w:t>
      </w:r>
      <w:r w:rsidR="00697B76" w:rsidRPr="00CB093C">
        <w:rPr>
          <w:rFonts w:ascii="Arial" w:hAnsi="Arial" w:cs="Arial"/>
          <w:color w:val="000000" w:themeColor="text1"/>
          <w:szCs w:val="22"/>
        </w:rPr>
        <w:t>9</w:t>
      </w:r>
      <w:r w:rsidR="00640BF3" w:rsidRPr="00CB093C">
        <w:rPr>
          <w:rFonts w:ascii="Arial" w:hAnsi="Arial" w:cs="Arial"/>
          <w:color w:val="000000" w:themeColor="text1"/>
          <w:szCs w:val="22"/>
        </w:rPr>
        <w:t xml:space="preserve"> MMP long-term monitoring sites, d</w:t>
      </w:r>
      <w:r w:rsidR="00C815FB" w:rsidRPr="00CB093C">
        <w:rPr>
          <w:rFonts w:ascii="Arial" w:hAnsi="Arial" w:cs="Arial"/>
          <w:color w:val="000000" w:themeColor="text1"/>
          <w:szCs w:val="22"/>
        </w:rPr>
        <w:t xml:space="preserve">ata </w:t>
      </w:r>
      <w:r w:rsidR="00640BF3" w:rsidRPr="00CB093C">
        <w:rPr>
          <w:rFonts w:ascii="Arial" w:hAnsi="Arial" w:cs="Arial"/>
          <w:color w:val="000000" w:themeColor="text1"/>
          <w:szCs w:val="22"/>
        </w:rPr>
        <w:t>included eight</w:t>
      </w:r>
      <w:r w:rsidR="00C815FB" w:rsidRPr="00CB093C">
        <w:rPr>
          <w:rFonts w:ascii="Arial" w:hAnsi="Arial" w:cs="Arial"/>
          <w:color w:val="000000" w:themeColor="text1"/>
          <w:szCs w:val="22"/>
        </w:rPr>
        <w:t xml:space="preserve"> sites </w:t>
      </w:r>
      <w:r w:rsidR="005918BE" w:rsidRPr="00CB093C">
        <w:rPr>
          <w:rFonts w:ascii="Arial" w:hAnsi="Arial" w:cs="Arial"/>
          <w:color w:val="000000" w:themeColor="text1"/>
          <w:szCs w:val="22"/>
        </w:rPr>
        <w:t xml:space="preserve">from </w:t>
      </w:r>
      <w:r w:rsidR="00C815FB" w:rsidRPr="00CB093C">
        <w:rPr>
          <w:rFonts w:ascii="Arial" w:hAnsi="Arial" w:cs="Arial"/>
          <w:color w:val="000000" w:themeColor="text1"/>
          <w:szCs w:val="22"/>
        </w:rPr>
        <w:t xml:space="preserve">Seagrass-Watch </w:t>
      </w:r>
      <w:r w:rsidR="00106862" w:rsidRPr="00CB093C">
        <w:rPr>
          <w:rFonts w:ascii="Arial" w:hAnsi="Arial" w:cs="Arial"/>
          <w:color w:val="000000" w:themeColor="text1"/>
          <w:szCs w:val="22"/>
        </w:rPr>
        <w:t xml:space="preserve">and </w:t>
      </w:r>
      <w:r w:rsidR="00640BF3" w:rsidRPr="00CB093C">
        <w:rPr>
          <w:rFonts w:ascii="Arial" w:hAnsi="Arial" w:cs="Arial"/>
          <w:color w:val="000000" w:themeColor="text1"/>
          <w:szCs w:val="22"/>
        </w:rPr>
        <w:t>eight sites from QPWS</w:t>
      </w:r>
      <w:r w:rsidR="00C815FB" w:rsidRPr="00CB093C">
        <w:rPr>
          <w:rFonts w:ascii="Arial" w:hAnsi="Arial" w:cs="Arial"/>
          <w:color w:val="000000" w:themeColor="text1"/>
          <w:szCs w:val="22"/>
        </w:rPr>
        <w:t xml:space="preserve"> </w:t>
      </w:r>
      <w:r w:rsidR="005918BE" w:rsidRPr="00CB093C">
        <w:rPr>
          <w:rFonts w:ascii="Arial" w:hAnsi="Arial" w:cs="Arial"/>
          <w:color w:val="000000" w:themeColor="text1"/>
          <w:szCs w:val="22"/>
        </w:rPr>
        <w:t xml:space="preserve">to improve the spatial resolution </w:t>
      </w:r>
      <w:r w:rsidR="00640BF3" w:rsidRPr="00CB093C">
        <w:rPr>
          <w:rFonts w:ascii="Arial" w:hAnsi="Arial" w:cs="Arial"/>
          <w:color w:val="000000" w:themeColor="text1"/>
          <w:szCs w:val="22"/>
        </w:rPr>
        <w:t xml:space="preserve">and </w:t>
      </w:r>
      <w:r w:rsidR="00406759" w:rsidRPr="00CB093C">
        <w:rPr>
          <w:rFonts w:ascii="Arial" w:hAnsi="Arial" w:cs="Arial"/>
          <w:color w:val="000000" w:themeColor="text1"/>
          <w:szCs w:val="22"/>
        </w:rPr>
        <w:t xml:space="preserve">representation of </w:t>
      </w:r>
      <w:r w:rsidR="00640BF3" w:rsidRPr="00CB093C">
        <w:rPr>
          <w:rFonts w:ascii="Arial" w:hAnsi="Arial" w:cs="Arial"/>
          <w:color w:val="000000" w:themeColor="text1"/>
          <w:szCs w:val="22"/>
        </w:rPr>
        <w:t xml:space="preserve">subtidal habitats </w:t>
      </w:r>
      <w:r w:rsidR="00D43B9E" w:rsidRPr="00CB093C">
        <w:rPr>
          <w:rFonts w:ascii="Arial" w:hAnsi="Arial" w:cs="Arial"/>
          <w:color w:val="000000" w:themeColor="text1"/>
          <w:szCs w:val="22"/>
        </w:rPr>
        <w:t>(</w:t>
      </w:r>
      <w:r w:rsidR="00D43B9E" w:rsidRPr="00CB093C">
        <w:rPr>
          <w:rFonts w:ascii="Arial" w:hAnsi="Arial" w:cs="Arial"/>
          <w:color w:val="000000" w:themeColor="text1"/>
          <w:szCs w:val="22"/>
        </w:rPr>
        <w:fldChar w:fldCharType="begin"/>
      </w:r>
      <w:r w:rsidR="00D43B9E" w:rsidRPr="00CB093C">
        <w:rPr>
          <w:rFonts w:ascii="Arial" w:hAnsi="Arial" w:cs="Arial"/>
          <w:color w:val="000000" w:themeColor="text1"/>
          <w:szCs w:val="22"/>
        </w:rPr>
        <w:instrText xml:space="preserve"> REF _Ref461186562 \h </w:instrText>
      </w:r>
      <w:r w:rsidR="00DA741D" w:rsidRPr="00CB093C">
        <w:rPr>
          <w:rFonts w:ascii="Arial" w:hAnsi="Arial" w:cs="Arial"/>
          <w:color w:val="000000" w:themeColor="text1"/>
          <w:szCs w:val="22"/>
        </w:rPr>
        <w:instrText xml:space="preserve"> \* MERGEFORMAT </w:instrText>
      </w:r>
      <w:r w:rsidR="00D43B9E" w:rsidRPr="00CB093C">
        <w:rPr>
          <w:rFonts w:ascii="Arial" w:hAnsi="Arial" w:cs="Arial"/>
          <w:color w:val="000000" w:themeColor="text1"/>
          <w:szCs w:val="22"/>
        </w:rPr>
      </w:r>
      <w:r w:rsidR="00D43B9E" w:rsidRPr="00CB093C">
        <w:rPr>
          <w:rFonts w:ascii="Arial" w:hAnsi="Arial" w:cs="Arial"/>
          <w:color w:val="000000" w:themeColor="text1"/>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3</w:t>
      </w:r>
      <w:r w:rsidR="00D43B9E" w:rsidRPr="00CB093C">
        <w:rPr>
          <w:rFonts w:ascii="Arial" w:hAnsi="Arial" w:cs="Arial"/>
          <w:color w:val="000000" w:themeColor="text1"/>
          <w:szCs w:val="22"/>
        </w:rPr>
        <w:fldChar w:fldCharType="end"/>
      </w:r>
      <w:r w:rsidR="00D43B9E" w:rsidRPr="00CB093C">
        <w:rPr>
          <w:rFonts w:ascii="Arial" w:hAnsi="Arial" w:cs="Arial"/>
          <w:color w:val="000000" w:themeColor="text1"/>
          <w:szCs w:val="22"/>
        </w:rPr>
        <w:t>)</w:t>
      </w:r>
      <w:r w:rsidR="00C815FB" w:rsidRPr="00CB093C">
        <w:rPr>
          <w:rFonts w:ascii="Arial" w:hAnsi="Arial" w:cs="Arial"/>
          <w:color w:val="000000" w:themeColor="text1"/>
          <w:szCs w:val="22"/>
        </w:rPr>
        <w:t xml:space="preserve">. </w:t>
      </w:r>
    </w:p>
    <w:p w14:paraId="509A6EC9" w14:textId="43497A3A" w:rsidR="004902B0" w:rsidRPr="00CB093C" w:rsidRDefault="003D1F7F" w:rsidP="004902B0">
      <w:pPr>
        <w:spacing w:before="240"/>
        <w:rPr>
          <w:rFonts w:ascii="Arial" w:hAnsi="Arial" w:cs="Arial"/>
          <w:color w:val="000000" w:themeColor="text1"/>
          <w:szCs w:val="22"/>
        </w:rPr>
      </w:pPr>
      <w:r w:rsidRPr="00CB093C">
        <w:rPr>
          <w:rFonts w:ascii="Arial" w:hAnsi="Arial" w:cs="Arial"/>
          <w:color w:val="000000" w:themeColor="text1"/>
          <w:szCs w:val="22"/>
        </w:rPr>
        <w:t xml:space="preserve">A description of all data collected during the sampling period has been collated by region, site, parameter, and the number of samples collected per sampling period </w:t>
      </w:r>
      <w:r w:rsidR="00406759" w:rsidRPr="00CB093C">
        <w:rPr>
          <w:rFonts w:ascii="Arial" w:hAnsi="Arial" w:cs="Arial"/>
          <w:color w:val="000000" w:themeColor="text1"/>
          <w:szCs w:val="22"/>
        </w:rPr>
        <w:t>(</w:t>
      </w:r>
      <w:r w:rsidR="00A06B17" w:rsidRPr="00CB093C">
        <w:rPr>
          <w:rFonts w:ascii="Arial" w:hAnsi="Arial" w:cs="Arial"/>
          <w:color w:val="000000" w:themeColor="text1"/>
          <w:szCs w:val="22"/>
        </w:rPr>
        <w:fldChar w:fldCharType="begin"/>
      </w:r>
      <w:r w:rsidR="00A06B17" w:rsidRPr="00CB093C">
        <w:rPr>
          <w:rFonts w:ascii="Arial" w:hAnsi="Arial" w:cs="Arial"/>
          <w:color w:val="000000" w:themeColor="text1"/>
          <w:szCs w:val="22"/>
        </w:rPr>
        <w:instrText xml:space="preserve"> REF _Ref511373432 \h </w:instrText>
      </w:r>
      <w:r w:rsidR="00DA741D" w:rsidRPr="00CB093C">
        <w:rPr>
          <w:rFonts w:ascii="Arial" w:hAnsi="Arial" w:cs="Arial"/>
          <w:color w:val="000000" w:themeColor="text1"/>
          <w:szCs w:val="22"/>
        </w:rPr>
        <w:instrText xml:space="preserve"> \* MERGEFORMAT </w:instrText>
      </w:r>
      <w:r w:rsidR="00A06B17" w:rsidRPr="00CB093C">
        <w:rPr>
          <w:rFonts w:ascii="Arial" w:hAnsi="Arial" w:cs="Arial"/>
          <w:color w:val="000000" w:themeColor="text1"/>
          <w:szCs w:val="22"/>
        </w:rPr>
      </w:r>
      <w:r w:rsidR="00A06B17" w:rsidRPr="00CB093C">
        <w:rPr>
          <w:rFonts w:ascii="Arial" w:hAnsi="Arial" w:cs="Arial"/>
          <w:color w:val="000000" w:themeColor="text1"/>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21</w:t>
      </w:r>
      <w:r w:rsidR="00A06B17" w:rsidRPr="00CB093C">
        <w:rPr>
          <w:rFonts w:ascii="Arial" w:hAnsi="Arial" w:cs="Arial"/>
          <w:color w:val="000000" w:themeColor="text1"/>
          <w:szCs w:val="22"/>
        </w:rPr>
        <w:fldChar w:fldCharType="end"/>
      </w:r>
      <w:r w:rsidR="00406759" w:rsidRPr="00CB093C">
        <w:rPr>
          <w:rFonts w:ascii="Arial" w:hAnsi="Arial" w:cs="Arial"/>
          <w:color w:val="000000" w:themeColor="text1"/>
          <w:szCs w:val="22"/>
        </w:rPr>
        <w:t>)</w:t>
      </w:r>
      <w:r w:rsidRPr="00CB093C">
        <w:rPr>
          <w:rFonts w:ascii="Arial" w:hAnsi="Arial" w:cs="Arial"/>
          <w:color w:val="000000" w:themeColor="text1"/>
          <w:szCs w:val="22"/>
        </w:rPr>
        <w:t xml:space="preserve">. The seagrass species </w:t>
      </w:r>
      <w:r w:rsidR="00AB452F" w:rsidRPr="00CB093C">
        <w:rPr>
          <w:rFonts w:ascii="Arial" w:hAnsi="Arial" w:cs="Arial"/>
          <w:color w:val="000000" w:themeColor="text1"/>
          <w:szCs w:val="22"/>
        </w:rPr>
        <w:t xml:space="preserve">(including foundation) </w:t>
      </w:r>
      <w:r w:rsidRPr="00CB093C">
        <w:rPr>
          <w:rFonts w:ascii="Arial" w:hAnsi="Arial" w:cs="Arial"/>
          <w:color w:val="000000" w:themeColor="text1"/>
          <w:szCs w:val="22"/>
        </w:rPr>
        <w:t>present at each monitoring site is listed</w:t>
      </w:r>
      <w:r w:rsidR="00A06B17" w:rsidRPr="00CB093C">
        <w:rPr>
          <w:rFonts w:ascii="Arial" w:hAnsi="Arial" w:cs="Arial"/>
          <w:color w:val="000000" w:themeColor="text1"/>
          <w:szCs w:val="22"/>
        </w:rPr>
        <w:t xml:space="preserve"> in</w:t>
      </w:r>
      <w:r w:rsidRPr="00CB093C">
        <w:rPr>
          <w:rFonts w:ascii="Arial" w:hAnsi="Arial" w:cs="Arial"/>
          <w:color w:val="000000" w:themeColor="text1"/>
          <w:szCs w:val="22"/>
        </w:rPr>
        <w:t xml:space="preserve"> </w:t>
      </w:r>
      <w:r w:rsidR="00EB19B4" w:rsidRPr="00CB093C">
        <w:rPr>
          <w:rFonts w:ascii="Arial" w:hAnsi="Arial" w:cs="Arial"/>
          <w:color w:val="000000" w:themeColor="text1"/>
          <w:szCs w:val="22"/>
        </w:rPr>
        <w:fldChar w:fldCharType="begin"/>
      </w:r>
      <w:r w:rsidR="00EB19B4" w:rsidRPr="00CB093C">
        <w:rPr>
          <w:rFonts w:ascii="Arial" w:hAnsi="Arial" w:cs="Arial"/>
          <w:color w:val="000000" w:themeColor="text1"/>
          <w:szCs w:val="22"/>
        </w:rPr>
        <w:instrText xml:space="preserve"> REF _Ref236539751 \h </w:instrText>
      </w:r>
      <w:r w:rsidR="00DA741D" w:rsidRPr="00CB093C">
        <w:rPr>
          <w:rFonts w:ascii="Arial" w:hAnsi="Arial" w:cs="Arial"/>
          <w:color w:val="000000" w:themeColor="text1"/>
          <w:szCs w:val="22"/>
        </w:rPr>
        <w:instrText xml:space="preserve"> \* MERGEFORMAT </w:instrText>
      </w:r>
      <w:r w:rsidR="00EB19B4" w:rsidRPr="00CB093C">
        <w:rPr>
          <w:rFonts w:ascii="Arial" w:hAnsi="Arial" w:cs="Arial"/>
          <w:color w:val="000000" w:themeColor="text1"/>
          <w:szCs w:val="22"/>
        </w:rPr>
      </w:r>
      <w:r w:rsidR="00EB19B4" w:rsidRPr="00CB093C">
        <w:rPr>
          <w:rFonts w:ascii="Arial" w:hAnsi="Arial" w:cs="Arial"/>
          <w:color w:val="000000" w:themeColor="text1"/>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w:t>
      </w:r>
      <w:r w:rsidR="00EB19B4" w:rsidRPr="00CB093C">
        <w:rPr>
          <w:rFonts w:ascii="Arial" w:hAnsi="Arial" w:cs="Arial"/>
          <w:color w:val="000000" w:themeColor="text1"/>
          <w:szCs w:val="22"/>
        </w:rPr>
        <w:fldChar w:fldCharType="end"/>
      </w:r>
      <w:r w:rsidR="00640BF3" w:rsidRPr="00CB093C">
        <w:rPr>
          <w:rFonts w:ascii="Arial" w:hAnsi="Arial" w:cs="Arial"/>
          <w:color w:val="000000" w:themeColor="text1"/>
          <w:szCs w:val="22"/>
        </w:rPr>
        <w:t xml:space="preserve"> and </w:t>
      </w:r>
      <w:r w:rsidR="00640BF3" w:rsidRPr="00CB093C">
        <w:rPr>
          <w:rFonts w:ascii="Arial" w:hAnsi="Arial" w:cs="Arial"/>
          <w:color w:val="000000" w:themeColor="text1"/>
          <w:szCs w:val="22"/>
        </w:rPr>
        <w:fldChar w:fldCharType="begin"/>
      </w:r>
      <w:r w:rsidR="00640BF3" w:rsidRPr="00CB093C">
        <w:rPr>
          <w:rFonts w:ascii="Arial" w:hAnsi="Arial" w:cs="Arial"/>
          <w:color w:val="000000" w:themeColor="text1"/>
          <w:szCs w:val="22"/>
        </w:rPr>
        <w:instrText xml:space="preserve"> REF _Ref461186562 \h </w:instrText>
      </w:r>
      <w:r w:rsidR="00DA741D" w:rsidRPr="00CB093C">
        <w:rPr>
          <w:rFonts w:ascii="Arial" w:hAnsi="Arial" w:cs="Arial"/>
          <w:color w:val="000000" w:themeColor="text1"/>
          <w:szCs w:val="22"/>
        </w:rPr>
        <w:instrText xml:space="preserve"> \* MERGEFORMAT </w:instrText>
      </w:r>
      <w:r w:rsidR="00640BF3" w:rsidRPr="00CB093C">
        <w:rPr>
          <w:rFonts w:ascii="Arial" w:hAnsi="Arial" w:cs="Arial"/>
          <w:color w:val="000000" w:themeColor="text1"/>
          <w:szCs w:val="22"/>
        </w:rPr>
      </w:r>
      <w:r w:rsidR="00640BF3" w:rsidRPr="00CB093C">
        <w:rPr>
          <w:rFonts w:ascii="Arial" w:hAnsi="Arial" w:cs="Arial"/>
          <w:color w:val="000000" w:themeColor="text1"/>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3</w:t>
      </w:r>
      <w:r w:rsidR="00640BF3" w:rsidRPr="00CB093C">
        <w:rPr>
          <w:rFonts w:ascii="Arial" w:hAnsi="Arial" w:cs="Arial"/>
          <w:color w:val="000000" w:themeColor="text1"/>
          <w:szCs w:val="22"/>
        </w:rPr>
        <w:fldChar w:fldCharType="end"/>
      </w:r>
      <w:r w:rsidRPr="00CB093C">
        <w:rPr>
          <w:rFonts w:ascii="Arial" w:hAnsi="Arial" w:cs="Arial"/>
          <w:color w:val="000000" w:themeColor="text1"/>
          <w:szCs w:val="22"/>
        </w:rPr>
        <w:t>.</w:t>
      </w:r>
    </w:p>
    <w:p w14:paraId="5B8FB221" w14:textId="77777777" w:rsidR="00640BF3" w:rsidRPr="00CB093C" w:rsidRDefault="00640BF3" w:rsidP="00AB452F">
      <w:pPr>
        <w:spacing w:before="240"/>
        <w:rPr>
          <w:rFonts w:ascii="Arial" w:hAnsi="Arial" w:cs="Arial"/>
          <w:szCs w:val="22"/>
        </w:rPr>
      </w:pPr>
    </w:p>
    <w:p w14:paraId="3C465A9B" w14:textId="77777777" w:rsidR="004902B0" w:rsidRPr="00CB093C" w:rsidRDefault="004902B0" w:rsidP="004902B0">
      <w:pPr>
        <w:rPr>
          <w:rFonts w:ascii="Arial" w:hAnsi="Arial" w:cs="Arial"/>
          <w:szCs w:val="22"/>
        </w:rPr>
        <w:sectPr w:rsidR="004902B0" w:rsidRPr="00CB093C" w:rsidSect="00D10D59">
          <w:headerReference w:type="even" r:id="rId44"/>
          <w:headerReference w:type="default" r:id="rId45"/>
          <w:headerReference w:type="first" r:id="rId46"/>
          <w:pgSz w:w="11906" w:h="16838" w:code="9"/>
          <w:pgMar w:top="1418" w:right="1418" w:bottom="1418" w:left="1418" w:header="709" w:footer="709" w:gutter="0"/>
          <w:cols w:space="708"/>
          <w:docGrid w:linePitch="360"/>
        </w:sectPr>
      </w:pPr>
    </w:p>
    <w:p w14:paraId="271E6629" w14:textId="26CACB9F" w:rsidR="00406759" w:rsidRPr="00CB093C" w:rsidRDefault="004920D8" w:rsidP="004920D8">
      <w:pPr>
        <w:keepNext/>
        <w:jc w:val="center"/>
        <w:rPr>
          <w:rFonts w:ascii="Arial" w:hAnsi="Arial" w:cs="Arial"/>
          <w:i/>
          <w:vanish/>
          <w:color w:val="000000"/>
          <w:szCs w:val="22"/>
          <w:specVanish/>
        </w:rPr>
      </w:pPr>
      <w:bookmarkStart w:id="46" w:name="_Ref236539751"/>
      <w:bookmarkStart w:id="47" w:name="_Toc176158939"/>
      <w:bookmarkStart w:id="48" w:name="_Toc5616030"/>
      <w:bookmarkStart w:id="49" w:name="_Toc431494017"/>
      <w:bookmarkStart w:id="50" w:name="_Ref318377132"/>
      <w:bookmarkStart w:id="51" w:name="_Toc176158941"/>
      <w:bookmarkStart w:id="52" w:name="_Toc175991044"/>
      <w:r w:rsidRPr="00CB093C">
        <w:rPr>
          <w:rFonts w:ascii="Arial" w:hAnsi="Arial" w:cs="Arial"/>
          <w:color w:val="000000"/>
          <w:szCs w:val="22"/>
        </w:rPr>
        <w:lastRenderedPageBreak/>
        <w:t xml:space="preserve">Table </w:t>
      </w:r>
      <w:r w:rsidRPr="00CB093C">
        <w:rPr>
          <w:rFonts w:ascii="Arial" w:hAnsi="Arial" w:cs="Arial"/>
          <w:color w:val="000000"/>
          <w:szCs w:val="22"/>
        </w:rPr>
        <w:fldChar w:fldCharType="begin"/>
      </w:r>
      <w:r w:rsidRPr="00CB093C">
        <w:rPr>
          <w:rFonts w:ascii="Arial" w:hAnsi="Arial" w:cs="Arial"/>
          <w:color w:val="000000"/>
          <w:szCs w:val="22"/>
        </w:rPr>
        <w:instrText xml:space="preserve"> SEQ Table \* ARABIC </w:instrText>
      </w:r>
      <w:r w:rsidRPr="00CB093C">
        <w:rPr>
          <w:rFonts w:ascii="Arial" w:hAnsi="Arial" w:cs="Arial"/>
          <w:color w:val="000000"/>
          <w:szCs w:val="22"/>
        </w:rPr>
        <w:fldChar w:fldCharType="separate"/>
      </w:r>
      <w:r w:rsidR="005F00D4">
        <w:rPr>
          <w:rFonts w:ascii="Arial" w:hAnsi="Arial" w:cs="Arial"/>
          <w:noProof/>
          <w:color w:val="000000"/>
          <w:szCs w:val="22"/>
        </w:rPr>
        <w:t>2</w:t>
      </w:r>
      <w:r w:rsidRPr="00CB093C">
        <w:rPr>
          <w:rFonts w:ascii="Arial" w:hAnsi="Arial" w:cs="Arial"/>
          <w:color w:val="000000"/>
          <w:szCs w:val="22"/>
        </w:rPr>
        <w:fldChar w:fldCharType="end"/>
      </w:r>
      <w:bookmarkEnd w:id="46"/>
      <w:r w:rsidRPr="00CB093C">
        <w:rPr>
          <w:rFonts w:ascii="Arial" w:hAnsi="Arial" w:cs="Arial"/>
          <w:i/>
          <w:color w:val="000000"/>
          <w:szCs w:val="22"/>
        </w:rPr>
        <w:t xml:space="preserve">. </w:t>
      </w:r>
      <w:r w:rsidR="00406759" w:rsidRPr="00CB093C">
        <w:rPr>
          <w:rFonts w:ascii="Arial" w:hAnsi="Arial" w:cs="Arial"/>
          <w:i/>
          <w:color w:val="000000"/>
          <w:szCs w:val="22"/>
        </w:rPr>
        <w:t xml:space="preserve">Inshore </w:t>
      </w:r>
      <w:r w:rsidRPr="00CB093C">
        <w:rPr>
          <w:rFonts w:ascii="Arial" w:hAnsi="Arial" w:cs="Arial"/>
          <w:i/>
          <w:color w:val="000000"/>
          <w:szCs w:val="22"/>
        </w:rPr>
        <w:t>seagrass long-term monitoring</w:t>
      </w:r>
      <w:bookmarkEnd w:id="47"/>
      <w:r w:rsidRPr="00CB093C">
        <w:rPr>
          <w:rFonts w:ascii="Arial" w:hAnsi="Arial" w:cs="Arial"/>
          <w:i/>
          <w:color w:val="000000"/>
          <w:szCs w:val="22"/>
        </w:rPr>
        <w:t xml:space="preserve"> site details including presence of foundation (</w:t>
      </w:r>
      <w:r w:rsidRPr="00CB093C">
        <w:rPr>
          <w:rFonts w:ascii="Arial" w:hAnsi="Arial" w:cs="Arial"/>
          <w:color w:val="000000"/>
          <w:szCs w:val="22"/>
        </w:rPr>
        <w:sym w:font="Wingdings" w:char="F06E"/>
      </w:r>
      <w:r w:rsidRPr="00CB093C">
        <w:rPr>
          <w:rFonts w:ascii="Arial" w:hAnsi="Arial" w:cs="Arial"/>
          <w:i/>
          <w:color w:val="000000"/>
          <w:szCs w:val="22"/>
        </w:rPr>
        <w:t>) and other (</w:t>
      </w:r>
      <w:r w:rsidRPr="00CB093C">
        <w:rPr>
          <w:rFonts w:ascii="Arial" w:hAnsi="Arial" w:cs="Arial"/>
          <w:color w:val="000000"/>
          <w:szCs w:val="22"/>
        </w:rPr>
        <w:sym w:font="Wingdings" w:char="F0A8"/>
      </w:r>
      <w:r w:rsidRPr="00CB093C">
        <w:rPr>
          <w:rFonts w:ascii="Arial" w:hAnsi="Arial" w:cs="Arial"/>
          <w:i/>
          <w:color w:val="000000"/>
          <w:szCs w:val="22"/>
        </w:rPr>
        <w:t>) seagrass species</w:t>
      </w:r>
      <w:bookmarkEnd w:id="48"/>
      <w:r w:rsidRPr="00CB093C">
        <w:rPr>
          <w:rFonts w:ascii="Arial" w:hAnsi="Arial" w:cs="Arial"/>
          <w:i/>
          <w:color w:val="000000"/>
          <w:szCs w:val="22"/>
        </w:rPr>
        <w:t xml:space="preserve"> </w:t>
      </w:r>
    </w:p>
    <w:p w14:paraId="294631E7" w14:textId="0D032F6E" w:rsidR="004920D8" w:rsidRPr="00CB093C" w:rsidRDefault="00406759" w:rsidP="004920D8">
      <w:pPr>
        <w:spacing w:before="0" w:after="0"/>
        <w:rPr>
          <w:rFonts w:ascii="Arial" w:hAnsi="Arial" w:cs="Arial"/>
          <w:i/>
          <w:color w:val="000000"/>
          <w:szCs w:val="22"/>
        </w:rPr>
      </w:pPr>
      <w:r w:rsidRPr="00CB093C">
        <w:rPr>
          <w:rFonts w:ascii="Arial" w:hAnsi="Arial" w:cs="Arial"/>
          <w:i/>
          <w:color w:val="000000"/>
          <w:szCs w:val="22"/>
        </w:rPr>
        <w:t xml:space="preserve">by </w:t>
      </w:r>
      <w:r w:rsidR="004920D8" w:rsidRPr="00CB093C">
        <w:rPr>
          <w:rFonts w:ascii="Arial" w:hAnsi="Arial" w:cs="Arial"/>
          <w:i/>
          <w:color w:val="000000"/>
          <w:szCs w:val="22"/>
        </w:rPr>
        <w:t xml:space="preserve">region </w:t>
      </w:r>
      <w:bookmarkStart w:id="53" w:name="OLE_LINK5"/>
      <w:bookmarkStart w:id="54" w:name="OLE_LINK6"/>
      <w:r w:rsidR="004920D8" w:rsidRPr="00CB093C">
        <w:rPr>
          <w:rFonts w:ascii="Arial" w:hAnsi="Arial" w:cs="Arial"/>
          <w:i/>
          <w:color w:val="000000"/>
          <w:szCs w:val="22"/>
        </w:rPr>
        <w:t>* = intertidal, ^=subtidal.</w:t>
      </w:r>
      <w:bookmarkEnd w:id="49"/>
      <w:r w:rsidR="004920D8" w:rsidRPr="00CB093C">
        <w:rPr>
          <w:rFonts w:ascii="Arial" w:hAnsi="Arial" w:cs="Arial"/>
          <w:i/>
          <w:color w:val="000000"/>
          <w:szCs w:val="22"/>
        </w:rPr>
        <w:t xml:space="preserve"> </w:t>
      </w:r>
      <w:bookmarkEnd w:id="53"/>
      <w:bookmarkEnd w:id="54"/>
      <w:r w:rsidR="004920D8" w:rsidRPr="00CB093C">
        <w:rPr>
          <w:rFonts w:ascii="Arial" w:hAnsi="Arial" w:cs="Arial"/>
          <w:i/>
          <w:color w:val="000000"/>
          <w:szCs w:val="22"/>
        </w:rPr>
        <w:t>CR = Cymodocea rotundata, CS = Cymodocea serrulata, EA = Enhalus acoroides, HD = Halophila decipiens, HO = Halophila ovalis, HS = Halophila spinulosa, HU = Halodule uninervis, SI = Syringodium isoetifolium, TH = Thalassia hemprichii, ZM = Zostera muelleri</w:t>
      </w:r>
    </w:p>
    <w:tbl>
      <w:tblPr>
        <w:tblW w:w="14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1523"/>
        <w:gridCol w:w="1117"/>
        <w:gridCol w:w="1576"/>
        <w:gridCol w:w="687"/>
        <w:gridCol w:w="1579"/>
        <w:gridCol w:w="489"/>
        <w:gridCol w:w="830"/>
        <w:gridCol w:w="589"/>
        <w:gridCol w:w="830"/>
        <w:gridCol w:w="481"/>
        <w:gridCol w:w="467"/>
        <w:gridCol w:w="467"/>
        <w:gridCol w:w="476"/>
        <w:gridCol w:w="486"/>
        <w:gridCol w:w="467"/>
        <w:gridCol w:w="476"/>
        <w:gridCol w:w="387"/>
        <w:gridCol w:w="456"/>
        <w:gridCol w:w="476"/>
      </w:tblGrid>
      <w:tr w:rsidR="004920D8" w:rsidRPr="00C911E4" w14:paraId="071E1EEE" w14:textId="77777777" w:rsidTr="003E363C">
        <w:trPr>
          <w:trHeight w:val="170"/>
          <w:jc w:val="center"/>
        </w:trPr>
        <w:tc>
          <w:tcPr>
            <w:tcW w:w="1024" w:type="dxa"/>
            <w:shd w:val="clear" w:color="auto" w:fill="BBE0E3"/>
            <w:vAlign w:val="center"/>
          </w:tcPr>
          <w:p w14:paraId="04F53BD8" w14:textId="4F011477" w:rsidR="004920D8" w:rsidRPr="00C911E4" w:rsidRDefault="003158FC"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R</w:t>
            </w:r>
            <w:r w:rsidR="004920D8" w:rsidRPr="00C911E4">
              <w:rPr>
                <w:rFonts w:ascii="Arial" w:hAnsi="Arial" w:cs="Arial"/>
                <w:b/>
                <w:bCs/>
                <w:color w:val="000000"/>
                <w:sz w:val="18"/>
                <w:szCs w:val="18"/>
              </w:rPr>
              <w:t>egion</w:t>
            </w:r>
          </w:p>
        </w:tc>
        <w:tc>
          <w:tcPr>
            <w:tcW w:w="1523" w:type="dxa"/>
            <w:shd w:val="clear" w:color="auto" w:fill="BBE0E3"/>
            <w:noWrap/>
            <w:vAlign w:val="center"/>
          </w:tcPr>
          <w:p w14:paraId="4F05878A"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NRM region (</w:t>
            </w:r>
            <w:r w:rsidRPr="00C911E4">
              <w:rPr>
                <w:rFonts w:ascii="Arial" w:hAnsi="Arial" w:cs="Arial"/>
                <w:b/>
                <w:bCs/>
                <w:i/>
                <w:color w:val="000000"/>
                <w:sz w:val="18"/>
                <w:szCs w:val="18"/>
              </w:rPr>
              <w:t>Board</w:t>
            </w:r>
            <w:r w:rsidRPr="00C911E4">
              <w:rPr>
                <w:rFonts w:ascii="Arial" w:hAnsi="Arial" w:cs="Arial"/>
                <w:b/>
                <w:bCs/>
                <w:color w:val="000000"/>
                <w:sz w:val="18"/>
                <w:szCs w:val="18"/>
              </w:rPr>
              <w:t>)</w:t>
            </w:r>
          </w:p>
        </w:tc>
        <w:tc>
          <w:tcPr>
            <w:tcW w:w="1079" w:type="dxa"/>
            <w:shd w:val="clear" w:color="auto" w:fill="BBE0E3"/>
            <w:vAlign w:val="center"/>
          </w:tcPr>
          <w:p w14:paraId="222D8A35"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Basin</w:t>
            </w:r>
          </w:p>
        </w:tc>
        <w:tc>
          <w:tcPr>
            <w:tcW w:w="1576" w:type="dxa"/>
            <w:shd w:val="clear" w:color="auto" w:fill="BBE0E3"/>
            <w:vAlign w:val="center"/>
          </w:tcPr>
          <w:p w14:paraId="481BDB43"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Monitoring location</w:t>
            </w:r>
          </w:p>
        </w:tc>
        <w:tc>
          <w:tcPr>
            <w:tcW w:w="2253" w:type="dxa"/>
            <w:gridSpan w:val="2"/>
            <w:shd w:val="clear" w:color="auto" w:fill="BBE0E3"/>
            <w:noWrap/>
            <w:vAlign w:val="center"/>
          </w:tcPr>
          <w:p w14:paraId="6FB7622B"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Site</w:t>
            </w:r>
          </w:p>
        </w:tc>
        <w:tc>
          <w:tcPr>
            <w:tcW w:w="1316" w:type="dxa"/>
            <w:gridSpan w:val="2"/>
            <w:shd w:val="clear" w:color="auto" w:fill="BBE0E3"/>
            <w:noWrap/>
            <w:vAlign w:val="center"/>
          </w:tcPr>
          <w:p w14:paraId="693DFABD"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Latitude</w:t>
            </w:r>
          </w:p>
        </w:tc>
        <w:tc>
          <w:tcPr>
            <w:tcW w:w="1406" w:type="dxa"/>
            <w:gridSpan w:val="2"/>
            <w:shd w:val="clear" w:color="auto" w:fill="BBE0E3"/>
            <w:noWrap/>
            <w:vAlign w:val="center"/>
          </w:tcPr>
          <w:p w14:paraId="09C90CE4" w14:textId="77777777" w:rsidR="004920D8" w:rsidRPr="00C911E4" w:rsidRDefault="004920D8" w:rsidP="00D64955">
            <w:pPr>
              <w:spacing w:before="0" w:after="0"/>
              <w:jc w:val="center"/>
              <w:rPr>
                <w:rFonts w:ascii="Arial" w:hAnsi="Arial" w:cs="Arial"/>
                <w:b/>
                <w:color w:val="000000"/>
                <w:sz w:val="18"/>
                <w:szCs w:val="18"/>
              </w:rPr>
            </w:pPr>
            <w:r w:rsidRPr="00C911E4">
              <w:rPr>
                <w:rFonts w:ascii="Arial" w:hAnsi="Arial" w:cs="Arial"/>
                <w:b/>
                <w:bCs/>
                <w:color w:val="000000"/>
                <w:sz w:val="18"/>
                <w:szCs w:val="18"/>
              </w:rPr>
              <w:t>Longitude</w:t>
            </w:r>
          </w:p>
        </w:tc>
        <w:tc>
          <w:tcPr>
            <w:tcW w:w="481" w:type="dxa"/>
            <w:shd w:val="clear" w:color="auto" w:fill="BBE0E3"/>
            <w:noWrap/>
            <w:vAlign w:val="center"/>
          </w:tcPr>
          <w:p w14:paraId="01002D58"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CR</w:t>
            </w:r>
          </w:p>
        </w:tc>
        <w:tc>
          <w:tcPr>
            <w:tcW w:w="402" w:type="dxa"/>
            <w:shd w:val="clear" w:color="auto" w:fill="BBE0E3"/>
            <w:vAlign w:val="center"/>
          </w:tcPr>
          <w:p w14:paraId="7ED84A61"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CS</w:t>
            </w:r>
          </w:p>
        </w:tc>
        <w:tc>
          <w:tcPr>
            <w:tcW w:w="408" w:type="dxa"/>
            <w:shd w:val="clear" w:color="auto" w:fill="BBE0E3"/>
            <w:vAlign w:val="center"/>
          </w:tcPr>
          <w:p w14:paraId="4AAA5B08"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EA</w:t>
            </w:r>
          </w:p>
        </w:tc>
        <w:tc>
          <w:tcPr>
            <w:tcW w:w="416" w:type="dxa"/>
            <w:shd w:val="clear" w:color="auto" w:fill="BBE0E3"/>
            <w:vAlign w:val="center"/>
          </w:tcPr>
          <w:p w14:paraId="04732797"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HD</w:t>
            </w:r>
          </w:p>
        </w:tc>
        <w:tc>
          <w:tcPr>
            <w:tcW w:w="418" w:type="dxa"/>
            <w:shd w:val="clear" w:color="auto" w:fill="BBE0E3"/>
            <w:vAlign w:val="center"/>
          </w:tcPr>
          <w:p w14:paraId="50C26BA0"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HO</w:t>
            </w:r>
          </w:p>
        </w:tc>
        <w:tc>
          <w:tcPr>
            <w:tcW w:w="408" w:type="dxa"/>
            <w:shd w:val="clear" w:color="auto" w:fill="BBE0E3"/>
            <w:vAlign w:val="center"/>
          </w:tcPr>
          <w:p w14:paraId="4DA7B390"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HS</w:t>
            </w:r>
          </w:p>
        </w:tc>
        <w:tc>
          <w:tcPr>
            <w:tcW w:w="422" w:type="dxa"/>
            <w:shd w:val="clear" w:color="auto" w:fill="BBE0E3"/>
            <w:vAlign w:val="center"/>
          </w:tcPr>
          <w:p w14:paraId="35A07E5E"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HU</w:t>
            </w:r>
          </w:p>
        </w:tc>
        <w:tc>
          <w:tcPr>
            <w:tcW w:w="398" w:type="dxa"/>
            <w:shd w:val="clear" w:color="auto" w:fill="BBE0E3"/>
            <w:vAlign w:val="center"/>
          </w:tcPr>
          <w:p w14:paraId="691CBAEE"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SI</w:t>
            </w:r>
          </w:p>
        </w:tc>
        <w:tc>
          <w:tcPr>
            <w:tcW w:w="410" w:type="dxa"/>
            <w:shd w:val="clear" w:color="auto" w:fill="BBE0E3"/>
            <w:vAlign w:val="center"/>
          </w:tcPr>
          <w:p w14:paraId="0E3C340D"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TH</w:t>
            </w:r>
          </w:p>
        </w:tc>
        <w:tc>
          <w:tcPr>
            <w:tcW w:w="422" w:type="dxa"/>
            <w:shd w:val="clear" w:color="auto" w:fill="BBE0E3"/>
            <w:vAlign w:val="center"/>
          </w:tcPr>
          <w:p w14:paraId="36A5864E"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ZM</w:t>
            </w:r>
          </w:p>
        </w:tc>
      </w:tr>
      <w:tr w:rsidR="004920D8" w:rsidRPr="00C911E4" w14:paraId="18CE4A30" w14:textId="77777777" w:rsidTr="003E363C">
        <w:trPr>
          <w:trHeight w:val="170"/>
          <w:jc w:val="center"/>
        </w:trPr>
        <w:tc>
          <w:tcPr>
            <w:tcW w:w="1024" w:type="dxa"/>
            <w:vMerge w:val="restart"/>
            <w:shd w:val="clear" w:color="auto" w:fill="auto"/>
            <w:noWrap/>
            <w:vAlign w:val="center"/>
          </w:tcPr>
          <w:p w14:paraId="2995339B" w14:textId="77777777" w:rsidR="004920D8" w:rsidRPr="00C911E4" w:rsidRDefault="004920D8" w:rsidP="00D64955">
            <w:pPr>
              <w:jc w:val="center"/>
              <w:rPr>
                <w:rFonts w:ascii="Arial" w:hAnsi="Arial" w:cs="Arial"/>
                <w:color w:val="000000"/>
                <w:sz w:val="18"/>
                <w:szCs w:val="18"/>
              </w:rPr>
            </w:pPr>
            <w:r w:rsidRPr="00C911E4">
              <w:rPr>
                <w:rFonts w:ascii="Arial" w:hAnsi="Arial" w:cs="Arial"/>
                <w:color w:val="000000"/>
                <w:sz w:val="18"/>
                <w:szCs w:val="18"/>
              </w:rPr>
              <w:t>Far Northern</w:t>
            </w:r>
          </w:p>
        </w:tc>
        <w:tc>
          <w:tcPr>
            <w:tcW w:w="1523" w:type="dxa"/>
            <w:vMerge w:val="restart"/>
            <w:shd w:val="clear" w:color="auto" w:fill="E7F3F4"/>
            <w:noWrap/>
            <w:vAlign w:val="center"/>
          </w:tcPr>
          <w:p w14:paraId="5BE97C0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Cape York</w:t>
            </w:r>
          </w:p>
          <w:p w14:paraId="2748E826" w14:textId="77777777" w:rsidR="004920D8" w:rsidRPr="00C911E4" w:rsidRDefault="004920D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(Cape York Natural Resource Management)</w:t>
            </w:r>
          </w:p>
        </w:tc>
        <w:tc>
          <w:tcPr>
            <w:tcW w:w="1079" w:type="dxa"/>
            <w:vMerge w:val="restart"/>
            <w:shd w:val="clear" w:color="auto" w:fill="E7F3F4"/>
            <w:vAlign w:val="center"/>
          </w:tcPr>
          <w:p w14:paraId="32FEC31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Jacky Jacky / Olive-Pascoe</w:t>
            </w:r>
          </w:p>
        </w:tc>
        <w:tc>
          <w:tcPr>
            <w:tcW w:w="1576" w:type="dxa"/>
            <w:vMerge w:val="restart"/>
            <w:shd w:val="clear" w:color="auto" w:fill="E7F3F4"/>
            <w:noWrap/>
            <w:vAlign w:val="center"/>
          </w:tcPr>
          <w:p w14:paraId="728EEF3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Shelburne Bay</w:t>
            </w:r>
          </w:p>
          <w:p w14:paraId="707B2096" w14:textId="77777777" w:rsidR="004920D8" w:rsidRPr="00C911E4" w:rsidRDefault="004920D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coastal</w:t>
            </w:r>
          </w:p>
        </w:tc>
        <w:tc>
          <w:tcPr>
            <w:tcW w:w="674" w:type="dxa"/>
            <w:shd w:val="clear" w:color="auto" w:fill="E7F3F4"/>
            <w:noWrap/>
            <w:vAlign w:val="center"/>
          </w:tcPr>
          <w:p w14:paraId="3E9E090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SR1*</w:t>
            </w:r>
          </w:p>
        </w:tc>
        <w:tc>
          <w:tcPr>
            <w:tcW w:w="1579" w:type="dxa"/>
            <w:shd w:val="clear" w:color="auto" w:fill="E7F3F4"/>
            <w:noWrap/>
            <w:vAlign w:val="center"/>
          </w:tcPr>
          <w:p w14:paraId="4FCC8EE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Shelburne Bay</w:t>
            </w:r>
          </w:p>
        </w:tc>
        <w:tc>
          <w:tcPr>
            <w:tcW w:w="486" w:type="dxa"/>
            <w:shd w:val="clear" w:color="auto" w:fill="E7F3F4"/>
            <w:noWrap/>
            <w:vAlign w:val="center"/>
          </w:tcPr>
          <w:p w14:paraId="75942E4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11°</w:t>
            </w:r>
          </w:p>
        </w:tc>
        <w:tc>
          <w:tcPr>
            <w:tcW w:w="830" w:type="dxa"/>
            <w:shd w:val="clear" w:color="auto" w:fill="E7F3F4"/>
            <w:noWrap/>
            <w:vAlign w:val="center"/>
          </w:tcPr>
          <w:p w14:paraId="50C14B1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53.220</w:t>
            </w:r>
          </w:p>
        </w:tc>
        <w:tc>
          <w:tcPr>
            <w:tcW w:w="576" w:type="dxa"/>
            <w:shd w:val="clear" w:color="auto" w:fill="E7F3F4"/>
            <w:noWrap/>
            <w:vAlign w:val="center"/>
          </w:tcPr>
          <w:p w14:paraId="226B7D3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142°</w:t>
            </w:r>
          </w:p>
        </w:tc>
        <w:tc>
          <w:tcPr>
            <w:tcW w:w="830" w:type="dxa"/>
            <w:shd w:val="clear" w:color="auto" w:fill="E7F3F4"/>
            <w:noWrap/>
            <w:vAlign w:val="center"/>
          </w:tcPr>
          <w:p w14:paraId="10AF6D1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54.853</w:t>
            </w:r>
          </w:p>
        </w:tc>
        <w:tc>
          <w:tcPr>
            <w:tcW w:w="481" w:type="dxa"/>
            <w:vMerge w:val="restart"/>
            <w:shd w:val="clear" w:color="auto" w:fill="E7F3F4"/>
            <w:noWrap/>
            <w:vAlign w:val="center"/>
          </w:tcPr>
          <w:p w14:paraId="34F9CBF9"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E7F3F4"/>
            <w:vAlign w:val="center"/>
          </w:tcPr>
          <w:p w14:paraId="6E12F282"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E7F3F4"/>
            <w:vAlign w:val="center"/>
          </w:tcPr>
          <w:p w14:paraId="67EE6A5F"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E7F3F4"/>
            <w:vAlign w:val="center"/>
          </w:tcPr>
          <w:p w14:paraId="4073B62C"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322092E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26B03E06"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5248360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E7F3F4"/>
            <w:vAlign w:val="center"/>
          </w:tcPr>
          <w:p w14:paraId="374EBB09"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E7F3F4"/>
            <w:vAlign w:val="center"/>
          </w:tcPr>
          <w:p w14:paraId="626A1D1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vMerge w:val="restart"/>
            <w:shd w:val="clear" w:color="auto" w:fill="E7F3F4"/>
            <w:vAlign w:val="center"/>
          </w:tcPr>
          <w:p w14:paraId="1BEAC683"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3352016A" w14:textId="77777777" w:rsidTr="003E363C">
        <w:trPr>
          <w:trHeight w:val="170"/>
          <w:jc w:val="center"/>
        </w:trPr>
        <w:tc>
          <w:tcPr>
            <w:tcW w:w="1024" w:type="dxa"/>
            <w:vMerge/>
            <w:shd w:val="clear" w:color="auto" w:fill="auto"/>
            <w:noWrap/>
            <w:vAlign w:val="center"/>
          </w:tcPr>
          <w:p w14:paraId="3D00C890" w14:textId="77777777" w:rsidR="004920D8" w:rsidRPr="00C911E4" w:rsidRDefault="004920D8" w:rsidP="00D64955">
            <w:pPr>
              <w:jc w:val="center"/>
              <w:rPr>
                <w:rFonts w:ascii="Arial" w:hAnsi="Arial" w:cs="Arial"/>
                <w:color w:val="000000"/>
                <w:sz w:val="18"/>
                <w:szCs w:val="18"/>
              </w:rPr>
            </w:pPr>
          </w:p>
        </w:tc>
        <w:tc>
          <w:tcPr>
            <w:tcW w:w="1523" w:type="dxa"/>
            <w:vMerge/>
            <w:shd w:val="clear" w:color="auto" w:fill="E7F3F4"/>
            <w:noWrap/>
            <w:vAlign w:val="center"/>
          </w:tcPr>
          <w:p w14:paraId="621B0DD5" w14:textId="77777777" w:rsidR="004920D8" w:rsidRPr="00C911E4" w:rsidRDefault="004920D8" w:rsidP="00D64955">
            <w:pPr>
              <w:jc w:val="center"/>
              <w:rPr>
                <w:rFonts w:ascii="Arial" w:hAnsi="Arial" w:cs="Arial"/>
                <w:color w:val="000000"/>
                <w:sz w:val="18"/>
                <w:szCs w:val="18"/>
              </w:rPr>
            </w:pPr>
          </w:p>
        </w:tc>
        <w:tc>
          <w:tcPr>
            <w:tcW w:w="1079" w:type="dxa"/>
            <w:vMerge/>
            <w:shd w:val="clear" w:color="auto" w:fill="E7F3F4"/>
            <w:vAlign w:val="center"/>
          </w:tcPr>
          <w:p w14:paraId="42EE9632"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5604D2A1"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12115BD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SR2*</w:t>
            </w:r>
          </w:p>
        </w:tc>
        <w:tc>
          <w:tcPr>
            <w:tcW w:w="1579" w:type="dxa"/>
            <w:shd w:val="clear" w:color="auto" w:fill="E7F3F4"/>
            <w:noWrap/>
            <w:vAlign w:val="center"/>
          </w:tcPr>
          <w:p w14:paraId="3EFDB39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Shelburne Bay</w:t>
            </w:r>
          </w:p>
        </w:tc>
        <w:tc>
          <w:tcPr>
            <w:tcW w:w="486" w:type="dxa"/>
            <w:shd w:val="clear" w:color="auto" w:fill="E7F3F4"/>
            <w:noWrap/>
            <w:vAlign w:val="center"/>
          </w:tcPr>
          <w:p w14:paraId="25DF187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11°</w:t>
            </w:r>
          </w:p>
        </w:tc>
        <w:tc>
          <w:tcPr>
            <w:tcW w:w="830" w:type="dxa"/>
            <w:shd w:val="clear" w:color="auto" w:fill="E7F3F4"/>
            <w:noWrap/>
            <w:vAlign w:val="center"/>
          </w:tcPr>
          <w:p w14:paraId="7ABB90E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53.238</w:t>
            </w:r>
          </w:p>
        </w:tc>
        <w:tc>
          <w:tcPr>
            <w:tcW w:w="576" w:type="dxa"/>
            <w:shd w:val="clear" w:color="auto" w:fill="E7F3F4"/>
            <w:noWrap/>
            <w:vAlign w:val="center"/>
          </w:tcPr>
          <w:p w14:paraId="08B30D2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142°</w:t>
            </w:r>
          </w:p>
        </w:tc>
        <w:tc>
          <w:tcPr>
            <w:tcW w:w="830" w:type="dxa"/>
            <w:shd w:val="clear" w:color="auto" w:fill="E7F3F4"/>
            <w:noWrap/>
            <w:vAlign w:val="center"/>
          </w:tcPr>
          <w:p w14:paraId="580BF77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54.940</w:t>
            </w:r>
          </w:p>
        </w:tc>
        <w:tc>
          <w:tcPr>
            <w:tcW w:w="481" w:type="dxa"/>
            <w:vMerge/>
            <w:shd w:val="clear" w:color="auto" w:fill="E7F3F4"/>
            <w:noWrap/>
            <w:vAlign w:val="center"/>
          </w:tcPr>
          <w:p w14:paraId="5E2184D1"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46F1380B"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2EFFC9FA"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25F43657"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24D57C20"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2D07AD45"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1A8EFB26"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7A45946D"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5A5C1F91"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1B33F530"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51DB60FF" w14:textId="77777777" w:rsidTr="003E363C">
        <w:trPr>
          <w:trHeight w:val="170"/>
          <w:jc w:val="center"/>
        </w:trPr>
        <w:tc>
          <w:tcPr>
            <w:tcW w:w="1024" w:type="dxa"/>
            <w:vMerge/>
            <w:shd w:val="clear" w:color="auto" w:fill="auto"/>
            <w:noWrap/>
            <w:vAlign w:val="center"/>
          </w:tcPr>
          <w:p w14:paraId="6C0D0437" w14:textId="77777777" w:rsidR="004920D8" w:rsidRPr="00C911E4" w:rsidRDefault="004920D8" w:rsidP="00D64955">
            <w:pPr>
              <w:jc w:val="center"/>
              <w:rPr>
                <w:rFonts w:ascii="Arial" w:hAnsi="Arial" w:cs="Arial"/>
                <w:color w:val="000000"/>
                <w:sz w:val="18"/>
                <w:szCs w:val="18"/>
              </w:rPr>
            </w:pPr>
          </w:p>
        </w:tc>
        <w:tc>
          <w:tcPr>
            <w:tcW w:w="1523" w:type="dxa"/>
            <w:vMerge/>
            <w:shd w:val="clear" w:color="auto" w:fill="E7F3F4"/>
            <w:noWrap/>
            <w:vAlign w:val="center"/>
          </w:tcPr>
          <w:p w14:paraId="4A67A179" w14:textId="77777777" w:rsidR="004920D8" w:rsidRPr="00C911E4" w:rsidRDefault="004920D8" w:rsidP="00D64955">
            <w:pPr>
              <w:jc w:val="center"/>
              <w:rPr>
                <w:rFonts w:ascii="Arial" w:hAnsi="Arial" w:cs="Arial"/>
                <w:color w:val="000000"/>
                <w:sz w:val="18"/>
                <w:szCs w:val="18"/>
              </w:rPr>
            </w:pPr>
          </w:p>
        </w:tc>
        <w:tc>
          <w:tcPr>
            <w:tcW w:w="1079" w:type="dxa"/>
            <w:vMerge/>
            <w:shd w:val="clear" w:color="auto" w:fill="E7F3F4"/>
            <w:vAlign w:val="center"/>
          </w:tcPr>
          <w:p w14:paraId="04AA8397" w14:textId="77777777" w:rsidR="004920D8" w:rsidRPr="00C911E4" w:rsidRDefault="004920D8" w:rsidP="00D64955">
            <w:pPr>
              <w:spacing w:before="0" w:after="0"/>
              <w:jc w:val="center"/>
              <w:rPr>
                <w:rFonts w:ascii="Arial" w:hAnsi="Arial" w:cs="Arial"/>
                <w:color w:val="000000"/>
                <w:sz w:val="18"/>
                <w:szCs w:val="18"/>
              </w:rPr>
            </w:pPr>
          </w:p>
        </w:tc>
        <w:tc>
          <w:tcPr>
            <w:tcW w:w="1576" w:type="dxa"/>
            <w:vMerge w:val="restart"/>
            <w:shd w:val="clear" w:color="auto" w:fill="E7F3F4"/>
            <w:noWrap/>
            <w:vAlign w:val="center"/>
          </w:tcPr>
          <w:p w14:paraId="1C86E92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Piper Reef</w:t>
            </w:r>
          </w:p>
          <w:p w14:paraId="7EAB914C" w14:textId="77777777" w:rsidR="004920D8" w:rsidRPr="00C911E4" w:rsidRDefault="004920D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reef</w:t>
            </w:r>
          </w:p>
        </w:tc>
        <w:tc>
          <w:tcPr>
            <w:tcW w:w="674" w:type="dxa"/>
            <w:shd w:val="clear" w:color="auto" w:fill="E7F3F4"/>
            <w:noWrap/>
            <w:vAlign w:val="center"/>
          </w:tcPr>
          <w:p w14:paraId="16F214C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FR1*</w:t>
            </w:r>
          </w:p>
        </w:tc>
        <w:tc>
          <w:tcPr>
            <w:tcW w:w="1579" w:type="dxa"/>
            <w:shd w:val="clear" w:color="auto" w:fill="E7F3F4"/>
            <w:noWrap/>
            <w:vAlign w:val="center"/>
          </w:tcPr>
          <w:p w14:paraId="6014266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Farmer Is.</w:t>
            </w:r>
          </w:p>
        </w:tc>
        <w:tc>
          <w:tcPr>
            <w:tcW w:w="486" w:type="dxa"/>
            <w:shd w:val="clear" w:color="auto" w:fill="E7F3F4"/>
            <w:noWrap/>
            <w:vAlign w:val="bottom"/>
          </w:tcPr>
          <w:p w14:paraId="00113C6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12°</w:t>
            </w:r>
          </w:p>
        </w:tc>
        <w:tc>
          <w:tcPr>
            <w:tcW w:w="830" w:type="dxa"/>
            <w:shd w:val="clear" w:color="auto" w:fill="E7F3F4"/>
            <w:noWrap/>
            <w:vAlign w:val="bottom"/>
          </w:tcPr>
          <w:p w14:paraId="3046AA6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15.339</w:t>
            </w:r>
          </w:p>
        </w:tc>
        <w:tc>
          <w:tcPr>
            <w:tcW w:w="576" w:type="dxa"/>
            <w:shd w:val="clear" w:color="auto" w:fill="E7F3F4"/>
            <w:noWrap/>
            <w:vAlign w:val="bottom"/>
          </w:tcPr>
          <w:p w14:paraId="22044F1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143°</w:t>
            </w:r>
          </w:p>
        </w:tc>
        <w:tc>
          <w:tcPr>
            <w:tcW w:w="830" w:type="dxa"/>
            <w:shd w:val="clear" w:color="auto" w:fill="E7F3F4"/>
            <w:noWrap/>
            <w:vAlign w:val="bottom"/>
          </w:tcPr>
          <w:p w14:paraId="1A5A2D4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14.021</w:t>
            </w:r>
          </w:p>
        </w:tc>
        <w:tc>
          <w:tcPr>
            <w:tcW w:w="481" w:type="dxa"/>
            <w:vMerge w:val="restart"/>
            <w:shd w:val="clear" w:color="auto" w:fill="E7F3F4"/>
            <w:noWrap/>
            <w:vAlign w:val="center"/>
          </w:tcPr>
          <w:p w14:paraId="10869D3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2" w:type="dxa"/>
            <w:vMerge w:val="restart"/>
            <w:shd w:val="clear" w:color="auto" w:fill="E7F3F4"/>
            <w:vAlign w:val="center"/>
          </w:tcPr>
          <w:p w14:paraId="1749D37F"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E7F3F4"/>
            <w:vAlign w:val="center"/>
          </w:tcPr>
          <w:p w14:paraId="06436F6E"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E7F3F4"/>
            <w:vAlign w:val="center"/>
          </w:tcPr>
          <w:p w14:paraId="64167C97"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4DB69E7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71E96356"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2194D7F9" w14:textId="77777777" w:rsidR="004920D8" w:rsidRPr="00C911E4" w:rsidRDefault="004920D8" w:rsidP="00D64955">
            <w:pPr>
              <w:spacing w:before="0" w:after="0"/>
              <w:jc w:val="center"/>
              <w:rPr>
                <w:rFonts w:ascii="Arial" w:hAnsi="Arial" w:cs="Arial"/>
                <w:color w:val="000000"/>
                <w:sz w:val="18"/>
                <w:szCs w:val="18"/>
              </w:rPr>
            </w:pPr>
          </w:p>
        </w:tc>
        <w:tc>
          <w:tcPr>
            <w:tcW w:w="398" w:type="dxa"/>
            <w:vMerge w:val="restart"/>
            <w:shd w:val="clear" w:color="auto" w:fill="E7F3F4"/>
            <w:vAlign w:val="center"/>
          </w:tcPr>
          <w:p w14:paraId="662E3D80"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E7F3F4"/>
            <w:vAlign w:val="center"/>
          </w:tcPr>
          <w:p w14:paraId="16FA53B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vMerge w:val="restart"/>
            <w:shd w:val="clear" w:color="auto" w:fill="E7F3F4"/>
            <w:vAlign w:val="center"/>
          </w:tcPr>
          <w:p w14:paraId="1C6B0CEB"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2D74ED78" w14:textId="77777777" w:rsidTr="003E363C">
        <w:trPr>
          <w:trHeight w:val="170"/>
          <w:jc w:val="center"/>
        </w:trPr>
        <w:tc>
          <w:tcPr>
            <w:tcW w:w="1024" w:type="dxa"/>
            <w:vMerge/>
            <w:shd w:val="clear" w:color="auto" w:fill="auto"/>
            <w:noWrap/>
            <w:vAlign w:val="center"/>
          </w:tcPr>
          <w:p w14:paraId="6824F75E" w14:textId="77777777" w:rsidR="004920D8" w:rsidRPr="00C911E4" w:rsidRDefault="004920D8" w:rsidP="00D64955">
            <w:pPr>
              <w:jc w:val="center"/>
              <w:rPr>
                <w:rFonts w:ascii="Arial" w:hAnsi="Arial" w:cs="Arial"/>
                <w:color w:val="000000"/>
                <w:sz w:val="18"/>
                <w:szCs w:val="18"/>
              </w:rPr>
            </w:pPr>
          </w:p>
        </w:tc>
        <w:tc>
          <w:tcPr>
            <w:tcW w:w="1523" w:type="dxa"/>
            <w:vMerge/>
            <w:shd w:val="clear" w:color="auto" w:fill="E7F3F4"/>
            <w:noWrap/>
            <w:vAlign w:val="center"/>
          </w:tcPr>
          <w:p w14:paraId="6D32BE17" w14:textId="77777777" w:rsidR="004920D8" w:rsidRPr="00C911E4" w:rsidRDefault="004920D8" w:rsidP="00D64955">
            <w:pPr>
              <w:jc w:val="center"/>
              <w:rPr>
                <w:rFonts w:ascii="Arial" w:hAnsi="Arial" w:cs="Arial"/>
                <w:color w:val="000000"/>
                <w:sz w:val="18"/>
                <w:szCs w:val="18"/>
              </w:rPr>
            </w:pPr>
          </w:p>
        </w:tc>
        <w:tc>
          <w:tcPr>
            <w:tcW w:w="1079" w:type="dxa"/>
            <w:vMerge/>
            <w:shd w:val="clear" w:color="auto" w:fill="E7F3F4"/>
            <w:vAlign w:val="center"/>
          </w:tcPr>
          <w:p w14:paraId="4EB37C9A"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56C010B6"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214DFE1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FR2*</w:t>
            </w:r>
          </w:p>
        </w:tc>
        <w:tc>
          <w:tcPr>
            <w:tcW w:w="1579" w:type="dxa"/>
            <w:shd w:val="clear" w:color="auto" w:fill="E7F3F4"/>
            <w:noWrap/>
            <w:vAlign w:val="center"/>
          </w:tcPr>
          <w:p w14:paraId="481AA33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Farmer Is.</w:t>
            </w:r>
          </w:p>
        </w:tc>
        <w:tc>
          <w:tcPr>
            <w:tcW w:w="486" w:type="dxa"/>
            <w:shd w:val="clear" w:color="auto" w:fill="E7F3F4"/>
            <w:noWrap/>
            <w:vAlign w:val="bottom"/>
          </w:tcPr>
          <w:p w14:paraId="40F5029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12°</w:t>
            </w:r>
          </w:p>
        </w:tc>
        <w:tc>
          <w:tcPr>
            <w:tcW w:w="830" w:type="dxa"/>
            <w:shd w:val="clear" w:color="auto" w:fill="E7F3F4"/>
            <w:noWrap/>
            <w:vAlign w:val="bottom"/>
          </w:tcPr>
          <w:p w14:paraId="127089B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15.433</w:t>
            </w:r>
          </w:p>
        </w:tc>
        <w:tc>
          <w:tcPr>
            <w:tcW w:w="576" w:type="dxa"/>
            <w:shd w:val="clear" w:color="auto" w:fill="E7F3F4"/>
            <w:noWrap/>
            <w:vAlign w:val="bottom"/>
          </w:tcPr>
          <w:p w14:paraId="025FC97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143°</w:t>
            </w:r>
          </w:p>
        </w:tc>
        <w:tc>
          <w:tcPr>
            <w:tcW w:w="830" w:type="dxa"/>
            <w:shd w:val="clear" w:color="auto" w:fill="E7F3F4"/>
            <w:noWrap/>
            <w:vAlign w:val="bottom"/>
          </w:tcPr>
          <w:p w14:paraId="2FC06C2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14.186</w:t>
            </w:r>
          </w:p>
        </w:tc>
        <w:tc>
          <w:tcPr>
            <w:tcW w:w="481" w:type="dxa"/>
            <w:vMerge/>
            <w:shd w:val="clear" w:color="auto" w:fill="E7F3F4"/>
            <w:noWrap/>
            <w:vAlign w:val="center"/>
          </w:tcPr>
          <w:p w14:paraId="0401645F"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447438F9"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39BA8598"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43A3E997"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024529BD"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325EF002"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7F2A46FB"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13F1FC41"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456700D6"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1B97E690"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72D2459C" w14:textId="77777777" w:rsidTr="003E363C">
        <w:trPr>
          <w:trHeight w:val="170"/>
          <w:jc w:val="center"/>
        </w:trPr>
        <w:tc>
          <w:tcPr>
            <w:tcW w:w="1024" w:type="dxa"/>
            <w:vMerge/>
            <w:shd w:val="clear" w:color="auto" w:fill="auto"/>
            <w:noWrap/>
            <w:vAlign w:val="center"/>
          </w:tcPr>
          <w:p w14:paraId="79C6CF2F" w14:textId="77777777" w:rsidR="004920D8" w:rsidRPr="00C911E4" w:rsidRDefault="004920D8" w:rsidP="00D64955">
            <w:pPr>
              <w:jc w:val="center"/>
              <w:rPr>
                <w:rFonts w:ascii="Arial" w:hAnsi="Arial" w:cs="Arial"/>
                <w:color w:val="000000"/>
                <w:sz w:val="18"/>
                <w:szCs w:val="18"/>
              </w:rPr>
            </w:pPr>
          </w:p>
        </w:tc>
        <w:tc>
          <w:tcPr>
            <w:tcW w:w="1523" w:type="dxa"/>
            <w:vMerge/>
            <w:shd w:val="clear" w:color="auto" w:fill="E7F3F4"/>
            <w:noWrap/>
            <w:vAlign w:val="center"/>
          </w:tcPr>
          <w:p w14:paraId="5B073FEC" w14:textId="77777777" w:rsidR="004920D8" w:rsidRPr="00C911E4" w:rsidRDefault="004920D8" w:rsidP="00D64955">
            <w:pPr>
              <w:jc w:val="center"/>
              <w:rPr>
                <w:rFonts w:ascii="Arial" w:hAnsi="Arial" w:cs="Arial"/>
                <w:color w:val="000000"/>
                <w:sz w:val="18"/>
                <w:szCs w:val="18"/>
              </w:rPr>
            </w:pPr>
          </w:p>
        </w:tc>
        <w:tc>
          <w:tcPr>
            <w:tcW w:w="1079" w:type="dxa"/>
            <w:vMerge w:val="restart"/>
            <w:shd w:val="clear" w:color="auto" w:fill="E7F3F4"/>
            <w:vAlign w:val="center"/>
          </w:tcPr>
          <w:p w14:paraId="402C38B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Normanby / Jeannie</w:t>
            </w:r>
          </w:p>
        </w:tc>
        <w:tc>
          <w:tcPr>
            <w:tcW w:w="1576" w:type="dxa"/>
            <w:vMerge w:val="restart"/>
            <w:shd w:val="clear" w:color="auto" w:fill="E7F3F4"/>
            <w:noWrap/>
            <w:vAlign w:val="center"/>
          </w:tcPr>
          <w:p w14:paraId="7B87D71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Flinders Group</w:t>
            </w:r>
          </w:p>
          <w:p w14:paraId="25533957" w14:textId="77777777" w:rsidR="004920D8" w:rsidRPr="00C911E4" w:rsidRDefault="004920D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reef</w:t>
            </w:r>
          </w:p>
        </w:tc>
        <w:tc>
          <w:tcPr>
            <w:tcW w:w="674" w:type="dxa"/>
            <w:shd w:val="clear" w:color="auto" w:fill="E7F3F4"/>
            <w:noWrap/>
            <w:vAlign w:val="center"/>
          </w:tcPr>
          <w:p w14:paraId="04CB8A1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ST1*</w:t>
            </w:r>
          </w:p>
        </w:tc>
        <w:tc>
          <w:tcPr>
            <w:tcW w:w="1579" w:type="dxa"/>
            <w:shd w:val="clear" w:color="auto" w:fill="E7F3F4"/>
            <w:noWrap/>
            <w:vAlign w:val="center"/>
          </w:tcPr>
          <w:p w14:paraId="0F7C37E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Stanley Island</w:t>
            </w:r>
          </w:p>
        </w:tc>
        <w:tc>
          <w:tcPr>
            <w:tcW w:w="486" w:type="dxa"/>
            <w:shd w:val="clear" w:color="auto" w:fill="E7F3F4"/>
            <w:noWrap/>
            <w:vAlign w:val="bottom"/>
          </w:tcPr>
          <w:p w14:paraId="2B79FD6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w:t>
            </w:r>
          </w:p>
        </w:tc>
        <w:tc>
          <w:tcPr>
            <w:tcW w:w="830" w:type="dxa"/>
            <w:shd w:val="clear" w:color="auto" w:fill="E7F3F4"/>
            <w:noWrap/>
            <w:vAlign w:val="bottom"/>
          </w:tcPr>
          <w:p w14:paraId="01FA1EE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8.563</w:t>
            </w:r>
          </w:p>
        </w:tc>
        <w:tc>
          <w:tcPr>
            <w:tcW w:w="576" w:type="dxa"/>
            <w:shd w:val="clear" w:color="auto" w:fill="E7F3F4"/>
            <w:noWrap/>
            <w:vAlign w:val="bottom"/>
          </w:tcPr>
          <w:p w14:paraId="73801AE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144°</w:t>
            </w:r>
          </w:p>
        </w:tc>
        <w:tc>
          <w:tcPr>
            <w:tcW w:w="830" w:type="dxa"/>
            <w:shd w:val="clear" w:color="auto" w:fill="E7F3F4"/>
            <w:noWrap/>
            <w:vAlign w:val="bottom"/>
          </w:tcPr>
          <w:p w14:paraId="1495A08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14.682</w:t>
            </w:r>
          </w:p>
        </w:tc>
        <w:tc>
          <w:tcPr>
            <w:tcW w:w="481" w:type="dxa"/>
            <w:vMerge w:val="restart"/>
            <w:shd w:val="clear" w:color="auto" w:fill="E7F3F4"/>
            <w:noWrap/>
            <w:vAlign w:val="center"/>
          </w:tcPr>
          <w:p w14:paraId="4B3B84C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2" w:type="dxa"/>
            <w:vMerge w:val="restart"/>
            <w:shd w:val="clear" w:color="auto" w:fill="E7F3F4"/>
            <w:vAlign w:val="center"/>
          </w:tcPr>
          <w:p w14:paraId="456283B0"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E7F3F4"/>
            <w:vAlign w:val="center"/>
          </w:tcPr>
          <w:p w14:paraId="6F62E14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16" w:type="dxa"/>
            <w:vMerge w:val="restart"/>
            <w:shd w:val="clear" w:color="auto" w:fill="E7F3F4"/>
            <w:vAlign w:val="center"/>
          </w:tcPr>
          <w:p w14:paraId="3F689783"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2A89643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73D673D5"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0526BB2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E7F3F4"/>
            <w:vAlign w:val="center"/>
          </w:tcPr>
          <w:p w14:paraId="39E5812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10" w:type="dxa"/>
            <w:vMerge w:val="restart"/>
            <w:shd w:val="clear" w:color="auto" w:fill="E7F3F4"/>
            <w:vAlign w:val="center"/>
          </w:tcPr>
          <w:p w14:paraId="3497CC4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vMerge w:val="restart"/>
            <w:shd w:val="clear" w:color="auto" w:fill="E7F3F4"/>
            <w:vAlign w:val="center"/>
          </w:tcPr>
          <w:p w14:paraId="3E844184"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602F0E44" w14:textId="77777777" w:rsidTr="003E363C">
        <w:trPr>
          <w:trHeight w:val="170"/>
          <w:jc w:val="center"/>
        </w:trPr>
        <w:tc>
          <w:tcPr>
            <w:tcW w:w="1024" w:type="dxa"/>
            <w:vMerge/>
            <w:shd w:val="clear" w:color="auto" w:fill="auto"/>
            <w:noWrap/>
            <w:vAlign w:val="center"/>
          </w:tcPr>
          <w:p w14:paraId="07C557A7" w14:textId="77777777" w:rsidR="004920D8" w:rsidRPr="00C911E4" w:rsidRDefault="004920D8" w:rsidP="00D64955">
            <w:pPr>
              <w:jc w:val="center"/>
              <w:rPr>
                <w:rFonts w:ascii="Arial" w:hAnsi="Arial" w:cs="Arial"/>
                <w:color w:val="000000"/>
                <w:sz w:val="18"/>
                <w:szCs w:val="18"/>
              </w:rPr>
            </w:pPr>
          </w:p>
        </w:tc>
        <w:tc>
          <w:tcPr>
            <w:tcW w:w="1523" w:type="dxa"/>
            <w:vMerge/>
            <w:shd w:val="clear" w:color="auto" w:fill="E7F3F4"/>
            <w:noWrap/>
            <w:vAlign w:val="center"/>
          </w:tcPr>
          <w:p w14:paraId="38C05D63" w14:textId="77777777" w:rsidR="004920D8" w:rsidRPr="00C911E4" w:rsidRDefault="004920D8" w:rsidP="00D64955">
            <w:pPr>
              <w:jc w:val="center"/>
              <w:rPr>
                <w:rFonts w:ascii="Arial" w:hAnsi="Arial" w:cs="Arial"/>
                <w:color w:val="000000"/>
                <w:sz w:val="18"/>
                <w:szCs w:val="18"/>
              </w:rPr>
            </w:pPr>
          </w:p>
        </w:tc>
        <w:tc>
          <w:tcPr>
            <w:tcW w:w="1079" w:type="dxa"/>
            <w:vMerge/>
            <w:shd w:val="clear" w:color="auto" w:fill="E7F3F4"/>
            <w:vAlign w:val="center"/>
          </w:tcPr>
          <w:p w14:paraId="46CB6FE3"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059037E7"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08BD43A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ST2*</w:t>
            </w:r>
          </w:p>
        </w:tc>
        <w:tc>
          <w:tcPr>
            <w:tcW w:w="1579" w:type="dxa"/>
            <w:shd w:val="clear" w:color="auto" w:fill="E7F3F4"/>
            <w:noWrap/>
            <w:vAlign w:val="center"/>
          </w:tcPr>
          <w:p w14:paraId="5FD83F7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Stanley Island</w:t>
            </w:r>
          </w:p>
        </w:tc>
        <w:tc>
          <w:tcPr>
            <w:tcW w:w="486" w:type="dxa"/>
            <w:shd w:val="clear" w:color="auto" w:fill="E7F3F4"/>
            <w:noWrap/>
            <w:vAlign w:val="bottom"/>
          </w:tcPr>
          <w:p w14:paraId="0608B3F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w:t>
            </w:r>
          </w:p>
        </w:tc>
        <w:tc>
          <w:tcPr>
            <w:tcW w:w="830" w:type="dxa"/>
            <w:shd w:val="clear" w:color="auto" w:fill="E7F3F4"/>
            <w:noWrap/>
            <w:vAlign w:val="bottom"/>
          </w:tcPr>
          <w:p w14:paraId="16ECF9D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8.533</w:t>
            </w:r>
          </w:p>
        </w:tc>
        <w:tc>
          <w:tcPr>
            <w:tcW w:w="576" w:type="dxa"/>
            <w:shd w:val="clear" w:color="auto" w:fill="E7F3F4"/>
            <w:noWrap/>
            <w:vAlign w:val="bottom"/>
          </w:tcPr>
          <w:p w14:paraId="1C39E1F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144°</w:t>
            </w:r>
          </w:p>
        </w:tc>
        <w:tc>
          <w:tcPr>
            <w:tcW w:w="830" w:type="dxa"/>
            <w:shd w:val="clear" w:color="auto" w:fill="E7F3F4"/>
            <w:noWrap/>
            <w:vAlign w:val="bottom"/>
          </w:tcPr>
          <w:p w14:paraId="739F467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14.590</w:t>
            </w:r>
          </w:p>
        </w:tc>
        <w:tc>
          <w:tcPr>
            <w:tcW w:w="481" w:type="dxa"/>
            <w:vMerge/>
            <w:shd w:val="clear" w:color="auto" w:fill="E7F3F4"/>
            <w:noWrap/>
            <w:vAlign w:val="center"/>
          </w:tcPr>
          <w:p w14:paraId="405EBC0A"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0D6094B1"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4D350199"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058B2660"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464BD18B"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65B2A2D3"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111D76FC"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326A5E77"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35B6C88F"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4038DACF"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0F8772C8" w14:textId="77777777" w:rsidTr="003E363C">
        <w:trPr>
          <w:trHeight w:val="170"/>
          <w:jc w:val="center"/>
        </w:trPr>
        <w:tc>
          <w:tcPr>
            <w:tcW w:w="1024" w:type="dxa"/>
            <w:vMerge/>
            <w:shd w:val="clear" w:color="auto" w:fill="auto"/>
            <w:noWrap/>
            <w:vAlign w:val="center"/>
          </w:tcPr>
          <w:p w14:paraId="08432318" w14:textId="77777777" w:rsidR="004920D8" w:rsidRPr="00C911E4" w:rsidRDefault="004920D8" w:rsidP="00D64955">
            <w:pPr>
              <w:jc w:val="center"/>
              <w:rPr>
                <w:rFonts w:ascii="Arial" w:hAnsi="Arial" w:cs="Arial"/>
                <w:color w:val="000000"/>
                <w:sz w:val="18"/>
                <w:szCs w:val="18"/>
              </w:rPr>
            </w:pPr>
          </w:p>
        </w:tc>
        <w:tc>
          <w:tcPr>
            <w:tcW w:w="1523" w:type="dxa"/>
            <w:vMerge/>
            <w:shd w:val="clear" w:color="auto" w:fill="E7F3F4"/>
            <w:noWrap/>
            <w:vAlign w:val="center"/>
          </w:tcPr>
          <w:p w14:paraId="12A601C6" w14:textId="77777777" w:rsidR="004920D8" w:rsidRPr="00C911E4" w:rsidRDefault="004920D8" w:rsidP="00D64955">
            <w:pPr>
              <w:jc w:val="center"/>
              <w:rPr>
                <w:rFonts w:ascii="Arial" w:hAnsi="Arial" w:cs="Arial"/>
                <w:color w:val="000000"/>
                <w:sz w:val="18"/>
                <w:szCs w:val="18"/>
              </w:rPr>
            </w:pPr>
          </w:p>
        </w:tc>
        <w:tc>
          <w:tcPr>
            <w:tcW w:w="1079" w:type="dxa"/>
            <w:vMerge/>
            <w:shd w:val="clear" w:color="auto" w:fill="E7F3F4"/>
            <w:vAlign w:val="center"/>
          </w:tcPr>
          <w:p w14:paraId="059EC94C" w14:textId="77777777" w:rsidR="004920D8" w:rsidRPr="00C911E4" w:rsidRDefault="004920D8" w:rsidP="00D64955">
            <w:pPr>
              <w:spacing w:before="0" w:after="0"/>
              <w:jc w:val="center"/>
              <w:rPr>
                <w:rFonts w:ascii="Arial" w:hAnsi="Arial" w:cs="Arial"/>
                <w:color w:val="000000"/>
                <w:sz w:val="18"/>
                <w:szCs w:val="18"/>
              </w:rPr>
            </w:pPr>
          </w:p>
        </w:tc>
        <w:tc>
          <w:tcPr>
            <w:tcW w:w="1576" w:type="dxa"/>
            <w:vMerge w:val="restart"/>
            <w:shd w:val="clear" w:color="auto" w:fill="E7F3F4"/>
            <w:noWrap/>
            <w:vAlign w:val="center"/>
          </w:tcPr>
          <w:p w14:paraId="379D1D3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Bathurst Bay</w:t>
            </w:r>
          </w:p>
          <w:p w14:paraId="217667BA" w14:textId="77777777" w:rsidR="004920D8" w:rsidRPr="00C911E4" w:rsidRDefault="004920D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coastal</w:t>
            </w:r>
          </w:p>
        </w:tc>
        <w:tc>
          <w:tcPr>
            <w:tcW w:w="674" w:type="dxa"/>
            <w:shd w:val="clear" w:color="auto" w:fill="E7F3F4"/>
            <w:noWrap/>
            <w:vAlign w:val="center"/>
          </w:tcPr>
          <w:p w14:paraId="56760C8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BY1*</w:t>
            </w:r>
          </w:p>
        </w:tc>
        <w:tc>
          <w:tcPr>
            <w:tcW w:w="1579" w:type="dxa"/>
            <w:shd w:val="clear" w:color="auto" w:fill="E7F3F4"/>
            <w:noWrap/>
            <w:vAlign w:val="center"/>
          </w:tcPr>
          <w:p w14:paraId="09CAAB1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Bathurst Bay</w:t>
            </w:r>
          </w:p>
        </w:tc>
        <w:tc>
          <w:tcPr>
            <w:tcW w:w="486" w:type="dxa"/>
            <w:shd w:val="clear" w:color="auto" w:fill="E7F3F4"/>
            <w:noWrap/>
            <w:vAlign w:val="bottom"/>
          </w:tcPr>
          <w:p w14:paraId="3F11B53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w:t>
            </w:r>
          </w:p>
        </w:tc>
        <w:tc>
          <w:tcPr>
            <w:tcW w:w="830" w:type="dxa"/>
            <w:shd w:val="clear" w:color="auto" w:fill="E7F3F4"/>
            <w:noWrap/>
            <w:vAlign w:val="bottom"/>
          </w:tcPr>
          <w:p w14:paraId="256108F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16.068</w:t>
            </w:r>
          </w:p>
        </w:tc>
        <w:tc>
          <w:tcPr>
            <w:tcW w:w="576" w:type="dxa"/>
            <w:shd w:val="clear" w:color="auto" w:fill="E7F3F4"/>
            <w:noWrap/>
            <w:vAlign w:val="bottom"/>
          </w:tcPr>
          <w:p w14:paraId="16A1E8B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144°</w:t>
            </w:r>
          </w:p>
        </w:tc>
        <w:tc>
          <w:tcPr>
            <w:tcW w:w="830" w:type="dxa"/>
            <w:shd w:val="clear" w:color="auto" w:fill="E7F3F4"/>
            <w:noWrap/>
            <w:vAlign w:val="bottom"/>
          </w:tcPr>
          <w:p w14:paraId="5C69670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13.963</w:t>
            </w:r>
          </w:p>
        </w:tc>
        <w:tc>
          <w:tcPr>
            <w:tcW w:w="481" w:type="dxa"/>
            <w:vMerge w:val="restart"/>
            <w:shd w:val="clear" w:color="auto" w:fill="E7F3F4"/>
            <w:noWrap/>
            <w:vAlign w:val="center"/>
          </w:tcPr>
          <w:p w14:paraId="52A3753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2" w:type="dxa"/>
            <w:vMerge w:val="restart"/>
            <w:shd w:val="clear" w:color="auto" w:fill="E7F3F4"/>
            <w:vAlign w:val="center"/>
          </w:tcPr>
          <w:p w14:paraId="63D5168C"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E7F3F4"/>
            <w:vAlign w:val="center"/>
          </w:tcPr>
          <w:p w14:paraId="00CEE8F5"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E7F3F4"/>
            <w:vAlign w:val="center"/>
          </w:tcPr>
          <w:p w14:paraId="1CCBA84B"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4C03FBF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4FE548D2"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2A27709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E7F3F4"/>
            <w:vAlign w:val="center"/>
          </w:tcPr>
          <w:p w14:paraId="4618061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10" w:type="dxa"/>
            <w:vMerge w:val="restart"/>
            <w:shd w:val="clear" w:color="auto" w:fill="E7F3F4"/>
            <w:vAlign w:val="center"/>
          </w:tcPr>
          <w:p w14:paraId="22AE45A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vMerge w:val="restart"/>
            <w:shd w:val="clear" w:color="auto" w:fill="E7F3F4"/>
            <w:vAlign w:val="center"/>
          </w:tcPr>
          <w:p w14:paraId="12B39C7F"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56378FAE" w14:textId="77777777" w:rsidTr="003E363C">
        <w:trPr>
          <w:trHeight w:val="170"/>
          <w:jc w:val="center"/>
        </w:trPr>
        <w:tc>
          <w:tcPr>
            <w:tcW w:w="1024" w:type="dxa"/>
            <w:vMerge/>
            <w:shd w:val="clear" w:color="auto" w:fill="auto"/>
            <w:noWrap/>
            <w:vAlign w:val="center"/>
          </w:tcPr>
          <w:p w14:paraId="5A4B1070" w14:textId="77777777" w:rsidR="004920D8" w:rsidRPr="00C911E4" w:rsidRDefault="004920D8" w:rsidP="00D64955">
            <w:pPr>
              <w:jc w:val="center"/>
              <w:rPr>
                <w:rFonts w:ascii="Arial" w:hAnsi="Arial" w:cs="Arial"/>
                <w:color w:val="000000"/>
                <w:sz w:val="18"/>
                <w:szCs w:val="18"/>
              </w:rPr>
            </w:pPr>
          </w:p>
        </w:tc>
        <w:tc>
          <w:tcPr>
            <w:tcW w:w="1523" w:type="dxa"/>
            <w:vMerge/>
            <w:shd w:val="clear" w:color="auto" w:fill="E7F3F4"/>
            <w:noWrap/>
            <w:vAlign w:val="center"/>
          </w:tcPr>
          <w:p w14:paraId="0CC271DB" w14:textId="77777777" w:rsidR="004920D8" w:rsidRPr="00C911E4" w:rsidRDefault="004920D8" w:rsidP="00D64955">
            <w:pPr>
              <w:jc w:val="center"/>
              <w:rPr>
                <w:rFonts w:ascii="Arial" w:hAnsi="Arial" w:cs="Arial"/>
                <w:color w:val="000000"/>
                <w:sz w:val="18"/>
                <w:szCs w:val="18"/>
              </w:rPr>
            </w:pPr>
          </w:p>
        </w:tc>
        <w:tc>
          <w:tcPr>
            <w:tcW w:w="1079" w:type="dxa"/>
            <w:vMerge/>
            <w:shd w:val="clear" w:color="auto" w:fill="E7F3F4"/>
            <w:vAlign w:val="center"/>
          </w:tcPr>
          <w:p w14:paraId="1A9697E2"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1E4D6ADB"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1B091E6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BY2*</w:t>
            </w:r>
          </w:p>
        </w:tc>
        <w:tc>
          <w:tcPr>
            <w:tcW w:w="1579" w:type="dxa"/>
            <w:shd w:val="clear" w:color="auto" w:fill="E7F3F4"/>
            <w:noWrap/>
            <w:vAlign w:val="center"/>
          </w:tcPr>
          <w:p w14:paraId="47E08D9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Bathurst Bay</w:t>
            </w:r>
          </w:p>
        </w:tc>
        <w:tc>
          <w:tcPr>
            <w:tcW w:w="486" w:type="dxa"/>
            <w:shd w:val="clear" w:color="auto" w:fill="E7F3F4"/>
            <w:noWrap/>
            <w:vAlign w:val="bottom"/>
          </w:tcPr>
          <w:p w14:paraId="0CA4C5D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w:t>
            </w:r>
          </w:p>
        </w:tc>
        <w:tc>
          <w:tcPr>
            <w:tcW w:w="830" w:type="dxa"/>
            <w:shd w:val="clear" w:color="auto" w:fill="E7F3F4"/>
            <w:noWrap/>
            <w:vAlign w:val="bottom"/>
          </w:tcPr>
          <w:p w14:paraId="2846260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16.049</w:t>
            </w:r>
          </w:p>
        </w:tc>
        <w:tc>
          <w:tcPr>
            <w:tcW w:w="576" w:type="dxa"/>
            <w:shd w:val="clear" w:color="auto" w:fill="E7F3F4"/>
            <w:noWrap/>
            <w:vAlign w:val="bottom"/>
          </w:tcPr>
          <w:p w14:paraId="262E272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144°</w:t>
            </w:r>
          </w:p>
        </w:tc>
        <w:tc>
          <w:tcPr>
            <w:tcW w:w="830" w:type="dxa"/>
            <w:shd w:val="clear" w:color="auto" w:fill="E7F3F4"/>
            <w:noWrap/>
            <w:vAlign w:val="bottom"/>
          </w:tcPr>
          <w:p w14:paraId="53A19F2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13.897</w:t>
            </w:r>
          </w:p>
        </w:tc>
        <w:tc>
          <w:tcPr>
            <w:tcW w:w="481" w:type="dxa"/>
            <w:vMerge/>
            <w:shd w:val="clear" w:color="auto" w:fill="E7F3F4"/>
            <w:noWrap/>
            <w:vAlign w:val="center"/>
          </w:tcPr>
          <w:p w14:paraId="7A633850"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4B744827"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4700DA02"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06B85067"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67F13271"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2B290DA4"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60FD1854"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689B40DB"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2713F271"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4348AD92"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2ECEAE1C" w14:textId="77777777" w:rsidTr="003E363C">
        <w:trPr>
          <w:trHeight w:val="170"/>
          <w:jc w:val="center"/>
        </w:trPr>
        <w:tc>
          <w:tcPr>
            <w:tcW w:w="1024" w:type="dxa"/>
            <w:vMerge/>
            <w:shd w:val="clear" w:color="auto" w:fill="auto"/>
            <w:noWrap/>
            <w:vAlign w:val="center"/>
          </w:tcPr>
          <w:p w14:paraId="2C8FF7A7"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2A1C9BA9" w14:textId="77777777" w:rsidR="004920D8" w:rsidRPr="00C911E4" w:rsidRDefault="004920D8" w:rsidP="00D64955">
            <w:pPr>
              <w:spacing w:before="0" w:after="0"/>
              <w:jc w:val="center"/>
              <w:rPr>
                <w:rFonts w:ascii="Arial" w:hAnsi="Arial" w:cs="Arial"/>
                <w:color w:val="000000"/>
                <w:sz w:val="18"/>
                <w:szCs w:val="18"/>
              </w:rPr>
            </w:pPr>
          </w:p>
        </w:tc>
        <w:tc>
          <w:tcPr>
            <w:tcW w:w="1079" w:type="dxa"/>
            <w:vMerge w:val="restart"/>
            <w:shd w:val="clear" w:color="auto" w:fill="E7F3F4"/>
            <w:vAlign w:val="center"/>
          </w:tcPr>
          <w:p w14:paraId="268C5BA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Endeavour</w:t>
            </w:r>
          </w:p>
        </w:tc>
        <w:tc>
          <w:tcPr>
            <w:tcW w:w="1576" w:type="dxa"/>
            <w:vMerge w:val="restart"/>
            <w:shd w:val="clear" w:color="auto" w:fill="E7F3F4"/>
            <w:noWrap/>
            <w:vAlign w:val="center"/>
          </w:tcPr>
          <w:p w14:paraId="71A473B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Archer Point</w:t>
            </w:r>
          </w:p>
          <w:p w14:paraId="4CF8758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reef</w:t>
            </w:r>
          </w:p>
        </w:tc>
        <w:tc>
          <w:tcPr>
            <w:tcW w:w="674" w:type="dxa"/>
            <w:shd w:val="clear" w:color="auto" w:fill="E7F3F4"/>
            <w:noWrap/>
            <w:vAlign w:val="center"/>
          </w:tcPr>
          <w:p w14:paraId="72C240B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AP1*</w:t>
            </w:r>
          </w:p>
        </w:tc>
        <w:tc>
          <w:tcPr>
            <w:tcW w:w="1579" w:type="dxa"/>
            <w:shd w:val="clear" w:color="auto" w:fill="E7F3F4"/>
            <w:noWrap/>
            <w:vAlign w:val="center"/>
          </w:tcPr>
          <w:p w14:paraId="2139A9E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Archer Point</w:t>
            </w:r>
          </w:p>
        </w:tc>
        <w:tc>
          <w:tcPr>
            <w:tcW w:w="486" w:type="dxa"/>
            <w:shd w:val="clear" w:color="auto" w:fill="E7F3F4"/>
            <w:noWrap/>
            <w:vAlign w:val="center"/>
          </w:tcPr>
          <w:p w14:paraId="3C382C2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w:t>
            </w:r>
          </w:p>
        </w:tc>
        <w:tc>
          <w:tcPr>
            <w:tcW w:w="830" w:type="dxa"/>
            <w:shd w:val="clear" w:color="auto" w:fill="E7F3F4"/>
            <w:noWrap/>
            <w:vAlign w:val="bottom"/>
          </w:tcPr>
          <w:p w14:paraId="5203C71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36.508</w:t>
            </w:r>
          </w:p>
        </w:tc>
        <w:tc>
          <w:tcPr>
            <w:tcW w:w="576" w:type="dxa"/>
            <w:shd w:val="clear" w:color="auto" w:fill="E7F3F4"/>
            <w:noWrap/>
            <w:vAlign w:val="center"/>
          </w:tcPr>
          <w:p w14:paraId="75F88F4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w:t>
            </w:r>
          </w:p>
        </w:tc>
        <w:tc>
          <w:tcPr>
            <w:tcW w:w="830" w:type="dxa"/>
            <w:shd w:val="clear" w:color="auto" w:fill="E7F3F4"/>
            <w:noWrap/>
            <w:vAlign w:val="bottom"/>
          </w:tcPr>
          <w:p w14:paraId="5B9E325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19.147</w:t>
            </w:r>
          </w:p>
        </w:tc>
        <w:tc>
          <w:tcPr>
            <w:tcW w:w="481" w:type="dxa"/>
            <w:vMerge w:val="restart"/>
            <w:shd w:val="clear" w:color="auto" w:fill="E7F3F4"/>
            <w:noWrap/>
            <w:vAlign w:val="center"/>
          </w:tcPr>
          <w:p w14:paraId="5EFD5A3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2" w:type="dxa"/>
            <w:vMerge w:val="restart"/>
            <w:shd w:val="clear" w:color="auto" w:fill="E7F3F4"/>
            <w:vAlign w:val="center"/>
          </w:tcPr>
          <w:p w14:paraId="387AD56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8" w:type="dxa"/>
            <w:vMerge w:val="restart"/>
            <w:shd w:val="clear" w:color="auto" w:fill="E7F3F4"/>
            <w:vAlign w:val="center"/>
          </w:tcPr>
          <w:p w14:paraId="5B5ADAE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16" w:type="dxa"/>
            <w:vMerge w:val="restart"/>
            <w:shd w:val="clear" w:color="auto" w:fill="E7F3F4"/>
            <w:vAlign w:val="center"/>
          </w:tcPr>
          <w:p w14:paraId="478D29CF"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0D89CC2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7A68F756"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27E586E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E7F3F4"/>
            <w:vAlign w:val="center"/>
          </w:tcPr>
          <w:p w14:paraId="2B75B5C5"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E7F3F4"/>
            <w:vAlign w:val="center"/>
          </w:tcPr>
          <w:p w14:paraId="5DCB1C9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vMerge w:val="restart"/>
            <w:shd w:val="clear" w:color="auto" w:fill="E7F3F4"/>
            <w:vAlign w:val="center"/>
          </w:tcPr>
          <w:p w14:paraId="54146E0C" w14:textId="53D4D314" w:rsidR="004920D8" w:rsidRPr="00C911E4" w:rsidRDefault="004920D8" w:rsidP="0032514D">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r>
      <w:tr w:rsidR="004920D8" w:rsidRPr="00C911E4" w14:paraId="419F1FEB" w14:textId="77777777" w:rsidTr="003E363C">
        <w:trPr>
          <w:trHeight w:val="170"/>
          <w:jc w:val="center"/>
        </w:trPr>
        <w:tc>
          <w:tcPr>
            <w:tcW w:w="1024" w:type="dxa"/>
            <w:vMerge/>
            <w:shd w:val="clear" w:color="auto" w:fill="auto"/>
            <w:noWrap/>
            <w:vAlign w:val="center"/>
          </w:tcPr>
          <w:p w14:paraId="49FA234A"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1C28B3CA"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6086010E"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0FE36A87"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227A7AD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AP2*</w:t>
            </w:r>
          </w:p>
        </w:tc>
        <w:tc>
          <w:tcPr>
            <w:tcW w:w="1579" w:type="dxa"/>
            <w:shd w:val="clear" w:color="auto" w:fill="E7F3F4"/>
            <w:noWrap/>
            <w:vAlign w:val="center"/>
          </w:tcPr>
          <w:p w14:paraId="4FC81E2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Archer Point</w:t>
            </w:r>
          </w:p>
        </w:tc>
        <w:tc>
          <w:tcPr>
            <w:tcW w:w="486" w:type="dxa"/>
            <w:shd w:val="clear" w:color="auto" w:fill="E7F3F4"/>
            <w:vAlign w:val="center"/>
          </w:tcPr>
          <w:p w14:paraId="4B392B3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w:t>
            </w:r>
          </w:p>
        </w:tc>
        <w:tc>
          <w:tcPr>
            <w:tcW w:w="830" w:type="dxa"/>
            <w:shd w:val="clear" w:color="auto" w:fill="E7F3F4"/>
            <w:vAlign w:val="bottom"/>
          </w:tcPr>
          <w:p w14:paraId="6B3B922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36.533</w:t>
            </w:r>
          </w:p>
        </w:tc>
        <w:tc>
          <w:tcPr>
            <w:tcW w:w="576" w:type="dxa"/>
            <w:shd w:val="clear" w:color="auto" w:fill="E7F3F4"/>
            <w:vAlign w:val="center"/>
          </w:tcPr>
          <w:p w14:paraId="6763C73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w:t>
            </w:r>
          </w:p>
        </w:tc>
        <w:tc>
          <w:tcPr>
            <w:tcW w:w="830" w:type="dxa"/>
            <w:shd w:val="clear" w:color="auto" w:fill="E7F3F4"/>
            <w:vAlign w:val="bottom"/>
          </w:tcPr>
          <w:p w14:paraId="79DDDD4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19.118</w:t>
            </w:r>
          </w:p>
        </w:tc>
        <w:tc>
          <w:tcPr>
            <w:tcW w:w="481" w:type="dxa"/>
            <w:vMerge/>
            <w:shd w:val="clear" w:color="auto" w:fill="E7F3F4"/>
            <w:noWrap/>
            <w:vAlign w:val="center"/>
          </w:tcPr>
          <w:p w14:paraId="4F7F8A6B"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6AEE1498"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4A98F05F"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684A4EBE"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05BBADE3"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0C0A8F4C"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0C280212"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75E42D80"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4DB273D9"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5213187C"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71913DE3" w14:textId="77777777" w:rsidTr="003E363C">
        <w:trPr>
          <w:trHeight w:val="170"/>
          <w:jc w:val="center"/>
        </w:trPr>
        <w:tc>
          <w:tcPr>
            <w:tcW w:w="1024" w:type="dxa"/>
            <w:vMerge w:val="restart"/>
            <w:shd w:val="clear" w:color="auto" w:fill="auto"/>
            <w:noWrap/>
            <w:vAlign w:val="center"/>
          </w:tcPr>
          <w:p w14:paraId="1098502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Northern</w:t>
            </w:r>
          </w:p>
        </w:tc>
        <w:tc>
          <w:tcPr>
            <w:tcW w:w="1523" w:type="dxa"/>
            <w:vMerge w:val="restart"/>
            <w:shd w:val="clear" w:color="auto" w:fill="F3F9FA"/>
            <w:noWrap/>
            <w:vAlign w:val="center"/>
          </w:tcPr>
          <w:p w14:paraId="3E48344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Wet Tropics</w:t>
            </w:r>
          </w:p>
          <w:p w14:paraId="730A332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w:t>
            </w:r>
            <w:r w:rsidRPr="00C911E4">
              <w:rPr>
                <w:rFonts w:ascii="Arial" w:hAnsi="Arial" w:cs="Arial"/>
                <w:i/>
                <w:color w:val="000000"/>
                <w:sz w:val="18"/>
                <w:szCs w:val="18"/>
              </w:rPr>
              <w:t>Terrain NRM</w:t>
            </w:r>
            <w:r w:rsidRPr="00C911E4">
              <w:rPr>
                <w:rFonts w:ascii="Arial" w:hAnsi="Arial" w:cs="Arial"/>
                <w:color w:val="000000"/>
                <w:sz w:val="18"/>
                <w:szCs w:val="18"/>
              </w:rPr>
              <w:t>)</w:t>
            </w:r>
          </w:p>
        </w:tc>
        <w:tc>
          <w:tcPr>
            <w:tcW w:w="1079" w:type="dxa"/>
            <w:vMerge w:val="restart"/>
            <w:shd w:val="clear" w:color="auto" w:fill="F3F9FA"/>
            <w:vAlign w:val="center"/>
          </w:tcPr>
          <w:p w14:paraId="695A25B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Daintree</w:t>
            </w:r>
          </w:p>
        </w:tc>
        <w:tc>
          <w:tcPr>
            <w:tcW w:w="1576" w:type="dxa"/>
            <w:vMerge w:val="restart"/>
            <w:shd w:val="clear" w:color="auto" w:fill="F3F9FA"/>
            <w:noWrap/>
            <w:vAlign w:val="center"/>
          </w:tcPr>
          <w:p w14:paraId="42655B0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Low Isles</w:t>
            </w:r>
          </w:p>
          <w:p w14:paraId="456135C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reef</w:t>
            </w:r>
          </w:p>
        </w:tc>
        <w:tc>
          <w:tcPr>
            <w:tcW w:w="674" w:type="dxa"/>
            <w:shd w:val="clear" w:color="auto" w:fill="F3F9FA"/>
            <w:noWrap/>
            <w:vAlign w:val="center"/>
          </w:tcPr>
          <w:p w14:paraId="3D596CF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LI1*</w:t>
            </w:r>
          </w:p>
        </w:tc>
        <w:tc>
          <w:tcPr>
            <w:tcW w:w="1579" w:type="dxa"/>
            <w:shd w:val="clear" w:color="auto" w:fill="F3F9FA"/>
            <w:noWrap/>
            <w:vAlign w:val="center"/>
          </w:tcPr>
          <w:p w14:paraId="2AB5E66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Low Isles</w:t>
            </w:r>
          </w:p>
        </w:tc>
        <w:tc>
          <w:tcPr>
            <w:tcW w:w="486" w:type="dxa"/>
            <w:shd w:val="clear" w:color="auto" w:fill="F3F9FA"/>
            <w:noWrap/>
            <w:vAlign w:val="center"/>
          </w:tcPr>
          <w:p w14:paraId="1F54800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w:t>
            </w:r>
          </w:p>
        </w:tc>
        <w:tc>
          <w:tcPr>
            <w:tcW w:w="830" w:type="dxa"/>
            <w:shd w:val="clear" w:color="auto" w:fill="F3F9FA"/>
            <w:noWrap/>
            <w:vAlign w:val="bottom"/>
          </w:tcPr>
          <w:p w14:paraId="07C0E73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23.110</w:t>
            </w:r>
          </w:p>
        </w:tc>
        <w:tc>
          <w:tcPr>
            <w:tcW w:w="576" w:type="dxa"/>
            <w:shd w:val="clear" w:color="auto" w:fill="F3F9FA"/>
            <w:noWrap/>
            <w:vAlign w:val="center"/>
          </w:tcPr>
          <w:p w14:paraId="0E71D0F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w:t>
            </w:r>
          </w:p>
        </w:tc>
        <w:tc>
          <w:tcPr>
            <w:tcW w:w="830" w:type="dxa"/>
            <w:shd w:val="clear" w:color="auto" w:fill="F3F9FA"/>
            <w:noWrap/>
            <w:vAlign w:val="bottom"/>
          </w:tcPr>
          <w:p w14:paraId="3F6A53D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33.884</w:t>
            </w:r>
          </w:p>
        </w:tc>
        <w:tc>
          <w:tcPr>
            <w:tcW w:w="481" w:type="dxa"/>
            <w:shd w:val="clear" w:color="auto" w:fill="F3F9FA"/>
            <w:noWrap/>
            <w:vAlign w:val="center"/>
          </w:tcPr>
          <w:p w14:paraId="6D205811" w14:textId="77777777" w:rsidR="004920D8" w:rsidRPr="00C911E4" w:rsidRDefault="004920D8" w:rsidP="00D64955">
            <w:pPr>
              <w:spacing w:before="0" w:after="0"/>
              <w:jc w:val="center"/>
              <w:rPr>
                <w:rFonts w:ascii="Arial" w:hAnsi="Arial" w:cs="Arial"/>
                <w:color w:val="000000"/>
                <w:sz w:val="18"/>
                <w:szCs w:val="18"/>
              </w:rPr>
            </w:pPr>
          </w:p>
        </w:tc>
        <w:tc>
          <w:tcPr>
            <w:tcW w:w="402" w:type="dxa"/>
            <w:shd w:val="clear" w:color="auto" w:fill="F3F9FA"/>
            <w:vAlign w:val="center"/>
          </w:tcPr>
          <w:p w14:paraId="0CDF7E03" w14:textId="77777777" w:rsidR="004920D8" w:rsidRPr="00C911E4" w:rsidRDefault="004920D8" w:rsidP="00D64955">
            <w:pPr>
              <w:spacing w:before="0" w:after="0"/>
              <w:jc w:val="center"/>
              <w:rPr>
                <w:rFonts w:ascii="Arial" w:hAnsi="Arial" w:cs="Arial"/>
                <w:color w:val="000000"/>
                <w:sz w:val="18"/>
                <w:szCs w:val="18"/>
              </w:rPr>
            </w:pPr>
          </w:p>
        </w:tc>
        <w:tc>
          <w:tcPr>
            <w:tcW w:w="408" w:type="dxa"/>
            <w:shd w:val="clear" w:color="auto" w:fill="F3F9FA"/>
            <w:vAlign w:val="center"/>
          </w:tcPr>
          <w:p w14:paraId="74F1FA0D" w14:textId="77777777" w:rsidR="004920D8" w:rsidRPr="00C911E4" w:rsidRDefault="004920D8" w:rsidP="00D64955">
            <w:pPr>
              <w:spacing w:before="0" w:after="0"/>
              <w:jc w:val="center"/>
              <w:rPr>
                <w:rFonts w:ascii="Arial" w:hAnsi="Arial" w:cs="Arial"/>
                <w:color w:val="000000"/>
                <w:sz w:val="18"/>
                <w:szCs w:val="18"/>
              </w:rPr>
            </w:pPr>
          </w:p>
        </w:tc>
        <w:tc>
          <w:tcPr>
            <w:tcW w:w="416" w:type="dxa"/>
            <w:shd w:val="clear" w:color="auto" w:fill="F3F9FA"/>
            <w:vAlign w:val="center"/>
          </w:tcPr>
          <w:p w14:paraId="0212B113" w14:textId="77777777" w:rsidR="004920D8" w:rsidRPr="00C911E4" w:rsidRDefault="004920D8" w:rsidP="00D64955">
            <w:pPr>
              <w:spacing w:before="0" w:after="0"/>
              <w:jc w:val="center"/>
              <w:rPr>
                <w:rFonts w:ascii="Arial" w:hAnsi="Arial" w:cs="Arial"/>
                <w:color w:val="000000"/>
                <w:sz w:val="18"/>
                <w:szCs w:val="18"/>
              </w:rPr>
            </w:pPr>
          </w:p>
        </w:tc>
        <w:tc>
          <w:tcPr>
            <w:tcW w:w="418" w:type="dxa"/>
            <w:shd w:val="clear" w:color="auto" w:fill="F3F9FA"/>
            <w:vAlign w:val="center"/>
          </w:tcPr>
          <w:p w14:paraId="221FCC3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shd w:val="clear" w:color="auto" w:fill="F3F9FA"/>
            <w:vAlign w:val="center"/>
          </w:tcPr>
          <w:p w14:paraId="38E946AD"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F3F9FA"/>
            <w:vAlign w:val="center"/>
          </w:tcPr>
          <w:p w14:paraId="6849214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shd w:val="clear" w:color="auto" w:fill="F3F9FA"/>
            <w:vAlign w:val="center"/>
          </w:tcPr>
          <w:p w14:paraId="588E971B" w14:textId="77777777" w:rsidR="004920D8" w:rsidRPr="00C911E4" w:rsidRDefault="004920D8" w:rsidP="00D64955">
            <w:pPr>
              <w:spacing w:before="0" w:after="0"/>
              <w:jc w:val="center"/>
              <w:rPr>
                <w:rFonts w:ascii="Arial" w:hAnsi="Arial" w:cs="Arial"/>
                <w:color w:val="000000"/>
                <w:sz w:val="18"/>
                <w:szCs w:val="18"/>
              </w:rPr>
            </w:pPr>
          </w:p>
        </w:tc>
        <w:tc>
          <w:tcPr>
            <w:tcW w:w="410" w:type="dxa"/>
            <w:shd w:val="clear" w:color="auto" w:fill="F3F9FA"/>
            <w:vAlign w:val="center"/>
          </w:tcPr>
          <w:p w14:paraId="7147B96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shd w:val="clear" w:color="auto" w:fill="F3F9FA"/>
            <w:vAlign w:val="center"/>
          </w:tcPr>
          <w:p w14:paraId="679F9E85"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6BE4C48F" w14:textId="77777777" w:rsidTr="003E363C">
        <w:trPr>
          <w:trHeight w:val="170"/>
          <w:jc w:val="center"/>
        </w:trPr>
        <w:tc>
          <w:tcPr>
            <w:tcW w:w="1024" w:type="dxa"/>
            <w:vMerge/>
            <w:shd w:val="clear" w:color="auto" w:fill="auto"/>
            <w:noWrap/>
            <w:vAlign w:val="center"/>
          </w:tcPr>
          <w:p w14:paraId="6C002B0B"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5D802F51"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19A42D0A"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4A60A0B7"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78025C4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LI2^</w:t>
            </w:r>
          </w:p>
        </w:tc>
        <w:tc>
          <w:tcPr>
            <w:tcW w:w="1579" w:type="dxa"/>
            <w:shd w:val="clear" w:color="auto" w:fill="F3F9FA"/>
            <w:noWrap/>
            <w:vAlign w:val="center"/>
          </w:tcPr>
          <w:p w14:paraId="0D9AFAC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Low Isles</w:t>
            </w:r>
          </w:p>
        </w:tc>
        <w:tc>
          <w:tcPr>
            <w:tcW w:w="486" w:type="dxa"/>
            <w:shd w:val="clear" w:color="auto" w:fill="F3F9FA"/>
            <w:noWrap/>
            <w:vAlign w:val="center"/>
          </w:tcPr>
          <w:p w14:paraId="0D93FFE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w:t>
            </w:r>
          </w:p>
        </w:tc>
        <w:tc>
          <w:tcPr>
            <w:tcW w:w="830" w:type="dxa"/>
            <w:shd w:val="clear" w:color="auto" w:fill="F3F9FA"/>
            <w:noWrap/>
            <w:vAlign w:val="bottom"/>
          </w:tcPr>
          <w:p w14:paraId="01CD500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22.973</w:t>
            </w:r>
          </w:p>
        </w:tc>
        <w:tc>
          <w:tcPr>
            <w:tcW w:w="576" w:type="dxa"/>
            <w:shd w:val="clear" w:color="auto" w:fill="F3F9FA"/>
            <w:noWrap/>
            <w:vAlign w:val="center"/>
          </w:tcPr>
          <w:p w14:paraId="3C841A3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w:t>
            </w:r>
          </w:p>
        </w:tc>
        <w:tc>
          <w:tcPr>
            <w:tcW w:w="830" w:type="dxa"/>
            <w:shd w:val="clear" w:color="auto" w:fill="F3F9FA"/>
            <w:noWrap/>
            <w:vAlign w:val="bottom"/>
          </w:tcPr>
          <w:p w14:paraId="32EDE17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33.854</w:t>
            </w:r>
          </w:p>
        </w:tc>
        <w:tc>
          <w:tcPr>
            <w:tcW w:w="481" w:type="dxa"/>
            <w:shd w:val="clear" w:color="auto" w:fill="F3F9FA"/>
            <w:noWrap/>
            <w:vAlign w:val="center"/>
          </w:tcPr>
          <w:p w14:paraId="6AEF288F" w14:textId="77777777" w:rsidR="004920D8" w:rsidRPr="00C911E4" w:rsidRDefault="004920D8" w:rsidP="00D64955">
            <w:pPr>
              <w:spacing w:before="0" w:after="0"/>
              <w:jc w:val="center"/>
              <w:rPr>
                <w:rFonts w:ascii="Arial" w:hAnsi="Arial" w:cs="Arial"/>
                <w:color w:val="000000"/>
                <w:sz w:val="18"/>
                <w:szCs w:val="18"/>
              </w:rPr>
            </w:pPr>
          </w:p>
        </w:tc>
        <w:tc>
          <w:tcPr>
            <w:tcW w:w="402" w:type="dxa"/>
            <w:shd w:val="clear" w:color="auto" w:fill="F3F9FA"/>
            <w:vAlign w:val="center"/>
          </w:tcPr>
          <w:p w14:paraId="73F3D4BB" w14:textId="77777777" w:rsidR="004920D8" w:rsidRPr="00C911E4" w:rsidRDefault="004920D8" w:rsidP="00D64955">
            <w:pPr>
              <w:spacing w:before="0" w:after="0"/>
              <w:jc w:val="center"/>
              <w:rPr>
                <w:rFonts w:ascii="Arial" w:hAnsi="Arial" w:cs="Arial"/>
                <w:color w:val="000000"/>
                <w:sz w:val="18"/>
                <w:szCs w:val="18"/>
              </w:rPr>
            </w:pPr>
          </w:p>
        </w:tc>
        <w:tc>
          <w:tcPr>
            <w:tcW w:w="408" w:type="dxa"/>
            <w:shd w:val="clear" w:color="auto" w:fill="F3F9FA"/>
            <w:vAlign w:val="center"/>
          </w:tcPr>
          <w:p w14:paraId="6C350197" w14:textId="77777777" w:rsidR="004920D8" w:rsidRPr="00C911E4" w:rsidRDefault="004920D8" w:rsidP="00D64955">
            <w:pPr>
              <w:spacing w:before="0" w:after="0"/>
              <w:jc w:val="center"/>
              <w:rPr>
                <w:rFonts w:ascii="Arial" w:hAnsi="Arial" w:cs="Arial"/>
                <w:color w:val="000000"/>
                <w:sz w:val="18"/>
                <w:szCs w:val="18"/>
              </w:rPr>
            </w:pPr>
          </w:p>
        </w:tc>
        <w:tc>
          <w:tcPr>
            <w:tcW w:w="416" w:type="dxa"/>
            <w:shd w:val="clear" w:color="auto" w:fill="F3F9FA"/>
            <w:vAlign w:val="center"/>
          </w:tcPr>
          <w:p w14:paraId="488B0134" w14:textId="77777777" w:rsidR="004920D8" w:rsidRPr="00C911E4" w:rsidRDefault="004920D8" w:rsidP="00D64955">
            <w:pPr>
              <w:spacing w:before="0" w:after="0"/>
              <w:jc w:val="center"/>
              <w:rPr>
                <w:rFonts w:ascii="Arial" w:hAnsi="Arial" w:cs="Arial"/>
                <w:color w:val="000000"/>
                <w:sz w:val="18"/>
                <w:szCs w:val="18"/>
              </w:rPr>
            </w:pPr>
          </w:p>
        </w:tc>
        <w:tc>
          <w:tcPr>
            <w:tcW w:w="418" w:type="dxa"/>
            <w:shd w:val="clear" w:color="auto" w:fill="F3F9FA"/>
            <w:vAlign w:val="center"/>
          </w:tcPr>
          <w:p w14:paraId="17BA11C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shd w:val="clear" w:color="auto" w:fill="F3F9FA"/>
            <w:vAlign w:val="center"/>
          </w:tcPr>
          <w:p w14:paraId="584858EE"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F3F9FA"/>
            <w:vAlign w:val="center"/>
          </w:tcPr>
          <w:p w14:paraId="6A887C4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shd w:val="clear" w:color="auto" w:fill="F3F9FA"/>
            <w:vAlign w:val="center"/>
          </w:tcPr>
          <w:p w14:paraId="111567A6" w14:textId="77777777" w:rsidR="004920D8" w:rsidRPr="00C911E4" w:rsidRDefault="004920D8" w:rsidP="00D64955">
            <w:pPr>
              <w:spacing w:before="0" w:after="0"/>
              <w:jc w:val="center"/>
              <w:rPr>
                <w:rFonts w:ascii="Arial" w:hAnsi="Arial" w:cs="Arial"/>
                <w:color w:val="000000"/>
                <w:sz w:val="18"/>
                <w:szCs w:val="18"/>
              </w:rPr>
            </w:pPr>
          </w:p>
        </w:tc>
        <w:tc>
          <w:tcPr>
            <w:tcW w:w="410" w:type="dxa"/>
            <w:shd w:val="clear" w:color="auto" w:fill="F3F9FA"/>
            <w:vAlign w:val="center"/>
          </w:tcPr>
          <w:p w14:paraId="7D35FE54"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F3F9FA"/>
            <w:vAlign w:val="center"/>
          </w:tcPr>
          <w:p w14:paraId="1B6AD11B"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6450B32C" w14:textId="77777777" w:rsidTr="003E363C">
        <w:trPr>
          <w:trHeight w:val="170"/>
          <w:jc w:val="center"/>
        </w:trPr>
        <w:tc>
          <w:tcPr>
            <w:tcW w:w="1024" w:type="dxa"/>
            <w:vMerge/>
            <w:shd w:val="clear" w:color="auto" w:fill="auto"/>
            <w:noWrap/>
            <w:vAlign w:val="center"/>
          </w:tcPr>
          <w:p w14:paraId="4255944A"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6826BBEA" w14:textId="77777777" w:rsidR="004920D8" w:rsidRPr="00C911E4" w:rsidRDefault="004920D8" w:rsidP="00D64955">
            <w:pPr>
              <w:spacing w:before="0" w:after="0"/>
              <w:jc w:val="center"/>
              <w:rPr>
                <w:rFonts w:ascii="Arial" w:hAnsi="Arial" w:cs="Arial"/>
                <w:color w:val="000000"/>
                <w:sz w:val="18"/>
                <w:szCs w:val="18"/>
              </w:rPr>
            </w:pPr>
          </w:p>
        </w:tc>
        <w:tc>
          <w:tcPr>
            <w:tcW w:w="1079" w:type="dxa"/>
            <w:vMerge w:val="restart"/>
            <w:shd w:val="clear" w:color="auto" w:fill="F3F9FA"/>
            <w:vAlign w:val="center"/>
          </w:tcPr>
          <w:p w14:paraId="3103E27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Mossman /</w:t>
            </w:r>
          </w:p>
          <w:p w14:paraId="7D13BCA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Barron /</w:t>
            </w:r>
          </w:p>
          <w:p w14:paraId="79385EA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Mulgrave-Russell /</w:t>
            </w:r>
          </w:p>
          <w:p w14:paraId="02950C2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Johnstone</w:t>
            </w:r>
          </w:p>
        </w:tc>
        <w:tc>
          <w:tcPr>
            <w:tcW w:w="1576" w:type="dxa"/>
            <w:vMerge w:val="restart"/>
            <w:shd w:val="clear" w:color="auto" w:fill="F3F9FA"/>
            <w:noWrap/>
            <w:vAlign w:val="center"/>
          </w:tcPr>
          <w:p w14:paraId="2B00375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Yule Point</w:t>
            </w:r>
          </w:p>
          <w:p w14:paraId="4258ED03" w14:textId="1CC4469A" w:rsidR="004920D8" w:rsidRPr="00C911E4" w:rsidRDefault="0032514D" w:rsidP="00D64955">
            <w:pPr>
              <w:spacing w:before="0" w:after="0"/>
              <w:jc w:val="center"/>
              <w:rPr>
                <w:rFonts w:ascii="Arial" w:hAnsi="Arial" w:cs="Arial"/>
                <w:color w:val="000000"/>
                <w:sz w:val="18"/>
                <w:szCs w:val="18"/>
              </w:rPr>
            </w:pPr>
            <w:r w:rsidRPr="00C911E4">
              <w:rPr>
                <w:rFonts w:ascii="Arial" w:hAnsi="Arial" w:cs="Arial"/>
                <w:i/>
                <w:color w:val="000000"/>
                <w:sz w:val="18"/>
                <w:szCs w:val="18"/>
              </w:rPr>
              <w:t>coastal</w:t>
            </w:r>
          </w:p>
        </w:tc>
        <w:tc>
          <w:tcPr>
            <w:tcW w:w="674" w:type="dxa"/>
            <w:shd w:val="clear" w:color="auto" w:fill="F3F9FA"/>
            <w:noWrap/>
            <w:vAlign w:val="center"/>
          </w:tcPr>
          <w:p w14:paraId="6889711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YP1*</w:t>
            </w:r>
          </w:p>
        </w:tc>
        <w:tc>
          <w:tcPr>
            <w:tcW w:w="1579" w:type="dxa"/>
            <w:shd w:val="clear" w:color="auto" w:fill="F3F9FA"/>
            <w:noWrap/>
            <w:vAlign w:val="center"/>
          </w:tcPr>
          <w:p w14:paraId="7BC479D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Yule Point</w:t>
            </w:r>
          </w:p>
        </w:tc>
        <w:tc>
          <w:tcPr>
            <w:tcW w:w="486" w:type="dxa"/>
            <w:shd w:val="clear" w:color="auto" w:fill="F3F9FA"/>
            <w:noWrap/>
            <w:vAlign w:val="center"/>
          </w:tcPr>
          <w:p w14:paraId="3B83EC7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w:t>
            </w:r>
          </w:p>
        </w:tc>
        <w:tc>
          <w:tcPr>
            <w:tcW w:w="830" w:type="dxa"/>
            <w:shd w:val="clear" w:color="auto" w:fill="F3F9FA"/>
            <w:noWrap/>
            <w:vAlign w:val="bottom"/>
          </w:tcPr>
          <w:p w14:paraId="4F12D79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34.149</w:t>
            </w:r>
          </w:p>
        </w:tc>
        <w:tc>
          <w:tcPr>
            <w:tcW w:w="576" w:type="dxa"/>
            <w:shd w:val="clear" w:color="auto" w:fill="F3F9FA"/>
            <w:noWrap/>
            <w:vAlign w:val="center"/>
          </w:tcPr>
          <w:p w14:paraId="20E661B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w:t>
            </w:r>
          </w:p>
        </w:tc>
        <w:tc>
          <w:tcPr>
            <w:tcW w:w="830" w:type="dxa"/>
            <w:shd w:val="clear" w:color="auto" w:fill="F3F9FA"/>
            <w:noWrap/>
            <w:vAlign w:val="bottom"/>
          </w:tcPr>
          <w:p w14:paraId="413FDF2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30.756</w:t>
            </w:r>
          </w:p>
        </w:tc>
        <w:tc>
          <w:tcPr>
            <w:tcW w:w="481" w:type="dxa"/>
            <w:vMerge w:val="restart"/>
            <w:shd w:val="clear" w:color="auto" w:fill="F3F9FA"/>
            <w:noWrap/>
            <w:vAlign w:val="center"/>
          </w:tcPr>
          <w:p w14:paraId="4A61D3E8"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F3F9FA"/>
            <w:vAlign w:val="center"/>
          </w:tcPr>
          <w:p w14:paraId="260B5036"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F3F9FA"/>
            <w:vAlign w:val="center"/>
          </w:tcPr>
          <w:p w14:paraId="1B10F4CC"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748BED07"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37112B3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28B3B89F"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11BE64D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F3F9FA"/>
            <w:vAlign w:val="center"/>
          </w:tcPr>
          <w:p w14:paraId="50300F22"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F3F9FA"/>
            <w:vAlign w:val="center"/>
          </w:tcPr>
          <w:p w14:paraId="5EC16291"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3BEF3F00" w14:textId="26B29AC8" w:rsidR="004920D8" w:rsidRPr="00C911E4" w:rsidRDefault="004920D8" w:rsidP="0032514D">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r>
      <w:tr w:rsidR="004920D8" w:rsidRPr="00C911E4" w14:paraId="23C0FD23" w14:textId="77777777" w:rsidTr="003E363C">
        <w:trPr>
          <w:trHeight w:val="170"/>
          <w:jc w:val="center"/>
        </w:trPr>
        <w:tc>
          <w:tcPr>
            <w:tcW w:w="1024" w:type="dxa"/>
            <w:vMerge/>
            <w:shd w:val="clear" w:color="auto" w:fill="auto"/>
            <w:noWrap/>
            <w:vAlign w:val="center"/>
          </w:tcPr>
          <w:p w14:paraId="06F68677"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3A9130CA"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6F0979A4"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598C74A0"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7C62F54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YP2*</w:t>
            </w:r>
          </w:p>
        </w:tc>
        <w:tc>
          <w:tcPr>
            <w:tcW w:w="1579" w:type="dxa"/>
            <w:shd w:val="clear" w:color="auto" w:fill="F3F9FA"/>
            <w:noWrap/>
            <w:vAlign w:val="center"/>
          </w:tcPr>
          <w:p w14:paraId="7B68150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Yule Point</w:t>
            </w:r>
          </w:p>
        </w:tc>
        <w:tc>
          <w:tcPr>
            <w:tcW w:w="486" w:type="dxa"/>
            <w:shd w:val="clear" w:color="auto" w:fill="F3F9FA"/>
            <w:noWrap/>
            <w:vAlign w:val="center"/>
          </w:tcPr>
          <w:p w14:paraId="62FCB4E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w:t>
            </w:r>
          </w:p>
        </w:tc>
        <w:tc>
          <w:tcPr>
            <w:tcW w:w="830" w:type="dxa"/>
            <w:shd w:val="clear" w:color="auto" w:fill="F3F9FA"/>
            <w:noWrap/>
            <w:vAlign w:val="bottom"/>
          </w:tcPr>
          <w:p w14:paraId="13B483F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33.825</w:t>
            </w:r>
          </w:p>
        </w:tc>
        <w:tc>
          <w:tcPr>
            <w:tcW w:w="576" w:type="dxa"/>
            <w:shd w:val="clear" w:color="auto" w:fill="F3F9FA"/>
            <w:noWrap/>
            <w:vAlign w:val="center"/>
          </w:tcPr>
          <w:p w14:paraId="0F368AB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w:t>
            </w:r>
          </w:p>
        </w:tc>
        <w:tc>
          <w:tcPr>
            <w:tcW w:w="830" w:type="dxa"/>
            <w:shd w:val="clear" w:color="auto" w:fill="F3F9FA"/>
            <w:noWrap/>
            <w:vAlign w:val="bottom"/>
          </w:tcPr>
          <w:p w14:paraId="3A748A5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30.568</w:t>
            </w:r>
          </w:p>
        </w:tc>
        <w:tc>
          <w:tcPr>
            <w:tcW w:w="481" w:type="dxa"/>
            <w:vMerge/>
            <w:shd w:val="clear" w:color="auto" w:fill="F3F9FA"/>
            <w:noWrap/>
            <w:vAlign w:val="center"/>
          </w:tcPr>
          <w:p w14:paraId="23EBE8C0"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F3F9FA"/>
            <w:vAlign w:val="center"/>
          </w:tcPr>
          <w:p w14:paraId="2C4CC99F"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18DF9143"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F3F9FA"/>
            <w:vAlign w:val="center"/>
          </w:tcPr>
          <w:p w14:paraId="53D4692B"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F3F9FA"/>
            <w:vAlign w:val="center"/>
          </w:tcPr>
          <w:p w14:paraId="16D36872"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475A9E60"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7A7AB538"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F3F9FA"/>
            <w:vAlign w:val="center"/>
          </w:tcPr>
          <w:p w14:paraId="50871835"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F3F9FA"/>
            <w:vAlign w:val="center"/>
          </w:tcPr>
          <w:p w14:paraId="69B894A0"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692AA320"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28623F5F" w14:textId="77777777" w:rsidTr="003E363C">
        <w:trPr>
          <w:trHeight w:val="170"/>
          <w:jc w:val="center"/>
        </w:trPr>
        <w:tc>
          <w:tcPr>
            <w:tcW w:w="1024" w:type="dxa"/>
            <w:vMerge/>
            <w:shd w:val="clear" w:color="auto" w:fill="auto"/>
            <w:noWrap/>
            <w:vAlign w:val="center"/>
          </w:tcPr>
          <w:p w14:paraId="3DBBDA84"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6ABAD9A2"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1D3C1A55" w14:textId="77777777" w:rsidR="004920D8" w:rsidRPr="00C911E4" w:rsidRDefault="004920D8" w:rsidP="00D64955">
            <w:pPr>
              <w:spacing w:before="0" w:after="0"/>
              <w:jc w:val="center"/>
              <w:rPr>
                <w:rFonts w:ascii="Arial" w:hAnsi="Arial" w:cs="Arial"/>
                <w:color w:val="000000"/>
                <w:sz w:val="18"/>
                <w:szCs w:val="18"/>
              </w:rPr>
            </w:pPr>
          </w:p>
        </w:tc>
        <w:tc>
          <w:tcPr>
            <w:tcW w:w="1576" w:type="dxa"/>
            <w:vMerge w:val="restart"/>
            <w:shd w:val="clear" w:color="auto" w:fill="F3F9FA"/>
            <w:noWrap/>
            <w:vAlign w:val="center"/>
          </w:tcPr>
          <w:p w14:paraId="25CAF9B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Green Island</w:t>
            </w:r>
          </w:p>
          <w:p w14:paraId="76DB666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reef</w:t>
            </w:r>
          </w:p>
        </w:tc>
        <w:tc>
          <w:tcPr>
            <w:tcW w:w="674" w:type="dxa"/>
            <w:shd w:val="clear" w:color="auto" w:fill="F3F9FA"/>
            <w:noWrap/>
            <w:vAlign w:val="center"/>
          </w:tcPr>
          <w:p w14:paraId="59F3833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GI1*</w:t>
            </w:r>
          </w:p>
        </w:tc>
        <w:tc>
          <w:tcPr>
            <w:tcW w:w="1579" w:type="dxa"/>
            <w:shd w:val="clear" w:color="auto" w:fill="F3F9FA"/>
            <w:noWrap/>
            <w:vAlign w:val="center"/>
          </w:tcPr>
          <w:p w14:paraId="6DFD7EB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Green Island</w:t>
            </w:r>
          </w:p>
        </w:tc>
        <w:tc>
          <w:tcPr>
            <w:tcW w:w="486" w:type="dxa"/>
            <w:shd w:val="clear" w:color="auto" w:fill="F3F9FA"/>
            <w:noWrap/>
            <w:vAlign w:val="center"/>
          </w:tcPr>
          <w:p w14:paraId="30F312F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w:t>
            </w:r>
          </w:p>
        </w:tc>
        <w:tc>
          <w:tcPr>
            <w:tcW w:w="830" w:type="dxa"/>
            <w:shd w:val="clear" w:color="auto" w:fill="F3F9FA"/>
            <w:noWrap/>
            <w:vAlign w:val="bottom"/>
          </w:tcPr>
          <w:p w14:paraId="782C4BF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45.709</w:t>
            </w:r>
          </w:p>
        </w:tc>
        <w:tc>
          <w:tcPr>
            <w:tcW w:w="576" w:type="dxa"/>
            <w:shd w:val="clear" w:color="auto" w:fill="F3F9FA"/>
            <w:noWrap/>
            <w:vAlign w:val="center"/>
          </w:tcPr>
          <w:p w14:paraId="566A938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w:t>
            </w:r>
          </w:p>
        </w:tc>
        <w:tc>
          <w:tcPr>
            <w:tcW w:w="830" w:type="dxa"/>
            <w:shd w:val="clear" w:color="auto" w:fill="F3F9FA"/>
            <w:noWrap/>
            <w:vAlign w:val="bottom"/>
          </w:tcPr>
          <w:p w14:paraId="51AA6B6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58.372</w:t>
            </w:r>
          </w:p>
        </w:tc>
        <w:tc>
          <w:tcPr>
            <w:tcW w:w="481" w:type="dxa"/>
            <w:vMerge w:val="restart"/>
            <w:shd w:val="clear" w:color="auto" w:fill="F3F9FA"/>
            <w:noWrap/>
            <w:vAlign w:val="center"/>
          </w:tcPr>
          <w:p w14:paraId="11E6FB3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2" w:type="dxa"/>
            <w:vMerge w:val="restart"/>
            <w:shd w:val="clear" w:color="auto" w:fill="F3F9FA"/>
            <w:vAlign w:val="center"/>
          </w:tcPr>
          <w:p w14:paraId="6540AB5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7CFB4A67"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4F624B07"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08E51DE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58B87F34"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38F4E3C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F3F9FA"/>
            <w:vAlign w:val="center"/>
          </w:tcPr>
          <w:p w14:paraId="25D2323D"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F3F9FA"/>
            <w:vAlign w:val="center"/>
          </w:tcPr>
          <w:p w14:paraId="0BDE20C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vMerge w:val="restart"/>
            <w:shd w:val="clear" w:color="auto" w:fill="F3F9FA"/>
            <w:vAlign w:val="center"/>
          </w:tcPr>
          <w:p w14:paraId="639D6616"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531D283F" w14:textId="77777777" w:rsidTr="003E363C">
        <w:trPr>
          <w:trHeight w:val="170"/>
          <w:jc w:val="center"/>
        </w:trPr>
        <w:tc>
          <w:tcPr>
            <w:tcW w:w="1024" w:type="dxa"/>
            <w:vMerge/>
            <w:shd w:val="clear" w:color="auto" w:fill="auto"/>
            <w:noWrap/>
            <w:vAlign w:val="center"/>
          </w:tcPr>
          <w:p w14:paraId="5C25F022"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367A3346"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090DE5FD"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753CE16A"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3BA09CC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GI2*</w:t>
            </w:r>
          </w:p>
        </w:tc>
        <w:tc>
          <w:tcPr>
            <w:tcW w:w="1579" w:type="dxa"/>
            <w:shd w:val="clear" w:color="auto" w:fill="F3F9FA"/>
            <w:noWrap/>
            <w:vAlign w:val="center"/>
          </w:tcPr>
          <w:p w14:paraId="1BABBFD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Green Island</w:t>
            </w:r>
          </w:p>
        </w:tc>
        <w:tc>
          <w:tcPr>
            <w:tcW w:w="486" w:type="dxa"/>
            <w:shd w:val="clear" w:color="auto" w:fill="F3F9FA"/>
            <w:noWrap/>
            <w:vAlign w:val="center"/>
          </w:tcPr>
          <w:p w14:paraId="26EB2F0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w:t>
            </w:r>
          </w:p>
        </w:tc>
        <w:tc>
          <w:tcPr>
            <w:tcW w:w="830" w:type="dxa"/>
            <w:shd w:val="clear" w:color="auto" w:fill="F3F9FA"/>
            <w:noWrap/>
            <w:vAlign w:val="bottom"/>
          </w:tcPr>
          <w:p w14:paraId="2778524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45.696</w:t>
            </w:r>
          </w:p>
        </w:tc>
        <w:tc>
          <w:tcPr>
            <w:tcW w:w="576" w:type="dxa"/>
            <w:shd w:val="clear" w:color="auto" w:fill="F3F9FA"/>
            <w:noWrap/>
            <w:vAlign w:val="center"/>
          </w:tcPr>
          <w:p w14:paraId="4DF81CE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w:t>
            </w:r>
          </w:p>
        </w:tc>
        <w:tc>
          <w:tcPr>
            <w:tcW w:w="830" w:type="dxa"/>
            <w:shd w:val="clear" w:color="auto" w:fill="F3F9FA"/>
            <w:noWrap/>
            <w:vAlign w:val="bottom"/>
          </w:tcPr>
          <w:p w14:paraId="4279472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58.566</w:t>
            </w:r>
          </w:p>
        </w:tc>
        <w:tc>
          <w:tcPr>
            <w:tcW w:w="481" w:type="dxa"/>
            <w:vMerge/>
            <w:shd w:val="clear" w:color="auto" w:fill="F3F9FA"/>
            <w:noWrap/>
            <w:vAlign w:val="center"/>
          </w:tcPr>
          <w:p w14:paraId="41AB3AFF"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F3F9FA"/>
            <w:vAlign w:val="center"/>
          </w:tcPr>
          <w:p w14:paraId="61031955"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4EEFC3C5"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F3F9FA"/>
            <w:vAlign w:val="center"/>
          </w:tcPr>
          <w:p w14:paraId="5F363A00"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F3F9FA"/>
            <w:vAlign w:val="center"/>
          </w:tcPr>
          <w:p w14:paraId="3E5BFF3F"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6A5BE748"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62C4955D"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F3F9FA"/>
            <w:vAlign w:val="center"/>
          </w:tcPr>
          <w:p w14:paraId="2AA2F351"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F3F9FA"/>
            <w:vAlign w:val="center"/>
          </w:tcPr>
          <w:p w14:paraId="485D3ECB"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3C3EDFD1"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14FBD9F3" w14:textId="77777777" w:rsidTr="003E363C">
        <w:trPr>
          <w:trHeight w:val="170"/>
          <w:jc w:val="center"/>
        </w:trPr>
        <w:tc>
          <w:tcPr>
            <w:tcW w:w="1024" w:type="dxa"/>
            <w:vMerge/>
            <w:shd w:val="clear" w:color="auto" w:fill="auto"/>
            <w:noWrap/>
            <w:vAlign w:val="center"/>
          </w:tcPr>
          <w:p w14:paraId="209DD221"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6192FC46"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5EE503C9"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12CF279D"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302F739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GI3^</w:t>
            </w:r>
          </w:p>
        </w:tc>
        <w:tc>
          <w:tcPr>
            <w:tcW w:w="1579" w:type="dxa"/>
            <w:shd w:val="clear" w:color="auto" w:fill="F3F9FA"/>
            <w:noWrap/>
            <w:vAlign w:val="center"/>
          </w:tcPr>
          <w:p w14:paraId="27728BF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Green Island</w:t>
            </w:r>
          </w:p>
        </w:tc>
        <w:tc>
          <w:tcPr>
            <w:tcW w:w="486" w:type="dxa"/>
            <w:shd w:val="clear" w:color="auto" w:fill="F3F9FA"/>
            <w:noWrap/>
            <w:vAlign w:val="center"/>
          </w:tcPr>
          <w:p w14:paraId="706FBB2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w:t>
            </w:r>
          </w:p>
        </w:tc>
        <w:tc>
          <w:tcPr>
            <w:tcW w:w="830" w:type="dxa"/>
            <w:shd w:val="clear" w:color="auto" w:fill="F3F9FA"/>
            <w:noWrap/>
            <w:vAlign w:val="bottom"/>
          </w:tcPr>
          <w:p w14:paraId="096C754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45.294</w:t>
            </w:r>
          </w:p>
        </w:tc>
        <w:tc>
          <w:tcPr>
            <w:tcW w:w="576" w:type="dxa"/>
            <w:shd w:val="clear" w:color="auto" w:fill="F3F9FA"/>
            <w:noWrap/>
            <w:vAlign w:val="center"/>
          </w:tcPr>
          <w:p w14:paraId="20DC0D0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145°</w:t>
            </w:r>
          </w:p>
        </w:tc>
        <w:tc>
          <w:tcPr>
            <w:tcW w:w="830" w:type="dxa"/>
            <w:shd w:val="clear" w:color="auto" w:fill="F3F9FA"/>
            <w:noWrap/>
            <w:vAlign w:val="bottom"/>
          </w:tcPr>
          <w:p w14:paraId="34EC45B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58.379</w:t>
            </w:r>
          </w:p>
        </w:tc>
        <w:tc>
          <w:tcPr>
            <w:tcW w:w="481" w:type="dxa"/>
            <w:shd w:val="clear" w:color="auto" w:fill="F3F9FA"/>
            <w:noWrap/>
            <w:vAlign w:val="center"/>
          </w:tcPr>
          <w:p w14:paraId="673A7F1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2" w:type="dxa"/>
            <w:shd w:val="clear" w:color="auto" w:fill="F3F9FA"/>
            <w:vAlign w:val="center"/>
          </w:tcPr>
          <w:p w14:paraId="4A29EBB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8" w:type="dxa"/>
            <w:shd w:val="clear" w:color="auto" w:fill="F3F9FA"/>
            <w:vAlign w:val="center"/>
          </w:tcPr>
          <w:p w14:paraId="4543E5CE" w14:textId="77777777" w:rsidR="004920D8" w:rsidRPr="00C911E4" w:rsidRDefault="004920D8" w:rsidP="00D64955">
            <w:pPr>
              <w:spacing w:before="0" w:after="0"/>
              <w:jc w:val="center"/>
              <w:rPr>
                <w:rFonts w:ascii="Arial" w:hAnsi="Arial" w:cs="Arial"/>
                <w:color w:val="000000"/>
                <w:sz w:val="18"/>
                <w:szCs w:val="18"/>
              </w:rPr>
            </w:pPr>
          </w:p>
        </w:tc>
        <w:tc>
          <w:tcPr>
            <w:tcW w:w="416" w:type="dxa"/>
            <w:shd w:val="clear" w:color="auto" w:fill="F3F9FA"/>
            <w:vAlign w:val="center"/>
          </w:tcPr>
          <w:p w14:paraId="58D3D704" w14:textId="77777777" w:rsidR="004920D8" w:rsidRPr="00C911E4" w:rsidRDefault="004920D8" w:rsidP="00D64955">
            <w:pPr>
              <w:spacing w:before="0" w:after="0"/>
              <w:jc w:val="center"/>
              <w:rPr>
                <w:rFonts w:ascii="Arial" w:hAnsi="Arial" w:cs="Arial"/>
                <w:color w:val="000000"/>
                <w:sz w:val="18"/>
                <w:szCs w:val="18"/>
              </w:rPr>
            </w:pPr>
          </w:p>
        </w:tc>
        <w:tc>
          <w:tcPr>
            <w:tcW w:w="418" w:type="dxa"/>
            <w:shd w:val="clear" w:color="auto" w:fill="F3F9FA"/>
            <w:vAlign w:val="center"/>
          </w:tcPr>
          <w:p w14:paraId="51ECA3B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shd w:val="clear" w:color="auto" w:fill="F3F9FA"/>
            <w:vAlign w:val="center"/>
          </w:tcPr>
          <w:p w14:paraId="7E51BFED"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F3F9FA"/>
            <w:vAlign w:val="center"/>
          </w:tcPr>
          <w:p w14:paraId="213CF17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shd w:val="clear" w:color="auto" w:fill="F3F9FA"/>
            <w:vAlign w:val="center"/>
          </w:tcPr>
          <w:p w14:paraId="3A09352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10" w:type="dxa"/>
            <w:shd w:val="clear" w:color="auto" w:fill="F3F9FA"/>
            <w:vAlign w:val="center"/>
          </w:tcPr>
          <w:p w14:paraId="0E48225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shd w:val="clear" w:color="auto" w:fill="F3F9FA"/>
            <w:vAlign w:val="center"/>
          </w:tcPr>
          <w:p w14:paraId="0059ED93"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6169E885" w14:textId="77777777" w:rsidTr="003E363C">
        <w:trPr>
          <w:trHeight w:val="170"/>
          <w:jc w:val="center"/>
        </w:trPr>
        <w:tc>
          <w:tcPr>
            <w:tcW w:w="1024" w:type="dxa"/>
            <w:vMerge/>
            <w:shd w:val="clear" w:color="auto" w:fill="auto"/>
            <w:noWrap/>
            <w:vAlign w:val="center"/>
          </w:tcPr>
          <w:p w14:paraId="1CE505F0"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1921950C" w14:textId="77777777" w:rsidR="004920D8" w:rsidRPr="00C911E4" w:rsidRDefault="004920D8" w:rsidP="00D64955">
            <w:pPr>
              <w:spacing w:before="0" w:after="0"/>
              <w:jc w:val="center"/>
              <w:rPr>
                <w:rFonts w:ascii="Arial" w:hAnsi="Arial" w:cs="Arial"/>
                <w:color w:val="000000"/>
                <w:sz w:val="18"/>
                <w:szCs w:val="18"/>
              </w:rPr>
            </w:pPr>
          </w:p>
        </w:tc>
        <w:tc>
          <w:tcPr>
            <w:tcW w:w="1079" w:type="dxa"/>
            <w:vMerge w:val="restart"/>
            <w:shd w:val="clear" w:color="auto" w:fill="F3F9FA"/>
            <w:vAlign w:val="center"/>
          </w:tcPr>
          <w:p w14:paraId="385FB6A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Tully / Murray / Herbert</w:t>
            </w:r>
          </w:p>
        </w:tc>
        <w:tc>
          <w:tcPr>
            <w:tcW w:w="1576" w:type="dxa"/>
            <w:vMerge w:val="restart"/>
            <w:shd w:val="clear" w:color="auto" w:fill="F3F9FA"/>
            <w:noWrap/>
            <w:vAlign w:val="center"/>
          </w:tcPr>
          <w:p w14:paraId="4AEE7DC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Mission Beach</w:t>
            </w:r>
          </w:p>
          <w:p w14:paraId="3A5C3115" w14:textId="77777777" w:rsidR="004920D8" w:rsidRPr="00C911E4" w:rsidRDefault="004920D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 xml:space="preserve">coastal </w:t>
            </w:r>
          </w:p>
        </w:tc>
        <w:tc>
          <w:tcPr>
            <w:tcW w:w="674" w:type="dxa"/>
            <w:shd w:val="clear" w:color="auto" w:fill="F3F9FA"/>
            <w:noWrap/>
            <w:vAlign w:val="center"/>
          </w:tcPr>
          <w:p w14:paraId="7DD3BAC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LB1*</w:t>
            </w:r>
          </w:p>
        </w:tc>
        <w:tc>
          <w:tcPr>
            <w:tcW w:w="1579" w:type="dxa"/>
            <w:shd w:val="clear" w:color="auto" w:fill="F3F9FA"/>
            <w:noWrap/>
            <w:vAlign w:val="center"/>
          </w:tcPr>
          <w:p w14:paraId="3EB187C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Lugger Bay</w:t>
            </w:r>
          </w:p>
        </w:tc>
        <w:tc>
          <w:tcPr>
            <w:tcW w:w="486" w:type="dxa"/>
            <w:shd w:val="clear" w:color="auto" w:fill="F3F9FA"/>
            <w:noWrap/>
            <w:vAlign w:val="center"/>
          </w:tcPr>
          <w:p w14:paraId="3BB3110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17°</w:t>
            </w:r>
          </w:p>
        </w:tc>
        <w:tc>
          <w:tcPr>
            <w:tcW w:w="830" w:type="dxa"/>
            <w:shd w:val="clear" w:color="auto" w:fill="F3F9FA"/>
            <w:noWrap/>
            <w:vAlign w:val="bottom"/>
          </w:tcPr>
          <w:p w14:paraId="5FA1C9D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57.645</w:t>
            </w:r>
          </w:p>
        </w:tc>
        <w:tc>
          <w:tcPr>
            <w:tcW w:w="576" w:type="dxa"/>
            <w:shd w:val="clear" w:color="auto" w:fill="F3F9FA"/>
            <w:noWrap/>
            <w:vAlign w:val="center"/>
          </w:tcPr>
          <w:p w14:paraId="5CC8CD5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F3F9FA"/>
            <w:noWrap/>
            <w:vAlign w:val="bottom"/>
          </w:tcPr>
          <w:p w14:paraId="1E7B529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5.603</w:t>
            </w:r>
          </w:p>
        </w:tc>
        <w:tc>
          <w:tcPr>
            <w:tcW w:w="481" w:type="dxa"/>
            <w:vMerge w:val="restart"/>
            <w:shd w:val="clear" w:color="auto" w:fill="F3F9FA"/>
            <w:noWrap/>
            <w:vAlign w:val="center"/>
          </w:tcPr>
          <w:p w14:paraId="7C1C0A3F"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F3F9FA"/>
            <w:vAlign w:val="center"/>
          </w:tcPr>
          <w:p w14:paraId="5AC21735"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F3F9FA"/>
            <w:vAlign w:val="center"/>
          </w:tcPr>
          <w:p w14:paraId="63014410"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429D04A9"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1CC8A1F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57FB0B2D"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54E893E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F3F9FA"/>
            <w:vAlign w:val="center"/>
          </w:tcPr>
          <w:p w14:paraId="797E63CC"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F3F9FA"/>
            <w:vAlign w:val="center"/>
          </w:tcPr>
          <w:p w14:paraId="00C77E60"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0047E6B2"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6247F96A" w14:textId="77777777" w:rsidTr="003E363C">
        <w:trPr>
          <w:trHeight w:val="170"/>
          <w:jc w:val="center"/>
        </w:trPr>
        <w:tc>
          <w:tcPr>
            <w:tcW w:w="1024" w:type="dxa"/>
            <w:vMerge/>
            <w:shd w:val="clear" w:color="auto" w:fill="auto"/>
            <w:noWrap/>
            <w:vAlign w:val="center"/>
          </w:tcPr>
          <w:p w14:paraId="370A21F3"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1AC53D5F"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1BD0340A"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1D6924E6"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65B9470C" w14:textId="77777777" w:rsidR="004920D8" w:rsidRPr="00C911E4" w:rsidRDefault="004920D8" w:rsidP="00D64955">
            <w:pPr>
              <w:spacing w:before="0" w:after="0"/>
              <w:jc w:val="center"/>
              <w:rPr>
                <w:rFonts w:ascii="Arial" w:hAnsi="Arial" w:cs="Arial"/>
                <w:iCs/>
                <w:color w:val="000000"/>
                <w:sz w:val="18"/>
                <w:szCs w:val="18"/>
              </w:rPr>
            </w:pPr>
            <w:r w:rsidRPr="00C911E4">
              <w:rPr>
                <w:rFonts w:ascii="Arial" w:hAnsi="Arial" w:cs="Arial"/>
                <w:iCs/>
                <w:color w:val="000000"/>
                <w:sz w:val="18"/>
                <w:szCs w:val="18"/>
              </w:rPr>
              <w:t>LB2*</w:t>
            </w:r>
          </w:p>
        </w:tc>
        <w:tc>
          <w:tcPr>
            <w:tcW w:w="1579" w:type="dxa"/>
            <w:shd w:val="clear" w:color="auto" w:fill="F3F9FA"/>
            <w:noWrap/>
            <w:vAlign w:val="center"/>
          </w:tcPr>
          <w:p w14:paraId="0FE779B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Lugger Bay</w:t>
            </w:r>
          </w:p>
        </w:tc>
        <w:tc>
          <w:tcPr>
            <w:tcW w:w="486" w:type="dxa"/>
            <w:shd w:val="clear" w:color="auto" w:fill="F3F9FA"/>
            <w:noWrap/>
            <w:vAlign w:val="center"/>
          </w:tcPr>
          <w:p w14:paraId="3E36347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17°</w:t>
            </w:r>
          </w:p>
        </w:tc>
        <w:tc>
          <w:tcPr>
            <w:tcW w:w="830" w:type="dxa"/>
            <w:shd w:val="clear" w:color="auto" w:fill="F3F9FA"/>
            <w:noWrap/>
            <w:vAlign w:val="bottom"/>
          </w:tcPr>
          <w:p w14:paraId="40873C7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57.672</w:t>
            </w:r>
          </w:p>
        </w:tc>
        <w:tc>
          <w:tcPr>
            <w:tcW w:w="576" w:type="dxa"/>
            <w:shd w:val="clear" w:color="auto" w:fill="F3F9FA"/>
            <w:noWrap/>
            <w:vAlign w:val="center"/>
          </w:tcPr>
          <w:p w14:paraId="1F2700B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F3F9FA"/>
            <w:noWrap/>
            <w:vAlign w:val="bottom"/>
          </w:tcPr>
          <w:p w14:paraId="3653266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5.626</w:t>
            </w:r>
          </w:p>
        </w:tc>
        <w:tc>
          <w:tcPr>
            <w:tcW w:w="481" w:type="dxa"/>
            <w:vMerge/>
            <w:shd w:val="clear" w:color="auto" w:fill="F3F9FA"/>
            <w:noWrap/>
            <w:vAlign w:val="center"/>
          </w:tcPr>
          <w:p w14:paraId="2EF5008E"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F3F9FA"/>
            <w:vAlign w:val="center"/>
          </w:tcPr>
          <w:p w14:paraId="082317D6"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455634D3"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F3F9FA"/>
            <w:vAlign w:val="center"/>
          </w:tcPr>
          <w:p w14:paraId="17355274"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F3F9FA"/>
            <w:vAlign w:val="center"/>
          </w:tcPr>
          <w:p w14:paraId="73A8F0C6"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3329C475"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64627EF7"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F3F9FA"/>
            <w:vAlign w:val="center"/>
          </w:tcPr>
          <w:p w14:paraId="31ADA7FE"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F3F9FA"/>
            <w:vAlign w:val="center"/>
          </w:tcPr>
          <w:p w14:paraId="6E128214"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57152C0E"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0476A0F5" w14:textId="77777777" w:rsidTr="003E363C">
        <w:trPr>
          <w:trHeight w:val="170"/>
          <w:jc w:val="center"/>
        </w:trPr>
        <w:tc>
          <w:tcPr>
            <w:tcW w:w="1024" w:type="dxa"/>
            <w:vMerge/>
            <w:shd w:val="clear" w:color="auto" w:fill="auto"/>
            <w:noWrap/>
            <w:vAlign w:val="center"/>
          </w:tcPr>
          <w:p w14:paraId="7E3839A9"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4E0906A6"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4B50EAB1" w14:textId="77777777" w:rsidR="004920D8" w:rsidRPr="00C911E4" w:rsidRDefault="004920D8" w:rsidP="00D64955">
            <w:pPr>
              <w:spacing w:before="0" w:after="0"/>
              <w:jc w:val="center"/>
              <w:rPr>
                <w:rFonts w:ascii="Arial" w:hAnsi="Arial" w:cs="Arial"/>
                <w:color w:val="000000"/>
                <w:sz w:val="18"/>
                <w:szCs w:val="18"/>
              </w:rPr>
            </w:pPr>
          </w:p>
        </w:tc>
        <w:tc>
          <w:tcPr>
            <w:tcW w:w="1576" w:type="dxa"/>
            <w:vMerge w:val="restart"/>
            <w:shd w:val="clear" w:color="auto" w:fill="F3F9FA"/>
            <w:noWrap/>
            <w:vAlign w:val="center"/>
          </w:tcPr>
          <w:p w14:paraId="7A4860B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Dunk Island</w:t>
            </w:r>
          </w:p>
          <w:p w14:paraId="45B33335" w14:textId="77777777" w:rsidR="004920D8" w:rsidRPr="00C911E4" w:rsidRDefault="004920D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reef</w:t>
            </w:r>
          </w:p>
        </w:tc>
        <w:tc>
          <w:tcPr>
            <w:tcW w:w="674" w:type="dxa"/>
            <w:shd w:val="clear" w:color="auto" w:fill="F3F9FA"/>
            <w:noWrap/>
            <w:vAlign w:val="center"/>
          </w:tcPr>
          <w:p w14:paraId="06C0534C" w14:textId="77777777" w:rsidR="004920D8" w:rsidRPr="00C911E4" w:rsidRDefault="004920D8" w:rsidP="00D64955">
            <w:pPr>
              <w:spacing w:before="0" w:after="0"/>
              <w:jc w:val="center"/>
              <w:rPr>
                <w:rFonts w:ascii="Arial" w:hAnsi="Arial" w:cs="Arial"/>
                <w:iCs/>
                <w:color w:val="000000"/>
                <w:sz w:val="18"/>
                <w:szCs w:val="18"/>
              </w:rPr>
            </w:pPr>
            <w:r w:rsidRPr="00C911E4">
              <w:rPr>
                <w:rFonts w:ascii="Arial" w:hAnsi="Arial" w:cs="Arial"/>
                <w:iCs/>
                <w:color w:val="000000"/>
                <w:sz w:val="18"/>
                <w:szCs w:val="18"/>
              </w:rPr>
              <w:t>DI1*</w:t>
            </w:r>
          </w:p>
        </w:tc>
        <w:tc>
          <w:tcPr>
            <w:tcW w:w="1579" w:type="dxa"/>
            <w:shd w:val="clear" w:color="auto" w:fill="F3F9FA"/>
            <w:noWrap/>
            <w:vAlign w:val="center"/>
          </w:tcPr>
          <w:p w14:paraId="1B48325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Pallon Beach</w:t>
            </w:r>
          </w:p>
        </w:tc>
        <w:tc>
          <w:tcPr>
            <w:tcW w:w="486" w:type="dxa"/>
            <w:shd w:val="clear" w:color="auto" w:fill="F3F9FA"/>
            <w:noWrap/>
            <w:vAlign w:val="center"/>
          </w:tcPr>
          <w:p w14:paraId="3BBF57F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17°</w:t>
            </w:r>
          </w:p>
        </w:tc>
        <w:tc>
          <w:tcPr>
            <w:tcW w:w="830" w:type="dxa"/>
            <w:shd w:val="clear" w:color="auto" w:fill="F3F9FA"/>
            <w:noWrap/>
            <w:vAlign w:val="bottom"/>
          </w:tcPr>
          <w:p w14:paraId="369E995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56.646</w:t>
            </w:r>
          </w:p>
        </w:tc>
        <w:tc>
          <w:tcPr>
            <w:tcW w:w="576" w:type="dxa"/>
            <w:shd w:val="clear" w:color="auto" w:fill="F3F9FA"/>
            <w:noWrap/>
            <w:vAlign w:val="center"/>
          </w:tcPr>
          <w:p w14:paraId="7D6C723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F3F9FA"/>
            <w:noWrap/>
            <w:vAlign w:val="bottom"/>
          </w:tcPr>
          <w:p w14:paraId="4465C3B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8.452</w:t>
            </w:r>
          </w:p>
        </w:tc>
        <w:tc>
          <w:tcPr>
            <w:tcW w:w="481" w:type="dxa"/>
            <w:vMerge w:val="restart"/>
            <w:shd w:val="clear" w:color="auto" w:fill="F3F9FA"/>
            <w:noWrap/>
            <w:vAlign w:val="center"/>
          </w:tcPr>
          <w:p w14:paraId="0F128F3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2" w:type="dxa"/>
            <w:vMerge w:val="restart"/>
            <w:shd w:val="clear" w:color="auto" w:fill="F3F9FA"/>
            <w:vAlign w:val="center"/>
          </w:tcPr>
          <w:p w14:paraId="560CDFE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8" w:type="dxa"/>
            <w:vMerge w:val="restart"/>
            <w:shd w:val="clear" w:color="auto" w:fill="F3F9FA"/>
            <w:vAlign w:val="center"/>
          </w:tcPr>
          <w:p w14:paraId="46F5D611"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60221268"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1628FD8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3D9293B6"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3B39700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F3F9FA"/>
            <w:vAlign w:val="center"/>
          </w:tcPr>
          <w:p w14:paraId="258B9E40"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F3F9FA"/>
            <w:vAlign w:val="center"/>
          </w:tcPr>
          <w:p w14:paraId="7842D1B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vMerge w:val="restart"/>
            <w:shd w:val="clear" w:color="auto" w:fill="F3F9FA"/>
            <w:vAlign w:val="center"/>
          </w:tcPr>
          <w:p w14:paraId="36736857"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73E4A33F" w14:textId="77777777" w:rsidTr="003E363C">
        <w:trPr>
          <w:trHeight w:val="170"/>
          <w:jc w:val="center"/>
        </w:trPr>
        <w:tc>
          <w:tcPr>
            <w:tcW w:w="1024" w:type="dxa"/>
            <w:vMerge/>
            <w:shd w:val="clear" w:color="auto" w:fill="auto"/>
            <w:noWrap/>
            <w:vAlign w:val="center"/>
          </w:tcPr>
          <w:p w14:paraId="56099831"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49206AB0"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7BA9C870"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3B7B5D1C"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06AFCEB9" w14:textId="77777777" w:rsidR="004920D8" w:rsidRPr="00C911E4" w:rsidRDefault="004920D8" w:rsidP="00D64955">
            <w:pPr>
              <w:spacing w:before="0" w:after="0"/>
              <w:jc w:val="center"/>
              <w:rPr>
                <w:rFonts w:ascii="Arial" w:hAnsi="Arial" w:cs="Arial"/>
                <w:iCs/>
                <w:color w:val="000000"/>
                <w:sz w:val="18"/>
                <w:szCs w:val="18"/>
              </w:rPr>
            </w:pPr>
            <w:r w:rsidRPr="00C911E4">
              <w:rPr>
                <w:rFonts w:ascii="Arial" w:hAnsi="Arial" w:cs="Arial"/>
                <w:iCs/>
                <w:color w:val="000000"/>
                <w:sz w:val="18"/>
                <w:szCs w:val="18"/>
              </w:rPr>
              <w:t>DI2*</w:t>
            </w:r>
          </w:p>
        </w:tc>
        <w:tc>
          <w:tcPr>
            <w:tcW w:w="1579" w:type="dxa"/>
            <w:shd w:val="clear" w:color="auto" w:fill="F3F9FA"/>
            <w:noWrap/>
            <w:vAlign w:val="center"/>
          </w:tcPr>
          <w:p w14:paraId="219A30A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Pallon Beach</w:t>
            </w:r>
          </w:p>
        </w:tc>
        <w:tc>
          <w:tcPr>
            <w:tcW w:w="486" w:type="dxa"/>
            <w:shd w:val="clear" w:color="auto" w:fill="F3F9FA"/>
            <w:noWrap/>
            <w:vAlign w:val="center"/>
          </w:tcPr>
          <w:p w14:paraId="3348446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17°</w:t>
            </w:r>
          </w:p>
        </w:tc>
        <w:tc>
          <w:tcPr>
            <w:tcW w:w="830" w:type="dxa"/>
            <w:shd w:val="clear" w:color="auto" w:fill="F3F9FA"/>
            <w:noWrap/>
            <w:vAlign w:val="bottom"/>
          </w:tcPr>
          <w:p w14:paraId="76756BA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56.734</w:t>
            </w:r>
          </w:p>
        </w:tc>
        <w:tc>
          <w:tcPr>
            <w:tcW w:w="576" w:type="dxa"/>
            <w:shd w:val="clear" w:color="auto" w:fill="F3F9FA"/>
            <w:noWrap/>
            <w:vAlign w:val="center"/>
          </w:tcPr>
          <w:p w14:paraId="11AEC02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F3F9FA"/>
            <w:noWrap/>
            <w:vAlign w:val="bottom"/>
          </w:tcPr>
          <w:p w14:paraId="780E68B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8.450</w:t>
            </w:r>
          </w:p>
        </w:tc>
        <w:tc>
          <w:tcPr>
            <w:tcW w:w="481" w:type="dxa"/>
            <w:vMerge/>
            <w:shd w:val="clear" w:color="auto" w:fill="F3F9FA"/>
            <w:noWrap/>
            <w:vAlign w:val="center"/>
          </w:tcPr>
          <w:p w14:paraId="5BD4186F"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F3F9FA"/>
            <w:vAlign w:val="center"/>
          </w:tcPr>
          <w:p w14:paraId="72BA4026"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6E3BEC3C"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F3F9FA"/>
            <w:vAlign w:val="center"/>
          </w:tcPr>
          <w:p w14:paraId="0BE2B283"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F3F9FA"/>
            <w:vAlign w:val="center"/>
          </w:tcPr>
          <w:p w14:paraId="12E6F0AF"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40AC19AE"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2561F337"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F3F9FA"/>
            <w:vAlign w:val="center"/>
          </w:tcPr>
          <w:p w14:paraId="39BC5800"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F3F9FA"/>
            <w:vAlign w:val="center"/>
          </w:tcPr>
          <w:p w14:paraId="0988DBBC"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626265B4"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1A09819A" w14:textId="77777777" w:rsidTr="003E363C">
        <w:trPr>
          <w:trHeight w:val="170"/>
          <w:jc w:val="center"/>
        </w:trPr>
        <w:tc>
          <w:tcPr>
            <w:tcW w:w="1024" w:type="dxa"/>
            <w:vMerge/>
            <w:shd w:val="clear" w:color="auto" w:fill="auto"/>
            <w:noWrap/>
            <w:vAlign w:val="center"/>
          </w:tcPr>
          <w:p w14:paraId="2557A791"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2EC42CEF"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36FC9CB3"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14144AA2"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697FE6E4" w14:textId="77777777" w:rsidR="004920D8" w:rsidRPr="00C911E4" w:rsidRDefault="004920D8" w:rsidP="00D64955">
            <w:pPr>
              <w:spacing w:before="0" w:after="0"/>
              <w:jc w:val="center"/>
              <w:rPr>
                <w:rFonts w:ascii="Arial" w:hAnsi="Arial" w:cs="Arial"/>
                <w:iCs/>
                <w:color w:val="000000"/>
                <w:sz w:val="18"/>
                <w:szCs w:val="18"/>
              </w:rPr>
            </w:pPr>
            <w:r w:rsidRPr="00C911E4">
              <w:rPr>
                <w:rFonts w:ascii="Arial" w:hAnsi="Arial" w:cs="Arial"/>
                <w:iCs/>
                <w:color w:val="000000"/>
                <w:sz w:val="18"/>
                <w:szCs w:val="18"/>
              </w:rPr>
              <w:t>DI3^</w:t>
            </w:r>
          </w:p>
        </w:tc>
        <w:tc>
          <w:tcPr>
            <w:tcW w:w="1579" w:type="dxa"/>
            <w:shd w:val="clear" w:color="auto" w:fill="F3F9FA"/>
            <w:noWrap/>
            <w:vAlign w:val="center"/>
          </w:tcPr>
          <w:p w14:paraId="6AC9A1F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Brammo Bay</w:t>
            </w:r>
          </w:p>
        </w:tc>
        <w:tc>
          <w:tcPr>
            <w:tcW w:w="486" w:type="dxa"/>
            <w:shd w:val="clear" w:color="auto" w:fill="F3F9FA"/>
            <w:noWrap/>
            <w:vAlign w:val="center"/>
          </w:tcPr>
          <w:p w14:paraId="5456E16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17°</w:t>
            </w:r>
          </w:p>
        </w:tc>
        <w:tc>
          <w:tcPr>
            <w:tcW w:w="830" w:type="dxa"/>
            <w:shd w:val="clear" w:color="auto" w:fill="F3F9FA"/>
            <w:noWrap/>
            <w:vAlign w:val="bottom"/>
          </w:tcPr>
          <w:p w14:paraId="241255F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55.910</w:t>
            </w:r>
          </w:p>
        </w:tc>
        <w:tc>
          <w:tcPr>
            <w:tcW w:w="576" w:type="dxa"/>
            <w:shd w:val="clear" w:color="auto" w:fill="F3F9FA"/>
            <w:noWrap/>
            <w:vAlign w:val="center"/>
          </w:tcPr>
          <w:p w14:paraId="6E795A0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F3F9FA"/>
            <w:noWrap/>
            <w:vAlign w:val="bottom"/>
          </w:tcPr>
          <w:p w14:paraId="40804C5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8.417</w:t>
            </w:r>
          </w:p>
        </w:tc>
        <w:tc>
          <w:tcPr>
            <w:tcW w:w="481" w:type="dxa"/>
            <w:shd w:val="clear" w:color="auto" w:fill="F3F9FA"/>
            <w:noWrap/>
            <w:vAlign w:val="center"/>
          </w:tcPr>
          <w:p w14:paraId="14FE42B6" w14:textId="77777777" w:rsidR="004920D8" w:rsidRPr="00C911E4" w:rsidRDefault="004920D8" w:rsidP="00D64955">
            <w:pPr>
              <w:spacing w:before="0" w:after="0"/>
              <w:jc w:val="center"/>
              <w:rPr>
                <w:rFonts w:ascii="Arial" w:hAnsi="Arial" w:cs="Arial"/>
                <w:color w:val="000000"/>
                <w:sz w:val="18"/>
                <w:szCs w:val="18"/>
              </w:rPr>
            </w:pPr>
          </w:p>
        </w:tc>
        <w:tc>
          <w:tcPr>
            <w:tcW w:w="402" w:type="dxa"/>
            <w:shd w:val="clear" w:color="auto" w:fill="F3F9FA"/>
            <w:vAlign w:val="center"/>
          </w:tcPr>
          <w:p w14:paraId="7951F90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8" w:type="dxa"/>
            <w:shd w:val="clear" w:color="auto" w:fill="F3F9FA"/>
            <w:vAlign w:val="center"/>
          </w:tcPr>
          <w:p w14:paraId="58CCB673" w14:textId="77777777" w:rsidR="004920D8" w:rsidRPr="00C911E4" w:rsidRDefault="004920D8" w:rsidP="00D64955">
            <w:pPr>
              <w:spacing w:before="0" w:after="0"/>
              <w:jc w:val="center"/>
              <w:rPr>
                <w:rFonts w:ascii="Arial" w:hAnsi="Arial" w:cs="Arial"/>
                <w:color w:val="000000"/>
                <w:sz w:val="18"/>
                <w:szCs w:val="18"/>
              </w:rPr>
            </w:pPr>
          </w:p>
        </w:tc>
        <w:tc>
          <w:tcPr>
            <w:tcW w:w="416" w:type="dxa"/>
            <w:shd w:val="clear" w:color="auto" w:fill="F3F9FA"/>
            <w:vAlign w:val="center"/>
          </w:tcPr>
          <w:p w14:paraId="4080395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18" w:type="dxa"/>
            <w:shd w:val="clear" w:color="auto" w:fill="F3F9FA"/>
            <w:vAlign w:val="center"/>
          </w:tcPr>
          <w:p w14:paraId="12237C3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shd w:val="clear" w:color="auto" w:fill="F3F9FA"/>
            <w:vAlign w:val="center"/>
          </w:tcPr>
          <w:p w14:paraId="7662299E"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F3F9FA"/>
            <w:vAlign w:val="center"/>
          </w:tcPr>
          <w:p w14:paraId="2EE37D1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shd w:val="clear" w:color="auto" w:fill="F3F9FA"/>
            <w:vAlign w:val="center"/>
          </w:tcPr>
          <w:p w14:paraId="6842F4BB" w14:textId="77777777" w:rsidR="004920D8" w:rsidRPr="00C911E4" w:rsidRDefault="004920D8" w:rsidP="00D64955">
            <w:pPr>
              <w:spacing w:before="0" w:after="0"/>
              <w:jc w:val="center"/>
              <w:rPr>
                <w:rFonts w:ascii="Arial" w:hAnsi="Arial" w:cs="Arial"/>
                <w:color w:val="000000"/>
                <w:sz w:val="18"/>
                <w:szCs w:val="18"/>
              </w:rPr>
            </w:pPr>
          </w:p>
        </w:tc>
        <w:tc>
          <w:tcPr>
            <w:tcW w:w="410" w:type="dxa"/>
            <w:shd w:val="clear" w:color="auto" w:fill="F3F9FA"/>
            <w:vAlign w:val="center"/>
          </w:tcPr>
          <w:p w14:paraId="6BB3A32A"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F3F9FA"/>
            <w:vAlign w:val="center"/>
          </w:tcPr>
          <w:p w14:paraId="65877E69"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42F68782" w14:textId="77777777" w:rsidTr="003E363C">
        <w:trPr>
          <w:trHeight w:val="170"/>
          <w:jc w:val="center"/>
        </w:trPr>
        <w:tc>
          <w:tcPr>
            <w:tcW w:w="1024" w:type="dxa"/>
            <w:vMerge w:val="restart"/>
            <w:shd w:val="clear" w:color="auto" w:fill="auto"/>
            <w:noWrap/>
            <w:vAlign w:val="center"/>
          </w:tcPr>
          <w:p w14:paraId="79BDA34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Central</w:t>
            </w:r>
          </w:p>
        </w:tc>
        <w:tc>
          <w:tcPr>
            <w:tcW w:w="1523" w:type="dxa"/>
            <w:vMerge w:val="restart"/>
            <w:shd w:val="clear" w:color="auto" w:fill="E7F3F4"/>
            <w:noWrap/>
            <w:vAlign w:val="center"/>
          </w:tcPr>
          <w:p w14:paraId="7B2E76D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Burdekin</w:t>
            </w:r>
          </w:p>
          <w:p w14:paraId="40922D6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w:t>
            </w:r>
            <w:r w:rsidRPr="00C911E4">
              <w:rPr>
                <w:rFonts w:ascii="Arial" w:hAnsi="Arial" w:cs="Arial"/>
                <w:i/>
                <w:color w:val="000000"/>
                <w:sz w:val="18"/>
                <w:szCs w:val="18"/>
              </w:rPr>
              <w:t>NQ Dry Tropics</w:t>
            </w:r>
            <w:r w:rsidRPr="00C911E4">
              <w:rPr>
                <w:rFonts w:ascii="Arial" w:hAnsi="Arial" w:cs="Arial"/>
                <w:color w:val="000000"/>
                <w:sz w:val="18"/>
                <w:szCs w:val="18"/>
              </w:rPr>
              <w:t>)</w:t>
            </w:r>
          </w:p>
        </w:tc>
        <w:tc>
          <w:tcPr>
            <w:tcW w:w="1079" w:type="dxa"/>
            <w:vMerge w:val="restart"/>
            <w:shd w:val="clear" w:color="auto" w:fill="E7F3F4"/>
            <w:vAlign w:val="center"/>
          </w:tcPr>
          <w:p w14:paraId="42E3FE9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Ross / Burdekin</w:t>
            </w:r>
          </w:p>
        </w:tc>
        <w:tc>
          <w:tcPr>
            <w:tcW w:w="1576" w:type="dxa"/>
            <w:vMerge w:val="restart"/>
            <w:shd w:val="clear" w:color="auto" w:fill="E7F3F4"/>
            <w:noWrap/>
            <w:vAlign w:val="center"/>
          </w:tcPr>
          <w:p w14:paraId="3FABAA1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Magnetic island</w:t>
            </w:r>
          </w:p>
          <w:p w14:paraId="37A94B7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reef</w:t>
            </w:r>
          </w:p>
        </w:tc>
        <w:tc>
          <w:tcPr>
            <w:tcW w:w="674" w:type="dxa"/>
            <w:shd w:val="clear" w:color="auto" w:fill="E7F3F4"/>
            <w:noWrap/>
            <w:vAlign w:val="center"/>
          </w:tcPr>
          <w:p w14:paraId="74C1BC0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MI1*</w:t>
            </w:r>
          </w:p>
        </w:tc>
        <w:tc>
          <w:tcPr>
            <w:tcW w:w="1579" w:type="dxa"/>
            <w:shd w:val="clear" w:color="auto" w:fill="E7F3F4"/>
            <w:noWrap/>
            <w:vAlign w:val="center"/>
          </w:tcPr>
          <w:p w14:paraId="4757F6B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Picnic Bay</w:t>
            </w:r>
          </w:p>
        </w:tc>
        <w:tc>
          <w:tcPr>
            <w:tcW w:w="486" w:type="dxa"/>
            <w:shd w:val="clear" w:color="auto" w:fill="E7F3F4"/>
            <w:noWrap/>
            <w:vAlign w:val="center"/>
          </w:tcPr>
          <w:p w14:paraId="149FD88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19°</w:t>
            </w:r>
          </w:p>
        </w:tc>
        <w:tc>
          <w:tcPr>
            <w:tcW w:w="830" w:type="dxa"/>
            <w:shd w:val="clear" w:color="auto" w:fill="E7F3F4"/>
            <w:noWrap/>
            <w:vAlign w:val="bottom"/>
          </w:tcPr>
          <w:p w14:paraId="53420F3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10.752</w:t>
            </w:r>
          </w:p>
        </w:tc>
        <w:tc>
          <w:tcPr>
            <w:tcW w:w="576" w:type="dxa"/>
            <w:shd w:val="clear" w:color="auto" w:fill="E7F3F4"/>
            <w:noWrap/>
            <w:vAlign w:val="center"/>
          </w:tcPr>
          <w:p w14:paraId="284F04A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E7F3F4"/>
            <w:noWrap/>
            <w:vAlign w:val="bottom"/>
          </w:tcPr>
          <w:p w14:paraId="7A7259A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50.480</w:t>
            </w:r>
          </w:p>
        </w:tc>
        <w:tc>
          <w:tcPr>
            <w:tcW w:w="481" w:type="dxa"/>
            <w:shd w:val="clear" w:color="auto" w:fill="E7F3F4"/>
            <w:noWrap/>
            <w:vAlign w:val="center"/>
          </w:tcPr>
          <w:p w14:paraId="0FE727FA" w14:textId="77777777" w:rsidR="004920D8" w:rsidRPr="00C911E4" w:rsidRDefault="004920D8" w:rsidP="00D64955">
            <w:pPr>
              <w:spacing w:before="0" w:after="0"/>
              <w:jc w:val="center"/>
              <w:rPr>
                <w:rFonts w:ascii="Arial" w:hAnsi="Arial" w:cs="Arial"/>
                <w:color w:val="000000"/>
                <w:sz w:val="18"/>
                <w:szCs w:val="18"/>
              </w:rPr>
            </w:pPr>
          </w:p>
        </w:tc>
        <w:tc>
          <w:tcPr>
            <w:tcW w:w="402" w:type="dxa"/>
            <w:shd w:val="clear" w:color="auto" w:fill="E7F3F4"/>
            <w:vAlign w:val="center"/>
          </w:tcPr>
          <w:p w14:paraId="31F56B7A" w14:textId="77777777" w:rsidR="004920D8" w:rsidRPr="00C911E4" w:rsidRDefault="004920D8" w:rsidP="00D64955">
            <w:pPr>
              <w:spacing w:before="0" w:after="0"/>
              <w:jc w:val="center"/>
              <w:rPr>
                <w:rFonts w:ascii="Arial" w:hAnsi="Arial" w:cs="Arial"/>
                <w:color w:val="000000"/>
                <w:sz w:val="18"/>
                <w:szCs w:val="18"/>
              </w:rPr>
            </w:pPr>
          </w:p>
        </w:tc>
        <w:tc>
          <w:tcPr>
            <w:tcW w:w="408" w:type="dxa"/>
            <w:shd w:val="clear" w:color="auto" w:fill="E7F3F4"/>
            <w:vAlign w:val="center"/>
          </w:tcPr>
          <w:p w14:paraId="2F28F001" w14:textId="77777777" w:rsidR="004920D8" w:rsidRPr="00C911E4" w:rsidRDefault="004920D8" w:rsidP="00D64955">
            <w:pPr>
              <w:spacing w:before="0" w:after="0"/>
              <w:jc w:val="center"/>
              <w:rPr>
                <w:rFonts w:ascii="Arial" w:hAnsi="Arial" w:cs="Arial"/>
                <w:color w:val="000000"/>
                <w:sz w:val="18"/>
                <w:szCs w:val="18"/>
              </w:rPr>
            </w:pPr>
          </w:p>
        </w:tc>
        <w:tc>
          <w:tcPr>
            <w:tcW w:w="416" w:type="dxa"/>
            <w:shd w:val="clear" w:color="auto" w:fill="E7F3F4"/>
            <w:vAlign w:val="center"/>
          </w:tcPr>
          <w:p w14:paraId="508C112E" w14:textId="77777777" w:rsidR="004920D8" w:rsidRPr="00C911E4" w:rsidRDefault="004920D8" w:rsidP="00D64955">
            <w:pPr>
              <w:spacing w:before="0" w:after="0"/>
              <w:jc w:val="center"/>
              <w:rPr>
                <w:rFonts w:ascii="Arial" w:hAnsi="Arial" w:cs="Arial"/>
                <w:color w:val="000000"/>
                <w:sz w:val="18"/>
                <w:szCs w:val="18"/>
              </w:rPr>
            </w:pPr>
          </w:p>
        </w:tc>
        <w:tc>
          <w:tcPr>
            <w:tcW w:w="418" w:type="dxa"/>
            <w:shd w:val="clear" w:color="auto" w:fill="E7F3F4"/>
            <w:vAlign w:val="center"/>
          </w:tcPr>
          <w:p w14:paraId="287C021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shd w:val="clear" w:color="auto" w:fill="E7F3F4"/>
            <w:vAlign w:val="center"/>
          </w:tcPr>
          <w:p w14:paraId="38698AF8"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E7F3F4"/>
            <w:vAlign w:val="center"/>
          </w:tcPr>
          <w:p w14:paraId="440518A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shd w:val="clear" w:color="auto" w:fill="E7F3F4"/>
            <w:vAlign w:val="center"/>
          </w:tcPr>
          <w:p w14:paraId="12904A64" w14:textId="77777777" w:rsidR="004920D8" w:rsidRPr="00C911E4" w:rsidRDefault="004920D8" w:rsidP="00D64955">
            <w:pPr>
              <w:spacing w:before="0" w:after="0"/>
              <w:jc w:val="center"/>
              <w:rPr>
                <w:rFonts w:ascii="Arial" w:hAnsi="Arial" w:cs="Arial"/>
                <w:color w:val="000000"/>
                <w:sz w:val="18"/>
                <w:szCs w:val="18"/>
              </w:rPr>
            </w:pPr>
          </w:p>
        </w:tc>
        <w:tc>
          <w:tcPr>
            <w:tcW w:w="410" w:type="dxa"/>
            <w:shd w:val="clear" w:color="auto" w:fill="E7F3F4"/>
            <w:vAlign w:val="center"/>
          </w:tcPr>
          <w:p w14:paraId="448291E1"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E7F3F4"/>
            <w:vAlign w:val="center"/>
          </w:tcPr>
          <w:p w14:paraId="60233D60" w14:textId="2CE8AF71" w:rsidR="004920D8" w:rsidRPr="00C911E4" w:rsidRDefault="004920D8" w:rsidP="0032514D">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r>
      <w:tr w:rsidR="004920D8" w:rsidRPr="00C911E4" w14:paraId="6A5BF1D3" w14:textId="77777777" w:rsidTr="003E363C">
        <w:trPr>
          <w:trHeight w:val="170"/>
          <w:jc w:val="center"/>
        </w:trPr>
        <w:tc>
          <w:tcPr>
            <w:tcW w:w="1024" w:type="dxa"/>
            <w:vMerge/>
            <w:shd w:val="clear" w:color="auto" w:fill="auto"/>
            <w:noWrap/>
            <w:vAlign w:val="center"/>
          </w:tcPr>
          <w:p w14:paraId="06B954D5"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0EF81140"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5DBA7B9F"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56256584"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73B4623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MI2*</w:t>
            </w:r>
          </w:p>
        </w:tc>
        <w:tc>
          <w:tcPr>
            <w:tcW w:w="1579" w:type="dxa"/>
            <w:shd w:val="clear" w:color="auto" w:fill="E7F3F4"/>
            <w:noWrap/>
            <w:vAlign w:val="center"/>
          </w:tcPr>
          <w:p w14:paraId="6A292CC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Cockle Bay</w:t>
            </w:r>
          </w:p>
        </w:tc>
        <w:tc>
          <w:tcPr>
            <w:tcW w:w="486" w:type="dxa"/>
            <w:shd w:val="clear" w:color="auto" w:fill="E7F3F4"/>
            <w:noWrap/>
            <w:vAlign w:val="center"/>
          </w:tcPr>
          <w:p w14:paraId="48A7A2B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19°</w:t>
            </w:r>
          </w:p>
        </w:tc>
        <w:tc>
          <w:tcPr>
            <w:tcW w:w="830" w:type="dxa"/>
            <w:shd w:val="clear" w:color="auto" w:fill="E7F3F4"/>
            <w:noWrap/>
            <w:vAlign w:val="bottom"/>
          </w:tcPr>
          <w:p w14:paraId="621AFB5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10.621</w:t>
            </w:r>
          </w:p>
        </w:tc>
        <w:tc>
          <w:tcPr>
            <w:tcW w:w="576" w:type="dxa"/>
            <w:shd w:val="clear" w:color="auto" w:fill="E7F3F4"/>
            <w:noWrap/>
            <w:vAlign w:val="center"/>
          </w:tcPr>
          <w:p w14:paraId="4028E17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E7F3F4"/>
            <w:noWrap/>
            <w:vAlign w:val="bottom"/>
          </w:tcPr>
          <w:p w14:paraId="7B5D85A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49.730</w:t>
            </w:r>
          </w:p>
        </w:tc>
        <w:tc>
          <w:tcPr>
            <w:tcW w:w="481" w:type="dxa"/>
            <w:shd w:val="clear" w:color="auto" w:fill="E7F3F4"/>
            <w:noWrap/>
            <w:vAlign w:val="center"/>
          </w:tcPr>
          <w:p w14:paraId="4DDDADE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2" w:type="dxa"/>
            <w:shd w:val="clear" w:color="auto" w:fill="E7F3F4"/>
            <w:vAlign w:val="center"/>
          </w:tcPr>
          <w:p w14:paraId="4C64C34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8" w:type="dxa"/>
            <w:shd w:val="clear" w:color="auto" w:fill="E7F3F4"/>
            <w:vAlign w:val="center"/>
          </w:tcPr>
          <w:p w14:paraId="50A4E851" w14:textId="77777777" w:rsidR="004920D8" w:rsidRPr="00C911E4" w:rsidRDefault="004920D8" w:rsidP="00D64955">
            <w:pPr>
              <w:spacing w:before="0" w:after="0"/>
              <w:jc w:val="center"/>
              <w:rPr>
                <w:rFonts w:ascii="Arial" w:hAnsi="Arial" w:cs="Arial"/>
                <w:color w:val="000000"/>
                <w:sz w:val="18"/>
                <w:szCs w:val="18"/>
              </w:rPr>
            </w:pPr>
          </w:p>
        </w:tc>
        <w:tc>
          <w:tcPr>
            <w:tcW w:w="416" w:type="dxa"/>
            <w:shd w:val="clear" w:color="auto" w:fill="E7F3F4"/>
            <w:vAlign w:val="center"/>
          </w:tcPr>
          <w:p w14:paraId="61713D9F" w14:textId="77777777" w:rsidR="004920D8" w:rsidRPr="00C911E4" w:rsidRDefault="004920D8" w:rsidP="00D64955">
            <w:pPr>
              <w:spacing w:before="0" w:after="0"/>
              <w:jc w:val="center"/>
              <w:rPr>
                <w:rFonts w:ascii="Arial" w:hAnsi="Arial" w:cs="Arial"/>
                <w:color w:val="000000"/>
                <w:sz w:val="18"/>
                <w:szCs w:val="18"/>
              </w:rPr>
            </w:pPr>
          </w:p>
        </w:tc>
        <w:tc>
          <w:tcPr>
            <w:tcW w:w="418" w:type="dxa"/>
            <w:shd w:val="clear" w:color="auto" w:fill="E7F3F4"/>
            <w:vAlign w:val="center"/>
          </w:tcPr>
          <w:p w14:paraId="5055E09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shd w:val="clear" w:color="auto" w:fill="E7F3F4"/>
            <w:vAlign w:val="center"/>
          </w:tcPr>
          <w:p w14:paraId="0994F26C"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E7F3F4"/>
            <w:vAlign w:val="center"/>
          </w:tcPr>
          <w:p w14:paraId="3224C13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shd w:val="clear" w:color="auto" w:fill="E7F3F4"/>
            <w:vAlign w:val="center"/>
          </w:tcPr>
          <w:p w14:paraId="4716679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10" w:type="dxa"/>
            <w:shd w:val="clear" w:color="auto" w:fill="E7F3F4"/>
            <w:vAlign w:val="center"/>
          </w:tcPr>
          <w:p w14:paraId="41905C8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22" w:type="dxa"/>
            <w:shd w:val="clear" w:color="auto" w:fill="E7F3F4"/>
            <w:vAlign w:val="center"/>
          </w:tcPr>
          <w:p w14:paraId="5A397C21"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784C9F0B" w14:textId="77777777" w:rsidTr="003E363C">
        <w:trPr>
          <w:trHeight w:val="170"/>
          <w:jc w:val="center"/>
        </w:trPr>
        <w:tc>
          <w:tcPr>
            <w:tcW w:w="1024" w:type="dxa"/>
            <w:vMerge/>
            <w:shd w:val="clear" w:color="auto" w:fill="auto"/>
            <w:noWrap/>
            <w:vAlign w:val="center"/>
          </w:tcPr>
          <w:p w14:paraId="645924CF"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4AE60E63"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76C2C919"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29A9BBD2"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6F9724F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MI3^</w:t>
            </w:r>
          </w:p>
        </w:tc>
        <w:tc>
          <w:tcPr>
            <w:tcW w:w="1579" w:type="dxa"/>
            <w:shd w:val="clear" w:color="auto" w:fill="E7F3F4"/>
            <w:noWrap/>
            <w:vAlign w:val="center"/>
          </w:tcPr>
          <w:p w14:paraId="1471914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Picnic Bay</w:t>
            </w:r>
          </w:p>
        </w:tc>
        <w:tc>
          <w:tcPr>
            <w:tcW w:w="486" w:type="dxa"/>
            <w:shd w:val="clear" w:color="auto" w:fill="E7F3F4"/>
            <w:noWrap/>
            <w:vAlign w:val="center"/>
          </w:tcPr>
          <w:p w14:paraId="63DF860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19°</w:t>
            </w:r>
          </w:p>
        </w:tc>
        <w:tc>
          <w:tcPr>
            <w:tcW w:w="830" w:type="dxa"/>
            <w:shd w:val="clear" w:color="auto" w:fill="E7F3F4"/>
            <w:noWrap/>
            <w:vAlign w:val="bottom"/>
          </w:tcPr>
          <w:p w14:paraId="11263CC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10.888</w:t>
            </w:r>
          </w:p>
        </w:tc>
        <w:tc>
          <w:tcPr>
            <w:tcW w:w="576" w:type="dxa"/>
            <w:shd w:val="clear" w:color="auto" w:fill="E7F3F4"/>
            <w:noWrap/>
            <w:vAlign w:val="center"/>
          </w:tcPr>
          <w:p w14:paraId="02F542A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E7F3F4"/>
            <w:noWrap/>
            <w:vAlign w:val="bottom"/>
          </w:tcPr>
          <w:p w14:paraId="160BD82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50.634</w:t>
            </w:r>
          </w:p>
        </w:tc>
        <w:tc>
          <w:tcPr>
            <w:tcW w:w="481" w:type="dxa"/>
            <w:shd w:val="clear" w:color="auto" w:fill="E7F3F4"/>
            <w:noWrap/>
            <w:vAlign w:val="center"/>
          </w:tcPr>
          <w:p w14:paraId="5F6FA922" w14:textId="77777777" w:rsidR="004920D8" w:rsidRPr="00C911E4" w:rsidRDefault="004920D8" w:rsidP="00D64955">
            <w:pPr>
              <w:spacing w:before="0" w:after="0"/>
              <w:jc w:val="center"/>
              <w:rPr>
                <w:rFonts w:ascii="Arial" w:hAnsi="Arial" w:cs="Arial"/>
                <w:color w:val="000000"/>
                <w:sz w:val="18"/>
                <w:szCs w:val="18"/>
              </w:rPr>
            </w:pPr>
          </w:p>
        </w:tc>
        <w:tc>
          <w:tcPr>
            <w:tcW w:w="402" w:type="dxa"/>
            <w:shd w:val="clear" w:color="auto" w:fill="E7F3F4"/>
            <w:vAlign w:val="center"/>
          </w:tcPr>
          <w:p w14:paraId="59B855D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08" w:type="dxa"/>
            <w:shd w:val="clear" w:color="auto" w:fill="E7F3F4"/>
            <w:vAlign w:val="center"/>
          </w:tcPr>
          <w:p w14:paraId="0FC206CE" w14:textId="77777777" w:rsidR="004920D8" w:rsidRPr="00C911E4" w:rsidRDefault="004920D8" w:rsidP="00D64955">
            <w:pPr>
              <w:spacing w:before="0" w:after="0"/>
              <w:jc w:val="center"/>
              <w:rPr>
                <w:rFonts w:ascii="Arial" w:hAnsi="Arial" w:cs="Arial"/>
                <w:color w:val="000000"/>
                <w:sz w:val="18"/>
                <w:szCs w:val="18"/>
              </w:rPr>
            </w:pPr>
          </w:p>
        </w:tc>
        <w:tc>
          <w:tcPr>
            <w:tcW w:w="416" w:type="dxa"/>
            <w:shd w:val="clear" w:color="auto" w:fill="E7F3F4"/>
            <w:vAlign w:val="center"/>
          </w:tcPr>
          <w:p w14:paraId="218BBD5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18" w:type="dxa"/>
            <w:shd w:val="clear" w:color="auto" w:fill="E7F3F4"/>
            <w:vAlign w:val="center"/>
          </w:tcPr>
          <w:p w14:paraId="08EA93E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shd w:val="clear" w:color="auto" w:fill="E7F3F4"/>
            <w:vAlign w:val="center"/>
          </w:tcPr>
          <w:p w14:paraId="2A39101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22" w:type="dxa"/>
            <w:shd w:val="clear" w:color="auto" w:fill="E7F3F4"/>
            <w:vAlign w:val="center"/>
          </w:tcPr>
          <w:p w14:paraId="6A29F50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shd w:val="clear" w:color="auto" w:fill="E7F3F4"/>
            <w:vAlign w:val="center"/>
          </w:tcPr>
          <w:p w14:paraId="66AAD940" w14:textId="77777777" w:rsidR="004920D8" w:rsidRPr="00C911E4" w:rsidRDefault="004920D8" w:rsidP="00D64955">
            <w:pPr>
              <w:spacing w:before="0" w:after="0"/>
              <w:jc w:val="center"/>
              <w:rPr>
                <w:rFonts w:ascii="Arial" w:hAnsi="Arial" w:cs="Arial"/>
                <w:color w:val="000000"/>
                <w:sz w:val="18"/>
                <w:szCs w:val="18"/>
              </w:rPr>
            </w:pPr>
          </w:p>
        </w:tc>
        <w:tc>
          <w:tcPr>
            <w:tcW w:w="410" w:type="dxa"/>
            <w:shd w:val="clear" w:color="auto" w:fill="E7F3F4"/>
            <w:vAlign w:val="center"/>
          </w:tcPr>
          <w:p w14:paraId="435D4ACF" w14:textId="77777777" w:rsidR="004920D8" w:rsidRPr="00C911E4" w:rsidRDefault="004920D8" w:rsidP="00D64955">
            <w:pPr>
              <w:spacing w:before="0" w:after="0"/>
              <w:jc w:val="center"/>
              <w:rPr>
                <w:rFonts w:ascii="Arial" w:hAnsi="Arial" w:cs="Arial"/>
                <w:color w:val="000000"/>
                <w:sz w:val="18"/>
                <w:szCs w:val="18"/>
              </w:rPr>
            </w:pPr>
          </w:p>
        </w:tc>
        <w:tc>
          <w:tcPr>
            <w:tcW w:w="422" w:type="dxa"/>
            <w:shd w:val="clear" w:color="auto" w:fill="E7F3F4"/>
            <w:vAlign w:val="center"/>
          </w:tcPr>
          <w:p w14:paraId="6D0BC9E1"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40CA8518" w14:textId="77777777" w:rsidTr="003E363C">
        <w:trPr>
          <w:trHeight w:val="170"/>
          <w:jc w:val="center"/>
        </w:trPr>
        <w:tc>
          <w:tcPr>
            <w:tcW w:w="1024" w:type="dxa"/>
            <w:vMerge/>
            <w:shd w:val="clear" w:color="auto" w:fill="auto"/>
            <w:noWrap/>
            <w:vAlign w:val="center"/>
          </w:tcPr>
          <w:p w14:paraId="2E7E4ED3"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3EA2C8CC"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05FE1347" w14:textId="77777777" w:rsidR="004920D8" w:rsidRPr="00C911E4" w:rsidRDefault="004920D8" w:rsidP="00D64955">
            <w:pPr>
              <w:spacing w:before="0" w:after="0"/>
              <w:jc w:val="center"/>
              <w:rPr>
                <w:rFonts w:ascii="Arial" w:hAnsi="Arial" w:cs="Arial"/>
                <w:color w:val="000000"/>
                <w:sz w:val="18"/>
                <w:szCs w:val="18"/>
              </w:rPr>
            </w:pPr>
          </w:p>
        </w:tc>
        <w:tc>
          <w:tcPr>
            <w:tcW w:w="1576" w:type="dxa"/>
            <w:vMerge w:val="restart"/>
            <w:shd w:val="clear" w:color="auto" w:fill="E7F3F4"/>
            <w:noWrap/>
            <w:vAlign w:val="center"/>
          </w:tcPr>
          <w:p w14:paraId="7F36441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Townsville</w:t>
            </w:r>
          </w:p>
          <w:p w14:paraId="5FDFE4A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 xml:space="preserve">coastal </w:t>
            </w:r>
          </w:p>
        </w:tc>
        <w:tc>
          <w:tcPr>
            <w:tcW w:w="674" w:type="dxa"/>
            <w:shd w:val="clear" w:color="auto" w:fill="E7F3F4"/>
            <w:noWrap/>
            <w:vAlign w:val="center"/>
          </w:tcPr>
          <w:p w14:paraId="2B53A58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SB1*</w:t>
            </w:r>
          </w:p>
        </w:tc>
        <w:tc>
          <w:tcPr>
            <w:tcW w:w="1579" w:type="dxa"/>
            <w:shd w:val="clear" w:color="auto" w:fill="E7F3F4"/>
            <w:noWrap/>
            <w:vAlign w:val="center"/>
          </w:tcPr>
          <w:p w14:paraId="4301CAC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Shelley Beach</w:t>
            </w:r>
          </w:p>
        </w:tc>
        <w:tc>
          <w:tcPr>
            <w:tcW w:w="486" w:type="dxa"/>
            <w:shd w:val="clear" w:color="auto" w:fill="E7F3F4"/>
            <w:noWrap/>
            <w:vAlign w:val="center"/>
          </w:tcPr>
          <w:p w14:paraId="36CC86D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19°</w:t>
            </w:r>
          </w:p>
        </w:tc>
        <w:tc>
          <w:tcPr>
            <w:tcW w:w="830" w:type="dxa"/>
            <w:shd w:val="clear" w:color="auto" w:fill="E7F3F4"/>
            <w:noWrap/>
            <w:vAlign w:val="center"/>
          </w:tcPr>
          <w:p w14:paraId="5F5CA99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11.166</w:t>
            </w:r>
          </w:p>
        </w:tc>
        <w:tc>
          <w:tcPr>
            <w:tcW w:w="576" w:type="dxa"/>
            <w:shd w:val="clear" w:color="auto" w:fill="E7F3F4"/>
            <w:noWrap/>
            <w:vAlign w:val="center"/>
          </w:tcPr>
          <w:p w14:paraId="00E2B90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E7F3F4"/>
            <w:noWrap/>
            <w:vAlign w:val="center"/>
          </w:tcPr>
          <w:p w14:paraId="14E1441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46.272</w:t>
            </w:r>
          </w:p>
        </w:tc>
        <w:tc>
          <w:tcPr>
            <w:tcW w:w="481" w:type="dxa"/>
            <w:vMerge w:val="restart"/>
            <w:shd w:val="clear" w:color="auto" w:fill="E7F3F4"/>
            <w:noWrap/>
            <w:vAlign w:val="center"/>
          </w:tcPr>
          <w:p w14:paraId="20FD2A0E"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E7F3F4"/>
            <w:vAlign w:val="center"/>
          </w:tcPr>
          <w:p w14:paraId="2B430CF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4654AEC4"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E7F3F4"/>
            <w:vAlign w:val="center"/>
          </w:tcPr>
          <w:p w14:paraId="39C1674A"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4BA4480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786B9BE3"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53485CE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E7F3F4"/>
            <w:vAlign w:val="center"/>
          </w:tcPr>
          <w:p w14:paraId="1A20290A"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E7F3F4"/>
            <w:vAlign w:val="center"/>
          </w:tcPr>
          <w:p w14:paraId="5ED31D6D"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641CD2A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4920D8" w:rsidRPr="00C911E4" w14:paraId="653293C2" w14:textId="77777777" w:rsidTr="003E363C">
        <w:trPr>
          <w:trHeight w:val="170"/>
          <w:jc w:val="center"/>
        </w:trPr>
        <w:tc>
          <w:tcPr>
            <w:tcW w:w="1024" w:type="dxa"/>
            <w:vMerge/>
            <w:shd w:val="clear" w:color="auto" w:fill="auto"/>
            <w:noWrap/>
            <w:vAlign w:val="center"/>
          </w:tcPr>
          <w:p w14:paraId="3460D28B"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0179FCC3"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3FE26549"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6B546DF2"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210ACCB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BB1*</w:t>
            </w:r>
          </w:p>
        </w:tc>
        <w:tc>
          <w:tcPr>
            <w:tcW w:w="1579" w:type="dxa"/>
            <w:shd w:val="clear" w:color="auto" w:fill="E7F3F4"/>
            <w:noWrap/>
            <w:vAlign w:val="center"/>
          </w:tcPr>
          <w:p w14:paraId="365C15E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Bushland Beach</w:t>
            </w:r>
          </w:p>
        </w:tc>
        <w:tc>
          <w:tcPr>
            <w:tcW w:w="486" w:type="dxa"/>
            <w:shd w:val="clear" w:color="auto" w:fill="E7F3F4"/>
            <w:noWrap/>
            <w:vAlign w:val="center"/>
          </w:tcPr>
          <w:p w14:paraId="05C0B96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19°</w:t>
            </w:r>
          </w:p>
        </w:tc>
        <w:tc>
          <w:tcPr>
            <w:tcW w:w="830" w:type="dxa"/>
            <w:shd w:val="clear" w:color="auto" w:fill="E7F3F4"/>
            <w:noWrap/>
            <w:vAlign w:val="center"/>
          </w:tcPr>
          <w:p w14:paraId="4D9460C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11.016</w:t>
            </w:r>
          </w:p>
        </w:tc>
        <w:tc>
          <w:tcPr>
            <w:tcW w:w="576" w:type="dxa"/>
            <w:shd w:val="clear" w:color="auto" w:fill="E7F3F4"/>
            <w:noWrap/>
            <w:vAlign w:val="center"/>
          </w:tcPr>
          <w:p w14:paraId="5051A86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30" w:type="dxa"/>
            <w:shd w:val="clear" w:color="auto" w:fill="E7F3F4"/>
            <w:noWrap/>
            <w:vAlign w:val="center"/>
          </w:tcPr>
          <w:p w14:paraId="67B5754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40.951</w:t>
            </w:r>
          </w:p>
        </w:tc>
        <w:tc>
          <w:tcPr>
            <w:tcW w:w="481" w:type="dxa"/>
            <w:vMerge/>
            <w:shd w:val="clear" w:color="auto" w:fill="E7F3F4"/>
            <w:noWrap/>
            <w:vAlign w:val="center"/>
          </w:tcPr>
          <w:p w14:paraId="37609E5A"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10A7A4B6"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0A668E92"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1B783036"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6CDE51CB"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27F4D235"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7630FFA9"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50CCF061"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612E87FC"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5123CB14"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1A202DBA" w14:textId="77777777" w:rsidTr="003E363C">
        <w:trPr>
          <w:trHeight w:val="170"/>
          <w:jc w:val="center"/>
        </w:trPr>
        <w:tc>
          <w:tcPr>
            <w:tcW w:w="1024" w:type="dxa"/>
            <w:vMerge/>
            <w:shd w:val="clear" w:color="auto" w:fill="auto"/>
            <w:noWrap/>
            <w:vAlign w:val="center"/>
          </w:tcPr>
          <w:p w14:paraId="605B5CFB"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2C0AEB6B"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39F6205E" w14:textId="77777777" w:rsidR="004920D8" w:rsidRPr="00C911E4" w:rsidRDefault="004920D8" w:rsidP="00D64955">
            <w:pPr>
              <w:spacing w:before="0" w:after="0"/>
              <w:jc w:val="center"/>
              <w:rPr>
                <w:rFonts w:ascii="Arial" w:hAnsi="Arial" w:cs="Arial"/>
                <w:color w:val="000000"/>
                <w:sz w:val="18"/>
                <w:szCs w:val="18"/>
              </w:rPr>
            </w:pPr>
          </w:p>
        </w:tc>
        <w:tc>
          <w:tcPr>
            <w:tcW w:w="1576" w:type="dxa"/>
            <w:vMerge w:val="restart"/>
            <w:shd w:val="clear" w:color="auto" w:fill="E7F3F4"/>
            <w:noWrap/>
            <w:vAlign w:val="center"/>
          </w:tcPr>
          <w:p w14:paraId="32448E5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Bowling Green Bay</w:t>
            </w:r>
          </w:p>
          <w:p w14:paraId="0B15716E" w14:textId="77777777" w:rsidR="004920D8" w:rsidRPr="00C911E4" w:rsidRDefault="004920D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coastal</w:t>
            </w:r>
          </w:p>
        </w:tc>
        <w:tc>
          <w:tcPr>
            <w:tcW w:w="674" w:type="dxa"/>
            <w:shd w:val="clear" w:color="auto" w:fill="E7F3F4"/>
            <w:noWrap/>
            <w:vAlign w:val="center"/>
          </w:tcPr>
          <w:p w14:paraId="50AD49E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JR1*</w:t>
            </w:r>
          </w:p>
        </w:tc>
        <w:tc>
          <w:tcPr>
            <w:tcW w:w="1579" w:type="dxa"/>
            <w:shd w:val="clear" w:color="auto" w:fill="E7F3F4"/>
            <w:noWrap/>
            <w:vAlign w:val="center"/>
          </w:tcPr>
          <w:p w14:paraId="22F9CF1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Jerona (Barratta CK)</w:t>
            </w:r>
          </w:p>
        </w:tc>
        <w:tc>
          <w:tcPr>
            <w:tcW w:w="486" w:type="dxa"/>
            <w:shd w:val="clear" w:color="auto" w:fill="E7F3F4"/>
            <w:noWrap/>
          </w:tcPr>
          <w:p w14:paraId="648A252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19°</w:t>
            </w:r>
          </w:p>
        </w:tc>
        <w:tc>
          <w:tcPr>
            <w:tcW w:w="830" w:type="dxa"/>
            <w:shd w:val="clear" w:color="auto" w:fill="E7F3F4"/>
            <w:noWrap/>
            <w:vAlign w:val="bottom"/>
          </w:tcPr>
          <w:p w14:paraId="22BF4E4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25.369</w:t>
            </w:r>
          </w:p>
        </w:tc>
        <w:tc>
          <w:tcPr>
            <w:tcW w:w="576" w:type="dxa"/>
            <w:shd w:val="clear" w:color="auto" w:fill="E7F3F4"/>
            <w:noWrap/>
          </w:tcPr>
          <w:p w14:paraId="202B248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147°</w:t>
            </w:r>
          </w:p>
        </w:tc>
        <w:tc>
          <w:tcPr>
            <w:tcW w:w="830" w:type="dxa"/>
            <w:shd w:val="clear" w:color="auto" w:fill="E7F3F4"/>
            <w:noWrap/>
            <w:vAlign w:val="bottom"/>
          </w:tcPr>
          <w:p w14:paraId="322633D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14.487</w:t>
            </w:r>
          </w:p>
        </w:tc>
        <w:tc>
          <w:tcPr>
            <w:tcW w:w="481" w:type="dxa"/>
            <w:vMerge w:val="restart"/>
            <w:shd w:val="clear" w:color="auto" w:fill="E7F3F4"/>
            <w:noWrap/>
            <w:vAlign w:val="center"/>
          </w:tcPr>
          <w:p w14:paraId="7EA00AFB"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E7F3F4"/>
            <w:vAlign w:val="center"/>
          </w:tcPr>
          <w:p w14:paraId="5CD248C0"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E7F3F4"/>
            <w:vAlign w:val="center"/>
          </w:tcPr>
          <w:p w14:paraId="0A3DDA79"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E7F3F4"/>
            <w:vAlign w:val="center"/>
          </w:tcPr>
          <w:p w14:paraId="01F31CF1"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66A9F9E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21E40CA7"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44C619F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E7F3F4"/>
            <w:vAlign w:val="center"/>
          </w:tcPr>
          <w:p w14:paraId="7EDEF484"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E7F3F4"/>
            <w:vAlign w:val="center"/>
          </w:tcPr>
          <w:p w14:paraId="4A575959"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140B8CA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4920D8" w:rsidRPr="00C911E4" w14:paraId="433D4524" w14:textId="77777777" w:rsidTr="003E363C">
        <w:trPr>
          <w:trHeight w:val="170"/>
          <w:jc w:val="center"/>
        </w:trPr>
        <w:tc>
          <w:tcPr>
            <w:tcW w:w="1024" w:type="dxa"/>
            <w:vMerge/>
            <w:shd w:val="clear" w:color="auto" w:fill="auto"/>
            <w:noWrap/>
            <w:vAlign w:val="center"/>
          </w:tcPr>
          <w:p w14:paraId="5F86F57C"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578489BC"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12A4DC86"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59ACB162"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511DD8F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JR2*</w:t>
            </w:r>
          </w:p>
        </w:tc>
        <w:tc>
          <w:tcPr>
            <w:tcW w:w="1579" w:type="dxa"/>
            <w:shd w:val="clear" w:color="auto" w:fill="E7F3F4"/>
            <w:noWrap/>
            <w:vAlign w:val="center"/>
          </w:tcPr>
          <w:p w14:paraId="011A3A5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Jerona (Barratta CK)</w:t>
            </w:r>
          </w:p>
        </w:tc>
        <w:tc>
          <w:tcPr>
            <w:tcW w:w="486" w:type="dxa"/>
            <w:shd w:val="clear" w:color="auto" w:fill="E7F3F4"/>
            <w:noWrap/>
          </w:tcPr>
          <w:p w14:paraId="663C68E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19°</w:t>
            </w:r>
          </w:p>
        </w:tc>
        <w:tc>
          <w:tcPr>
            <w:tcW w:w="830" w:type="dxa"/>
            <w:shd w:val="clear" w:color="auto" w:fill="E7F3F4"/>
            <w:noWrap/>
            <w:vAlign w:val="bottom"/>
          </w:tcPr>
          <w:p w14:paraId="36905AB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25.272</w:t>
            </w:r>
          </w:p>
        </w:tc>
        <w:tc>
          <w:tcPr>
            <w:tcW w:w="576" w:type="dxa"/>
            <w:shd w:val="clear" w:color="auto" w:fill="E7F3F4"/>
            <w:noWrap/>
          </w:tcPr>
          <w:p w14:paraId="5AF47DF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147°</w:t>
            </w:r>
          </w:p>
        </w:tc>
        <w:tc>
          <w:tcPr>
            <w:tcW w:w="830" w:type="dxa"/>
            <w:shd w:val="clear" w:color="auto" w:fill="E7F3F4"/>
            <w:noWrap/>
            <w:vAlign w:val="bottom"/>
          </w:tcPr>
          <w:p w14:paraId="709126A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14.435</w:t>
            </w:r>
          </w:p>
        </w:tc>
        <w:tc>
          <w:tcPr>
            <w:tcW w:w="481" w:type="dxa"/>
            <w:vMerge/>
            <w:shd w:val="clear" w:color="auto" w:fill="E7F3F4"/>
            <w:noWrap/>
            <w:vAlign w:val="center"/>
          </w:tcPr>
          <w:p w14:paraId="0B8497CF"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78C08A15"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0D7E3614"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3DED46DA"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52C3EBC4"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41389E7C"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3424E48C"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06609F1D"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43C4BD41"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6D9D3669" w14:textId="77777777" w:rsidR="004920D8" w:rsidRPr="00C911E4" w:rsidRDefault="004920D8" w:rsidP="00D64955">
            <w:pPr>
              <w:spacing w:before="0" w:after="0"/>
              <w:jc w:val="center"/>
              <w:rPr>
                <w:rFonts w:ascii="Arial" w:hAnsi="Arial" w:cs="Arial"/>
                <w:color w:val="000000"/>
                <w:sz w:val="18"/>
                <w:szCs w:val="18"/>
              </w:rPr>
            </w:pPr>
          </w:p>
        </w:tc>
      </w:tr>
      <w:tr w:rsidR="0032514D" w:rsidRPr="00C911E4" w14:paraId="774BD457" w14:textId="77777777" w:rsidTr="003E363C">
        <w:trPr>
          <w:trHeight w:val="170"/>
          <w:jc w:val="center"/>
        </w:trPr>
        <w:tc>
          <w:tcPr>
            <w:tcW w:w="1024" w:type="dxa"/>
            <w:vMerge/>
            <w:shd w:val="clear" w:color="auto" w:fill="auto"/>
            <w:noWrap/>
            <w:vAlign w:val="center"/>
          </w:tcPr>
          <w:p w14:paraId="3E8957E0" w14:textId="77777777" w:rsidR="0032514D" w:rsidRPr="00C911E4" w:rsidRDefault="0032514D" w:rsidP="00D64955">
            <w:pPr>
              <w:spacing w:before="0" w:after="0"/>
              <w:jc w:val="center"/>
              <w:rPr>
                <w:rFonts w:ascii="Arial" w:hAnsi="Arial" w:cs="Arial"/>
                <w:color w:val="000000"/>
                <w:sz w:val="18"/>
                <w:szCs w:val="18"/>
              </w:rPr>
            </w:pPr>
          </w:p>
        </w:tc>
        <w:tc>
          <w:tcPr>
            <w:tcW w:w="1523" w:type="dxa"/>
            <w:vMerge w:val="restart"/>
            <w:shd w:val="clear" w:color="auto" w:fill="F3F9FA"/>
            <w:noWrap/>
            <w:vAlign w:val="center"/>
          </w:tcPr>
          <w:p w14:paraId="1CD4118D" w14:textId="708BD534" w:rsidR="0032514D" w:rsidRPr="00C911E4" w:rsidRDefault="00637325" w:rsidP="0032514D">
            <w:pPr>
              <w:spacing w:before="0" w:after="0"/>
              <w:jc w:val="center"/>
              <w:rPr>
                <w:rFonts w:ascii="Arial" w:hAnsi="Arial" w:cs="Arial"/>
                <w:color w:val="000000"/>
                <w:sz w:val="18"/>
                <w:szCs w:val="18"/>
              </w:rPr>
            </w:pPr>
            <w:r w:rsidRPr="00C911E4">
              <w:rPr>
                <w:rFonts w:ascii="Arial" w:hAnsi="Arial" w:cs="Arial"/>
                <w:color w:val="000000"/>
                <w:sz w:val="18"/>
                <w:szCs w:val="18"/>
              </w:rPr>
              <w:t>Mackay-Whitsunday</w:t>
            </w:r>
          </w:p>
          <w:p w14:paraId="35FCF67B" w14:textId="0EB21BC7" w:rsidR="0032514D" w:rsidRPr="00C911E4" w:rsidRDefault="0032514D" w:rsidP="0032514D">
            <w:pPr>
              <w:spacing w:before="0" w:after="0"/>
              <w:jc w:val="center"/>
              <w:rPr>
                <w:rFonts w:ascii="Arial" w:hAnsi="Arial" w:cs="Arial"/>
                <w:color w:val="000000"/>
                <w:sz w:val="18"/>
                <w:szCs w:val="18"/>
              </w:rPr>
            </w:pPr>
            <w:r w:rsidRPr="00C911E4">
              <w:rPr>
                <w:rFonts w:ascii="Arial" w:hAnsi="Arial" w:cs="Arial"/>
                <w:color w:val="000000"/>
                <w:sz w:val="18"/>
                <w:szCs w:val="18"/>
              </w:rPr>
              <w:t>(</w:t>
            </w:r>
            <w:r w:rsidRPr="00C911E4">
              <w:rPr>
                <w:rFonts w:ascii="Arial" w:hAnsi="Arial" w:cs="Arial"/>
                <w:i/>
                <w:color w:val="000000"/>
                <w:sz w:val="18"/>
                <w:szCs w:val="18"/>
              </w:rPr>
              <w:t>Reef Catchments</w:t>
            </w:r>
            <w:r w:rsidRPr="00C911E4">
              <w:rPr>
                <w:rFonts w:ascii="Arial" w:hAnsi="Arial" w:cs="Arial"/>
                <w:color w:val="000000"/>
                <w:sz w:val="18"/>
                <w:szCs w:val="18"/>
              </w:rPr>
              <w:t>)</w:t>
            </w:r>
          </w:p>
        </w:tc>
        <w:tc>
          <w:tcPr>
            <w:tcW w:w="1079" w:type="dxa"/>
            <w:vMerge w:val="restart"/>
            <w:shd w:val="clear" w:color="auto" w:fill="F3F9FA"/>
            <w:vAlign w:val="center"/>
          </w:tcPr>
          <w:p w14:paraId="448898D0" w14:textId="6CEB7DA5"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Proserpine / O'Connell</w:t>
            </w:r>
          </w:p>
        </w:tc>
        <w:tc>
          <w:tcPr>
            <w:tcW w:w="1576" w:type="dxa"/>
            <w:vMerge w:val="restart"/>
            <w:shd w:val="clear" w:color="auto" w:fill="F3F9FA"/>
            <w:noWrap/>
            <w:vAlign w:val="center"/>
          </w:tcPr>
          <w:p w14:paraId="3713EF3D"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Lindeman Is.</w:t>
            </w:r>
          </w:p>
          <w:p w14:paraId="475B2C05" w14:textId="12CDB85A" w:rsidR="0032514D" w:rsidRPr="00C911E4" w:rsidRDefault="0032514D"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reef</w:t>
            </w:r>
          </w:p>
        </w:tc>
        <w:tc>
          <w:tcPr>
            <w:tcW w:w="674" w:type="dxa"/>
            <w:shd w:val="clear" w:color="auto" w:fill="F3F9FA"/>
            <w:noWrap/>
            <w:vAlign w:val="center"/>
          </w:tcPr>
          <w:p w14:paraId="0FB48819" w14:textId="52C4A7C9"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LN1</w:t>
            </w:r>
            <w:r w:rsidRPr="00C911E4">
              <w:rPr>
                <w:rFonts w:ascii="Arial" w:hAnsi="Arial" w:cs="Arial"/>
                <w:iCs/>
                <w:color w:val="000000"/>
                <w:sz w:val="18"/>
                <w:szCs w:val="18"/>
              </w:rPr>
              <w:t>^</w:t>
            </w:r>
          </w:p>
        </w:tc>
        <w:tc>
          <w:tcPr>
            <w:tcW w:w="1579" w:type="dxa"/>
            <w:shd w:val="clear" w:color="auto" w:fill="F3F9FA"/>
            <w:noWrap/>
            <w:vAlign w:val="center"/>
          </w:tcPr>
          <w:p w14:paraId="1BD5D71D" w14:textId="393C91CE"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Lindeman Is.</w:t>
            </w:r>
          </w:p>
        </w:tc>
        <w:tc>
          <w:tcPr>
            <w:tcW w:w="486" w:type="dxa"/>
            <w:shd w:val="clear" w:color="auto" w:fill="F3F9FA"/>
            <w:noWrap/>
            <w:vAlign w:val="center"/>
          </w:tcPr>
          <w:p w14:paraId="75AA3791" w14:textId="0C091A7A" w:rsidR="0032514D" w:rsidRPr="00C911E4" w:rsidRDefault="003E363C"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30" w:type="dxa"/>
            <w:shd w:val="clear" w:color="auto" w:fill="F3F9FA"/>
            <w:noWrap/>
            <w:vAlign w:val="bottom"/>
          </w:tcPr>
          <w:p w14:paraId="1E22B32F" w14:textId="763AE426" w:rsidR="0032514D" w:rsidRPr="00C911E4" w:rsidRDefault="003E363C" w:rsidP="003E363C">
            <w:pPr>
              <w:spacing w:before="0" w:after="0"/>
              <w:jc w:val="center"/>
              <w:rPr>
                <w:rFonts w:ascii="Arial" w:hAnsi="Arial" w:cs="Arial"/>
                <w:color w:val="000000"/>
                <w:sz w:val="18"/>
                <w:szCs w:val="18"/>
              </w:rPr>
            </w:pPr>
            <w:r w:rsidRPr="00C911E4">
              <w:rPr>
                <w:rFonts w:ascii="Arial" w:hAnsi="Arial" w:cs="Arial"/>
                <w:color w:val="000000"/>
                <w:sz w:val="18"/>
                <w:szCs w:val="18"/>
              </w:rPr>
              <w:t>26.293</w:t>
            </w:r>
          </w:p>
        </w:tc>
        <w:tc>
          <w:tcPr>
            <w:tcW w:w="576" w:type="dxa"/>
            <w:shd w:val="clear" w:color="auto" w:fill="F3F9FA"/>
            <w:noWrap/>
            <w:vAlign w:val="center"/>
          </w:tcPr>
          <w:p w14:paraId="3440CF24" w14:textId="77B1ED20" w:rsidR="0032514D" w:rsidRPr="00C911E4" w:rsidRDefault="003E363C" w:rsidP="00D64955">
            <w:pPr>
              <w:spacing w:before="0" w:after="0"/>
              <w:jc w:val="center"/>
              <w:rPr>
                <w:rFonts w:ascii="Arial" w:hAnsi="Arial" w:cs="Arial"/>
                <w:color w:val="000000"/>
                <w:sz w:val="18"/>
                <w:szCs w:val="18"/>
              </w:rPr>
            </w:pPr>
            <w:r w:rsidRPr="00C911E4">
              <w:rPr>
                <w:rFonts w:ascii="Arial" w:hAnsi="Arial" w:cs="Arial"/>
                <w:color w:val="000000"/>
                <w:sz w:val="18"/>
                <w:szCs w:val="18"/>
              </w:rPr>
              <w:t>149°</w:t>
            </w:r>
          </w:p>
        </w:tc>
        <w:tc>
          <w:tcPr>
            <w:tcW w:w="830" w:type="dxa"/>
            <w:shd w:val="clear" w:color="auto" w:fill="F3F9FA"/>
            <w:noWrap/>
            <w:vAlign w:val="bottom"/>
          </w:tcPr>
          <w:p w14:paraId="35577357" w14:textId="215FE0AC" w:rsidR="0032514D" w:rsidRPr="00C911E4" w:rsidRDefault="003E363C" w:rsidP="003E363C">
            <w:pPr>
              <w:spacing w:before="0" w:after="0"/>
              <w:jc w:val="center"/>
              <w:rPr>
                <w:rFonts w:ascii="Arial" w:hAnsi="Arial" w:cs="Arial"/>
                <w:color w:val="000000"/>
                <w:sz w:val="18"/>
                <w:szCs w:val="18"/>
              </w:rPr>
            </w:pPr>
            <w:r w:rsidRPr="00C911E4">
              <w:rPr>
                <w:rFonts w:ascii="Arial" w:hAnsi="Arial" w:cs="Arial"/>
                <w:color w:val="000000"/>
                <w:sz w:val="18"/>
                <w:szCs w:val="18"/>
              </w:rPr>
              <w:t>1.691</w:t>
            </w:r>
          </w:p>
        </w:tc>
        <w:tc>
          <w:tcPr>
            <w:tcW w:w="481" w:type="dxa"/>
            <w:vMerge w:val="restart"/>
            <w:shd w:val="clear" w:color="auto" w:fill="F3F9FA"/>
            <w:noWrap/>
            <w:vAlign w:val="center"/>
          </w:tcPr>
          <w:p w14:paraId="76F0B395" w14:textId="77777777" w:rsidR="0032514D" w:rsidRPr="00C911E4" w:rsidRDefault="0032514D" w:rsidP="00D64955">
            <w:pPr>
              <w:spacing w:before="0" w:after="0"/>
              <w:jc w:val="center"/>
              <w:rPr>
                <w:rFonts w:ascii="Arial" w:hAnsi="Arial" w:cs="Arial"/>
                <w:color w:val="000000"/>
                <w:sz w:val="18"/>
                <w:szCs w:val="18"/>
              </w:rPr>
            </w:pPr>
          </w:p>
        </w:tc>
        <w:tc>
          <w:tcPr>
            <w:tcW w:w="402" w:type="dxa"/>
            <w:vMerge w:val="restart"/>
            <w:shd w:val="clear" w:color="auto" w:fill="F3F9FA"/>
            <w:vAlign w:val="center"/>
          </w:tcPr>
          <w:p w14:paraId="0B265950" w14:textId="77777777" w:rsidR="0032514D" w:rsidRPr="00C911E4" w:rsidRDefault="0032514D" w:rsidP="00D64955">
            <w:pPr>
              <w:spacing w:before="0" w:after="0"/>
              <w:jc w:val="center"/>
              <w:rPr>
                <w:rFonts w:ascii="Arial" w:hAnsi="Arial" w:cs="Arial"/>
                <w:color w:val="000000"/>
                <w:sz w:val="18"/>
                <w:szCs w:val="18"/>
              </w:rPr>
            </w:pPr>
          </w:p>
        </w:tc>
        <w:tc>
          <w:tcPr>
            <w:tcW w:w="408" w:type="dxa"/>
            <w:vMerge w:val="restart"/>
            <w:shd w:val="clear" w:color="auto" w:fill="F3F9FA"/>
            <w:vAlign w:val="center"/>
          </w:tcPr>
          <w:p w14:paraId="593D010B" w14:textId="77777777" w:rsidR="0032514D" w:rsidRPr="00C911E4" w:rsidRDefault="0032514D"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145DD891" w14:textId="77777777" w:rsidR="0032514D" w:rsidRPr="00C911E4" w:rsidRDefault="0032514D"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6F49F6C8" w14:textId="7FD1787F" w:rsidR="0032514D" w:rsidRPr="00C911E4" w:rsidRDefault="003E363C"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038D5B22" w14:textId="77777777" w:rsidR="0032514D" w:rsidRPr="00C911E4" w:rsidRDefault="0032514D"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60EDE038" w14:textId="08275BF2" w:rsidR="0032514D" w:rsidRPr="00C911E4" w:rsidRDefault="003E363C"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F3F9FA"/>
            <w:vAlign w:val="center"/>
          </w:tcPr>
          <w:p w14:paraId="20BFBF61" w14:textId="77777777" w:rsidR="0032514D" w:rsidRPr="00C911E4" w:rsidRDefault="0032514D" w:rsidP="00D64955">
            <w:pPr>
              <w:spacing w:before="0" w:after="0"/>
              <w:jc w:val="center"/>
              <w:rPr>
                <w:rFonts w:ascii="Arial" w:hAnsi="Arial" w:cs="Arial"/>
                <w:color w:val="000000"/>
                <w:sz w:val="18"/>
                <w:szCs w:val="18"/>
              </w:rPr>
            </w:pPr>
          </w:p>
        </w:tc>
        <w:tc>
          <w:tcPr>
            <w:tcW w:w="410" w:type="dxa"/>
            <w:vMerge w:val="restart"/>
            <w:shd w:val="clear" w:color="auto" w:fill="F3F9FA"/>
            <w:vAlign w:val="center"/>
          </w:tcPr>
          <w:p w14:paraId="771DA974" w14:textId="77777777" w:rsidR="0032514D" w:rsidRPr="00C911E4" w:rsidRDefault="0032514D"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47FAB057" w14:textId="77777777" w:rsidR="0032514D" w:rsidRPr="00C911E4" w:rsidRDefault="0032514D" w:rsidP="00D64955">
            <w:pPr>
              <w:spacing w:before="0" w:after="0"/>
              <w:jc w:val="center"/>
              <w:rPr>
                <w:rFonts w:ascii="Arial" w:hAnsi="Arial" w:cs="Arial"/>
                <w:color w:val="000000"/>
                <w:sz w:val="18"/>
                <w:szCs w:val="18"/>
              </w:rPr>
            </w:pPr>
          </w:p>
        </w:tc>
      </w:tr>
      <w:tr w:rsidR="0032514D" w:rsidRPr="00C911E4" w14:paraId="371CAFAE" w14:textId="77777777" w:rsidTr="003E363C">
        <w:trPr>
          <w:trHeight w:val="170"/>
          <w:jc w:val="center"/>
        </w:trPr>
        <w:tc>
          <w:tcPr>
            <w:tcW w:w="1024" w:type="dxa"/>
            <w:vMerge/>
            <w:shd w:val="clear" w:color="auto" w:fill="auto"/>
            <w:noWrap/>
            <w:vAlign w:val="center"/>
          </w:tcPr>
          <w:p w14:paraId="331E0C89" w14:textId="77777777" w:rsidR="0032514D" w:rsidRPr="00C911E4" w:rsidRDefault="0032514D"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22D3B239" w14:textId="77777777" w:rsidR="0032514D" w:rsidRPr="00C911E4" w:rsidRDefault="0032514D"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2E68EF01" w14:textId="77777777" w:rsidR="0032514D" w:rsidRPr="00C911E4" w:rsidRDefault="0032514D"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0AA5B8FB" w14:textId="77777777" w:rsidR="0032514D" w:rsidRPr="00C911E4" w:rsidRDefault="0032514D"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12B630D4" w14:textId="5D65B5B1"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LN2</w:t>
            </w:r>
            <w:r w:rsidRPr="00C911E4">
              <w:rPr>
                <w:rFonts w:ascii="Arial" w:hAnsi="Arial" w:cs="Arial"/>
                <w:iCs/>
                <w:color w:val="000000"/>
                <w:sz w:val="18"/>
                <w:szCs w:val="18"/>
              </w:rPr>
              <w:t>^</w:t>
            </w:r>
          </w:p>
        </w:tc>
        <w:tc>
          <w:tcPr>
            <w:tcW w:w="1579" w:type="dxa"/>
            <w:shd w:val="clear" w:color="auto" w:fill="F3F9FA"/>
            <w:noWrap/>
            <w:vAlign w:val="center"/>
          </w:tcPr>
          <w:p w14:paraId="727BFEF8" w14:textId="07F5A80A"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Lindeman Is.</w:t>
            </w:r>
          </w:p>
        </w:tc>
        <w:tc>
          <w:tcPr>
            <w:tcW w:w="486" w:type="dxa"/>
            <w:shd w:val="clear" w:color="auto" w:fill="F3F9FA"/>
            <w:noWrap/>
            <w:vAlign w:val="center"/>
          </w:tcPr>
          <w:p w14:paraId="19F154A6" w14:textId="1342FDA3" w:rsidR="0032514D" w:rsidRPr="00C911E4" w:rsidRDefault="003E363C"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30" w:type="dxa"/>
            <w:shd w:val="clear" w:color="auto" w:fill="F3F9FA"/>
            <w:noWrap/>
            <w:vAlign w:val="bottom"/>
          </w:tcPr>
          <w:p w14:paraId="5A493527" w14:textId="4C4F7273" w:rsidR="0032514D" w:rsidRPr="00C911E4" w:rsidRDefault="003E363C" w:rsidP="003E363C">
            <w:pPr>
              <w:spacing w:before="0" w:after="0"/>
              <w:jc w:val="center"/>
              <w:rPr>
                <w:rFonts w:ascii="Arial" w:hAnsi="Arial" w:cs="Arial"/>
                <w:color w:val="000000"/>
                <w:sz w:val="18"/>
                <w:szCs w:val="18"/>
              </w:rPr>
            </w:pPr>
            <w:r w:rsidRPr="00C911E4">
              <w:rPr>
                <w:rFonts w:ascii="Arial" w:hAnsi="Arial" w:cs="Arial"/>
                <w:color w:val="000000"/>
                <w:sz w:val="18"/>
                <w:szCs w:val="18"/>
              </w:rPr>
              <w:t>26.014</w:t>
            </w:r>
          </w:p>
        </w:tc>
        <w:tc>
          <w:tcPr>
            <w:tcW w:w="576" w:type="dxa"/>
            <w:shd w:val="clear" w:color="auto" w:fill="F3F9FA"/>
            <w:noWrap/>
            <w:vAlign w:val="center"/>
          </w:tcPr>
          <w:p w14:paraId="4588F2A2" w14:textId="3EB94774" w:rsidR="0032514D" w:rsidRPr="00C911E4" w:rsidRDefault="003E363C" w:rsidP="00D64955">
            <w:pPr>
              <w:spacing w:before="0" w:after="0"/>
              <w:jc w:val="center"/>
              <w:rPr>
                <w:rFonts w:ascii="Arial" w:hAnsi="Arial" w:cs="Arial"/>
                <w:color w:val="000000"/>
                <w:sz w:val="18"/>
                <w:szCs w:val="18"/>
              </w:rPr>
            </w:pPr>
            <w:r w:rsidRPr="00C911E4">
              <w:rPr>
                <w:rFonts w:ascii="Arial" w:hAnsi="Arial" w:cs="Arial"/>
                <w:color w:val="000000"/>
                <w:sz w:val="18"/>
                <w:szCs w:val="18"/>
              </w:rPr>
              <w:t>149°</w:t>
            </w:r>
          </w:p>
        </w:tc>
        <w:tc>
          <w:tcPr>
            <w:tcW w:w="830" w:type="dxa"/>
            <w:shd w:val="clear" w:color="auto" w:fill="F3F9FA"/>
            <w:noWrap/>
            <w:vAlign w:val="bottom"/>
          </w:tcPr>
          <w:p w14:paraId="31D1060C" w14:textId="082B39EC" w:rsidR="0032514D" w:rsidRPr="00C911E4" w:rsidRDefault="003E363C" w:rsidP="00D64955">
            <w:pPr>
              <w:spacing w:before="0" w:after="0"/>
              <w:jc w:val="center"/>
              <w:rPr>
                <w:rFonts w:ascii="Arial" w:hAnsi="Arial" w:cs="Arial"/>
                <w:color w:val="000000"/>
                <w:sz w:val="18"/>
                <w:szCs w:val="18"/>
              </w:rPr>
            </w:pPr>
            <w:r w:rsidRPr="00C911E4">
              <w:rPr>
                <w:rFonts w:ascii="Arial" w:hAnsi="Arial" w:cs="Arial"/>
                <w:color w:val="000000"/>
                <w:sz w:val="18"/>
                <w:szCs w:val="18"/>
              </w:rPr>
              <w:t>1.923</w:t>
            </w:r>
          </w:p>
        </w:tc>
        <w:tc>
          <w:tcPr>
            <w:tcW w:w="481" w:type="dxa"/>
            <w:vMerge/>
            <w:shd w:val="clear" w:color="auto" w:fill="F3F9FA"/>
            <w:noWrap/>
            <w:vAlign w:val="center"/>
          </w:tcPr>
          <w:p w14:paraId="3AE1C1FE" w14:textId="77777777" w:rsidR="0032514D" w:rsidRPr="00C911E4" w:rsidRDefault="0032514D" w:rsidP="00D64955">
            <w:pPr>
              <w:spacing w:before="0" w:after="0"/>
              <w:jc w:val="center"/>
              <w:rPr>
                <w:rFonts w:ascii="Arial" w:hAnsi="Arial" w:cs="Arial"/>
                <w:color w:val="000000"/>
                <w:sz w:val="18"/>
                <w:szCs w:val="18"/>
              </w:rPr>
            </w:pPr>
          </w:p>
        </w:tc>
        <w:tc>
          <w:tcPr>
            <w:tcW w:w="402" w:type="dxa"/>
            <w:vMerge/>
            <w:shd w:val="clear" w:color="auto" w:fill="F3F9FA"/>
            <w:vAlign w:val="center"/>
          </w:tcPr>
          <w:p w14:paraId="01DBF9A1" w14:textId="77777777" w:rsidR="0032514D" w:rsidRPr="00C911E4" w:rsidRDefault="0032514D"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6F044C7C" w14:textId="77777777" w:rsidR="0032514D" w:rsidRPr="00C911E4" w:rsidRDefault="0032514D" w:rsidP="00D64955">
            <w:pPr>
              <w:spacing w:before="0" w:after="0"/>
              <w:jc w:val="center"/>
              <w:rPr>
                <w:rFonts w:ascii="Arial" w:hAnsi="Arial" w:cs="Arial"/>
                <w:color w:val="000000"/>
                <w:sz w:val="18"/>
                <w:szCs w:val="18"/>
              </w:rPr>
            </w:pPr>
          </w:p>
        </w:tc>
        <w:tc>
          <w:tcPr>
            <w:tcW w:w="416" w:type="dxa"/>
            <w:vMerge/>
            <w:shd w:val="clear" w:color="auto" w:fill="F3F9FA"/>
            <w:vAlign w:val="center"/>
          </w:tcPr>
          <w:p w14:paraId="12F71754" w14:textId="77777777" w:rsidR="0032514D" w:rsidRPr="00C911E4" w:rsidRDefault="0032514D" w:rsidP="00D64955">
            <w:pPr>
              <w:spacing w:before="0" w:after="0"/>
              <w:jc w:val="center"/>
              <w:rPr>
                <w:rFonts w:ascii="Arial" w:hAnsi="Arial" w:cs="Arial"/>
                <w:color w:val="000000"/>
                <w:sz w:val="18"/>
                <w:szCs w:val="18"/>
              </w:rPr>
            </w:pPr>
          </w:p>
        </w:tc>
        <w:tc>
          <w:tcPr>
            <w:tcW w:w="418" w:type="dxa"/>
            <w:vMerge/>
            <w:shd w:val="clear" w:color="auto" w:fill="F3F9FA"/>
            <w:vAlign w:val="center"/>
          </w:tcPr>
          <w:p w14:paraId="2C46B9AC" w14:textId="77777777" w:rsidR="0032514D" w:rsidRPr="00C911E4" w:rsidRDefault="0032514D"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304DD241" w14:textId="77777777" w:rsidR="0032514D" w:rsidRPr="00C911E4" w:rsidRDefault="0032514D"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3487C821" w14:textId="77777777" w:rsidR="0032514D" w:rsidRPr="00C911E4" w:rsidRDefault="0032514D" w:rsidP="00D64955">
            <w:pPr>
              <w:spacing w:before="0" w:after="0"/>
              <w:jc w:val="center"/>
              <w:rPr>
                <w:rFonts w:ascii="Arial" w:hAnsi="Arial" w:cs="Arial"/>
                <w:color w:val="000000"/>
                <w:sz w:val="18"/>
                <w:szCs w:val="18"/>
              </w:rPr>
            </w:pPr>
          </w:p>
        </w:tc>
        <w:tc>
          <w:tcPr>
            <w:tcW w:w="398" w:type="dxa"/>
            <w:vMerge/>
            <w:shd w:val="clear" w:color="auto" w:fill="F3F9FA"/>
            <w:vAlign w:val="center"/>
          </w:tcPr>
          <w:p w14:paraId="58155C86" w14:textId="77777777" w:rsidR="0032514D" w:rsidRPr="00C911E4" w:rsidRDefault="0032514D" w:rsidP="00D64955">
            <w:pPr>
              <w:spacing w:before="0" w:after="0"/>
              <w:jc w:val="center"/>
              <w:rPr>
                <w:rFonts w:ascii="Arial" w:hAnsi="Arial" w:cs="Arial"/>
                <w:color w:val="000000"/>
                <w:sz w:val="18"/>
                <w:szCs w:val="18"/>
              </w:rPr>
            </w:pPr>
          </w:p>
        </w:tc>
        <w:tc>
          <w:tcPr>
            <w:tcW w:w="410" w:type="dxa"/>
            <w:vMerge/>
            <w:shd w:val="clear" w:color="auto" w:fill="F3F9FA"/>
            <w:vAlign w:val="center"/>
          </w:tcPr>
          <w:p w14:paraId="468B65E8" w14:textId="77777777" w:rsidR="0032514D" w:rsidRPr="00C911E4" w:rsidRDefault="0032514D"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6CD15E54" w14:textId="77777777" w:rsidR="0032514D" w:rsidRPr="00C911E4" w:rsidRDefault="0032514D" w:rsidP="00D64955">
            <w:pPr>
              <w:spacing w:before="0" w:after="0"/>
              <w:jc w:val="center"/>
              <w:rPr>
                <w:rFonts w:ascii="Arial" w:hAnsi="Arial" w:cs="Arial"/>
                <w:color w:val="000000"/>
                <w:sz w:val="18"/>
                <w:szCs w:val="18"/>
              </w:rPr>
            </w:pPr>
          </w:p>
        </w:tc>
      </w:tr>
      <w:tr w:rsidR="0032514D" w:rsidRPr="00C911E4" w14:paraId="7D9CF636" w14:textId="77777777" w:rsidTr="003E363C">
        <w:trPr>
          <w:trHeight w:val="170"/>
          <w:jc w:val="center"/>
        </w:trPr>
        <w:tc>
          <w:tcPr>
            <w:tcW w:w="1024" w:type="dxa"/>
            <w:vMerge/>
            <w:shd w:val="clear" w:color="auto" w:fill="auto"/>
            <w:noWrap/>
            <w:vAlign w:val="center"/>
          </w:tcPr>
          <w:p w14:paraId="20925E9B" w14:textId="77777777" w:rsidR="0032514D" w:rsidRPr="00C911E4" w:rsidRDefault="0032514D"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12F3DDF5" w14:textId="19B3ABD7" w:rsidR="0032514D" w:rsidRPr="00C911E4" w:rsidRDefault="0032514D"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3096CAEF" w14:textId="6B02FE87" w:rsidR="0032514D" w:rsidRPr="00C911E4" w:rsidRDefault="0032514D" w:rsidP="00D64955">
            <w:pPr>
              <w:spacing w:before="0" w:after="0"/>
              <w:jc w:val="center"/>
              <w:rPr>
                <w:rFonts w:ascii="Arial" w:hAnsi="Arial" w:cs="Arial"/>
                <w:color w:val="000000"/>
                <w:sz w:val="18"/>
                <w:szCs w:val="18"/>
              </w:rPr>
            </w:pPr>
          </w:p>
        </w:tc>
        <w:tc>
          <w:tcPr>
            <w:tcW w:w="1576" w:type="dxa"/>
            <w:vMerge w:val="restart"/>
            <w:shd w:val="clear" w:color="auto" w:fill="F3F9FA"/>
            <w:noWrap/>
            <w:vAlign w:val="center"/>
          </w:tcPr>
          <w:p w14:paraId="23F3FEE1"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Repulse Bay</w:t>
            </w:r>
          </w:p>
          <w:p w14:paraId="6285BF39" w14:textId="77777777" w:rsidR="0032514D" w:rsidRPr="00C911E4" w:rsidRDefault="0032514D"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coastal</w:t>
            </w:r>
          </w:p>
        </w:tc>
        <w:tc>
          <w:tcPr>
            <w:tcW w:w="674" w:type="dxa"/>
            <w:shd w:val="clear" w:color="auto" w:fill="F3F9FA"/>
            <w:noWrap/>
            <w:vAlign w:val="center"/>
          </w:tcPr>
          <w:p w14:paraId="4005E478"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MP2*</w:t>
            </w:r>
          </w:p>
        </w:tc>
        <w:tc>
          <w:tcPr>
            <w:tcW w:w="1579" w:type="dxa"/>
            <w:shd w:val="clear" w:color="auto" w:fill="F3F9FA"/>
            <w:noWrap/>
            <w:vAlign w:val="center"/>
          </w:tcPr>
          <w:p w14:paraId="3D1AA59D"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Midge Point</w:t>
            </w:r>
          </w:p>
        </w:tc>
        <w:tc>
          <w:tcPr>
            <w:tcW w:w="486" w:type="dxa"/>
            <w:shd w:val="clear" w:color="auto" w:fill="F3F9FA"/>
            <w:noWrap/>
            <w:vAlign w:val="center"/>
          </w:tcPr>
          <w:p w14:paraId="42503F98"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30" w:type="dxa"/>
            <w:shd w:val="clear" w:color="auto" w:fill="F3F9FA"/>
            <w:noWrap/>
            <w:vAlign w:val="bottom"/>
          </w:tcPr>
          <w:p w14:paraId="1BA46F9B"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38.084</w:t>
            </w:r>
          </w:p>
        </w:tc>
        <w:tc>
          <w:tcPr>
            <w:tcW w:w="576" w:type="dxa"/>
            <w:shd w:val="clear" w:color="auto" w:fill="F3F9FA"/>
            <w:noWrap/>
            <w:vAlign w:val="center"/>
          </w:tcPr>
          <w:p w14:paraId="0E5A486E"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30" w:type="dxa"/>
            <w:shd w:val="clear" w:color="auto" w:fill="F3F9FA"/>
            <w:noWrap/>
            <w:vAlign w:val="bottom"/>
          </w:tcPr>
          <w:p w14:paraId="38996380"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42.107</w:t>
            </w:r>
          </w:p>
        </w:tc>
        <w:tc>
          <w:tcPr>
            <w:tcW w:w="481" w:type="dxa"/>
            <w:vMerge w:val="restart"/>
            <w:shd w:val="clear" w:color="auto" w:fill="F3F9FA"/>
            <w:noWrap/>
            <w:vAlign w:val="center"/>
          </w:tcPr>
          <w:p w14:paraId="6F8B0089" w14:textId="77777777" w:rsidR="0032514D" w:rsidRPr="00C911E4" w:rsidRDefault="0032514D" w:rsidP="00D64955">
            <w:pPr>
              <w:spacing w:before="0" w:after="0"/>
              <w:jc w:val="center"/>
              <w:rPr>
                <w:rFonts w:ascii="Arial" w:hAnsi="Arial" w:cs="Arial"/>
                <w:color w:val="000000"/>
                <w:sz w:val="18"/>
                <w:szCs w:val="18"/>
              </w:rPr>
            </w:pPr>
          </w:p>
        </w:tc>
        <w:tc>
          <w:tcPr>
            <w:tcW w:w="402" w:type="dxa"/>
            <w:vMerge w:val="restart"/>
            <w:shd w:val="clear" w:color="auto" w:fill="F3F9FA"/>
            <w:vAlign w:val="center"/>
          </w:tcPr>
          <w:p w14:paraId="42A07C35" w14:textId="77777777" w:rsidR="0032514D" w:rsidRPr="00C911E4" w:rsidRDefault="0032514D" w:rsidP="00D64955">
            <w:pPr>
              <w:spacing w:before="0" w:after="0"/>
              <w:jc w:val="center"/>
              <w:rPr>
                <w:rFonts w:ascii="Arial" w:hAnsi="Arial" w:cs="Arial"/>
                <w:color w:val="000000"/>
                <w:sz w:val="18"/>
                <w:szCs w:val="18"/>
              </w:rPr>
            </w:pPr>
          </w:p>
        </w:tc>
        <w:tc>
          <w:tcPr>
            <w:tcW w:w="408" w:type="dxa"/>
            <w:vMerge w:val="restart"/>
            <w:shd w:val="clear" w:color="auto" w:fill="F3F9FA"/>
            <w:vAlign w:val="center"/>
          </w:tcPr>
          <w:p w14:paraId="21C9E196" w14:textId="77777777" w:rsidR="0032514D" w:rsidRPr="00C911E4" w:rsidRDefault="0032514D"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58DFF349" w14:textId="77777777" w:rsidR="0032514D" w:rsidRPr="00C911E4" w:rsidRDefault="0032514D"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22850F6A"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65AD0B74" w14:textId="77777777" w:rsidR="0032514D" w:rsidRPr="00C911E4" w:rsidRDefault="0032514D"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3A9D58F4"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F3F9FA"/>
            <w:vAlign w:val="center"/>
          </w:tcPr>
          <w:p w14:paraId="416A4D20" w14:textId="77777777" w:rsidR="0032514D" w:rsidRPr="00C911E4" w:rsidRDefault="0032514D" w:rsidP="00D64955">
            <w:pPr>
              <w:spacing w:before="0" w:after="0"/>
              <w:jc w:val="center"/>
              <w:rPr>
                <w:rFonts w:ascii="Arial" w:hAnsi="Arial" w:cs="Arial"/>
                <w:color w:val="000000"/>
                <w:sz w:val="18"/>
                <w:szCs w:val="18"/>
              </w:rPr>
            </w:pPr>
          </w:p>
        </w:tc>
        <w:tc>
          <w:tcPr>
            <w:tcW w:w="410" w:type="dxa"/>
            <w:vMerge w:val="restart"/>
            <w:shd w:val="clear" w:color="auto" w:fill="F3F9FA"/>
            <w:vAlign w:val="center"/>
          </w:tcPr>
          <w:p w14:paraId="261D9F37" w14:textId="77777777" w:rsidR="0032514D" w:rsidRPr="00C911E4" w:rsidRDefault="0032514D"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5971CB9C"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32514D" w:rsidRPr="00C911E4" w14:paraId="11625BE8" w14:textId="77777777" w:rsidTr="003E363C">
        <w:trPr>
          <w:trHeight w:val="170"/>
          <w:jc w:val="center"/>
        </w:trPr>
        <w:tc>
          <w:tcPr>
            <w:tcW w:w="1024" w:type="dxa"/>
            <w:vMerge/>
            <w:shd w:val="clear" w:color="auto" w:fill="auto"/>
            <w:noWrap/>
            <w:vAlign w:val="center"/>
          </w:tcPr>
          <w:p w14:paraId="099E6DF5" w14:textId="77777777" w:rsidR="0032514D" w:rsidRPr="00C911E4" w:rsidRDefault="0032514D"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1DECF8B1" w14:textId="77777777" w:rsidR="0032514D" w:rsidRPr="00C911E4" w:rsidRDefault="0032514D"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270D69FB" w14:textId="77777777" w:rsidR="0032514D" w:rsidRPr="00C911E4" w:rsidRDefault="0032514D"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48A78731" w14:textId="77777777" w:rsidR="0032514D" w:rsidRPr="00C911E4" w:rsidRDefault="0032514D"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5DFA47CD"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MP3*</w:t>
            </w:r>
          </w:p>
        </w:tc>
        <w:tc>
          <w:tcPr>
            <w:tcW w:w="1579" w:type="dxa"/>
            <w:shd w:val="clear" w:color="auto" w:fill="F3F9FA"/>
            <w:noWrap/>
            <w:vAlign w:val="center"/>
          </w:tcPr>
          <w:p w14:paraId="65A17DFA" w14:textId="77777777" w:rsidR="0032514D" w:rsidRPr="00C911E4" w:rsidRDefault="0032514D" w:rsidP="00D64955">
            <w:pPr>
              <w:spacing w:before="0" w:after="0"/>
              <w:jc w:val="center"/>
              <w:rPr>
                <w:rFonts w:ascii="Arial" w:hAnsi="Arial" w:cs="Arial"/>
                <w:i/>
                <w:color w:val="000000"/>
                <w:sz w:val="18"/>
                <w:szCs w:val="18"/>
              </w:rPr>
            </w:pPr>
            <w:r w:rsidRPr="00C911E4">
              <w:rPr>
                <w:rFonts w:ascii="Arial" w:hAnsi="Arial" w:cs="Arial"/>
                <w:color w:val="000000"/>
                <w:sz w:val="18"/>
                <w:szCs w:val="18"/>
              </w:rPr>
              <w:t>Midge Point</w:t>
            </w:r>
          </w:p>
        </w:tc>
        <w:tc>
          <w:tcPr>
            <w:tcW w:w="486" w:type="dxa"/>
            <w:shd w:val="clear" w:color="auto" w:fill="F3F9FA"/>
            <w:noWrap/>
            <w:vAlign w:val="center"/>
          </w:tcPr>
          <w:p w14:paraId="7F6ADF58"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30" w:type="dxa"/>
            <w:shd w:val="clear" w:color="auto" w:fill="F3F9FA"/>
            <w:noWrap/>
            <w:vAlign w:val="bottom"/>
          </w:tcPr>
          <w:p w14:paraId="42073904"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38.067</w:t>
            </w:r>
          </w:p>
        </w:tc>
        <w:tc>
          <w:tcPr>
            <w:tcW w:w="576" w:type="dxa"/>
            <w:shd w:val="clear" w:color="auto" w:fill="F3F9FA"/>
            <w:noWrap/>
            <w:vAlign w:val="center"/>
          </w:tcPr>
          <w:p w14:paraId="2A2326A5"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30" w:type="dxa"/>
            <w:shd w:val="clear" w:color="auto" w:fill="F3F9FA"/>
            <w:noWrap/>
            <w:vAlign w:val="bottom"/>
          </w:tcPr>
          <w:p w14:paraId="218E59C4"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42.282</w:t>
            </w:r>
          </w:p>
        </w:tc>
        <w:tc>
          <w:tcPr>
            <w:tcW w:w="481" w:type="dxa"/>
            <w:vMerge/>
            <w:shd w:val="clear" w:color="auto" w:fill="F3F9FA"/>
            <w:noWrap/>
            <w:vAlign w:val="center"/>
          </w:tcPr>
          <w:p w14:paraId="6D16752A" w14:textId="77777777" w:rsidR="0032514D" w:rsidRPr="00C911E4" w:rsidRDefault="0032514D" w:rsidP="00D64955">
            <w:pPr>
              <w:spacing w:before="0" w:after="0"/>
              <w:jc w:val="center"/>
              <w:rPr>
                <w:rFonts w:ascii="Arial" w:hAnsi="Arial" w:cs="Arial"/>
                <w:color w:val="000000"/>
                <w:sz w:val="18"/>
                <w:szCs w:val="18"/>
              </w:rPr>
            </w:pPr>
          </w:p>
        </w:tc>
        <w:tc>
          <w:tcPr>
            <w:tcW w:w="402" w:type="dxa"/>
            <w:vMerge/>
            <w:shd w:val="clear" w:color="auto" w:fill="F3F9FA"/>
            <w:vAlign w:val="center"/>
          </w:tcPr>
          <w:p w14:paraId="1199B89B" w14:textId="77777777" w:rsidR="0032514D" w:rsidRPr="00C911E4" w:rsidRDefault="0032514D"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514BDEF6" w14:textId="77777777" w:rsidR="0032514D" w:rsidRPr="00C911E4" w:rsidRDefault="0032514D" w:rsidP="00D64955">
            <w:pPr>
              <w:spacing w:before="0" w:after="0"/>
              <w:jc w:val="center"/>
              <w:rPr>
                <w:rFonts w:ascii="Arial" w:hAnsi="Arial" w:cs="Arial"/>
                <w:color w:val="000000"/>
                <w:sz w:val="18"/>
                <w:szCs w:val="18"/>
              </w:rPr>
            </w:pPr>
          </w:p>
        </w:tc>
        <w:tc>
          <w:tcPr>
            <w:tcW w:w="416" w:type="dxa"/>
            <w:vMerge/>
            <w:shd w:val="clear" w:color="auto" w:fill="F3F9FA"/>
            <w:vAlign w:val="center"/>
          </w:tcPr>
          <w:p w14:paraId="66B5563C" w14:textId="77777777" w:rsidR="0032514D" w:rsidRPr="00C911E4" w:rsidRDefault="0032514D" w:rsidP="00D64955">
            <w:pPr>
              <w:spacing w:before="0" w:after="0"/>
              <w:jc w:val="center"/>
              <w:rPr>
                <w:rFonts w:ascii="Arial" w:hAnsi="Arial" w:cs="Arial"/>
                <w:color w:val="000000"/>
                <w:sz w:val="18"/>
                <w:szCs w:val="18"/>
              </w:rPr>
            </w:pPr>
          </w:p>
        </w:tc>
        <w:tc>
          <w:tcPr>
            <w:tcW w:w="418" w:type="dxa"/>
            <w:vMerge/>
            <w:shd w:val="clear" w:color="auto" w:fill="F3F9FA"/>
            <w:vAlign w:val="center"/>
          </w:tcPr>
          <w:p w14:paraId="55BA37F4" w14:textId="77777777" w:rsidR="0032514D" w:rsidRPr="00C911E4" w:rsidRDefault="0032514D"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640164A7" w14:textId="77777777" w:rsidR="0032514D" w:rsidRPr="00C911E4" w:rsidRDefault="0032514D"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247F52C8" w14:textId="77777777" w:rsidR="0032514D" w:rsidRPr="00C911E4" w:rsidRDefault="0032514D" w:rsidP="00D64955">
            <w:pPr>
              <w:spacing w:before="0" w:after="0"/>
              <w:jc w:val="center"/>
              <w:rPr>
                <w:rFonts w:ascii="Arial" w:hAnsi="Arial" w:cs="Arial"/>
                <w:color w:val="000000"/>
                <w:sz w:val="18"/>
                <w:szCs w:val="18"/>
              </w:rPr>
            </w:pPr>
          </w:p>
        </w:tc>
        <w:tc>
          <w:tcPr>
            <w:tcW w:w="398" w:type="dxa"/>
            <w:vMerge/>
            <w:shd w:val="clear" w:color="auto" w:fill="F3F9FA"/>
            <w:vAlign w:val="center"/>
          </w:tcPr>
          <w:p w14:paraId="43977CA7" w14:textId="77777777" w:rsidR="0032514D" w:rsidRPr="00C911E4" w:rsidRDefault="0032514D" w:rsidP="00D64955">
            <w:pPr>
              <w:spacing w:before="0" w:after="0"/>
              <w:jc w:val="center"/>
              <w:rPr>
                <w:rFonts w:ascii="Arial" w:hAnsi="Arial" w:cs="Arial"/>
                <w:color w:val="000000"/>
                <w:sz w:val="18"/>
                <w:szCs w:val="18"/>
              </w:rPr>
            </w:pPr>
          </w:p>
        </w:tc>
        <w:tc>
          <w:tcPr>
            <w:tcW w:w="410" w:type="dxa"/>
            <w:vMerge/>
            <w:shd w:val="clear" w:color="auto" w:fill="F3F9FA"/>
            <w:vAlign w:val="center"/>
          </w:tcPr>
          <w:p w14:paraId="2595DCC6" w14:textId="77777777" w:rsidR="0032514D" w:rsidRPr="00C911E4" w:rsidRDefault="0032514D"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01436410" w14:textId="77777777" w:rsidR="0032514D" w:rsidRPr="00C911E4" w:rsidRDefault="0032514D" w:rsidP="00D64955">
            <w:pPr>
              <w:spacing w:before="0" w:after="0"/>
              <w:jc w:val="center"/>
              <w:rPr>
                <w:rFonts w:ascii="Arial" w:hAnsi="Arial" w:cs="Arial"/>
                <w:color w:val="000000"/>
                <w:sz w:val="18"/>
                <w:szCs w:val="18"/>
              </w:rPr>
            </w:pPr>
          </w:p>
        </w:tc>
      </w:tr>
      <w:tr w:rsidR="0032514D" w:rsidRPr="00C911E4" w14:paraId="01F54053" w14:textId="77777777" w:rsidTr="003E363C">
        <w:trPr>
          <w:trHeight w:val="170"/>
          <w:jc w:val="center"/>
        </w:trPr>
        <w:tc>
          <w:tcPr>
            <w:tcW w:w="1024" w:type="dxa"/>
            <w:vMerge/>
            <w:shd w:val="clear" w:color="auto" w:fill="auto"/>
            <w:noWrap/>
            <w:vAlign w:val="center"/>
          </w:tcPr>
          <w:p w14:paraId="056C9F90" w14:textId="77777777" w:rsidR="0032514D" w:rsidRPr="00C911E4" w:rsidRDefault="0032514D"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333212D8" w14:textId="77777777" w:rsidR="0032514D" w:rsidRPr="00C911E4" w:rsidRDefault="0032514D"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2309BB27" w14:textId="77777777" w:rsidR="0032514D" w:rsidRPr="00C911E4" w:rsidRDefault="0032514D" w:rsidP="00D64955">
            <w:pPr>
              <w:spacing w:before="0" w:after="0"/>
              <w:jc w:val="center"/>
              <w:rPr>
                <w:rFonts w:ascii="Arial" w:hAnsi="Arial" w:cs="Arial"/>
                <w:color w:val="000000"/>
                <w:sz w:val="18"/>
                <w:szCs w:val="18"/>
              </w:rPr>
            </w:pPr>
          </w:p>
        </w:tc>
        <w:tc>
          <w:tcPr>
            <w:tcW w:w="1576" w:type="dxa"/>
            <w:vMerge w:val="restart"/>
            <w:shd w:val="clear" w:color="auto" w:fill="F3F9FA"/>
            <w:noWrap/>
            <w:vAlign w:val="center"/>
          </w:tcPr>
          <w:p w14:paraId="475D9EB9"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Hamilton Island</w:t>
            </w:r>
          </w:p>
          <w:p w14:paraId="6D9EEF57"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i/>
                <w:color w:val="000000"/>
                <w:sz w:val="18"/>
                <w:szCs w:val="18"/>
              </w:rPr>
              <w:t>reef</w:t>
            </w:r>
          </w:p>
        </w:tc>
        <w:tc>
          <w:tcPr>
            <w:tcW w:w="674" w:type="dxa"/>
            <w:shd w:val="clear" w:color="auto" w:fill="F3F9FA"/>
            <w:noWrap/>
            <w:vAlign w:val="center"/>
          </w:tcPr>
          <w:p w14:paraId="0550D3BF"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HM1*</w:t>
            </w:r>
          </w:p>
        </w:tc>
        <w:tc>
          <w:tcPr>
            <w:tcW w:w="1579" w:type="dxa"/>
            <w:shd w:val="clear" w:color="auto" w:fill="F3F9FA"/>
            <w:noWrap/>
            <w:vAlign w:val="center"/>
          </w:tcPr>
          <w:p w14:paraId="08D7F2AC"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Catseye Bay - west</w:t>
            </w:r>
          </w:p>
        </w:tc>
        <w:tc>
          <w:tcPr>
            <w:tcW w:w="486" w:type="dxa"/>
            <w:shd w:val="clear" w:color="auto" w:fill="F3F9FA"/>
            <w:noWrap/>
            <w:vAlign w:val="bottom"/>
          </w:tcPr>
          <w:p w14:paraId="5F85715F"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30" w:type="dxa"/>
            <w:shd w:val="clear" w:color="auto" w:fill="F3F9FA"/>
            <w:noWrap/>
            <w:vAlign w:val="bottom"/>
          </w:tcPr>
          <w:p w14:paraId="1D5B2EE4"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20.636</w:t>
            </w:r>
          </w:p>
        </w:tc>
        <w:tc>
          <w:tcPr>
            <w:tcW w:w="576" w:type="dxa"/>
            <w:shd w:val="clear" w:color="auto" w:fill="F3F9FA"/>
            <w:noWrap/>
            <w:vAlign w:val="bottom"/>
          </w:tcPr>
          <w:p w14:paraId="4E22B173"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30" w:type="dxa"/>
            <w:shd w:val="clear" w:color="auto" w:fill="F3F9FA"/>
            <w:noWrap/>
            <w:vAlign w:val="bottom"/>
          </w:tcPr>
          <w:p w14:paraId="23FE73B4"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57.439</w:t>
            </w:r>
          </w:p>
        </w:tc>
        <w:tc>
          <w:tcPr>
            <w:tcW w:w="481" w:type="dxa"/>
            <w:vMerge w:val="restart"/>
            <w:shd w:val="clear" w:color="auto" w:fill="F3F9FA"/>
            <w:noWrap/>
            <w:vAlign w:val="center"/>
          </w:tcPr>
          <w:p w14:paraId="73A97B95" w14:textId="77777777" w:rsidR="0032514D" w:rsidRPr="00C911E4" w:rsidRDefault="0032514D" w:rsidP="00D64955">
            <w:pPr>
              <w:spacing w:before="0" w:after="0"/>
              <w:jc w:val="center"/>
              <w:rPr>
                <w:rFonts w:ascii="Arial" w:hAnsi="Arial" w:cs="Arial"/>
                <w:color w:val="000000"/>
                <w:sz w:val="18"/>
                <w:szCs w:val="18"/>
              </w:rPr>
            </w:pPr>
          </w:p>
        </w:tc>
        <w:tc>
          <w:tcPr>
            <w:tcW w:w="402" w:type="dxa"/>
            <w:vMerge w:val="restart"/>
            <w:shd w:val="clear" w:color="auto" w:fill="F3F9FA"/>
            <w:vAlign w:val="center"/>
          </w:tcPr>
          <w:p w14:paraId="47F6F000" w14:textId="77777777" w:rsidR="0032514D" w:rsidRPr="00C911E4" w:rsidRDefault="0032514D" w:rsidP="00D64955">
            <w:pPr>
              <w:spacing w:before="0" w:after="0"/>
              <w:jc w:val="center"/>
              <w:rPr>
                <w:rFonts w:ascii="Arial" w:hAnsi="Arial" w:cs="Arial"/>
                <w:color w:val="000000"/>
                <w:sz w:val="18"/>
                <w:szCs w:val="18"/>
              </w:rPr>
            </w:pPr>
          </w:p>
        </w:tc>
        <w:tc>
          <w:tcPr>
            <w:tcW w:w="408" w:type="dxa"/>
            <w:vMerge w:val="restart"/>
            <w:shd w:val="clear" w:color="auto" w:fill="F3F9FA"/>
            <w:vAlign w:val="center"/>
          </w:tcPr>
          <w:p w14:paraId="676206FD" w14:textId="77777777" w:rsidR="0032514D" w:rsidRPr="00C911E4" w:rsidRDefault="0032514D"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36B313B1" w14:textId="77777777" w:rsidR="0032514D" w:rsidRPr="00C911E4" w:rsidRDefault="0032514D"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0F0749D7"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25A87D19" w14:textId="77777777" w:rsidR="0032514D" w:rsidRPr="00C911E4" w:rsidRDefault="0032514D"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4BD3E034"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F3F9FA"/>
            <w:vAlign w:val="center"/>
          </w:tcPr>
          <w:p w14:paraId="1A4D069B"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10" w:type="dxa"/>
            <w:vMerge w:val="restart"/>
            <w:shd w:val="clear" w:color="auto" w:fill="F3F9FA"/>
            <w:vAlign w:val="center"/>
          </w:tcPr>
          <w:p w14:paraId="18032860" w14:textId="77777777" w:rsidR="0032514D" w:rsidRPr="00C911E4" w:rsidRDefault="0032514D"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4C30A9F7"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32514D" w:rsidRPr="00C911E4" w14:paraId="48361C2F" w14:textId="77777777" w:rsidTr="003E363C">
        <w:trPr>
          <w:trHeight w:val="170"/>
          <w:jc w:val="center"/>
        </w:trPr>
        <w:tc>
          <w:tcPr>
            <w:tcW w:w="1024" w:type="dxa"/>
            <w:vMerge/>
            <w:shd w:val="clear" w:color="auto" w:fill="auto"/>
            <w:noWrap/>
            <w:vAlign w:val="center"/>
          </w:tcPr>
          <w:p w14:paraId="38B17097" w14:textId="77777777" w:rsidR="0032514D" w:rsidRPr="00C911E4" w:rsidRDefault="0032514D"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0A3932CB" w14:textId="77777777" w:rsidR="0032514D" w:rsidRPr="00C911E4" w:rsidRDefault="0032514D"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4F5E495F" w14:textId="77777777" w:rsidR="0032514D" w:rsidRPr="00C911E4" w:rsidRDefault="0032514D"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6F31A11E" w14:textId="77777777" w:rsidR="0032514D" w:rsidRPr="00C911E4" w:rsidRDefault="0032514D"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5DFEF368"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HM2*</w:t>
            </w:r>
          </w:p>
        </w:tc>
        <w:tc>
          <w:tcPr>
            <w:tcW w:w="1579" w:type="dxa"/>
            <w:shd w:val="clear" w:color="auto" w:fill="F3F9FA"/>
            <w:noWrap/>
            <w:vAlign w:val="center"/>
          </w:tcPr>
          <w:p w14:paraId="18CCD232" w14:textId="77777777" w:rsidR="0032514D" w:rsidRPr="00C911E4" w:rsidRDefault="0032514D" w:rsidP="00D64955">
            <w:pPr>
              <w:spacing w:before="0" w:after="0"/>
              <w:jc w:val="center"/>
              <w:rPr>
                <w:rFonts w:ascii="Arial" w:hAnsi="Arial" w:cs="Arial"/>
                <w:i/>
                <w:color w:val="000000"/>
                <w:sz w:val="18"/>
                <w:szCs w:val="18"/>
              </w:rPr>
            </w:pPr>
            <w:r w:rsidRPr="00C911E4">
              <w:rPr>
                <w:rFonts w:ascii="Arial" w:hAnsi="Arial" w:cs="Arial"/>
                <w:color w:val="000000"/>
                <w:sz w:val="18"/>
                <w:szCs w:val="18"/>
              </w:rPr>
              <w:t>Catseye Bay - east</w:t>
            </w:r>
          </w:p>
        </w:tc>
        <w:tc>
          <w:tcPr>
            <w:tcW w:w="486" w:type="dxa"/>
            <w:shd w:val="clear" w:color="auto" w:fill="F3F9FA"/>
            <w:noWrap/>
            <w:vAlign w:val="center"/>
          </w:tcPr>
          <w:p w14:paraId="04A893D8"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30" w:type="dxa"/>
            <w:shd w:val="clear" w:color="auto" w:fill="F3F9FA"/>
            <w:noWrap/>
            <w:vAlign w:val="bottom"/>
          </w:tcPr>
          <w:p w14:paraId="523C8A7A"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20.797</w:t>
            </w:r>
          </w:p>
        </w:tc>
        <w:tc>
          <w:tcPr>
            <w:tcW w:w="576" w:type="dxa"/>
            <w:shd w:val="clear" w:color="auto" w:fill="F3F9FA"/>
            <w:noWrap/>
            <w:vAlign w:val="center"/>
          </w:tcPr>
          <w:p w14:paraId="77994F52"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30" w:type="dxa"/>
            <w:shd w:val="clear" w:color="auto" w:fill="F3F9FA"/>
            <w:noWrap/>
            <w:vAlign w:val="bottom"/>
          </w:tcPr>
          <w:p w14:paraId="4F84F74C"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58.234</w:t>
            </w:r>
          </w:p>
        </w:tc>
        <w:tc>
          <w:tcPr>
            <w:tcW w:w="481" w:type="dxa"/>
            <w:vMerge/>
            <w:shd w:val="clear" w:color="auto" w:fill="F3F9FA"/>
            <w:noWrap/>
            <w:vAlign w:val="center"/>
          </w:tcPr>
          <w:p w14:paraId="3B0FF7D9" w14:textId="77777777" w:rsidR="0032514D" w:rsidRPr="00C911E4" w:rsidRDefault="0032514D" w:rsidP="00D64955">
            <w:pPr>
              <w:spacing w:before="0" w:after="0"/>
              <w:jc w:val="center"/>
              <w:rPr>
                <w:rFonts w:ascii="Arial" w:hAnsi="Arial" w:cs="Arial"/>
                <w:color w:val="000000"/>
                <w:sz w:val="18"/>
                <w:szCs w:val="18"/>
              </w:rPr>
            </w:pPr>
          </w:p>
        </w:tc>
        <w:tc>
          <w:tcPr>
            <w:tcW w:w="402" w:type="dxa"/>
            <w:vMerge/>
            <w:shd w:val="clear" w:color="auto" w:fill="F3F9FA"/>
            <w:vAlign w:val="center"/>
          </w:tcPr>
          <w:p w14:paraId="6EA4267B" w14:textId="77777777" w:rsidR="0032514D" w:rsidRPr="00C911E4" w:rsidRDefault="0032514D"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2A65370B" w14:textId="77777777" w:rsidR="0032514D" w:rsidRPr="00C911E4" w:rsidRDefault="0032514D" w:rsidP="00D64955">
            <w:pPr>
              <w:spacing w:before="0" w:after="0"/>
              <w:jc w:val="center"/>
              <w:rPr>
                <w:rFonts w:ascii="Arial" w:hAnsi="Arial" w:cs="Arial"/>
                <w:color w:val="000000"/>
                <w:sz w:val="18"/>
                <w:szCs w:val="18"/>
              </w:rPr>
            </w:pPr>
          </w:p>
        </w:tc>
        <w:tc>
          <w:tcPr>
            <w:tcW w:w="416" w:type="dxa"/>
            <w:vMerge/>
            <w:shd w:val="clear" w:color="auto" w:fill="F3F9FA"/>
            <w:vAlign w:val="center"/>
          </w:tcPr>
          <w:p w14:paraId="07FD6C4E" w14:textId="77777777" w:rsidR="0032514D" w:rsidRPr="00C911E4" w:rsidRDefault="0032514D" w:rsidP="00D64955">
            <w:pPr>
              <w:spacing w:before="0" w:after="0"/>
              <w:jc w:val="center"/>
              <w:rPr>
                <w:rFonts w:ascii="Arial" w:hAnsi="Arial" w:cs="Arial"/>
                <w:color w:val="000000"/>
                <w:sz w:val="18"/>
                <w:szCs w:val="18"/>
              </w:rPr>
            </w:pPr>
          </w:p>
        </w:tc>
        <w:tc>
          <w:tcPr>
            <w:tcW w:w="418" w:type="dxa"/>
            <w:vMerge/>
            <w:shd w:val="clear" w:color="auto" w:fill="F3F9FA"/>
            <w:vAlign w:val="center"/>
          </w:tcPr>
          <w:p w14:paraId="20308E81" w14:textId="77777777" w:rsidR="0032514D" w:rsidRPr="00C911E4" w:rsidRDefault="0032514D"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01D7BE1D" w14:textId="77777777" w:rsidR="0032514D" w:rsidRPr="00C911E4" w:rsidRDefault="0032514D"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4CA50A71" w14:textId="77777777" w:rsidR="0032514D" w:rsidRPr="00C911E4" w:rsidRDefault="0032514D" w:rsidP="00D64955">
            <w:pPr>
              <w:spacing w:before="0" w:after="0"/>
              <w:jc w:val="center"/>
              <w:rPr>
                <w:rFonts w:ascii="Arial" w:hAnsi="Arial" w:cs="Arial"/>
                <w:color w:val="000000"/>
                <w:sz w:val="18"/>
                <w:szCs w:val="18"/>
              </w:rPr>
            </w:pPr>
          </w:p>
        </w:tc>
        <w:tc>
          <w:tcPr>
            <w:tcW w:w="398" w:type="dxa"/>
            <w:vMerge/>
            <w:shd w:val="clear" w:color="auto" w:fill="F3F9FA"/>
            <w:vAlign w:val="center"/>
          </w:tcPr>
          <w:p w14:paraId="728E7BD3" w14:textId="77777777" w:rsidR="0032514D" w:rsidRPr="00C911E4" w:rsidRDefault="0032514D" w:rsidP="00D64955">
            <w:pPr>
              <w:spacing w:before="0" w:after="0"/>
              <w:jc w:val="center"/>
              <w:rPr>
                <w:rFonts w:ascii="Arial" w:hAnsi="Arial" w:cs="Arial"/>
                <w:color w:val="000000"/>
                <w:sz w:val="18"/>
                <w:szCs w:val="18"/>
              </w:rPr>
            </w:pPr>
          </w:p>
        </w:tc>
        <w:tc>
          <w:tcPr>
            <w:tcW w:w="410" w:type="dxa"/>
            <w:vMerge/>
            <w:shd w:val="clear" w:color="auto" w:fill="F3F9FA"/>
            <w:vAlign w:val="center"/>
          </w:tcPr>
          <w:p w14:paraId="5F313846" w14:textId="77777777" w:rsidR="0032514D" w:rsidRPr="00C911E4" w:rsidRDefault="0032514D"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7E48C18C" w14:textId="77777777" w:rsidR="0032514D" w:rsidRPr="00C911E4" w:rsidRDefault="0032514D" w:rsidP="00D64955">
            <w:pPr>
              <w:spacing w:before="0" w:after="0"/>
              <w:jc w:val="center"/>
              <w:rPr>
                <w:rFonts w:ascii="Arial" w:hAnsi="Arial" w:cs="Arial"/>
                <w:color w:val="000000"/>
                <w:sz w:val="18"/>
                <w:szCs w:val="18"/>
              </w:rPr>
            </w:pPr>
          </w:p>
        </w:tc>
      </w:tr>
      <w:tr w:rsidR="0032514D" w:rsidRPr="00C911E4" w14:paraId="2C46581E" w14:textId="77777777" w:rsidTr="003E363C">
        <w:trPr>
          <w:trHeight w:val="170"/>
          <w:jc w:val="center"/>
        </w:trPr>
        <w:tc>
          <w:tcPr>
            <w:tcW w:w="1024" w:type="dxa"/>
            <w:vMerge/>
            <w:shd w:val="clear" w:color="auto" w:fill="auto"/>
            <w:noWrap/>
            <w:vAlign w:val="center"/>
          </w:tcPr>
          <w:p w14:paraId="5EE40885" w14:textId="77777777" w:rsidR="0032514D" w:rsidRPr="00C911E4" w:rsidRDefault="0032514D"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6D27C129" w14:textId="77777777" w:rsidR="0032514D" w:rsidRPr="00C911E4" w:rsidRDefault="0032514D" w:rsidP="00D64955">
            <w:pPr>
              <w:spacing w:before="0" w:after="0"/>
              <w:jc w:val="center"/>
              <w:rPr>
                <w:rFonts w:ascii="Arial" w:hAnsi="Arial" w:cs="Arial"/>
                <w:color w:val="000000"/>
                <w:sz w:val="18"/>
                <w:szCs w:val="18"/>
              </w:rPr>
            </w:pPr>
          </w:p>
        </w:tc>
        <w:tc>
          <w:tcPr>
            <w:tcW w:w="1079" w:type="dxa"/>
            <w:vMerge w:val="restart"/>
            <w:shd w:val="clear" w:color="auto" w:fill="F3F9FA"/>
            <w:vAlign w:val="center"/>
          </w:tcPr>
          <w:p w14:paraId="292A42D9"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Plane</w:t>
            </w:r>
          </w:p>
        </w:tc>
        <w:tc>
          <w:tcPr>
            <w:tcW w:w="1576" w:type="dxa"/>
            <w:vMerge w:val="restart"/>
            <w:shd w:val="clear" w:color="auto" w:fill="F3F9FA"/>
            <w:noWrap/>
            <w:vAlign w:val="center"/>
          </w:tcPr>
          <w:p w14:paraId="55534989"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Sarina Inlet</w:t>
            </w:r>
          </w:p>
          <w:p w14:paraId="7738EA47"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i/>
                <w:color w:val="000000"/>
                <w:sz w:val="18"/>
                <w:szCs w:val="18"/>
              </w:rPr>
              <w:t xml:space="preserve">estuarine </w:t>
            </w:r>
          </w:p>
        </w:tc>
        <w:tc>
          <w:tcPr>
            <w:tcW w:w="674" w:type="dxa"/>
            <w:shd w:val="clear" w:color="auto" w:fill="F3F9FA"/>
            <w:noWrap/>
            <w:vAlign w:val="center"/>
          </w:tcPr>
          <w:p w14:paraId="5D809A01"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SI1*</w:t>
            </w:r>
          </w:p>
        </w:tc>
        <w:tc>
          <w:tcPr>
            <w:tcW w:w="1579" w:type="dxa"/>
            <w:shd w:val="clear" w:color="auto" w:fill="F3F9FA"/>
            <w:noWrap/>
            <w:vAlign w:val="center"/>
          </w:tcPr>
          <w:p w14:paraId="29A10E14"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Point Salisbury</w:t>
            </w:r>
          </w:p>
        </w:tc>
        <w:tc>
          <w:tcPr>
            <w:tcW w:w="486" w:type="dxa"/>
            <w:shd w:val="clear" w:color="auto" w:fill="F3F9FA"/>
            <w:noWrap/>
            <w:vAlign w:val="center"/>
          </w:tcPr>
          <w:p w14:paraId="22A5D675"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21°</w:t>
            </w:r>
          </w:p>
        </w:tc>
        <w:tc>
          <w:tcPr>
            <w:tcW w:w="830" w:type="dxa"/>
            <w:shd w:val="clear" w:color="auto" w:fill="F3F9FA"/>
            <w:noWrap/>
            <w:vAlign w:val="bottom"/>
          </w:tcPr>
          <w:p w14:paraId="4F20FB07"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23.770</w:t>
            </w:r>
          </w:p>
        </w:tc>
        <w:tc>
          <w:tcPr>
            <w:tcW w:w="576" w:type="dxa"/>
            <w:shd w:val="clear" w:color="auto" w:fill="F3F9FA"/>
            <w:noWrap/>
            <w:vAlign w:val="center"/>
          </w:tcPr>
          <w:p w14:paraId="3F4B220C"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149°</w:t>
            </w:r>
          </w:p>
        </w:tc>
        <w:tc>
          <w:tcPr>
            <w:tcW w:w="830" w:type="dxa"/>
            <w:shd w:val="clear" w:color="auto" w:fill="F3F9FA"/>
            <w:noWrap/>
            <w:vAlign w:val="bottom"/>
          </w:tcPr>
          <w:p w14:paraId="4065EC6B"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18.248</w:t>
            </w:r>
          </w:p>
        </w:tc>
        <w:tc>
          <w:tcPr>
            <w:tcW w:w="481" w:type="dxa"/>
            <w:vMerge w:val="restart"/>
            <w:shd w:val="clear" w:color="auto" w:fill="F3F9FA"/>
            <w:noWrap/>
            <w:vAlign w:val="center"/>
          </w:tcPr>
          <w:p w14:paraId="212B9858" w14:textId="77777777" w:rsidR="0032514D" w:rsidRPr="00C911E4" w:rsidRDefault="0032514D" w:rsidP="00D64955">
            <w:pPr>
              <w:spacing w:before="0" w:after="0"/>
              <w:jc w:val="center"/>
              <w:rPr>
                <w:rFonts w:ascii="Arial" w:hAnsi="Arial" w:cs="Arial"/>
                <w:color w:val="000000"/>
                <w:sz w:val="18"/>
                <w:szCs w:val="18"/>
              </w:rPr>
            </w:pPr>
          </w:p>
        </w:tc>
        <w:tc>
          <w:tcPr>
            <w:tcW w:w="402" w:type="dxa"/>
            <w:vMerge w:val="restart"/>
            <w:shd w:val="clear" w:color="auto" w:fill="F3F9FA"/>
            <w:vAlign w:val="center"/>
          </w:tcPr>
          <w:p w14:paraId="208028C9" w14:textId="77777777" w:rsidR="0032514D" w:rsidRPr="00C911E4" w:rsidRDefault="0032514D" w:rsidP="00D64955">
            <w:pPr>
              <w:spacing w:before="0" w:after="0"/>
              <w:jc w:val="center"/>
              <w:rPr>
                <w:rFonts w:ascii="Arial" w:hAnsi="Arial" w:cs="Arial"/>
                <w:color w:val="000000"/>
                <w:sz w:val="18"/>
                <w:szCs w:val="18"/>
              </w:rPr>
            </w:pPr>
          </w:p>
        </w:tc>
        <w:tc>
          <w:tcPr>
            <w:tcW w:w="408" w:type="dxa"/>
            <w:vMerge w:val="restart"/>
            <w:shd w:val="clear" w:color="auto" w:fill="F3F9FA"/>
            <w:vAlign w:val="center"/>
          </w:tcPr>
          <w:p w14:paraId="6FA95F10" w14:textId="77777777" w:rsidR="0032514D" w:rsidRPr="00C911E4" w:rsidRDefault="0032514D"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4FB0E3EB" w14:textId="77777777" w:rsidR="0032514D" w:rsidRPr="00C911E4" w:rsidRDefault="0032514D"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502498FE"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270E3452" w14:textId="77777777" w:rsidR="0032514D" w:rsidRPr="00C911E4" w:rsidRDefault="0032514D"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66FA04C7"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398" w:type="dxa"/>
            <w:vMerge w:val="restart"/>
            <w:shd w:val="clear" w:color="auto" w:fill="F3F9FA"/>
            <w:vAlign w:val="center"/>
          </w:tcPr>
          <w:p w14:paraId="20964214" w14:textId="77777777" w:rsidR="0032514D" w:rsidRPr="00C911E4" w:rsidRDefault="0032514D" w:rsidP="00D64955">
            <w:pPr>
              <w:spacing w:before="0" w:after="0"/>
              <w:jc w:val="center"/>
              <w:rPr>
                <w:rFonts w:ascii="Arial" w:hAnsi="Arial" w:cs="Arial"/>
                <w:color w:val="000000"/>
                <w:sz w:val="18"/>
                <w:szCs w:val="18"/>
              </w:rPr>
            </w:pPr>
          </w:p>
        </w:tc>
        <w:tc>
          <w:tcPr>
            <w:tcW w:w="410" w:type="dxa"/>
            <w:vMerge w:val="restart"/>
            <w:shd w:val="clear" w:color="auto" w:fill="F3F9FA"/>
            <w:vAlign w:val="center"/>
          </w:tcPr>
          <w:p w14:paraId="3F71AF70" w14:textId="77777777" w:rsidR="0032514D" w:rsidRPr="00C911E4" w:rsidRDefault="0032514D"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0764420B"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32514D" w:rsidRPr="00C911E4" w14:paraId="6C7E77E6" w14:textId="77777777" w:rsidTr="003E363C">
        <w:trPr>
          <w:trHeight w:val="170"/>
          <w:jc w:val="center"/>
        </w:trPr>
        <w:tc>
          <w:tcPr>
            <w:tcW w:w="1024" w:type="dxa"/>
            <w:vMerge/>
            <w:shd w:val="clear" w:color="auto" w:fill="auto"/>
            <w:noWrap/>
            <w:vAlign w:val="center"/>
          </w:tcPr>
          <w:p w14:paraId="21AF529D" w14:textId="77777777" w:rsidR="0032514D" w:rsidRPr="00C911E4" w:rsidRDefault="0032514D"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5E011119" w14:textId="77777777" w:rsidR="0032514D" w:rsidRPr="00C911E4" w:rsidRDefault="0032514D"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69F9D188" w14:textId="77777777" w:rsidR="0032514D" w:rsidRPr="00C911E4" w:rsidRDefault="0032514D"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2FE84C5D" w14:textId="77777777" w:rsidR="0032514D" w:rsidRPr="00C911E4" w:rsidRDefault="0032514D"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7DC64C38" w14:textId="77777777" w:rsidR="0032514D" w:rsidRPr="00C911E4" w:rsidRDefault="0032514D" w:rsidP="00D64955">
            <w:pPr>
              <w:spacing w:before="0" w:after="0"/>
              <w:jc w:val="center"/>
              <w:rPr>
                <w:rFonts w:ascii="Arial" w:hAnsi="Arial" w:cs="Arial"/>
                <w:iCs/>
                <w:color w:val="000000"/>
                <w:sz w:val="18"/>
                <w:szCs w:val="18"/>
              </w:rPr>
            </w:pPr>
            <w:r w:rsidRPr="00C911E4">
              <w:rPr>
                <w:rFonts w:ascii="Arial" w:hAnsi="Arial" w:cs="Arial"/>
                <w:iCs/>
                <w:color w:val="000000"/>
                <w:sz w:val="18"/>
                <w:szCs w:val="18"/>
              </w:rPr>
              <w:t>SI2*</w:t>
            </w:r>
          </w:p>
        </w:tc>
        <w:tc>
          <w:tcPr>
            <w:tcW w:w="1579" w:type="dxa"/>
            <w:shd w:val="clear" w:color="auto" w:fill="F3F9FA"/>
            <w:noWrap/>
            <w:vAlign w:val="center"/>
          </w:tcPr>
          <w:p w14:paraId="3B6708A4"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Point Salisbury</w:t>
            </w:r>
          </w:p>
        </w:tc>
        <w:tc>
          <w:tcPr>
            <w:tcW w:w="486" w:type="dxa"/>
            <w:shd w:val="clear" w:color="auto" w:fill="F3F9FA"/>
            <w:noWrap/>
            <w:vAlign w:val="center"/>
          </w:tcPr>
          <w:p w14:paraId="7AC33EA3"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21°</w:t>
            </w:r>
          </w:p>
        </w:tc>
        <w:tc>
          <w:tcPr>
            <w:tcW w:w="830" w:type="dxa"/>
            <w:shd w:val="clear" w:color="auto" w:fill="F3F9FA"/>
            <w:noWrap/>
            <w:vAlign w:val="bottom"/>
          </w:tcPr>
          <w:p w14:paraId="2F46E2DC"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23.719</w:t>
            </w:r>
          </w:p>
        </w:tc>
        <w:tc>
          <w:tcPr>
            <w:tcW w:w="576" w:type="dxa"/>
            <w:shd w:val="clear" w:color="auto" w:fill="F3F9FA"/>
            <w:noWrap/>
            <w:vAlign w:val="center"/>
          </w:tcPr>
          <w:p w14:paraId="4D79DE46"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149°</w:t>
            </w:r>
          </w:p>
        </w:tc>
        <w:tc>
          <w:tcPr>
            <w:tcW w:w="830" w:type="dxa"/>
            <w:shd w:val="clear" w:color="auto" w:fill="F3F9FA"/>
            <w:noWrap/>
            <w:vAlign w:val="bottom"/>
          </w:tcPr>
          <w:p w14:paraId="575100CA" w14:textId="77777777" w:rsidR="0032514D" w:rsidRPr="00C911E4" w:rsidRDefault="0032514D" w:rsidP="00D64955">
            <w:pPr>
              <w:spacing w:before="0" w:after="0"/>
              <w:jc w:val="center"/>
              <w:rPr>
                <w:rFonts w:ascii="Arial" w:hAnsi="Arial" w:cs="Arial"/>
                <w:color w:val="000000"/>
                <w:sz w:val="18"/>
                <w:szCs w:val="18"/>
              </w:rPr>
            </w:pPr>
            <w:r w:rsidRPr="00C911E4">
              <w:rPr>
                <w:rFonts w:ascii="Arial" w:hAnsi="Arial" w:cs="Arial"/>
                <w:color w:val="000000"/>
                <w:sz w:val="18"/>
                <w:szCs w:val="18"/>
              </w:rPr>
              <w:t>18.288</w:t>
            </w:r>
          </w:p>
        </w:tc>
        <w:tc>
          <w:tcPr>
            <w:tcW w:w="481" w:type="dxa"/>
            <w:vMerge/>
            <w:shd w:val="clear" w:color="auto" w:fill="F3F9FA"/>
            <w:noWrap/>
            <w:vAlign w:val="center"/>
          </w:tcPr>
          <w:p w14:paraId="59982BA9" w14:textId="77777777" w:rsidR="0032514D" w:rsidRPr="00C911E4" w:rsidRDefault="0032514D" w:rsidP="00D64955">
            <w:pPr>
              <w:spacing w:before="0" w:after="0"/>
              <w:jc w:val="center"/>
              <w:rPr>
                <w:rFonts w:ascii="Arial" w:hAnsi="Arial" w:cs="Arial"/>
                <w:color w:val="000000"/>
                <w:sz w:val="18"/>
                <w:szCs w:val="18"/>
              </w:rPr>
            </w:pPr>
          </w:p>
        </w:tc>
        <w:tc>
          <w:tcPr>
            <w:tcW w:w="402" w:type="dxa"/>
            <w:vMerge/>
            <w:shd w:val="clear" w:color="auto" w:fill="F3F9FA"/>
            <w:vAlign w:val="center"/>
          </w:tcPr>
          <w:p w14:paraId="3DCFC9E9" w14:textId="77777777" w:rsidR="0032514D" w:rsidRPr="00C911E4" w:rsidRDefault="0032514D"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6781CF7A" w14:textId="77777777" w:rsidR="0032514D" w:rsidRPr="00C911E4" w:rsidRDefault="0032514D" w:rsidP="00D64955">
            <w:pPr>
              <w:spacing w:before="0" w:after="0"/>
              <w:jc w:val="center"/>
              <w:rPr>
                <w:rFonts w:ascii="Arial" w:hAnsi="Arial" w:cs="Arial"/>
                <w:color w:val="000000"/>
                <w:sz w:val="18"/>
                <w:szCs w:val="18"/>
              </w:rPr>
            </w:pPr>
          </w:p>
        </w:tc>
        <w:tc>
          <w:tcPr>
            <w:tcW w:w="416" w:type="dxa"/>
            <w:vMerge/>
            <w:shd w:val="clear" w:color="auto" w:fill="F3F9FA"/>
            <w:vAlign w:val="center"/>
          </w:tcPr>
          <w:p w14:paraId="7A01615F" w14:textId="77777777" w:rsidR="0032514D" w:rsidRPr="00C911E4" w:rsidRDefault="0032514D" w:rsidP="00D64955">
            <w:pPr>
              <w:spacing w:before="0" w:after="0"/>
              <w:jc w:val="center"/>
              <w:rPr>
                <w:rFonts w:ascii="Arial" w:hAnsi="Arial" w:cs="Arial"/>
                <w:color w:val="000000"/>
                <w:sz w:val="18"/>
                <w:szCs w:val="18"/>
              </w:rPr>
            </w:pPr>
          </w:p>
        </w:tc>
        <w:tc>
          <w:tcPr>
            <w:tcW w:w="418" w:type="dxa"/>
            <w:vMerge/>
            <w:shd w:val="clear" w:color="auto" w:fill="F3F9FA"/>
            <w:vAlign w:val="center"/>
          </w:tcPr>
          <w:p w14:paraId="2201627D" w14:textId="77777777" w:rsidR="0032514D" w:rsidRPr="00C911E4" w:rsidRDefault="0032514D"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2A2C1B52" w14:textId="77777777" w:rsidR="0032514D" w:rsidRPr="00C911E4" w:rsidRDefault="0032514D"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7920DE52" w14:textId="77777777" w:rsidR="0032514D" w:rsidRPr="00C911E4" w:rsidRDefault="0032514D" w:rsidP="00D64955">
            <w:pPr>
              <w:spacing w:before="0" w:after="0"/>
              <w:jc w:val="center"/>
              <w:rPr>
                <w:rFonts w:ascii="Arial" w:hAnsi="Arial" w:cs="Arial"/>
                <w:color w:val="000000"/>
                <w:sz w:val="18"/>
                <w:szCs w:val="18"/>
              </w:rPr>
            </w:pPr>
          </w:p>
        </w:tc>
        <w:tc>
          <w:tcPr>
            <w:tcW w:w="398" w:type="dxa"/>
            <w:vMerge/>
            <w:shd w:val="clear" w:color="auto" w:fill="F3F9FA"/>
            <w:vAlign w:val="center"/>
          </w:tcPr>
          <w:p w14:paraId="7CFDDF34" w14:textId="77777777" w:rsidR="0032514D" w:rsidRPr="00C911E4" w:rsidRDefault="0032514D" w:rsidP="00D64955">
            <w:pPr>
              <w:spacing w:before="0" w:after="0"/>
              <w:jc w:val="center"/>
              <w:rPr>
                <w:rFonts w:ascii="Arial" w:hAnsi="Arial" w:cs="Arial"/>
                <w:color w:val="000000"/>
                <w:sz w:val="18"/>
                <w:szCs w:val="18"/>
              </w:rPr>
            </w:pPr>
          </w:p>
        </w:tc>
        <w:tc>
          <w:tcPr>
            <w:tcW w:w="410" w:type="dxa"/>
            <w:vMerge/>
            <w:shd w:val="clear" w:color="auto" w:fill="F3F9FA"/>
            <w:vAlign w:val="center"/>
          </w:tcPr>
          <w:p w14:paraId="3268D1FE" w14:textId="77777777" w:rsidR="0032514D" w:rsidRPr="00C911E4" w:rsidRDefault="0032514D"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7A4CB9BD" w14:textId="77777777" w:rsidR="0032514D" w:rsidRPr="00C911E4" w:rsidRDefault="0032514D" w:rsidP="00D64955">
            <w:pPr>
              <w:spacing w:before="0" w:after="0"/>
              <w:jc w:val="center"/>
              <w:rPr>
                <w:rFonts w:ascii="Arial" w:hAnsi="Arial" w:cs="Arial"/>
                <w:color w:val="000000"/>
                <w:sz w:val="18"/>
                <w:szCs w:val="18"/>
              </w:rPr>
            </w:pPr>
          </w:p>
        </w:tc>
      </w:tr>
      <w:tr w:rsidR="004920D8" w:rsidRPr="00C911E4" w14:paraId="266AC2C0" w14:textId="77777777" w:rsidTr="003E363C">
        <w:trPr>
          <w:trHeight w:val="170"/>
          <w:jc w:val="center"/>
        </w:trPr>
        <w:tc>
          <w:tcPr>
            <w:tcW w:w="1024" w:type="dxa"/>
            <w:vMerge w:val="restart"/>
            <w:shd w:val="clear" w:color="auto" w:fill="auto"/>
            <w:noWrap/>
            <w:vAlign w:val="center"/>
          </w:tcPr>
          <w:p w14:paraId="4ACAB6A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Southern</w:t>
            </w:r>
          </w:p>
        </w:tc>
        <w:tc>
          <w:tcPr>
            <w:tcW w:w="1523" w:type="dxa"/>
            <w:vMerge w:val="restart"/>
            <w:shd w:val="clear" w:color="auto" w:fill="E7F3F4"/>
            <w:noWrap/>
            <w:vAlign w:val="center"/>
          </w:tcPr>
          <w:p w14:paraId="5DCE077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Fitzroy</w:t>
            </w:r>
          </w:p>
          <w:p w14:paraId="4402836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w:t>
            </w:r>
            <w:r w:rsidRPr="00C911E4">
              <w:rPr>
                <w:rFonts w:ascii="Arial" w:hAnsi="Arial" w:cs="Arial"/>
                <w:i/>
                <w:color w:val="000000"/>
                <w:sz w:val="18"/>
                <w:szCs w:val="18"/>
              </w:rPr>
              <w:t>Fitzroy Basin Association</w:t>
            </w:r>
            <w:r w:rsidRPr="00C911E4">
              <w:rPr>
                <w:rFonts w:ascii="Arial" w:hAnsi="Arial" w:cs="Arial"/>
                <w:color w:val="000000"/>
                <w:sz w:val="18"/>
                <w:szCs w:val="18"/>
              </w:rPr>
              <w:t>)</w:t>
            </w:r>
          </w:p>
        </w:tc>
        <w:tc>
          <w:tcPr>
            <w:tcW w:w="1079" w:type="dxa"/>
            <w:vMerge w:val="restart"/>
            <w:shd w:val="clear" w:color="auto" w:fill="E7F3F4"/>
            <w:vAlign w:val="center"/>
          </w:tcPr>
          <w:p w14:paraId="2F76FDD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Shoalwater / Fitzroy</w:t>
            </w:r>
          </w:p>
        </w:tc>
        <w:tc>
          <w:tcPr>
            <w:tcW w:w="1576" w:type="dxa"/>
            <w:vMerge w:val="restart"/>
            <w:shd w:val="clear" w:color="auto" w:fill="E7F3F4"/>
            <w:noWrap/>
            <w:vAlign w:val="center"/>
          </w:tcPr>
          <w:p w14:paraId="02F45C7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Shoalwater Bay</w:t>
            </w:r>
          </w:p>
          <w:p w14:paraId="738C591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 xml:space="preserve">coastal </w:t>
            </w:r>
          </w:p>
        </w:tc>
        <w:tc>
          <w:tcPr>
            <w:tcW w:w="674" w:type="dxa"/>
            <w:shd w:val="clear" w:color="auto" w:fill="E7F3F4"/>
            <w:noWrap/>
            <w:vAlign w:val="center"/>
          </w:tcPr>
          <w:p w14:paraId="6A43682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RC1*</w:t>
            </w:r>
          </w:p>
        </w:tc>
        <w:tc>
          <w:tcPr>
            <w:tcW w:w="1579" w:type="dxa"/>
            <w:shd w:val="clear" w:color="auto" w:fill="E7F3F4"/>
            <w:noWrap/>
            <w:vAlign w:val="center"/>
          </w:tcPr>
          <w:p w14:paraId="36FEAC8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Ross Creek</w:t>
            </w:r>
          </w:p>
        </w:tc>
        <w:tc>
          <w:tcPr>
            <w:tcW w:w="486" w:type="dxa"/>
            <w:shd w:val="clear" w:color="auto" w:fill="E7F3F4"/>
            <w:noWrap/>
            <w:vAlign w:val="center"/>
          </w:tcPr>
          <w:p w14:paraId="632E930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22°</w:t>
            </w:r>
          </w:p>
        </w:tc>
        <w:tc>
          <w:tcPr>
            <w:tcW w:w="830" w:type="dxa"/>
            <w:shd w:val="clear" w:color="auto" w:fill="E7F3F4"/>
            <w:noWrap/>
            <w:vAlign w:val="center"/>
          </w:tcPr>
          <w:p w14:paraId="0CCAA24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22.912</w:t>
            </w:r>
          </w:p>
        </w:tc>
        <w:tc>
          <w:tcPr>
            <w:tcW w:w="576" w:type="dxa"/>
            <w:shd w:val="clear" w:color="auto" w:fill="E7F3F4"/>
            <w:noWrap/>
            <w:vAlign w:val="center"/>
          </w:tcPr>
          <w:p w14:paraId="54BF21A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150°</w:t>
            </w:r>
          </w:p>
        </w:tc>
        <w:tc>
          <w:tcPr>
            <w:tcW w:w="830" w:type="dxa"/>
            <w:shd w:val="clear" w:color="auto" w:fill="E7F3F4"/>
            <w:noWrap/>
            <w:vAlign w:val="center"/>
          </w:tcPr>
          <w:p w14:paraId="437AEA8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12.810</w:t>
            </w:r>
          </w:p>
        </w:tc>
        <w:tc>
          <w:tcPr>
            <w:tcW w:w="481" w:type="dxa"/>
            <w:vMerge w:val="restart"/>
            <w:shd w:val="clear" w:color="auto" w:fill="E7F3F4"/>
            <w:noWrap/>
            <w:vAlign w:val="center"/>
          </w:tcPr>
          <w:p w14:paraId="5D84BF65"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E7F3F4"/>
            <w:vAlign w:val="center"/>
          </w:tcPr>
          <w:p w14:paraId="48AF6AEB"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E7F3F4"/>
            <w:vAlign w:val="center"/>
          </w:tcPr>
          <w:p w14:paraId="0CA5A26D"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E7F3F4"/>
            <w:vAlign w:val="center"/>
          </w:tcPr>
          <w:p w14:paraId="4954D609"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56A3F81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6B70E4D0"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6506FFB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E7F3F4"/>
            <w:vAlign w:val="center"/>
          </w:tcPr>
          <w:p w14:paraId="588BF427"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E7F3F4"/>
            <w:vAlign w:val="center"/>
          </w:tcPr>
          <w:p w14:paraId="0C22679E"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1EEDDE0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4920D8" w:rsidRPr="00C911E4" w14:paraId="3B3695CA" w14:textId="77777777" w:rsidTr="003E363C">
        <w:trPr>
          <w:trHeight w:val="170"/>
          <w:jc w:val="center"/>
        </w:trPr>
        <w:tc>
          <w:tcPr>
            <w:tcW w:w="1024" w:type="dxa"/>
            <w:vMerge/>
            <w:shd w:val="clear" w:color="auto" w:fill="auto"/>
            <w:noWrap/>
            <w:vAlign w:val="center"/>
          </w:tcPr>
          <w:p w14:paraId="68BE194A"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5FDD080B"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3D8A77DF"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042572BE"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2BAF968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WH1*</w:t>
            </w:r>
          </w:p>
        </w:tc>
        <w:tc>
          <w:tcPr>
            <w:tcW w:w="1579" w:type="dxa"/>
            <w:shd w:val="clear" w:color="auto" w:fill="E7F3F4"/>
            <w:noWrap/>
            <w:vAlign w:val="center"/>
          </w:tcPr>
          <w:p w14:paraId="0A2D7E2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Wheelans Hut</w:t>
            </w:r>
          </w:p>
        </w:tc>
        <w:tc>
          <w:tcPr>
            <w:tcW w:w="486" w:type="dxa"/>
            <w:shd w:val="clear" w:color="auto" w:fill="E7F3F4"/>
            <w:noWrap/>
            <w:vAlign w:val="center"/>
          </w:tcPr>
          <w:p w14:paraId="0E4E376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22°</w:t>
            </w:r>
          </w:p>
        </w:tc>
        <w:tc>
          <w:tcPr>
            <w:tcW w:w="830" w:type="dxa"/>
            <w:shd w:val="clear" w:color="auto" w:fill="E7F3F4"/>
            <w:noWrap/>
            <w:vAlign w:val="center"/>
          </w:tcPr>
          <w:p w14:paraId="69AF2C1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23.829</w:t>
            </w:r>
          </w:p>
        </w:tc>
        <w:tc>
          <w:tcPr>
            <w:tcW w:w="576" w:type="dxa"/>
            <w:shd w:val="clear" w:color="auto" w:fill="E7F3F4"/>
            <w:noWrap/>
            <w:vAlign w:val="center"/>
          </w:tcPr>
          <w:p w14:paraId="003BAD3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150°</w:t>
            </w:r>
          </w:p>
        </w:tc>
        <w:tc>
          <w:tcPr>
            <w:tcW w:w="830" w:type="dxa"/>
            <w:shd w:val="clear" w:color="auto" w:fill="E7F3F4"/>
            <w:noWrap/>
            <w:vAlign w:val="center"/>
          </w:tcPr>
          <w:p w14:paraId="0C70498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16.520</w:t>
            </w:r>
          </w:p>
        </w:tc>
        <w:tc>
          <w:tcPr>
            <w:tcW w:w="481" w:type="dxa"/>
            <w:vMerge/>
            <w:shd w:val="clear" w:color="auto" w:fill="E7F3F4"/>
            <w:noWrap/>
            <w:vAlign w:val="center"/>
          </w:tcPr>
          <w:p w14:paraId="4AC0BABF"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5EC91448"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631BF614"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42BC5AFF"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4EFBBA88"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2A2FE1B4"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09F27842"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35FC227E"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24C3FD30"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0DD4E3DF"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2558F63B" w14:textId="77777777" w:rsidTr="003E363C">
        <w:trPr>
          <w:trHeight w:val="170"/>
          <w:jc w:val="center"/>
        </w:trPr>
        <w:tc>
          <w:tcPr>
            <w:tcW w:w="1024" w:type="dxa"/>
            <w:vMerge/>
            <w:shd w:val="clear" w:color="auto" w:fill="auto"/>
            <w:noWrap/>
            <w:vAlign w:val="center"/>
          </w:tcPr>
          <w:p w14:paraId="381D2D91"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5269DC95"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42400FDA" w14:textId="77777777" w:rsidR="004920D8" w:rsidRPr="00C911E4" w:rsidRDefault="004920D8" w:rsidP="00D64955">
            <w:pPr>
              <w:spacing w:before="0" w:after="0"/>
              <w:jc w:val="center"/>
              <w:rPr>
                <w:rFonts w:ascii="Arial" w:hAnsi="Arial" w:cs="Arial"/>
                <w:color w:val="000000"/>
                <w:sz w:val="18"/>
                <w:szCs w:val="18"/>
              </w:rPr>
            </w:pPr>
          </w:p>
        </w:tc>
        <w:tc>
          <w:tcPr>
            <w:tcW w:w="1576" w:type="dxa"/>
            <w:vMerge w:val="restart"/>
            <w:shd w:val="clear" w:color="auto" w:fill="E7F3F4"/>
            <w:noWrap/>
            <w:vAlign w:val="center"/>
          </w:tcPr>
          <w:p w14:paraId="2EAD023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Keppel Islands</w:t>
            </w:r>
          </w:p>
          <w:p w14:paraId="3E3B315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lastRenderedPageBreak/>
              <w:t>reef</w:t>
            </w:r>
          </w:p>
        </w:tc>
        <w:tc>
          <w:tcPr>
            <w:tcW w:w="674" w:type="dxa"/>
            <w:shd w:val="clear" w:color="auto" w:fill="E7F3F4"/>
            <w:noWrap/>
            <w:vAlign w:val="center"/>
          </w:tcPr>
          <w:p w14:paraId="7FE1321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lastRenderedPageBreak/>
              <w:t>GK1*</w:t>
            </w:r>
          </w:p>
        </w:tc>
        <w:tc>
          <w:tcPr>
            <w:tcW w:w="1579" w:type="dxa"/>
            <w:shd w:val="clear" w:color="auto" w:fill="E7F3F4"/>
            <w:noWrap/>
            <w:vAlign w:val="bottom"/>
          </w:tcPr>
          <w:p w14:paraId="7D4AB75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Great Keppel Is.</w:t>
            </w:r>
          </w:p>
        </w:tc>
        <w:tc>
          <w:tcPr>
            <w:tcW w:w="486" w:type="dxa"/>
            <w:shd w:val="clear" w:color="auto" w:fill="E7F3F4"/>
            <w:noWrap/>
            <w:vAlign w:val="bottom"/>
          </w:tcPr>
          <w:p w14:paraId="3668D73B" w14:textId="77777777" w:rsidR="004920D8" w:rsidRPr="00C911E4" w:rsidRDefault="004920D8" w:rsidP="00D64955">
            <w:pPr>
              <w:spacing w:before="0" w:after="0"/>
              <w:jc w:val="center"/>
              <w:rPr>
                <w:rFonts w:ascii="Arial" w:hAnsi="Arial" w:cs="Arial"/>
                <w:color w:val="000000"/>
                <w:sz w:val="18"/>
                <w:szCs w:val="18"/>
              </w:rPr>
            </w:pPr>
            <w:bookmarkStart w:id="55" w:name="OLE_LINK20"/>
            <w:bookmarkStart w:id="56" w:name="OLE_LINK21"/>
            <w:r w:rsidRPr="00C911E4">
              <w:rPr>
                <w:rFonts w:ascii="Arial" w:hAnsi="Arial" w:cs="Arial"/>
                <w:color w:val="000000"/>
                <w:sz w:val="18"/>
                <w:szCs w:val="18"/>
              </w:rPr>
              <w:t>23°</w:t>
            </w:r>
            <w:bookmarkEnd w:id="55"/>
            <w:bookmarkEnd w:id="56"/>
          </w:p>
        </w:tc>
        <w:tc>
          <w:tcPr>
            <w:tcW w:w="830" w:type="dxa"/>
            <w:shd w:val="clear" w:color="auto" w:fill="E7F3F4"/>
            <w:noWrap/>
            <w:vAlign w:val="bottom"/>
          </w:tcPr>
          <w:p w14:paraId="6F15BCA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11.776</w:t>
            </w:r>
          </w:p>
        </w:tc>
        <w:tc>
          <w:tcPr>
            <w:tcW w:w="576" w:type="dxa"/>
            <w:shd w:val="clear" w:color="auto" w:fill="E7F3F4"/>
            <w:noWrap/>
            <w:vAlign w:val="bottom"/>
          </w:tcPr>
          <w:p w14:paraId="2FF4860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150°</w:t>
            </w:r>
          </w:p>
        </w:tc>
        <w:tc>
          <w:tcPr>
            <w:tcW w:w="830" w:type="dxa"/>
            <w:shd w:val="clear" w:color="auto" w:fill="E7F3F4"/>
            <w:noWrap/>
            <w:vAlign w:val="bottom"/>
          </w:tcPr>
          <w:p w14:paraId="52C594B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56.356</w:t>
            </w:r>
          </w:p>
        </w:tc>
        <w:tc>
          <w:tcPr>
            <w:tcW w:w="481" w:type="dxa"/>
            <w:vMerge w:val="restart"/>
            <w:shd w:val="clear" w:color="auto" w:fill="E7F3F4"/>
            <w:noWrap/>
            <w:vAlign w:val="center"/>
          </w:tcPr>
          <w:p w14:paraId="00E77E8A"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E7F3F4"/>
            <w:vAlign w:val="center"/>
          </w:tcPr>
          <w:p w14:paraId="4BEE14E0"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E7F3F4"/>
            <w:vAlign w:val="center"/>
          </w:tcPr>
          <w:p w14:paraId="07A3BDAE"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E7F3F4"/>
            <w:vAlign w:val="center"/>
          </w:tcPr>
          <w:p w14:paraId="2FB07528"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1F8B5B2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4035601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22" w:type="dxa"/>
            <w:vMerge w:val="restart"/>
            <w:shd w:val="clear" w:color="auto" w:fill="E7F3F4"/>
            <w:vAlign w:val="center"/>
          </w:tcPr>
          <w:p w14:paraId="5AB3C8D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98" w:type="dxa"/>
            <w:vMerge w:val="restart"/>
            <w:shd w:val="clear" w:color="auto" w:fill="E7F3F4"/>
            <w:vAlign w:val="center"/>
          </w:tcPr>
          <w:p w14:paraId="3E2CB753"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E7F3F4"/>
            <w:vAlign w:val="center"/>
          </w:tcPr>
          <w:p w14:paraId="5481AF1D"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0E27BBB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4920D8" w:rsidRPr="00C911E4" w14:paraId="75AFF12C" w14:textId="77777777" w:rsidTr="003E363C">
        <w:trPr>
          <w:trHeight w:val="170"/>
          <w:jc w:val="center"/>
        </w:trPr>
        <w:tc>
          <w:tcPr>
            <w:tcW w:w="1024" w:type="dxa"/>
            <w:vMerge/>
            <w:shd w:val="clear" w:color="auto" w:fill="auto"/>
            <w:noWrap/>
            <w:vAlign w:val="center"/>
          </w:tcPr>
          <w:p w14:paraId="60EB095A"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33D2AC52"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34298B79"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38D877F3"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637E7AB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GK2*</w:t>
            </w:r>
          </w:p>
        </w:tc>
        <w:tc>
          <w:tcPr>
            <w:tcW w:w="1579" w:type="dxa"/>
            <w:shd w:val="clear" w:color="auto" w:fill="E7F3F4"/>
            <w:noWrap/>
            <w:vAlign w:val="center"/>
          </w:tcPr>
          <w:p w14:paraId="0635DB3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Great Keppel Is.</w:t>
            </w:r>
          </w:p>
        </w:tc>
        <w:tc>
          <w:tcPr>
            <w:tcW w:w="486" w:type="dxa"/>
            <w:shd w:val="clear" w:color="auto" w:fill="E7F3F4"/>
            <w:noWrap/>
            <w:vAlign w:val="center"/>
          </w:tcPr>
          <w:p w14:paraId="5B2719E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23°</w:t>
            </w:r>
          </w:p>
        </w:tc>
        <w:tc>
          <w:tcPr>
            <w:tcW w:w="830" w:type="dxa"/>
            <w:shd w:val="clear" w:color="auto" w:fill="E7F3F4"/>
            <w:noWrap/>
            <w:vAlign w:val="bottom"/>
          </w:tcPr>
          <w:p w14:paraId="0618AB3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11.638</w:t>
            </w:r>
          </w:p>
        </w:tc>
        <w:tc>
          <w:tcPr>
            <w:tcW w:w="576" w:type="dxa"/>
            <w:shd w:val="clear" w:color="auto" w:fill="E7F3F4"/>
            <w:noWrap/>
            <w:vAlign w:val="center"/>
          </w:tcPr>
          <w:p w14:paraId="7B6D856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150°</w:t>
            </w:r>
          </w:p>
        </w:tc>
        <w:tc>
          <w:tcPr>
            <w:tcW w:w="830" w:type="dxa"/>
            <w:shd w:val="clear" w:color="auto" w:fill="E7F3F4"/>
            <w:noWrap/>
            <w:vAlign w:val="bottom"/>
          </w:tcPr>
          <w:p w14:paraId="33A4404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56.364</w:t>
            </w:r>
          </w:p>
        </w:tc>
        <w:tc>
          <w:tcPr>
            <w:tcW w:w="481" w:type="dxa"/>
            <w:vMerge/>
            <w:shd w:val="clear" w:color="auto" w:fill="E7F3F4"/>
            <w:noWrap/>
            <w:vAlign w:val="center"/>
          </w:tcPr>
          <w:p w14:paraId="3F438923"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1CF0E247"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60257A1C"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18CA667B"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27CA3C26"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147251E1"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00BBD093"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403D54D8"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0BECBA37"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13B08376"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6AA5421B" w14:textId="77777777" w:rsidTr="003E363C">
        <w:trPr>
          <w:trHeight w:val="170"/>
          <w:jc w:val="center"/>
        </w:trPr>
        <w:tc>
          <w:tcPr>
            <w:tcW w:w="1024" w:type="dxa"/>
            <w:vMerge/>
            <w:shd w:val="clear" w:color="auto" w:fill="auto"/>
            <w:noWrap/>
            <w:vAlign w:val="center"/>
          </w:tcPr>
          <w:p w14:paraId="79C424BC"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74C234F5" w14:textId="77777777" w:rsidR="004920D8" w:rsidRPr="00C911E4" w:rsidRDefault="004920D8" w:rsidP="00D64955">
            <w:pPr>
              <w:spacing w:before="0" w:after="0"/>
              <w:jc w:val="center"/>
              <w:rPr>
                <w:rFonts w:ascii="Arial" w:hAnsi="Arial" w:cs="Arial"/>
                <w:color w:val="000000"/>
                <w:sz w:val="18"/>
                <w:szCs w:val="18"/>
              </w:rPr>
            </w:pPr>
          </w:p>
        </w:tc>
        <w:tc>
          <w:tcPr>
            <w:tcW w:w="1079" w:type="dxa"/>
            <w:vMerge w:val="restart"/>
            <w:shd w:val="clear" w:color="auto" w:fill="E7F3F4"/>
            <w:vAlign w:val="center"/>
          </w:tcPr>
          <w:p w14:paraId="5976942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Calliope / Boyne</w:t>
            </w:r>
          </w:p>
        </w:tc>
        <w:tc>
          <w:tcPr>
            <w:tcW w:w="1576" w:type="dxa"/>
            <w:vMerge w:val="restart"/>
            <w:shd w:val="clear" w:color="auto" w:fill="E7F3F4"/>
            <w:noWrap/>
            <w:vAlign w:val="center"/>
          </w:tcPr>
          <w:p w14:paraId="351EDE2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Gladstone Harbour</w:t>
            </w:r>
          </w:p>
          <w:p w14:paraId="7C3D88A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 xml:space="preserve">estuarine </w:t>
            </w:r>
          </w:p>
        </w:tc>
        <w:tc>
          <w:tcPr>
            <w:tcW w:w="674" w:type="dxa"/>
            <w:shd w:val="clear" w:color="auto" w:fill="E7F3F4"/>
            <w:noWrap/>
            <w:vAlign w:val="center"/>
          </w:tcPr>
          <w:p w14:paraId="5FAFA27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GH1*</w:t>
            </w:r>
          </w:p>
        </w:tc>
        <w:tc>
          <w:tcPr>
            <w:tcW w:w="1579" w:type="dxa"/>
            <w:shd w:val="clear" w:color="auto" w:fill="E7F3F4"/>
            <w:noWrap/>
            <w:vAlign w:val="center"/>
          </w:tcPr>
          <w:p w14:paraId="6FF8938F" w14:textId="15A024FC" w:rsidR="004920D8" w:rsidRPr="00C911E4" w:rsidRDefault="009E0200" w:rsidP="00D64955">
            <w:pPr>
              <w:spacing w:before="0" w:after="0"/>
              <w:jc w:val="center"/>
              <w:rPr>
                <w:rFonts w:ascii="Arial" w:hAnsi="Arial" w:cs="Arial"/>
                <w:color w:val="000000"/>
                <w:sz w:val="18"/>
                <w:szCs w:val="18"/>
              </w:rPr>
            </w:pPr>
            <w:r w:rsidRPr="00C911E4">
              <w:rPr>
                <w:rFonts w:ascii="Arial" w:hAnsi="Arial" w:cs="Arial"/>
                <w:color w:val="000000"/>
                <w:sz w:val="18"/>
                <w:szCs w:val="18"/>
              </w:rPr>
              <w:t>P</w:t>
            </w:r>
            <w:r w:rsidR="004920D8" w:rsidRPr="00C911E4">
              <w:rPr>
                <w:rFonts w:ascii="Arial" w:hAnsi="Arial" w:cs="Arial"/>
                <w:color w:val="000000"/>
                <w:sz w:val="18"/>
                <w:szCs w:val="18"/>
              </w:rPr>
              <w:t>elican Banks</w:t>
            </w:r>
          </w:p>
        </w:tc>
        <w:tc>
          <w:tcPr>
            <w:tcW w:w="486" w:type="dxa"/>
            <w:shd w:val="clear" w:color="auto" w:fill="E7F3F4"/>
            <w:noWrap/>
            <w:vAlign w:val="center"/>
          </w:tcPr>
          <w:p w14:paraId="2E41B71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23°</w:t>
            </w:r>
          </w:p>
        </w:tc>
        <w:tc>
          <w:tcPr>
            <w:tcW w:w="830" w:type="dxa"/>
            <w:shd w:val="clear" w:color="auto" w:fill="E7F3F4"/>
            <w:noWrap/>
            <w:vAlign w:val="bottom"/>
          </w:tcPr>
          <w:p w14:paraId="2A1A5ED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46.015</w:t>
            </w:r>
          </w:p>
        </w:tc>
        <w:tc>
          <w:tcPr>
            <w:tcW w:w="576" w:type="dxa"/>
            <w:shd w:val="clear" w:color="auto" w:fill="E7F3F4"/>
            <w:noWrap/>
            <w:vAlign w:val="center"/>
          </w:tcPr>
          <w:p w14:paraId="50B5951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151°</w:t>
            </w:r>
          </w:p>
        </w:tc>
        <w:tc>
          <w:tcPr>
            <w:tcW w:w="830" w:type="dxa"/>
            <w:shd w:val="clear" w:color="auto" w:fill="E7F3F4"/>
            <w:noWrap/>
            <w:vAlign w:val="bottom"/>
          </w:tcPr>
          <w:p w14:paraId="61250FD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18.059</w:t>
            </w:r>
          </w:p>
        </w:tc>
        <w:tc>
          <w:tcPr>
            <w:tcW w:w="481" w:type="dxa"/>
            <w:vMerge w:val="restart"/>
            <w:shd w:val="clear" w:color="auto" w:fill="E7F3F4"/>
            <w:noWrap/>
            <w:vAlign w:val="center"/>
          </w:tcPr>
          <w:p w14:paraId="65DD49F9"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E7F3F4"/>
            <w:vAlign w:val="center"/>
          </w:tcPr>
          <w:p w14:paraId="756BCF5D"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E7F3F4"/>
            <w:vAlign w:val="center"/>
          </w:tcPr>
          <w:p w14:paraId="43FF10EE"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E7F3F4"/>
            <w:vAlign w:val="center"/>
          </w:tcPr>
          <w:p w14:paraId="2B3954E7"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E7F3F4"/>
            <w:vAlign w:val="center"/>
          </w:tcPr>
          <w:p w14:paraId="517ADE9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E7F3F4"/>
            <w:vAlign w:val="center"/>
          </w:tcPr>
          <w:p w14:paraId="71BAE574"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2A018AB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r w:rsidRPr="00C911E4">
              <w:rPr>
                <w:rFonts w:ascii="Arial" w:hAnsi="Arial" w:cs="Arial"/>
                <w:color w:val="000000"/>
                <w:sz w:val="18"/>
                <w:szCs w:val="18"/>
              </w:rPr>
              <w:t>*</w:t>
            </w:r>
          </w:p>
        </w:tc>
        <w:tc>
          <w:tcPr>
            <w:tcW w:w="398" w:type="dxa"/>
            <w:vMerge w:val="restart"/>
            <w:shd w:val="clear" w:color="auto" w:fill="E7F3F4"/>
            <w:vAlign w:val="center"/>
          </w:tcPr>
          <w:p w14:paraId="1833D784"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E7F3F4"/>
            <w:vAlign w:val="center"/>
          </w:tcPr>
          <w:p w14:paraId="17DFA38B"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E7F3F4"/>
            <w:vAlign w:val="center"/>
          </w:tcPr>
          <w:p w14:paraId="7991D4F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4920D8" w:rsidRPr="00C911E4" w14:paraId="2F6A3327" w14:textId="77777777" w:rsidTr="003E363C">
        <w:trPr>
          <w:trHeight w:val="170"/>
          <w:jc w:val="center"/>
        </w:trPr>
        <w:tc>
          <w:tcPr>
            <w:tcW w:w="1024" w:type="dxa"/>
            <w:vMerge/>
            <w:shd w:val="clear" w:color="auto" w:fill="auto"/>
            <w:noWrap/>
            <w:vAlign w:val="center"/>
          </w:tcPr>
          <w:p w14:paraId="60E5EF3B"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E7F3F4"/>
            <w:noWrap/>
            <w:vAlign w:val="center"/>
          </w:tcPr>
          <w:p w14:paraId="70179A13"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E7F3F4"/>
            <w:vAlign w:val="center"/>
          </w:tcPr>
          <w:p w14:paraId="547EBD77"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E7F3F4"/>
            <w:noWrap/>
            <w:vAlign w:val="center"/>
          </w:tcPr>
          <w:p w14:paraId="1D377418"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E7F3F4"/>
            <w:noWrap/>
            <w:vAlign w:val="center"/>
          </w:tcPr>
          <w:p w14:paraId="736D8BD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GH2*</w:t>
            </w:r>
          </w:p>
        </w:tc>
        <w:tc>
          <w:tcPr>
            <w:tcW w:w="1579" w:type="dxa"/>
            <w:shd w:val="clear" w:color="auto" w:fill="E7F3F4"/>
            <w:noWrap/>
            <w:vAlign w:val="center"/>
          </w:tcPr>
          <w:p w14:paraId="4C9AB01D" w14:textId="0DDE3A04" w:rsidR="004920D8" w:rsidRPr="00C911E4" w:rsidRDefault="009E0200" w:rsidP="00D64955">
            <w:pPr>
              <w:spacing w:before="0" w:after="0"/>
              <w:jc w:val="center"/>
              <w:rPr>
                <w:rFonts w:ascii="Arial" w:hAnsi="Arial" w:cs="Arial"/>
                <w:i/>
                <w:color w:val="000000"/>
                <w:sz w:val="18"/>
                <w:szCs w:val="18"/>
              </w:rPr>
            </w:pPr>
            <w:r w:rsidRPr="00C911E4">
              <w:rPr>
                <w:rFonts w:ascii="Arial" w:hAnsi="Arial" w:cs="Arial"/>
                <w:color w:val="000000"/>
                <w:sz w:val="18"/>
                <w:szCs w:val="18"/>
              </w:rPr>
              <w:t>P</w:t>
            </w:r>
            <w:r w:rsidR="004920D8" w:rsidRPr="00C911E4">
              <w:rPr>
                <w:rFonts w:ascii="Arial" w:hAnsi="Arial" w:cs="Arial"/>
                <w:color w:val="000000"/>
                <w:sz w:val="18"/>
                <w:szCs w:val="18"/>
              </w:rPr>
              <w:t>elican Banks</w:t>
            </w:r>
          </w:p>
        </w:tc>
        <w:tc>
          <w:tcPr>
            <w:tcW w:w="486" w:type="dxa"/>
            <w:shd w:val="clear" w:color="auto" w:fill="E7F3F4"/>
            <w:noWrap/>
            <w:vAlign w:val="center"/>
          </w:tcPr>
          <w:p w14:paraId="65632FD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23°</w:t>
            </w:r>
          </w:p>
        </w:tc>
        <w:tc>
          <w:tcPr>
            <w:tcW w:w="830" w:type="dxa"/>
            <w:shd w:val="clear" w:color="auto" w:fill="E7F3F4"/>
            <w:noWrap/>
            <w:vAlign w:val="bottom"/>
          </w:tcPr>
          <w:p w14:paraId="292FF74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45.884</w:t>
            </w:r>
          </w:p>
        </w:tc>
        <w:tc>
          <w:tcPr>
            <w:tcW w:w="576" w:type="dxa"/>
            <w:shd w:val="clear" w:color="auto" w:fill="E7F3F4"/>
            <w:noWrap/>
            <w:vAlign w:val="center"/>
          </w:tcPr>
          <w:p w14:paraId="302DDE9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151°</w:t>
            </w:r>
          </w:p>
        </w:tc>
        <w:tc>
          <w:tcPr>
            <w:tcW w:w="830" w:type="dxa"/>
            <w:shd w:val="clear" w:color="auto" w:fill="E7F3F4"/>
            <w:noWrap/>
            <w:vAlign w:val="bottom"/>
          </w:tcPr>
          <w:p w14:paraId="6AC04BF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18.233</w:t>
            </w:r>
          </w:p>
        </w:tc>
        <w:tc>
          <w:tcPr>
            <w:tcW w:w="481" w:type="dxa"/>
            <w:vMerge/>
            <w:shd w:val="clear" w:color="auto" w:fill="E7F3F4"/>
            <w:noWrap/>
            <w:vAlign w:val="center"/>
          </w:tcPr>
          <w:p w14:paraId="6E2F6D7D"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E7F3F4"/>
            <w:vAlign w:val="center"/>
          </w:tcPr>
          <w:p w14:paraId="2C88530A"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04E67F94"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E7F3F4"/>
            <w:vAlign w:val="center"/>
          </w:tcPr>
          <w:p w14:paraId="19B8F52F"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E7F3F4"/>
            <w:vAlign w:val="center"/>
          </w:tcPr>
          <w:p w14:paraId="67A2CA30"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E7F3F4"/>
            <w:vAlign w:val="center"/>
          </w:tcPr>
          <w:p w14:paraId="6B338387"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3249C80E"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E7F3F4"/>
            <w:vAlign w:val="center"/>
          </w:tcPr>
          <w:p w14:paraId="538C9E39"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E7F3F4"/>
            <w:vAlign w:val="center"/>
          </w:tcPr>
          <w:p w14:paraId="549EC214"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E7F3F4"/>
            <w:vAlign w:val="center"/>
          </w:tcPr>
          <w:p w14:paraId="69885D25"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742E0410" w14:textId="77777777" w:rsidTr="003E363C">
        <w:trPr>
          <w:trHeight w:val="170"/>
          <w:jc w:val="center"/>
        </w:trPr>
        <w:tc>
          <w:tcPr>
            <w:tcW w:w="1024" w:type="dxa"/>
            <w:vMerge/>
            <w:shd w:val="clear" w:color="auto" w:fill="auto"/>
            <w:noWrap/>
            <w:vAlign w:val="center"/>
          </w:tcPr>
          <w:p w14:paraId="1839296D" w14:textId="77777777" w:rsidR="004920D8" w:rsidRPr="00C911E4" w:rsidRDefault="004920D8" w:rsidP="00D64955">
            <w:pPr>
              <w:spacing w:before="0" w:after="0"/>
              <w:jc w:val="center"/>
              <w:rPr>
                <w:rFonts w:ascii="Arial" w:hAnsi="Arial" w:cs="Arial"/>
                <w:color w:val="000000"/>
                <w:sz w:val="18"/>
                <w:szCs w:val="18"/>
              </w:rPr>
            </w:pPr>
          </w:p>
        </w:tc>
        <w:tc>
          <w:tcPr>
            <w:tcW w:w="1523" w:type="dxa"/>
            <w:vMerge w:val="restart"/>
            <w:shd w:val="clear" w:color="auto" w:fill="F3F9FA"/>
            <w:noWrap/>
            <w:vAlign w:val="center"/>
          </w:tcPr>
          <w:p w14:paraId="63F6EE4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Burnett Mary</w:t>
            </w:r>
          </w:p>
          <w:p w14:paraId="1320C03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w:t>
            </w:r>
            <w:r w:rsidRPr="00C911E4">
              <w:rPr>
                <w:rFonts w:ascii="Arial" w:hAnsi="Arial" w:cs="Arial"/>
                <w:i/>
                <w:color w:val="000000"/>
                <w:sz w:val="18"/>
                <w:szCs w:val="18"/>
              </w:rPr>
              <w:t>Burnett Mary Regional Group</w:t>
            </w:r>
            <w:r w:rsidRPr="00C911E4">
              <w:rPr>
                <w:rFonts w:ascii="Arial" w:hAnsi="Arial" w:cs="Arial"/>
                <w:color w:val="000000"/>
                <w:sz w:val="18"/>
                <w:szCs w:val="18"/>
              </w:rPr>
              <w:t>)</w:t>
            </w:r>
          </w:p>
        </w:tc>
        <w:tc>
          <w:tcPr>
            <w:tcW w:w="1079" w:type="dxa"/>
            <w:vMerge w:val="restart"/>
            <w:shd w:val="clear" w:color="auto" w:fill="F3F9FA"/>
            <w:vAlign w:val="center"/>
          </w:tcPr>
          <w:p w14:paraId="6A79BE7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Baffle</w:t>
            </w:r>
          </w:p>
        </w:tc>
        <w:tc>
          <w:tcPr>
            <w:tcW w:w="1576" w:type="dxa"/>
            <w:vMerge w:val="restart"/>
            <w:shd w:val="clear" w:color="auto" w:fill="F3F9FA"/>
            <w:noWrap/>
            <w:vAlign w:val="center"/>
          </w:tcPr>
          <w:p w14:paraId="5B8CAA9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Rodds Bay</w:t>
            </w:r>
          </w:p>
          <w:p w14:paraId="3E78D75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 xml:space="preserve">estuarine </w:t>
            </w:r>
          </w:p>
        </w:tc>
        <w:tc>
          <w:tcPr>
            <w:tcW w:w="674" w:type="dxa"/>
            <w:shd w:val="clear" w:color="auto" w:fill="F3F9FA"/>
            <w:noWrap/>
            <w:vAlign w:val="center"/>
          </w:tcPr>
          <w:p w14:paraId="3CE91950" w14:textId="77777777" w:rsidR="004920D8" w:rsidRPr="00C911E4" w:rsidRDefault="004920D8" w:rsidP="00D64955">
            <w:pPr>
              <w:spacing w:before="0" w:after="0"/>
              <w:jc w:val="center"/>
              <w:rPr>
                <w:rFonts w:ascii="Arial" w:hAnsi="Arial" w:cs="Arial"/>
                <w:iCs/>
                <w:color w:val="000000"/>
                <w:sz w:val="18"/>
                <w:szCs w:val="18"/>
              </w:rPr>
            </w:pPr>
            <w:r w:rsidRPr="00C911E4">
              <w:rPr>
                <w:rFonts w:ascii="Arial" w:hAnsi="Arial" w:cs="Arial"/>
                <w:iCs/>
                <w:color w:val="000000"/>
                <w:sz w:val="18"/>
                <w:szCs w:val="18"/>
              </w:rPr>
              <w:t>RD1*</w:t>
            </w:r>
          </w:p>
        </w:tc>
        <w:tc>
          <w:tcPr>
            <w:tcW w:w="1579" w:type="dxa"/>
            <w:shd w:val="clear" w:color="auto" w:fill="F3F9FA"/>
            <w:noWrap/>
            <w:vAlign w:val="center"/>
          </w:tcPr>
          <w:p w14:paraId="557CF890"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Cay Bank</w:t>
            </w:r>
          </w:p>
        </w:tc>
        <w:tc>
          <w:tcPr>
            <w:tcW w:w="486" w:type="dxa"/>
            <w:shd w:val="clear" w:color="auto" w:fill="F3F9FA"/>
            <w:noWrap/>
            <w:vAlign w:val="center"/>
          </w:tcPr>
          <w:p w14:paraId="365898B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24°</w:t>
            </w:r>
          </w:p>
        </w:tc>
        <w:tc>
          <w:tcPr>
            <w:tcW w:w="830" w:type="dxa"/>
            <w:shd w:val="clear" w:color="auto" w:fill="F3F9FA"/>
            <w:noWrap/>
            <w:vAlign w:val="bottom"/>
          </w:tcPr>
          <w:p w14:paraId="7FE837C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3.467</w:t>
            </w:r>
          </w:p>
        </w:tc>
        <w:tc>
          <w:tcPr>
            <w:tcW w:w="576" w:type="dxa"/>
            <w:shd w:val="clear" w:color="auto" w:fill="F3F9FA"/>
            <w:noWrap/>
            <w:vAlign w:val="center"/>
          </w:tcPr>
          <w:p w14:paraId="0AB0416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151°</w:t>
            </w:r>
          </w:p>
        </w:tc>
        <w:tc>
          <w:tcPr>
            <w:tcW w:w="830" w:type="dxa"/>
            <w:shd w:val="clear" w:color="auto" w:fill="F3F9FA"/>
            <w:noWrap/>
            <w:vAlign w:val="bottom"/>
          </w:tcPr>
          <w:p w14:paraId="26C904B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39.333</w:t>
            </w:r>
          </w:p>
        </w:tc>
        <w:tc>
          <w:tcPr>
            <w:tcW w:w="481" w:type="dxa"/>
            <w:vMerge w:val="restart"/>
            <w:shd w:val="clear" w:color="auto" w:fill="F3F9FA"/>
            <w:noWrap/>
            <w:vAlign w:val="center"/>
          </w:tcPr>
          <w:p w14:paraId="08C708EC"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F3F9FA"/>
            <w:vAlign w:val="center"/>
          </w:tcPr>
          <w:p w14:paraId="56AE05CC"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F3F9FA"/>
            <w:vAlign w:val="center"/>
          </w:tcPr>
          <w:p w14:paraId="6D21488F"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30E993E8"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0BDBEBC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0EF1B3A6"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6985A62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398" w:type="dxa"/>
            <w:vMerge w:val="restart"/>
            <w:shd w:val="clear" w:color="auto" w:fill="F3F9FA"/>
            <w:vAlign w:val="center"/>
          </w:tcPr>
          <w:p w14:paraId="4744A8AC"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F3F9FA"/>
            <w:vAlign w:val="center"/>
          </w:tcPr>
          <w:p w14:paraId="30079B4A"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2EDD205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4920D8" w:rsidRPr="00C911E4" w14:paraId="457491D8" w14:textId="77777777" w:rsidTr="003E363C">
        <w:trPr>
          <w:trHeight w:val="170"/>
          <w:jc w:val="center"/>
        </w:trPr>
        <w:tc>
          <w:tcPr>
            <w:tcW w:w="1024" w:type="dxa"/>
            <w:vMerge/>
            <w:shd w:val="clear" w:color="auto" w:fill="auto"/>
            <w:noWrap/>
            <w:vAlign w:val="center"/>
          </w:tcPr>
          <w:p w14:paraId="245ED9F1"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65DBBD67"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vAlign w:val="center"/>
          </w:tcPr>
          <w:p w14:paraId="39FE03DE"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60E72141"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1DF3B101" w14:textId="77777777" w:rsidR="004920D8" w:rsidRPr="00C911E4" w:rsidRDefault="004920D8" w:rsidP="00D64955">
            <w:pPr>
              <w:spacing w:before="0" w:after="0"/>
              <w:jc w:val="center"/>
              <w:rPr>
                <w:rFonts w:ascii="Arial" w:hAnsi="Arial" w:cs="Arial"/>
                <w:iCs/>
                <w:color w:val="000000"/>
                <w:sz w:val="18"/>
                <w:szCs w:val="18"/>
              </w:rPr>
            </w:pPr>
            <w:r w:rsidRPr="00C911E4">
              <w:rPr>
                <w:rFonts w:ascii="Arial" w:hAnsi="Arial" w:cs="Arial"/>
                <w:iCs/>
                <w:color w:val="000000"/>
                <w:sz w:val="18"/>
                <w:szCs w:val="18"/>
              </w:rPr>
              <w:t>RD2*</w:t>
            </w:r>
          </w:p>
        </w:tc>
        <w:tc>
          <w:tcPr>
            <w:tcW w:w="1579" w:type="dxa"/>
            <w:shd w:val="clear" w:color="auto" w:fill="F3F9FA"/>
            <w:noWrap/>
            <w:vAlign w:val="center"/>
          </w:tcPr>
          <w:p w14:paraId="28DA268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Turkey Beach</w:t>
            </w:r>
          </w:p>
        </w:tc>
        <w:tc>
          <w:tcPr>
            <w:tcW w:w="486" w:type="dxa"/>
            <w:shd w:val="clear" w:color="auto" w:fill="F3F9FA"/>
            <w:noWrap/>
            <w:vAlign w:val="center"/>
          </w:tcPr>
          <w:p w14:paraId="5405584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24°</w:t>
            </w:r>
          </w:p>
        </w:tc>
        <w:tc>
          <w:tcPr>
            <w:tcW w:w="830" w:type="dxa"/>
            <w:shd w:val="clear" w:color="auto" w:fill="F3F9FA"/>
            <w:noWrap/>
            <w:vAlign w:val="bottom"/>
          </w:tcPr>
          <w:p w14:paraId="6C191F1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4.854</w:t>
            </w:r>
          </w:p>
        </w:tc>
        <w:tc>
          <w:tcPr>
            <w:tcW w:w="576" w:type="dxa"/>
            <w:shd w:val="clear" w:color="auto" w:fill="F3F9FA"/>
            <w:noWrap/>
            <w:vAlign w:val="center"/>
          </w:tcPr>
          <w:p w14:paraId="1ACBB4F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151°</w:t>
            </w:r>
          </w:p>
        </w:tc>
        <w:tc>
          <w:tcPr>
            <w:tcW w:w="830" w:type="dxa"/>
            <w:shd w:val="clear" w:color="auto" w:fill="F3F9FA"/>
            <w:noWrap/>
            <w:vAlign w:val="bottom"/>
          </w:tcPr>
          <w:p w14:paraId="13EB27C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39.752</w:t>
            </w:r>
          </w:p>
        </w:tc>
        <w:tc>
          <w:tcPr>
            <w:tcW w:w="481" w:type="dxa"/>
            <w:vMerge/>
            <w:shd w:val="clear" w:color="auto" w:fill="F3F9FA"/>
            <w:noWrap/>
            <w:vAlign w:val="center"/>
          </w:tcPr>
          <w:p w14:paraId="3F60C26C"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F3F9FA"/>
            <w:vAlign w:val="center"/>
          </w:tcPr>
          <w:p w14:paraId="7E0F829F"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3413025A"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F3F9FA"/>
            <w:vAlign w:val="center"/>
          </w:tcPr>
          <w:p w14:paraId="584E0272"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F3F9FA"/>
            <w:vAlign w:val="center"/>
          </w:tcPr>
          <w:p w14:paraId="43C0C1C1"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vAlign w:val="center"/>
          </w:tcPr>
          <w:p w14:paraId="54D5E9FF"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2D7EB028"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F3F9FA"/>
            <w:vAlign w:val="center"/>
          </w:tcPr>
          <w:p w14:paraId="7038C42C"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F3F9FA"/>
            <w:vAlign w:val="center"/>
          </w:tcPr>
          <w:p w14:paraId="4CCABD6D"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vAlign w:val="center"/>
          </w:tcPr>
          <w:p w14:paraId="18D1D8BD" w14:textId="77777777" w:rsidR="004920D8" w:rsidRPr="00C911E4" w:rsidRDefault="004920D8" w:rsidP="00D64955">
            <w:pPr>
              <w:spacing w:before="0" w:after="0"/>
              <w:jc w:val="center"/>
              <w:rPr>
                <w:rFonts w:ascii="Arial" w:hAnsi="Arial" w:cs="Arial"/>
                <w:color w:val="000000"/>
                <w:sz w:val="18"/>
                <w:szCs w:val="18"/>
              </w:rPr>
            </w:pPr>
          </w:p>
        </w:tc>
      </w:tr>
      <w:tr w:rsidR="004920D8" w:rsidRPr="00C911E4" w14:paraId="34850255" w14:textId="77777777" w:rsidTr="003E363C">
        <w:trPr>
          <w:trHeight w:val="170"/>
          <w:jc w:val="center"/>
        </w:trPr>
        <w:tc>
          <w:tcPr>
            <w:tcW w:w="1024" w:type="dxa"/>
            <w:vMerge/>
            <w:shd w:val="clear" w:color="auto" w:fill="auto"/>
            <w:noWrap/>
            <w:vAlign w:val="center"/>
          </w:tcPr>
          <w:p w14:paraId="240BD460" w14:textId="77777777" w:rsidR="004920D8" w:rsidRPr="00C911E4" w:rsidRDefault="004920D8" w:rsidP="00D64955">
            <w:pPr>
              <w:spacing w:before="0" w:after="0"/>
              <w:jc w:val="center"/>
              <w:rPr>
                <w:rFonts w:ascii="Arial" w:hAnsi="Arial" w:cs="Arial"/>
                <w:color w:val="000000"/>
                <w:sz w:val="18"/>
                <w:szCs w:val="18"/>
              </w:rPr>
            </w:pPr>
          </w:p>
        </w:tc>
        <w:tc>
          <w:tcPr>
            <w:tcW w:w="1523" w:type="dxa"/>
            <w:vMerge/>
            <w:shd w:val="clear" w:color="auto" w:fill="F3F9FA"/>
            <w:noWrap/>
            <w:vAlign w:val="center"/>
          </w:tcPr>
          <w:p w14:paraId="74DF3699" w14:textId="77777777" w:rsidR="004920D8" w:rsidRPr="00C911E4" w:rsidRDefault="004920D8" w:rsidP="00D64955">
            <w:pPr>
              <w:spacing w:before="0" w:after="0"/>
              <w:jc w:val="center"/>
              <w:rPr>
                <w:rFonts w:ascii="Arial" w:hAnsi="Arial" w:cs="Arial"/>
                <w:color w:val="000000"/>
                <w:sz w:val="18"/>
                <w:szCs w:val="18"/>
              </w:rPr>
            </w:pPr>
          </w:p>
        </w:tc>
        <w:tc>
          <w:tcPr>
            <w:tcW w:w="1079" w:type="dxa"/>
            <w:vMerge w:val="restart"/>
            <w:shd w:val="clear" w:color="auto" w:fill="F3F9FA"/>
            <w:vAlign w:val="center"/>
          </w:tcPr>
          <w:p w14:paraId="323E6F9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Mary</w:t>
            </w:r>
          </w:p>
        </w:tc>
        <w:tc>
          <w:tcPr>
            <w:tcW w:w="1576" w:type="dxa"/>
            <w:vMerge w:val="restart"/>
            <w:shd w:val="clear" w:color="auto" w:fill="F3F9FA"/>
            <w:noWrap/>
            <w:vAlign w:val="center"/>
          </w:tcPr>
          <w:p w14:paraId="204CA06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Hervey Bay</w:t>
            </w:r>
          </w:p>
          <w:p w14:paraId="36B20BA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 xml:space="preserve">estuarine </w:t>
            </w:r>
          </w:p>
        </w:tc>
        <w:tc>
          <w:tcPr>
            <w:tcW w:w="674" w:type="dxa"/>
            <w:shd w:val="clear" w:color="auto" w:fill="F3F9FA"/>
            <w:noWrap/>
            <w:vAlign w:val="center"/>
          </w:tcPr>
          <w:p w14:paraId="67769C2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UG1*</w:t>
            </w:r>
          </w:p>
        </w:tc>
        <w:tc>
          <w:tcPr>
            <w:tcW w:w="1579" w:type="dxa"/>
            <w:shd w:val="clear" w:color="auto" w:fill="F3F9FA"/>
            <w:noWrap/>
            <w:vAlign w:val="center"/>
          </w:tcPr>
          <w:p w14:paraId="4C524A4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Urangan</w:t>
            </w:r>
          </w:p>
        </w:tc>
        <w:tc>
          <w:tcPr>
            <w:tcW w:w="486" w:type="dxa"/>
            <w:shd w:val="clear" w:color="auto" w:fill="F3F9FA"/>
            <w:noWrap/>
            <w:vAlign w:val="center"/>
          </w:tcPr>
          <w:p w14:paraId="0BF78CA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25°</w:t>
            </w:r>
          </w:p>
        </w:tc>
        <w:tc>
          <w:tcPr>
            <w:tcW w:w="830" w:type="dxa"/>
            <w:shd w:val="clear" w:color="auto" w:fill="F3F9FA"/>
            <w:noWrap/>
            <w:vAlign w:val="center"/>
          </w:tcPr>
          <w:p w14:paraId="32DB07B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18.053</w:t>
            </w:r>
          </w:p>
        </w:tc>
        <w:tc>
          <w:tcPr>
            <w:tcW w:w="576" w:type="dxa"/>
            <w:shd w:val="clear" w:color="auto" w:fill="F3F9FA"/>
            <w:noWrap/>
            <w:vAlign w:val="center"/>
          </w:tcPr>
          <w:p w14:paraId="17C370F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152°</w:t>
            </w:r>
          </w:p>
        </w:tc>
        <w:tc>
          <w:tcPr>
            <w:tcW w:w="830" w:type="dxa"/>
            <w:shd w:val="clear" w:color="auto" w:fill="F3F9FA"/>
            <w:noWrap/>
            <w:vAlign w:val="center"/>
          </w:tcPr>
          <w:p w14:paraId="3FD16EC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54.409</w:t>
            </w:r>
          </w:p>
        </w:tc>
        <w:tc>
          <w:tcPr>
            <w:tcW w:w="481" w:type="dxa"/>
            <w:vMerge w:val="restart"/>
            <w:shd w:val="clear" w:color="auto" w:fill="F3F9FA"/>
            <w:noWrap/>
            <w:vAlign w:val="center"/>
          </w:tcPr>
          <w:p w14:paraId="609380DD" w14:textId="77777777" w:rsidR="004920D8" w:rsidRPr="00C911E4" w:rsidRDefault="004920D8" w:rsidP="00D64955">
            <w:pPr>
              <w:spacing w:before="0" w:after="0"/>
              <w:jc w:val="center"/>
              <w:rPr>
                <w:rFonts w:ascii="Arial" w:hAnsi="Arial" w:cs="Arial"/>
                <w:color w:val="000000"/>
                <w:sz w:val="18"/>
                <w:szCs w:val="18"/>
              </w:rPr>
            </w:pPr>
          </w:p>
        </w:tc>
        <w:tc>
          <w:tcPr>
            <w:tcW w:w="402" w:type="dxa"/>
            <w:vMerge w:val="restart"/>
            <w:shd w:val="clear" w:color="auto" w:fill="F3F9FA"/>
            <w:vAlign w:val="center"/>
          </w:tcPr>
          <w:p w14:paraId="15C37D72" w14:textId="77777777" w:rsidR="004920D8" w:rsidRPr="00C911E4" w:rsidRDefault="004920D8" w:rsidP="00D64955">
            <w:pPr>
              <w:spacing w:before="0" w:after="0"/>
              <w:jc w:val="center"/>
              <w:rPr>
                <w:rFonts w:ascii="Arial" w:hAnsi="Arial" w:cs="Arial"/>
                <w:color w:val="000000"/>
                <w:sz w:val="18"/>
                <w:szCs w:val="18"/>
              </w:rPr>
            </w:pPr>
          </w:p>
        </w:tc>
        <w:tc>
          <w:tcPr>
            <w:tcW w:w="408" w:type="dxa"/>
            <w:vMerge w:val="restart"/>
            <w:shd w:val="clear" w:color="auto" w:fill="F3F9FA"/>
            <w:vAlign w:val="center"/>
          </w:tcPr>
          <w:p w14:paraId="07B04C1E" w14:textId="77777777" w:rsidR="004920D8" w:rsidRPr="00C911E4" w:rsidRDefault="004920D8" w:rsidP="00D64955">
            <w:pPr>
              <w:spacing w:before="0" w:after="0"/>
              <w:jc w:val="center"/>
              <w:rPr>
                <w:rFonts w:ascii="Arial" w:hAnsi="Arial" w:cs="Arial"/>
                <w:color w:val="000000"/>
                <w:sz w:val="18"/>
                <w:szCs w:val="18"/>
              </w:rPr>
            </w:pPr>
          </w:p>
        </w:tc>
        <w:tc>
          <w:tcPr>
            <w:tcW w:w="416" w:type="dxa"/>
            <w:vMerge w:val="restart"/>
            <w:shd w:val="clear" w:color="auto" w:fill="F3F9FA"/>
            <w:vAlign w:val="center"/>
          </w:tcPr>
          <w:p w14:paraId="1164DC3D" w14:textId="77777777" w:rsidR="004920D8" w:rsidRPr="00C911E4" w:rsidRDefault="004920D8" w:rsidP="00D64955">
            <w:pPr>
              <w:spacing w:before="0" w:after="0"/>
              <w:jc w:val="center"/>
              <w:rPr>
                <w:rFonts w:ascii="Arial" w:hAnsi="Arial" w:cs="Arial"/>
                <w:color w:val="000000"/>
                <w:sz w:val="18"/>
                <w:szCs w:val="18"/>
              </w:rPr>
            </w:pPr>
          </w:p>
        </w:tc>
        <w:tc>
          <w:tcPr>
            <w:tcW w:w="418" w:type="dxa"/>
            <w:vMerge w:val="restart"/>
            <w:shd w:val="clear" w:color="auto" w:fill="F3F9FA"/>
            <w:vAlign w:val="center"/>
          </w:tcPr>
          <w:p w14:paraId="6561D29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08" w:type="dxa"/>
            <w:vMerge w:val="restart"/>
            <w:shd w:val="clear" w:color="auto" w:fill="F3F9FA"/>
            <w:vAlign w:val="center"/>
          </w:tcPr>
          <w:p w14:paraId="74D9FC05"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69A638F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398" w:type="dxa"/>
            <w:vMerge w:val="restart"/>
            <w:shd w:val="clear" w:color="auto" w:fill="F3F9FA"/>
            <w:vAlign w:val="center"/>
          </w:tcPr>
          <w:p w14:paraId="28E50E6A" w14:textId="77777777" w:rsidR="004920D8" w:rsidRPr="00C911E4" w:rsidRDefault="004920D8" w:rsidP="00D64955">
            <w:pPr>
              <w:spacing w:before="0" w:after="0"/>
              <w:jc w:val="center"/>
              <w:rPr>
                <w:rFonts w:ascii="Arial" w:hAnsi="Arial" w:cs="Arial"/>
                <w:color w:val="000000"/>
                <w:sz w:val="18"/>
                <w:szCs w:val="18"/>
              </w:rPr>
            </w:pPr>
          </w:p>
        </w:tc>
        <w:tc>
          <w:tcPr>
            <w:tcW w:w="410" w:type="dxa"/>
            <w:vMerge w:val="restart"/>
            <w:shd w:val="clear" w:color="auto" w:fill="F3F9FA"/>
            <w:vAlign w:val="center"/>
          </w:tcPr>
          <w:p w14:paraId="7666BD70" w14:textId="77777777" w:rsidR="004920D8" w:rsidRPr="00C911E4" w:rsidRDefault="004920D8" w:rsidP="00D64955">
            <w:pPr>
              <w:spacing w:before="0" w:after="0"/>
              <w:jc w:val="center"/>
              <w:rPr>
                <w:rFonts w:ascii="Arial" w:hAnsi="Arial" w:cs="Arial"/>
                <w:color w:val="000000"/>
                <w:sz w:val="18"/>
                <w:szCs w:val="18"/>
              </w:rPr>
            </w:pPr>
          </w:p>
        </w:tc>
        <w:tc>
          <w:tcPr>
            <w:tcW w:w="422" w:type="dxa"/>
            <w:vMerge w:val="restart"/>
            <w:shd w:val="clear" w:color="auto" w:fill="F3F9FA"/>
            <w:vAlign w:val="center"/>
          </w:tcPr>
          <w:p w14:paraId="5E7E761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4920D8" w:rsidRPr="00C911E4" w14:paraId="107568DF" w14:textId="77777777" w:rsidTr="003E363C">
        <w:trPr>
          <w:trHeight w:val="170"/>
          <w:jc w:val="center"/>
        </w:trPr>
        <w:tc>
          <w:tcPr>
            <w:tcW w:w="1024" w:type="dxa"/>
            <w:vMerge/>
            <w:shd w:val="clear" w:color="auto" w:fill="auto"/>
            <w:noWrap/>
            <w:vAlign w:val="center"/>
          </w:tcPr>
          <w:p w14:paraId="6DB756A3" w14:textId="77777777" w:rsidR="004920D8" w:rsidRPr="00C911E4" w:rsidRDefault="004920D8" w:rsidP="00D64955">
            <w:pPr>
              <w:spacing w:before="0" w:after="0"/>
              <w:ind w:firstLine="560"/>
              <w:jc w:val="center"/>
              <w:rPr>
                <w:rFonts w:ascii="Arial" w:hAnsi="Arial" w:cs="Arial"/>
                <w:color w:val="000000"/>
                <w:sz w:val="18"/>
                <w:szCs w:val="18"/>
              </w:rPr>
            </w:pPr>
          </w:p>
        </w:tc>
        <w:tc>
          <w:tcPr>
            <w:tcW w:w="1523" w:type="dxa"/>
            <w:vMerge/>
            <w:shd w:val="clear" w:color="auto" w:fill="F3F9FA"/>
            <w:noWrap/>
            <w:vAlign w:val="center"/>
          </w:tcPr>
          <w:p w14:paraId="2D838A4D" w14:textId="77777777" w:rsidR="004920D8" w:rsidRPr="00C911E4" w:rsidRDefault="004920D8" w:rsidP="00D64955">
            <w:pPr>
              <w:spacing w:before="0" w:after="0"/>
              <w:jc w:val="center"/>
              <w:rPr>
                <w:rFonts w:ascii="Arial" w:hAnsi="Arial" w:cs="Arial"/>
                <w:color w:val="000000"/>
                <w:sz w:val="18"/>
                <w:szCs w:val="18"/>
              </w:rPr>
            </w:pPr>
          </w:p>
        </w:tc>
        <w:tc>
          <w:tcPr>
            <w:tcW w:w="1079" w:type="dxa"/>
            <w:vMerge/>
            <w:shd w:val="clear" w:color="auto" w:fill="F3F9FA"/>
            <w:noWrap/>
            <w:vAlign w:val="center"/>
          </w:tcPr>
          <w:p w14:paraId="2A5D72C8" w14:textId="77777777" w:rsidR="004920D8" w:rsidRPr="00C911E4" w:rsidRDefault="004920D8" w:rsidP="00D64955">
            <w:pPr>
              <w:spacing w:before="0" w:after="0"/>
              <w:jc w:val="center"/>
              <w:rPr>
                <w:rFonts w:ascii="Arial" w:hAnsi="Arial" w:cs="Arial"/>
                <w:color w:val="000000"/>
                <w:sz w:val="18"/>
                <w:szCs w:val="18"/>
              </w:rPr>
            </w:pPr>
          </w:p>
        </w:tc>
        <w:tc>
          <w:tcPr>
            <w:tcW w:w="1576" w:type="dxa"/>
            <w:vMerge/>
            <w:shd w:val="clear" w:color="auto" w:fill="F3F9FA"/>
            <w:noWrap/>
            <w:vAlign w:val="center"/>
          </w:tcPr>
          <w:p w14:paraId="5E092F15" w14:textId="77777777" w:rsidR="004920D8" w:rsidRPr="00C911E4" w:rsidRDefault="004920D8" w:rsidP="00D64955">
            <w:pPr>
              <w:spacing w:before="0" w:after="0"/>
              <w:jc w:val="center"/>
              <w:rPr>
                <w:rFonts w:ascii="Arial" w:hAnsi="Arial" w:cs="Arial"/>
                <w:color w:val="000000"/>
                <w:sz w:val="18"/>
                <w:szCs w:val="18"/>
              </w:rPr>
            </w:pPr>
          </w:p>
        </w:tc>
        <w:tc>
          <w:tcPr>
            <w:tcW w:w="674" w:type="dxa"/>
            <w:shd w:val="clear" w:color="auto" w:fill="F3F9FA"/>
            <w:noWrap/>
            <w:vAlign w:val="center"/>
          </w:tcPr>
          <w:p w14:paraId="21601CF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UG2*</w:t>
            </w:r>
          </w:p>
        </w:tc>
        <w:tc>
          <w:tcPr>
            <w:tcW w:w="1579" w:type="dxa"/>
            <w:shd w:val="clear" w:color="auto" w:fill="F3F9FA"/>
            <w:noWrap/>
            <w:vAlign w:val="center"/>
          </w:tcPr>
          <w:p w14:paraId="7F43C52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Urangan</w:t>
            </w:r>
          </w:p>
        </w:tc>
        <w:tc>
          <w:tcPr>
            <w:tcW w:w="486" w:type="dxa"/>
            <w:shd w:val="clear" w:color="auto" w:fill="F3F9FA"/>
            <w:noWrap/>
            <w:vAlign w:val="center"/>
          </w:tcPr>
          <w:p w14:paraId="65EF8DC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25°</w:t>
            </w:r>
          </w:p>
        </w:tc>
        <w:tc>
          <w:tcPr>
            <w:tcW w:w="830" w:type="dxa"/>
            <w:shd w:val="clear" w:color="auto" w:fill="F3F9FA"/>
            <w:noWrap/>
            <w:vAlign w:val="center"/>
          </w:tcPr>
          <w:p w14:paraId="321F346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18.197</w:t>
            </w:r>
          </w:p>
        </w:tc>
        <w:tc>
          <w:tcPr>
            <w:tcW w:w="576" w:type="dxa"/>
            <w:shd w:val="clear" w:color="auto" w:fill="F3F9FA"/>
            <w:noWrap/>
            <w:vAlign w:val="center"/>
          </w:tcPr>
          <w:p w14:paraId="722A523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152°</w:t>
            </w:r>
          </w:p>
        </w:tc>
        <w:tc>
          <w:tcPr>
            <w:tcW w:w="830" w:type="dxa"/>
            <w:shd w:val="clear" w:color="auto" w:fill="F3F9FA"/>
            <w:noWrap/>
            <w:vAlign w:val="center"/>
          </w:tcPr>
          <w:p w14:paraId="5CA02EE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54.364</w:t>
            </w:r>
          </w:p>
        </w:tc>
        <w:tc>
          <w:tcPr>
            <w:tcW w:w="481" w:type="dxa"/>
            <w:vMerge/>
            <w:shd w:val="clear" w:color="auto" w:fill="F3F9FA"/>
            <w:noWrap/>
            <w:vAlign w:val="center"/>
          </w:tcPr>
          <w:p w14:paraId="0833BBDF" w14:textId="77777777" w:rsidR="004920D8" w:rsidRPr="00C911E4" w:rsidRDefault="004920D8" w:rsidP="00D64955">
            <w:pPr>
              <w:spacing w:before="0" w:after="0"/>
              <w:jc w:val="center"/>
              <w:rPr>
                <w:rFonts w:ascii="Arial" w:hAnsi="Arial" w:cs="Arial"/>
                <w:color w:val="000000"/>
                <w:sz w:val="18"/>
                <w:szCs w:val="18"/>
              </w:rPr>
            </w:pPr>
          </w:p>
        </w:tc>
        <w:tc>
          <w:tcPr>
            <w:tcW w:w="402" w:type="dxa"/>
            <w:vMerge/>
            <w:shd w:val="clear" w:color="auto" w:fill="F3F9FA"/>
          </w:tcPr>
          <w:p w14:paraId="43BB01B9"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tcPr>
          <w:p w14:paraId="783DFA62" w14:textId="77777777" w:rsidR="004920D8" w:rsidRPr="00C911E4" w:rsidRDefault="004920D8" w:rsidP="00D64955">
            <w:pPr>
              <w:spacing w:before="0" w:after="0"/>
              <w:jc w:val="center"/>
              <w:rPr>
                <w:rFonts w:ascii="Arial" w:hAnsi="Arial" w:cs="Arial"/>
                <w:color w:val="000000"/>
                <w:sz w:val="18"/>
                <w:szCs w:val="18"/>
              </w:rPr>
            </w:pPr>
          </w:p>
        </w:tc>
        <w:tc>
          <w:tcPr>
            <w:tcW w:w="416" w:type="dxa"/>
            <w:vMerge/>
            <w:shd w:val="clear" w:color="auto" w:fill="F3F9FA"/>
          </w:tcPr>
          <w:p w14:paraId="7CBB7C2E" w14:textId="77777777" w:rsidR="004920D8" w:rsidRPr="00C911E4" w:rsidRDefault="004920D8" w:rsidP="00D64955">
            <w:pPr>
              <w:spacing w:before="0" w:after="0"/>
              <w:jc w:val="center"/>
              <w:rPr>
                <w:rFonts w:ascii="Arial" w:hAnsi="Arial" w:cs="Arial"/>
                <w:color w:val="000000"/>
                <w:sz w:val="18"/>
                <w:szCs w:val="18"/>
              </w:rPr>
            </w:pPr>
          </w:p>
        </w:tc>
        <w:tc>
          <w:tcPr>
            <w:tcW w:w="418" w:type="dxa"/>
            <w:vMerge/>
            <w:shd w:val="clear" w:color="auto" w:fill="F3F9FA"/>
          </w:tcPr>
          <w:p w14:paraId="3F97F735" w14:textId="77777777" w:rsidR="004920D8" w:rsidRPr="00C911E4" w:rsidRDefault="004920D8" w:rsidP="00D64955">
            <w:pPr>
              <w:spacing w:before="0" w:after="0"/>
              <w:jc w:val="center"/>
              <w:rPr>
                <w:rFonts w:ascii="Arial" w:hAnsi="Arial" w:cs="Arial"/>
                <w:color w:val="000000"/>
                <w:sz w:val="18"/>
                <w:szCs w:val="18"/>
              </w:rPr>
            </w:pPr>
          </w:p>
        </w:tc>
        <w:tc>
          <w:tcPr>
            <w:tcW w:w="408" w:type="dxa"/>
            <w:vMerge/>
            <w:shd w:val="clear" w:color="auto" w:fill="F3F9FA"/>
          </w:tcPr>
          <w:p w14:paraId="43F387E4"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tcPr>
          <w:p w14:paraId="70B11549" w14:textId="77777777" w:rsidR="004920D8" w:rsidRPr="00C911E4" w:rsidRDefault="004920D8" w:rsidP="00D64955">
            <w:pPr>
              <w:spacing w:before="0" w:after="0"/>
              <w:jc w:val="center"/>
              <w:rPr>
                <w:rFonts w:ascii="Arial" w:hAnsi="Arial" w:cs="Arial"/>
                <w:color w:val="000000"/>
                <w:sz w:val="18"/>
                <w:szCs w:val="18"/>
              </w:rPr>
            </w:pPr>
          </w:p>
        </w:tc>
        <w:tc>
          <w:tcPr>
            <w:tcW w:w="398" w:type="dxa"/>
            <w:vMerge/>
            <w:shd w:val="clear" w:color="auto" w:fill="F3F9FA"/>
          </w:tcPr>
          <w:p w14:paraId="548A7B18" w14:textId="77777777" w:rsidR="004920D8" w:rsidRPr="00C911E4" w:rsidRDefault="004920D8" w:rsidP="00D64955">
            <w:pPr>
              <w:spacing w:before="0" w:after="0"/>
              <w:jc w:val="center"/>
              <w:rPr>
                <w:rFonts w:ascii="Arial" w:hAnsi="Arial" w:cs="Arial"/>
                <w:color w:val="000000"/>
                <w:sz w:val="18"/>
                <w:szCs w:val="18"/>
              </w:rPr>
            </w:pPr>
          </w:p>
        </w:tc>
        <w:tc>
          <w:tcPr>
            <w:tcW w:w="410" w:type="dxa"/>
            <w:vMerge/>
            <w:shd w:val="clear" w:color="auto" w:fill="F3F9FA"/>
          </w:tcPr>
          <w:p w14:paraId="5FA11F02" w14:textId="77777777" w:rsidR="004920D8" w:rsidRPr="00C911E4" w:rsidRDefault="004920D8" w:rsidP="00D64955">
            <w:pPr>
              <w:spacing w:before="0" w:after="0"/>
              <w:jc w:val="center"/>
              <w:rPr>
                <w:rFonts w:ascii="Arial" w:hAnsi="Arial" w:cs="Arial"/>
                <w:color w:val="000000"/>
                <w:sz w:val="18"/>
                <w:szCs w:val="18"/>
              </w:rPr>
            </w:pPr>
          </w:p>
        </w:tc>
        <w:tc>
          <w:tcPr>
            <w:tcW w:w="422" w:type="dxa"/>
            <w:vMerge/>
            <w:shd w:val="clear" w:color="auto" w:fill="F3F9FA"/>
          </w:tcPr>
          <w:p w14:paraId="432F8105" w14:textId="77777777" w:rsidR="004920D8" w:rsidRPr="00C911E4" w:rsidRDefault="004920D8" w:rsidP="00D64955">
            <w:pPr>
              <w:spacing w:before="0" w:after="0"/>
              <w:jc w:val="center"/>
              <w:rPr>
                <w:rFonts w:ascii="Arial" w:hAnsi="Arial" w:cs="Arial"/>
                <w:color w:val="000000"/>
                <w:sz w:val="18"/>
                <w:szCs w:val="18"/>
              </w:rPr>
            </w:pPr>
          </w:p>
        </w:tc>
      </w:tr>
    </w:tbl>
    <w:p w14:paraId="0764A2E7" w14:textId="77777777" w:rsidR="004920D8" w:rsidRPr="00CB093C" w:rsidRDefault="004920D8" w:rsidP="004920D8">
      <w:pPr>
        <w:rPr>
          <w:rFonts w:ascii="Arial" w:hAnsi="Arial" w:cs="Arial"/>
          <w:color w:val="000000"/>
          <w:szCs w:val="22"/>
        </w:rPr>
      </w:pPr>
    </w:p>
    <w:p w14:paraId="3ACA2793" w14:textId="149EFAF0" w:rsidR="004920D8" w:rsidRPr="00CB093C" w:rsidRDefault="004920D8" w:rsidP="004920D8">
      <w:pPr>
        <w:keepNext/>
        <w:jc w:val="center"/>
        <w:rPr>
          <w:rFonts w:ascii="Arial" w:hAnsi="Arial" w:cs="Arial"/>
          <w:i/>
          <w:vanish/>
          <w:color w:val="000000"/>
          <w:szCs w:val="22"/>
          <w:specVanish/>
        </w:rPr>
      </w:pPr>
      <w:bookmarkStart w:id="57" w:name="_Ref461186562"/>
      <w:bookmarkStart w:id="58" w:name="_Toc5616031"/>
      <w:r w:rsidRPr="00CB093C">
        <w:rPr>
          <w:rFonts w:ascii="Arial" w:hAnsi="Arial" w:cs="Arial"/>
          <w:color w:val="000000"/>
          <w:szCs w:val="22"/>
        </w:rPr>
        <w:t xml:space="preserve">Table </w:t>
      </w:r>
      <w:r w:rsidRPr="00CB093C">
        <w:rPr>
          <w:rFonts w:ascii="Arial" w:hAnsi="Arial" w:cs="Arial"/>
          <w:color w:val="000000"/>
          <w:szCs w:val="22"/>
        </w:rPr>
        <w:fldChar w:fldCharType="begin"/>
      </w:r>
      <w:r w:rsidRPr="00CB093C">
        <w:rPr>
          <w:rFonts w:ascii="Arial" w:hAnsi="Arial" w:cs="Arial"/>
          <w:color w:val="000000"/>
          <w:szCs w:val="22"/>
        </w:rPr>
        <w:instrText xml:space="preserve"> SEQ Table \* ARABIC </w:instrText>
      </w:r>
      <w:r w:rsidRPr="00CB093C">
        <w:rPr>
          <w:rFonts w:ascii="Arial" w:hAnsi="Arial" w:cs="Arial"/>
          <w:color w:val="000000"/>
          <w:szCs w:val="22"/>
        </w:rPr>
        <w:fldChar w:fldCharType="separate"/>
      </w:r>
      <w:r w:rsidR="005F00D4">
        <w:rPr>
          <w:rFonts w:ascii="Arial" w:hAnsi="Arial" w:cs="Arial"/>
          <w:noProof/>
          <w:color w:val="000000"/>
          <w:szCs w:val="22"/>
        </w:rPr>
        <w:t>3</w:t>
      </w:r>
      <w:r w:rsidRPr="00CB093C">
        <w:rPr>
          <w:rFonts w:ascii="Arial" w:hAnsi="Arial" w:cs="Arial"/>
          <w:color w:val="000000"/>
          <w:szCs w:val="22"/>
        </w:rPr>
        <w:fldChar w:fldCharType="end"/>
      </w:r>
      <w:bookmarkEnd w:id="57"/>
      <w:r w:rsidRPr="00CB093C">
        <w:rPr>
          <w:rFonts w:ascii="Arial" w:hAnsi="Arial" w:cs="Arial"/>
          <w:i/>
          <w:color w:val="000000"/>
          <w:szCs w:val="22"/>
        </w:rPr>
        <w:t xml:space="preserve">. </w:t>
      </w:r>
      <w:r w:rsidR="00FF1548" w:rsidRPr="00CB093C">
        <w:rPr>
          <w:rFonts w:ascii="Arial" w:hAnsi="Arial" w:cs="Arial"/>
          <w:i/>
          <w:color w:val="000000"/>
          <w:szCs w:val="22"/>
        </w:rPr>
        <w:t xml:space="preserve">Additional </w:t>
      </w:r>
      <w:r w:rsidRPr="00CB093C">
        <w:rPr>
          <w:rFonts w:ascii="Arial" w:hAnsi="Arial" w:cs="Arial"/>
          <w:i/>
          <w:color w:val="000000"/>
          <w:szCs w:val="22"/>
        </w:rPr>
        <w:t>inshore seagrass long-term monitoring sites from the Seagrass-Watch and QPWS drop-camera programs, including presence of foundation (</w:t>
      </w:r>
      <w:r w:rsidRPr="00CB093C">
        <w:rPr>
          <w:rFonts w:ascii="Arial" w:hAnsi="Arial" w:cs="Arial"/>
          <w:color w:val="000000"/>
          <w:szCs w:val="22"/>
        </w:rPr>
        <w:sym w:font="Wingdings" w:char="F06E"/>
      </w:r>
      <w:r w:rsidRPr="00CB093C">
        <w:rPr>
          <w:rFonts w:ascii="Arial" w:hAnsi="Arial" w:cs="Arial"/>
          <w:i/>
          <w:color w:val="000000"/>
          <w:szCs w:val="22"/>
        </w:rPr>
        <w:t>) and other (</w:t>
      </w:r>
      <w:r w:rsidRPr="00CB093C">
        <w:rPr>
          <w:rFonts w:ascii="Arial" w:hAnsi="Arial" w:cs="Arial"/>
          <w:color w:val="000000"/>
          <w:szCs w:val="22"/>
        </w:rPr>
        <w:sym w:font="Wingdings" w:char="F0A8"/>
      </w:r>
      <w:r w:rsidRPr="00CB093C">
        <w:rPr>
          <w:rFonts w:ascii="Arial" w:hAnsi="Arial" w:cs="Arial"/>
          <w:i/>
          <w:color w:val="000000"/>
          <w:szCs w:val="22"/>
        </w:rPr>
        <w:t>) seagrass species.</w:t>
      </w:r>
      <w:bookmarkEnd w:id="58"/>
      <w:r w:rsidRPr="00CB093C">
        <w:rPr>
          <w:rFonts w:ascii="Arial" w:hAnsi="Arial" w:cs="Arial"/>
          <w:i/>
          <w:color w:val="000000"/>
          <w:szCs w:val="22"/>
        </w:rPr>
        <w:t xml:space="preserve"> </w:t>
      </w:r>
    </w:p>
    <w:p w14:paraId="785D10F3" w14:textId="77777777" w:rsidR="004920D8" w:rsidRPr="00CB093C" w:rsidRDefault="004920D8" w:rsidP="004920D8">
      <w:pPr>
        <w:spacing w:before="0" w:after="0"/>
        <w:rPr>
          <w:rFonts w:ascii="Arial" w:hAnsi="Arial" w:cs="Arial"/>
          <w:i/>
          <w:color w:val="000000"/>
          <w:szCs w:val="22"/>
        </w:rPr>
      </w:pPr>
      <w:r w:rsidRPr="00CB093C">
        <w:rPr>
          <w:rFonts w:ascii="Arial" w:hAnsi="Arial" w:cs="Arial"/>
          <w:i/>
          <w:color w:val="000000"/>
          <w:szCs w:val="22"/>
        </w:rPr>
        <w:t>NRM region from www.nrm.gov.au. * = intertidal, ^=subtidal.</w:t>
      </w:r>
    </w:p>
    <w:tbl>
      <w:tblPr>
        <w:tblW w:w="14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5"/>
        <w:gridCol w:w="1367"/>
        <w:gridCol w:w="1100"/>
        <w:gridCol w:w="1338"/>
        <w:gridCol w:w="678"/>
        <w:gridCol w:w="1116"/>
        <w:gridCol w:w="493"/>
        <w:gridCol w:w="876"/>
        <w:gridCol w:w="594"/>
        <w:gridCol w:w="876"/>
        <w:gridCol w:w="480"/>
        <w:gridCol w:w="470"/>
        <w:gridCol w:w="470"/>
        <w:gridCol w:w="480"/>
        <w:gridCol w:w="490"/>
        <w:gridCol w:w="470"/>
        <w:gridCol w:w="480"/>
        <w:gridCol w:w="389"/>
        <w:gridCol w:w="460"/>
        <w:gridCol w:w="480"/>
      </w:tblGrid>
      <w:tr w:rsidR="00EB6CC6" w:rsidRPr="00C911E4" w14:paraId="4F1F078E" w14:textId="77777777" w:rsidTr="00EB6CC6">
        <w:trPr>
          <w:trHeight w:val="170"/>
          <w:jc w:val="center"/>
        </w:trPr>
        <w:tc>
          <w:tcPr>
            <w:tcW w:w="1135" w:type="dxa"/>
            <w:shd w:val="clear" w:color="auto" w:fill="BBE0E3"/>
          </w:tcPr>
          <w:p w14:paraId="2560340A" w14:textId="06BC7826" w:rsidR="004920D8" w:rsidRPr="00C911E4" w:rsidRDefault="003158FC"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R</w:t>
            </w:r>
            <w:r w:rsidR="004920D8" w:rsidRPr="00C911E4">
              <w:rPr>
                <w:rFonts w:ascii="Arial" w:hAnsi="Arial" w:cs="Arial"/>
                <w:b/>
                <w:bCs/>
                <w:color w:val="000000"/>
                <w:sz w:val="18"/>
                <w:szCs w:val="18"/>
              </w:rPr>
              <w:t>egion</w:t>
            </w:r>
          </w:p>
        </w:tc>
        <w:tc>
          <w:tcPr>
            <w:tcW w:w="1367" w:type="dxa"/>
            <w:shd w:val="clear" w:color="auto" w:fill="BBE0E3"/>
          </w:tcPr>
          <w:p w14:paraId="76B91D8D"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NRM region (</w:t>
            </w:r>
            <w:r w:rsidRPr="00C911E4">
              <w:rPr>
                <w:rFonts w:ascii="Arial" w:hAnsi="Arial" w:cs="Arial"/>
                <w:b/>
                <w:bCs/>
                <w:i/>
                <w:color w:val="000000"/>
                <w:sz w:val="18"/>
                <w:szCs w:val="18"/>
              </w:rPr>
              <w:t>Board</w:t>
            </w:r>
            <w:r w:rsidRPr="00C911E4">
              <w:rPr>
                <w:rFonts w:ascii="Arial" w:hAnsi="Arial" w:cs="Arial"/>
                <w:b/>
                <w:bCs/>
                <w:color w:val="000000"/>
                <w:sz w:val="18"/>
                <w:szCs w:val="18"/>
              </w:rPr>
              <w:t>)</w:t>
            </w:r>
          </w:p>
        </w:tc>
        <w:tc>
          <w:tcPr>
            <w:tcW w:w="1100" w:type="dxa"/>
            <w:shd w:val="clear" w:color="auto" w:fill="BBE0E3"/>
          </w:tcPr>
          <w:p w14:paraId="36AF93B9"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Basin</w:t>
            </w:r>
          </w:p>
        </w:tc>
        <w:tc>
          <w:tcPr>
            <w:tcW w:w="1338" w:type="dxa"/>
            <w:shd w:val="clear" w:color="auto" w:fill="BBE0E3"/>
            <w:vAlign w:val="center"/>
          </w:tcPr>
          <w:p w14:paraId="08C2F075"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Monitoring location</w:t>
            </w:r>
          </w:p>
        </w:tc>
        <w:tc>
          <w:tcPr>
            <w:tcW w:w="1794" w:type="dxa"/>
            <w:gridSpan w:val="2"/>
            <w:shd w:val="clear" w:color="auto" w:fill="BBE0E3"/>
            <w:noWrap/>
            <w:vAlign w:val="center"/>
          </w:tcPr>
          <w:p w14:paraId="398F8096"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Site</w:t>
            </w:r>
          </w:p>
        </w:tc>
        <w:tc>
          <w:tcPr>
            <w:tcW w:w="1369" w:type="dxa"/>
            <w:gridSpan w:val="2"/>
            <w:shd w:val="clear" w:color="auto" w:fill="BBE0E3"/>
            <w:noWrap/>
            <w:vAlign w:val="center"/>
          </w:tcPr>
          <w:p w14:paraId="5144CA4A"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Latitude</w:t>
            </w:r>
          </w:p>
        </w:tc>
        <w:tc>
          <w:tcPr>
            <w:tcW w:w="1470" w:type="dxa"/>
            <w:gridSpan w:val="2"/>
            <w:shd w:val="clear" w:color="auto" w:fill="BBE0E3"/>
            <w:noWrap/>
            <w:vAlign w:val="center"/>
          </w:tcPr>
          <w:p w14:paraId="571163E1" w14:textId="77777777" w:rsidR="004920D8" w:rsidRPr="00C911E4" w:rsidRDefault="004920D8" w:rsidP="00D64955">
            <w:pPr>
              <w:spacing w:before="0" w:after="0"/>
              <w:jc w:val="center"/>
              <w:rPr>
                <w:rFonts w:ascii="Arial" w:hAnsi="Arial" w:cs="Arial"/>
                <w:b/>
                <w:color w:val="000000"/>
                <w:sz w:val="18"/>
                <w:szCs w:val="18"/>
              </w:rPr>
            </w:pPr>
            <w:r w:rsidRPr="00C911E4">
              <w:rPr>
                <w:rFonts w:ascii="Arial" w:hAnsi="Arial" w:cs="Arial"/>
                <w:b/>
                <w:bCs/>
                <w:color w:val="000000"/>
                <w:sz w:val="18"/>
                <w:szCs w:val="18"/>
              </w:rPr>
              <w:t>Longitude</w:t>
            </w:r>
          </w:p>
        </w:tc>
        <w:tc>
          <w:tcPr>
            <w:tcW w:w="480" w:type="dxa"/>
            <w:shd w:val="clear" w:color="auto" w:fill="BBE0E3"/>
            <w:noWrap/>
            <w:vAlign w:val="center"/>
          </w:tcPr>
          <w:p w14:paraId="51319743"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CR</w:t>
            </w:r>
          </w:p>
        </w:tc>
        <w:tc>
          <w:tcPr>
            <w:tcW w:w="470" w:type="dxa"/>
            <w:shd w:val="clear" w:color="auto" w:fill="BBE0E3"/>
            <w:vAlign w:val="center"/>
          </w:tcPr>
          <w:p w14:paraId="7684CE16"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CS</w:t>
            </w:r>
          </w:p>
        </w:tc>
        <w:tc>
          <w:tcPr>
            <w:tcW w:w="470" w:type="dxa"/>
            <w:shd w:val="clear" w:color="auto" w:fill="BBE0E3"/>
            <w:vAlign w:val="center"/>
          </w:tcPr>
          <w:p w14:paraId="5FE31FA5"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EA</w:t>
            </w:r>
          </w:p>
        </w:tc>
        <w:tc>
          <w:tcPr>
            <w:tcW w:w="480" w:type="dxa"/>
            <w:shd w:val="clear" w:color="auto" w:fill="BBE0E3"/>
            <w:vAlign w:val="center"/>
          </w:tcPr>
          <w:p w14:paraId="2741EE4F"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HD</w:t>
            </w:r>
          </w:p>
        </w:tc>
        <w:tc>
          <w:tcPr>
            <w:tcW w:w="490" w:type="dxa"/>
            <w:shd w:val="clear" w:color="auto" w:fill="BBE0E3"/>
            <w:vAlign w:val="center"/>
          </w:tcPr>
          <w:p w14:paraId="27601FB9"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HO</w:t>
            </w:r>
          </w:p>
        </w:tc>
        <w:tc>
          <w:tcPr>
            <w:tcW w:w="470" w:type="dxa"/>
            <w:shd w:val="clear" w:color="auto" w:fill="BBE0E3"/>
            <w:vAlign w:val="center"/>
          </w:tcPr>
          <w:p w14:paraId="2DADB993"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HS</w:t>
            </w:r>
          </w:p>
        </w:tc>
        <w:tc>
          <w:tcPr>
            <w:tcW w:w="480" w:type="dxa"/>
            <w:shd w:val="clear" w:color="auto" w:fill="BBE0E3"/>
            <w:vAlign w:val="center"/>
          </w:tcPr>
          <w:p w14:paraId="7CB50D2C"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HU</w:t>
            </w:r>
          </w:p>
        </w:tc>
        <w:tc>
          <w:tcPr>
            <w:tcW w:w="389" w:type="dxa"/>
            <w:shd w:val="clear" w:color="auto" w:fill="BBE0E3"/>
            <w:vAlign w:val="center"/>
          </w:tcPr>
          <w:p w14:paraId="48C749D8"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SI</w:t>
            </w:r>
          </w:p>
        </w:tc>
        <w:tc>
          <w:tcPr>
            <w:tcW w:w="460" w:type="dxa"/>
            <w:shd w:val="clear" w:color="auto" w:fill="BBE0E3"/>
            <w:vAlign w:val="center"/>
          </w:tcPr>
          <w:p w14:paraId="2068BCDC"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TH</w:t>
            </w:r>
          </w:p>
        </w:tc>
        <w:tc>
          <w:tcPr>
            <w:tcW w:w="480" w:type="dxa"/>
            <w:shd w:val="clear" w:color="auto" w:fill="BBE0E3"/>
            <w:vAlign w:val="center"/>
          </w:tcPr>
          <w:p w14:paraId="6D221225" w14:textId="77777777" w:rsidR="004920D8" w:rsidRPr="00C911E4" w:rsidRDefault="004920D8" w:rsidP="00D64955">
            <w:pPr>
              <w:spacing w:before="0" w:after="0"/>
              <w:jc w:val="center"/>
              <w:rPr>
                <w:rFonts w:ascii="Arial" w:hAnsi="Arial" w:cs="Arial"/>
                <w:b/>
                <w:bCs/>
                <w:color w:val="000000"/>
                <w:sz w:val="18"/>
                <w:szCs w:val="18"/>
              </w:rPr>
            </w:pPr>
            <w:r w:rsidRPr="00C911E4">
              <w:rPr>
                <w:rFonts w:ascii="Arial" w:hAnsi="Arial" w:cs="Arial"/>
                <w:b/>
                <w:bCs/>
                <w:color w:val="000000"/>
                <w:sz w:val="18"/>
                <w:szCs w:val="18"/>
              </w:rPr>
              <w:t>ZM</w:t>
            </w:r>
          </w:p>
        </w:tc>
      </w:tr>
      <w:tr w:rsidR="00EB6CC6" w:rsidRPr="00C911E4" w14:paraId="236F1A1C" w14:textId="77777777" w:rsidTr="00EB6CC6">
        <w:trPr>
          <w:trHeight w:val="170"/>
          <w:jc w:val="center"/>
        </w:trPr>
        <w:tc>
          <w:tcPr>
            <w:tcW w:w="1135" w:type="dxa"/>
            <w:vMerge w:val="restart"/>
            <w:shd w:val="clear" w:color="auto" w:fill="auto"/>
            <w:vAlign w:val="center"/>
          </w:tcPr>
          <w:p w14:paraId="7471C500"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Far Northern</w:t>
            </w:r>
          </w:p>
        </w:tc>
        <w:tc>
          <w:tcPr>
            <w:tcW w:w="1367" w:type="dxa"/>
            <w:vMerge w:val="restart"/>
            <w:shd w:val="clear" w:color="auto" w:fill="E7F3F4"/>
            <w:vAlign w:val="center"/>
          </w:tcPr>
          <w:p w14:paraId="4B9F78DA"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 xml:space="preserve">Cape </w:t>
            </w:r>
            <w:bookmarkStart w:id="59" w:name="_GoBack"/>
            <w:bookmarkEnd w:id="59"/>
            <w:r w:rsidRPr="00C911E4">
              <w:rPr>
                <w:rFonts w:ascii="Arial" w:hAnsi="Arial" w:cs="Arial"/>
                <w:color w:val="000000"/>
                <w:sz w:val="18"/>
                <w:szCs w:val="18"/>
              </w:rPr>
              <w:t>York</w:t>
            </w:r>
          </w:p>
          <w:p w14:paraId="3FEC13BE"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i/>
                <w:color w:val="000000"/>
                <w:sz w:val="18"/>
                <w:szCs w:val="18"/>
              </w:rPr>
              <w:t>(Cape York Nat Res Manage)</w:t>
            </w:r>
          </w:p>
        </w:tc>
        <w:tc>
          <w:tcPr>
            <w:tcW w:w="1100" w:type="dxa"/>
            <w:vMerge w:val="restart"/>
            <w:shd w:val="clear" w:color="auto" w:fill="E7F3F4"/>
            <w:vAlign w:val="center"/>
          </w:tcPr>
          <w:p w14:paraId="5EBE43FA"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Lockhart</w:t>
            </w:r>
          </w:p>
        </w:tc>
        <w:tc>
          <w:tcPr>
            <w:tcW w:w="1338" w:type="dxa"/>
            <w:shd w:val="clear" w:color="auto" w:fill="E7F3F4"/>
            <w:noWrap/>
            <w:vAlign w:val="center"/>
          </w:tcPr>
          <w:p w14:paraId="4442B380"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Weymouth Bay</w:t>
            </w:r>
          </w:p>
          <w:p w14:paraId="4DECFBA2" w14:textId="77777777" w:rsidR="00F56108" w:rsidRPr="00C911E4" w:rsidRDefault="00F5610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reef</w:t>
            </w:r>
          </w:p>
        </w:tc>
        <w:tc>
          <w:tcPr>
            <w:tcW w:w="678" w:type="dxa"/>
            <w:shd w:val="clear" w:color="auto" w:fill="E7F3F4"/>
            <w:noWrap/>
            <w:vAlign w:val="center"/>
          </w:tcPr>
          <w:p w14:paraId="177E504B"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YY1*</w:t>
            </w:r>
          </w:p>
        </w:tc>
        <w:tc>
          <w:tcPr>
            <w:tcW w:w="1116" w:type="dxa"/>
            <w:shd w:val="clear" w:color="auto" w:fill="E7F3F4"/>
            <w:noWrap/>
            <w:vAlign w:val="center"/>
          </w:tcPr>
          <w:p w14:paraId="63DB09F0"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Yum Yum Beach</w:t>
            </w:r>
          </w:p>
        </w:tc>
        <w:tc>
          <w:tcPr>
            <w:tcW w:w="493" w:type="dxa"/>
            <w:shd w:val="clear" w:color="auto" w:fill="E7F3F4"/>
            <w:noWrap/>
            <w:vAlign w:val="center"/>
          </w:tcPr>
          <w:p w14:paraId="65191AF8"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12°</w:t>
            </w:r>
          </w:p>
        </w:tc>
        <w:tc>
          <w:tcPr>
            <w:tcW w:w="876" w:type="dxa"/>
            <w:shd w:val="clear" w:color="auto" w:fill="E7F3F4"/>
            <w:noWrap/>
            <w:vAlign w:val="center"/>
          </w:tcPr>
          <w:p w14:paraId="0F2C93AF"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34.247</w:t>
            </w:r>
          </w:p>
        </w:tc>
        <w:tc>
          <w:tcPr>
            <w:tcW w:w="594" w:type="dxa"/>
            <w:shd w:val="clear" w:color="auto" w:fill="E7F3F4"/>
            <w:noWrap/>
            <w:vAlign w:val="center"/>
          </w:tcPr>
          <w:p w14:paraId="3C2A5027"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143°</w:t>
            </w:r>
          </w:p>
        </w:tc>
        <w:tc>
          <w:tcPr>
            <w:tcW w:w="876" w:type="dxa"/>
            <w:shd w:val="clear" w:color="auto" w:fill="E7F3F4"/>
            <w:noWrap/>
            <w:vAlign w:val="center"/>
          </w:tcPr>
          <w:p w14:paraId="3E51CF1F"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21.639</w:t>
            </w:r>
          </w:p>
        </w:tc>
        <w:tc>
          <w:tcPr>
            <w:tcW w:w="480" w:type="dxa"/>
            <w:shd w:val="clear" w:color="auto" w:fill="E7F3F4"/>
            <w:noWrap/>
            <w:vAlign w:val="center"/>
          </w:tcPr>
          <w:p w14:paraId="6383A1C4"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70" w:type="dxa"/>
            <w:shd w:val="clear" w:color="auto" w:fill="E7F3F4"/>
            <w:vAlign w:val="center"/>
          </w:tcPr>
          <w:p w14:paraId="4BE1BD4F"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70" w:type="dxa"/>
            <w:shd w:val="clear" w:color="auto" w:fill="E7F3F4"/>
            <w:vAlign w:val="center"/>
          </w:tcPr>
          <w:p w14:paraId="2E286920"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80" w:type="dxa"/>
            <w:shd w:val="clear" w:color="auto" w:fill="E7F3F4"/>
            <w:vAlign w:val="center"/>
          </w:tcPr>
          <w:p w14:paraId="5F55B9E7" w14:textId="77777777" w:rsidR="00F56108" w:rsidRPr="00C911E4" w:rsidRDefault="00F56108" w:rsidP="00D64955">
            <w:pPr>
              <w:spacing w:before="0" w:after="0"/>
              <w:jc w:val="center"/>
              <w:rPr>
                <w:rFonts w:ascii="Arial" w:hAnsi="Arial" w:cs="Arial"/>
                <w:color w:val="000000"/>
                <w:sz w:val="18"/>
                <w:szCs w:val="18"/>
              </w:rPr>
            </w:pPr>
          </w:p>
        </w:tc>
        <w:tc>
          <w:tcPr>
            <w:tcW w:w="490" w:type="dxa"/>
            <w:shd w:val="clear" w:color="auto" w:fill="E7F3F4"/>
            <w:vAlign w:val="center"/>
          </w:tcPr>
          <w:p w14:paraId="76C9C57B"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shd w:val="clear" w:color="auto" w:fill="E7F3F4"/>
            <w:vAlign w:val="center"/>
          </w:tcPr>
          <w:p w14:paraId="35A9F579" w14:textId="77777777" w:rsidR="00F56108" w:rsidRPr="00C911E4" w:rsidRDefault="00F56108" w:rsidP="00D64955">
            <w:pPr>
              <w:spacing w:before="0" w:after="0"/>
              <w:jc w:val="center"/>
              <w:rPr>
                <w:rFonts w:ascii="Arial" w:hAnsi="Arial" w:cs="Arial"/>
                <w:color w:val="000000"/>
                <w:sz w:val="18"/>
                <w:szCs w:val="18"/>
              </w:rPr>
            </w:pPr>
          </w:p>
        </w:tc>
        <w:tc>
          <w:tcPr>
            <w:tcW w:w="480" w:type="dxa"/>
            <w:shd w:val="clear" w:color="auto" w:fill="E7F3F4"/>
            <w:vAlign w:val="center"/>
          </w:tcPr>
          <w:p w14:paraId="543AEB1D"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shd w:val="clear" w:color="auto" w:fill="E7F3F4"/>
            <w:vAlign w:val="center"/>
          </w:tcPr>
          <w:p w14:paraId="735A8E4D" w14:textId="77777777" w:rsidR="00F56108" w:rsidRPr="00C911E4" w:rsidRDefault="00F56108" w:rsidP="00D64955">
            <w:pPr>
              <w:spacing w:before="0" w:after="0"/>
              <w:jc w:val="center"/>
              <w:rPr>
                <w:rFonts w:ascii="Arial" w:hAnsi="Arial" w:cs="Arial"/>
                <w:color w:val="000000"/>
                <w:sz w:val="18"/>
                <w:szCs w:val="18"/>
              </w:rPr>
            </w:pPr>
          </w:p>
        </w:tc>
        <w:tc>
          <w:tcPr>
            <w:tcW w:w="460" w:type="dxa"/>
            <w:shd w:val="clear" w:color="auto" w:fill="E7F3F4"/>
            <w:vAlign w:val="center"/>
          </w:tcPr>
          <w:p w14:paraId="741206D9"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80" w:type="dxa"/>
            <w:shd w:val="clear" w:color="auto" w:fill="E7F3F4"/>
            <w:vAlign w:val="center"/>
          </w:tcPr>
          <w:p w14:paraId="729D9BCE" w14:textId="77777777" w:rsidR="00F56108" w:rsidRPr="00C911E4" w:rsidRDefault="00F56108" w:rsidP="00D64955">
            <w:pPr>
              <w:spacing w:before="0" w:after="0"/>
              <w:jc w:val="center"/>
              <w:rPr>
                <w:rFonts w:ascii="Arial" w:hAnsi="Arial" w:cs="Arial"/>
                <w:color w:val="000000"/>
                <w:sz w:val="18"/>
                <w:szCs w:val="18"/>
              </w:rPr>
            </w:pPr>
          </w:p>
        </w:tc>
      </w:tr>
      <w:tr w:rsidR="00EB6CC6" w:rsidRPr="00C911E4" w14:paraId="77559205" w14:textId="77777777" w:rsidTr="00EB6CC6">
        <w:trPr>
          <w:trHeight w:val="170"/>
          <w:jc w:val="center"/>
        </w:trPr>
        <w:tc>
          <w:tcPr>
            <w:tcW w:w="1135" w:type="dxa"/>
            <w:vMerge/>
            <w:shd w:val="clear" w:color="auto" w:fill="auto"/>
            <w:vAlign w:val="center"/>
          </w:tcPr>
          <w:p w14:paraId="784969C7" w14:textId="77777777" w:rsidR="00F56108" w:rsidRPr="00C911E4" w:rsidRDefault="00F56108"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336BEDAE" w14:textId="77777777" w:rsidR="00F56108" w:rsidRPr="00C911E4" w:rsidRDefault="00F56108"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4E8A05C0" w14:textId="77777777" w:rsidR="00F56108" w:rsidRPr="00C911E4" w:rsidRDefault="00F56108" w:rsidP="00D64955">
            <w:pPr>
              <w:spacing w:before="0" w:after="0"/>
              <w:jc w:val="center"/>
              <w:rPr>
                <w:rFonts w:ascii="Arial" w:hAnsi="Arial" w:cs="Arial"/>
                <w:color w:val="000000"/>
                <w:sz w:val="18"/>
                <w:szCs w:val="18"/>
              </w:rPr>
            </w:pPr>
          </w:p>
        </w:tc>
        <w:tc>
          <w:tcPr>
            <w:tcW w:w="1338" w:type="dxa"/>
            <w:vMerge w:val="restart"/>
            <w:shd w:val="clear" w:color="auto" w:fill="E7F3F4"/>
            <w:noWrap/>
            <w:vAlign w:val="center"/>
          </w:tcPr>
          <w:p w14:paraId="200B72EA"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Lloyd Bay</w:t>
            </w:r>
          </w:p>
          <w:p w14:paraId="72443E84" w14:textId="77777777" w:rsidR="00F56108" w:rsidRPr="00C911E4" w:rsidRDefault="00F5610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coastal</w:t>
            </w:r>
          </w:p>
        </w:tc>
        <w:tc>
          <w:tcPr>
            <w:tcW w:w="678" w:type="dxa"/>
            <w:shd w:val="clear" w:color="auto" w:fill="E7F3F4"/>
            <w:noWrap/>
            <w:vAlign w:val="center"/>
          </w:tcPr>
          <w:p w14:paraId="3F1F410B"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LR1^</w:t>
            </w:r>
          </w:p>
        </w:tc>
        <w:tc>
          <w:tcPr>
            <w:tcW w:w="1116" w:type="dxa"/>
            <w:shd w:val="clear" w:color="auto" w:fill="E7F3F4"/>
            <w:noWrap/>
            <w:vAlign w:val="center"/>
          </w:tcPr>
          <w:p w14:paraId="2D0F1CD6"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Lloyd Bay</w:t>
            </w:r>
          </w:p>
        </w:tc>
        <w:tc>
          <w:tcPr>
            <w:tcW w:w="493" w:type="dxa"/>
            <w:shd w:val="clear" w:color="auto" w:fill="E7F3F4"/>
            <w:noWrap/>
            <w:vAlign w:val="center"/>
          </w:tcPr>
          <w:p w14:paraId="37D20F6A"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12°</w:t>
            </w:r>
          </w:p>
        </w:tc>
        <w:tc>
          <w:tcPr>
            <w:tcW w:w="876" w:type="dxa"/>
            <w:shd w:val="clear" w:color="auto" w:fill="E7F3F4"/>
            <w:noWrap/>
            <w:vAlign w:val="bottom"/>
          </w:tcPr>
          <w:p w14:paraId="10A62EE7"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47.792</w:t>
            </w:r>
          </w:p>
        </w:tc>
        <w:tc>
          <w:tcPr>
            <w:tcW w:w="594" w:type="dxa"/>
            <w:shd w:val="clear" w:color="auto" w:fill="E7F3F4"/>
            <w:noWrap/>
            <w:vAlign w:val="center"/>
          </w:tcPr>
          <w:p w14:paraId="5261FBC7"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143°</w:t>
            </w:r>
          </w:p>
        </w:tc>
        <w:tc>
          <w:tcPr>
            <w:tcW w:w="876" w:type="dxa"/>
            <w:shd w:val="clear" w:color="auto" w:fill="E7F3F4"/>
            <w:noWrap/>
            <w:vAlign w:val="bottom"/>
          </w:tcPr>
          <w:p w14:paraId="1404F369"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29.118</w:t>
            </w:r>
          </w:p>
        </w:tc>
        <w:tc>
          <w:tcPr>
            <w:tcW w:w="480" w:type="dxa"/>
            <w:vMerge w:val="restart"/>
            <w:shd w:val="clear" w:color="auto" w:fill="E7F3F4"/>
            <w:noWrap/>
            <w:vAlign w:val="center"/>
          </w:tcPr>
          <w:p w14:paraId="1CFACF20" w14:textId="77777777" w:rsidR="00F56108" w:rsidRPr="00C911E4" w:rsidRDefault="00F56108"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5CE8B924" w14:textId="77777777" w:rsidR="00F56108" w:rsidRPr="00C911E4" w:rsidRDefault="00F56108"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671394F5" w14:textId="77777777" w:rsidR="00F56108" w:rsidRPr="00C911E4" w:rsidRDefault="00F5610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75467702" w14:textId="77777777" w:rsidR="00F56108" w:rsidRPr="00C911E4" w:rsidRDefault="00F56108" w:rsidP="00D64955">
            <w:pPr>
              <w:spacing w:before="0" w:after="0"/>
              <w:jc w:val="center"/>
              <w:rPr>
                <w:rFonts w:ascii="Arial" w:hAnsi="Arial" w:cs="Arial"/>
                <w:color w:val="000000"/>
                <w:sz w:val="18"/>
                <w:szCs w:val="18"/>
              </w:rPr>
            </w:pPr>
          </w:p>
        </w:tc>
        <w:tc>
          <w:tcPr>
            <w:tcW w:w="490" w:type="dxa"/>
            <w:vMerge w:val="restart"/>
            <w:shd w:val="clear" w:color="auto" w:fill="E7F3F4"/>
            <w:vAlign w:val="center"/>
          </w:tcPr>
          <w:p w14:paraId="2B50792B"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E7F3F4"/>
            <w:vAlign w:val="center"/>
          </w:tcPr>
          <w:p w14:paraId="494540C2"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80" w:type="dxa"/>
            <w:vMerge w:val="restart"/>
            <w:shd w:val="clear" w:color="auto" w:fill="E7F3F4"/>
            <w:vAlign w:val="center"/>
          </w:tcPr>
          <w:p w14:paraId="00D24007"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E7F3F4"/>
            <w:vAlign w:val="center"/>
          </w:tcPr>
          <w:p w14:paraId="1CEEEF16" w14:textId="77777777" w:rsidR="00F56108" w:rsidRPr="00C911E4" w:rsidRDefault="00F56108" w:rsidP="00D64955">
            <w:pPr>
              <w:spacing w:before="0" w:after="0"/>
              <w:jc w:val="center"/>
              <w:rPr>
                <w:rFonts w:ascii="Arial" w:hAnsi="Arial" w:cs="Arial"/>
                <w:color w:val="000000"/>
                <w:sz w:val="18"/>
                <w:szCs w:val="18"/>
              </w:rPr>
            </w:pPr>
          </w:p>
        </w:tc>
        <w:tc>
          <w:tcPr>
            <w:tcW w:w="460" w:type="dxa"/>
            <w:vMerge w:val="restart"/>
            <w:shd w:val="clear" w:color="auto" w:fill="E7F3F4"/>
            <w:vAlign w:val="center"/>
          </w:tcPr>
          <w:p w14:paraId="1556EEB8" w14:textId="77777777" w:rsidR="00F56108" w:rsidRPr="00C911E4" w:rsidRDefault="00F5610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4310D203" w14:textId="77777777" w:rsidR="00F56108" w:rsidRPr="00C911E4" w:rsidRDefault="00F56108" w:rsidP="00D64955">
            <w:pPr>
              <w:spacing w:before="0" w:after="0"/>
              <w:jc w:val="center"/>
              <w:rPr>
                <w:rFonts w:ascii="Arial" w:hAnsi="Arial" w:cs="Arial"/>
                <w:color w:val="000000"/>
                <w:sz w:val="18"/>
                <w:szCs w:val="18"/>
              </w:rPr>
            </w:pPr>
          </w:p>
        </w:tc>
      </w:tr>
      <w:tr w:rsidR="00EB6CC6" w:rsidRPr="00C911E4" w14:paraId="1384058B" w14:textId="77777777" w:rsidTr="00EB6CC6">
        <w:trPr>
          <w:trHeight w:val="170"/>
          <w:jc w:val="center"/>
        </w:trPr>
        <w:tc>
          <w:tcPr>
            <w:tcW w:w="1135" w:type="dxa"/>
            <w:vMerge/>
            <w:shd w:val="clear" w:color="auto" w:fill="auto"/>
            <w:vAlign w:val="center"/>
          </w:tcPr>
          <w:p w14:paraId="28CFB291" w14:textId="77777777" w:rsidR="00F56108" w:rsidRPr="00C911E4" w:rsidRDefault="00F56108"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43023C1E" w14:textId="77777777" w:rsidR="00F56108" w:rsidRPr="00C911E4" w:rsidRDefault="00F56108"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47C923C3" w14:textId="77777777" w:rsidR="00F56108" w:rsidRPr="00C911E4" w:rsidRDefault="00F56108" w:rsidP="00D64955">
            <w:pPr>
              <w:spacing w:before="0" w:after="0"/>
              <w:jc w:val="center"/>
              <w:rPr>
                <w:rFonts w:ascii="Arial" w:hAnsi="Arial" w:cs="Arial"/>
                <w:color w:val="000000"/>
                <w:sz w:val="18"/>
                <w:szCs w:val="18"/>
              </w:rPr>
            </w:pPr>
          </w:p>
        </w:tc>
        <w:tc>
          <w:tcPr>
            <w:tcW w:w="1338" w:type="dxa"/>
            <w:vMerge/>
            <w:shd w:val="clear" w:color="auto" w:fill="E7F3F4"/>
            <w:noWrap/>
            <w:vAlign w:val="center"/>
          </w:tcPr>
          <w:p w14:paraId="0A6DDA04" w14:textId="77777777" w:rsidR="00F56108" w:rsidRPr="00C911E4" w:rsidRDefault="00F56108" w:rsidP="00D64955">
            <w:pPr>
              <w:spacing w:before="0" w:after="0"/>
              <w:jc w:val="center"/>
              <w:rPr>
                <w:rFonts w:ascii="Arial" w:hAnsi="Arial" w:cs="Arial"/>
                <w:color w:val="000000"/>
                <w:sz w:val="18"/>
                <w:szCs w:val="18"/>
              </w:rPr>
            </w:pPr>
          </w:p>
        </w:tc>
        <w:tc>
          <w:tcPr>
            <w:tcW w:w="678" w:type="dxa"/>
            <w:shd w:val="clear" w:color="auto" w:fill="E7F3F4"/>
            <w:noWrap/>
            <w:vAlign w:val="center"/>
          </w:tcPr>
          <w:p w14:paraId="33518DB1"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LR2^</w:t>
            </w:r>
          </w:p>
        </w:tc>
        <w:tc>
          <w:tcPr>
            <w:tcW w:w="1116" w:type="dxa"/>
            <w:shd w:val="clear" w:color="auto" w:fill="E7F3F4"/>
            <w:noWrap/>
            <w:vAlign w:val="center"/>
          </w:tcPr>
          <w:p w14:paraId="5AB588A7"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Lloyd Bay</w:t>
            </w:r>
          </w:p>
        </w:tc>
        <w:tc>
          <w:tcPr>
            <w:tcW w:w="493" w:type="dxa"/>
            <w:shd w:val="clear" w:color="auto" w:fill="E7F3F4"/>
            <w:noWrap/>
            <w:vAlign w:val="center"/>
          </w:tcPr>
          <w:p w14:paraId="01486835"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12°</w:t>
            </w:r>
          </w:p>
        </w:tc>
        <w:tc>
          <w:tcPr>
            <w:tcW w:w="876" w:type="dxa"/>
            <w:shd w:val="clear" w:color="auto" w:fill="E7F3F4"/>
            <w:noWrap/>
            <w:vAlign w:val="bottom"/>
          </w:tcPr>
          <w:p w14:paraId="51D25E31"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49.502</w:t>
            </w:r>
          </w:p>
        </w:tc>
        <w:tc>
          <w:tcPr>
            <w:tcW w:w="594" w:type="dxa"/>
            <w:shd w:val="clear" w:color="auto" w:fill="E7F3F4"/>
            <w:noWrap/>
            <w:vAlign w:val="center"/>
          </w:tcPr>
          <w:p w14:paraId="0E746CB3"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143°</w:t>
            </w:r>
          </w:p>
        </w:tc>
        <w:tc>
          <w:tcPr>
            <w:tcW w:w="876" w:type="dxa"/>
            <w:shd w:val="clear" w:color="auto" w:fill="E7F3F4"/>
            <w:noWrap/>
            <w:vAlign w:val="bottom"/>
          </w:tcPr>
          <w:p w14:paraId="237AC760"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28.488</w:t>
            </w:r>
          </w:p>
        </w:tc>
        <w:tc>
          <w:tcPr>
            <w:tcW w:w="480" w:type="dxa"/>
            <w:vMerge/>
            <w:shd w:val="clear" w:color="auto" w:fill="E7F3F4"/>
            <w:noWrap/>
            <w:vAlign w:val="center"/>
          </w:tcPr>
          <w:p w14:paraId="383F7821" w14:textId="77777777" w:rsidR="00F56108" w:rsidRPr="00C911E4" w:rsidRDefault="00F5610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75F0640D" w14:textId="77777777" w:rsidR="00F56108" w:rsidRPr="00C911E4" w:rsidRDefault="00F5610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223B2D4D" w14:textId="77777777" w:rsidR="00F56108" w:rsidRPr="00C911E4" w:rsidRDefault="00F5610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5345B013" w14:textId="77777777" w:rsidR="00F56108" w:rsidRPr="00C911E4" w:rsidRDefault="00F56108" w:rsidP="00D64955">
            <w:pPr>
              <w:spacing w:before="0" w:after="0"/>
              <w:jc w:val="center"/>
              <w:rPr>
                <w:rFonts w:ascii="Arial" w:hAnsi="Arial" w:cs="Arial"/>
                <w:color w:val="000000"/>
                <w:sz w:val="18"/>
                <w:szCs w:val="18"/>
              </w:rPr>
            </w:pPr>
          </w:p>
        </w:tc>
        <w:tc>
          <w:tcPr>
            <w:tcW w:w="490" w:type="dxa"/>
            <w:vMerge/>
            <w:shd w:val="clear" w:color="auto" w:fill="E7F3F4"/>
            <w:vAlign w:val="center"/>
          </w:tcPr>
          <w:p w14:paraId="33809F39" w14:textId="77777777" w:rsidR="00F56108" w:rsidRPr="00C911E4" w:rsidRDefault="00F5610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68690AC5" w14:textId="77777777" w:rsidR="00F56108" w:rsidRPr="00C911E4" w:rsidRDefault="00F5610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20CF2932" w14:textId="77777777" w:rsidR="00F56108" w:rsidRPr="00C911E4" w:rsidRDefault="00F56108" w:rsidP="00D64955">
            <w:pPr>
              <w:spacing w:before="0" w:after="0"/>
              <w:jc w:val="center"/>
              <w:rPr>
                <w:rFonts w:ascii="Arial" w:hAnsi="Arial" w:cs="Arial"/>
                <w:color w:val="000000"/>
                <w:sz w:val="18"/>
                <w:szCs w:val="18"/>
              </w:rPr>
            </w:pPr>
          </w:p>
        </w:tc>
        <w:tc>
          <w:tcPr>
            <w:tcW w:w="389" w:type="dxa"/>
            <w:vMerge/>
            <w:shd w:val="clear" w:color="auto" w:fill="E7F3F4"/>
            <w:vAlign w:val="center"/>
          </w:tcPr>
          <w:p w14:paraId="466C1FC8" w14:textId="77777777" w:rsidR="00F56108" w:rsidRPr="00C911E4" w:rsidRDefault="00F56108" w:rsidP="00D64955">
            <w:pPr>
              <w:spacing w:before="0" w:after="0"/>
              <w:jc w:val="center"/>
              <w:rPr>
                <w:rFonts w:ascii="Arial" w:hAnsi="Arial" w:cs="Arial"/>
                <w:color w:val="000000"/>
                <w:sz w:val="18"/>
                <w:szCs w:val="18"/>
              </w:rPr>
            </w:pPr>
          </w:p>
        </w:tc>
        <w:tc>
          <w:tcPr>
            <w:tcW w:w="460" w:type="dxa"/>
            <w:vMerge/>
            <w:shd w:val="clear" w:color="auto" w:fill="E7F3F4"/>
            <w:vAlign w:val="center"/>
          </w:tcPr>
          <w:p w14:paraId="3D0C1379" w14:textId="77777777" w:rsidR="00F56108" w:rsidRPr="00C911E4" w:rsidRDefault="00F5610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1353DE4E" w14:textId="77777777" w:rsidR="00F56108" w:rsidRPr="00C911E4" w:rsidRDefault="00F56108" w:rsidP="00D64955">
            <w:pPr>
              <w:spacing w:before="0" w:after="0"/>
              <w:jc w:val="center"/>
              <w:rPr>
                <w:rFonts w:ascii="Arial" w:hAnsi="Arial" w:cs="Arial"/>
                <w:color w:val="000000"/>
                <w:sz w:val="18"/>
                <w:szCs w:val="18"/>
              </w:rPr>
            </w:pPr>
          </w:p>
        </w:tc>
      </w:tr>
      <w:tr w:rsidR="00EB6CC6" w:rsidRPr="00C911E4" w14:paraId="2B0050DE" w14:textId="77777777" w:rsidTr="00EB6CC6">
        <w:trPr>
          <w:trHeight w:val="170"/>
          <w:jc w:val="center"/>
        </w:trPr>
        <w:tc>
          <w:tcPr>
            <w:tcW w:w="1135" w:type="dxa"/>
            <w:vMerge/>
            <w:shd w:val="clear" w:color="auto" w:fill="auto"/>
            <w:vAlign w:val="center"/>
          </w:tcPr>
          <w:p w14:paraId="4AD5699B" w14:textId="77777777" w:rsidR="00F56108" w:rsidRPr="00C911E4" w:rsidRDefault="00F56108"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78413D6A" w14:textId="77777777" w:rsidR="00F56108" w:rsidRPr="00C911E4" w:rsidRDefault="00F56108" w:rsidP="00D64955">
            <w:pPr>
              <w:spacing w:before="0" w:after="0"/>
              <w:jc w:val="center"/>
              <w:rPr>
                <w:rFonts w:ascii="Arial" w:hAnsi="Arial" w:cs="Arial"/>
                <w:color w:val="000000"/>
                <w:sz w:val="18"/>
                <w:szCs w:val="18"/>
              </w:rPr>
            </w:pPr>
          </w:p>
        </w:tc>
        <w:tc>
          <w:tcPr>
            <w:tcW w:w="1100" w:type="dxa"/>
            <w:vMerge w:val="restart"/>
            <w:shd w:val="clear" w:color="auto" w:fill="E7F3F4"/>
            <w:vAlign w:val="center"/>
          </w:tcPr>
          <w:p w14:paraId="79DE111A"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Normanby / Jeannie</w:t>
            </w:r>
          </w:p>
        </w:tc>
        <w:tc>
          <w:tcPr>
            <w:tcW w:w="1338" w:type="dxa"/>
            <w:vMerge w:val="restart"/>
            <w:shd w:val="clear" w:color="auto" w:fill="E7F3F4"/>
            <w:noWrap/>
            <w:vAlign w:val="center"/>
          </w:tcPr>
          <w:p w14:paraId="57430D8D"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Flinders Group</w:t>
            </w:r>
          </w:p>
          <w:p w14:paraId="426BC4D9" w14:textId="77777777" w:rsidR="00F56108" w:rsidRPr="00C911E4" w:rsidRDefault="00F5610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reef</w:t>
            </w:r>
          </w:p>
        </w:tc>
        <w:tc>
          <w:tcPr>
            <w:tcW w:w="678" w:type="dxa"/>
            <w:shd w:val="clear" w:color="auto" w:fill="E7F3F4"/>
            <w:noWrap/>
            <w:vAlign w:val="center"/>
          </w:tcPr>
          <w:p w14:paraId="3B6B7E84"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FG1^</w:t>
            </w:r>
          </w:p>
        </w:tc>
        <w:tc>
          <w:tcPr>
            <w:tcW w:w="1116" w:type="dxa"/>
            <w:shd w:val="clear" w:color="auto" w:fill="E7F3F4"/>
            <w:noWrap/>
            <w:vAlign w:val="center"/>
          </w:tcPr>
          <w:p w14:paraId="25E164F2"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Flinders Island</w:t>
            </w:r>
          </w:p>
        </w:tc>
        <w:tc>
          <w:tcPr>
            <w:tcW w:w="493" w:type="dxa"/>
            <w:shd w:val="clear" w:color="auto" w:fill="E7F3F4"/>
            <w:noWrap/>
            <w:vAlign w:val="center"/>
          </w:tcPr>
          <w:p w14:paraId="52EA6D55"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w:t>
            </w:r>
          </w:p>
        </w:tc>
        <w:tc>
          <w:tcPr>
            <w:tcW w:w="876" w:type="dxa"/>
            <w:shd w:val="clear" w:color="auto" w:fill="E7F3F4"/>
            <w:noWrap/>
            <w:vAlign w:val="center"/>
          </w:tcPr>
          <w:p w14:paraId="0671326B"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10.9464</w:t>
            </w:r>
          </w:p>
        </w:tc>
        <w:tc>
          <w:tcPr>
            <w:tcW w:w="594" w:type="dxa"/>
            <w:shd w:val="clear" w:color="auto" w:fill="E7F3F4"/>
            <w:noWrap/>
            <w:vAlign w:val="center"/>
          </w:tcPr>
          <w:p w14:paraId="3FA7F2DC"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144°</w:t>
            </w:r>
          </w:p>
        </w:tc>
        <w:tc>
          <w:tcPr>
            <w:tcW w:w="876" w:type="dxa"/>
            <w:shd w:val="clear" w:color="auto" w:fill="E7F3F4"/>
            <w:noWrap/>
            <w:vAlign w:val="center"/>
          </w:tcPr>
          <w:p w14:paraId="291CC068"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13.522</w:t>
            </w:r>
          </w:p>
        </w:tc>
        <w:tc>
          <w:tcPr>
            <w:tcW w:w="480" w:type="dxa"/>
            <w:vMerge w:val="restart"/>
            <w:shd w:val="clear" w:color="auto" w:fill="E7F3F4"/>
            <w:noWrap/>
            <w:vAlign w:val="center"/>
          </w:tcPr>
          <w:p w14:paraId="4F0E317E" w14:textId="77777777" w:rsidR="00F56108" w:rsidRPr="00C911E4" w:rsidRDefault="00F56108"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6E8D9533" w14:textId="77777777" w:rsidR="00F56108" w:rsidRPr="00C911E4" w:rsidRDefault="00F56108"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48A1AAFB" w14:textId="77777777" w:rsidR="00F56108" w:rsidRPr="00C911E4" w:rsidRDefault="00F5610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7D2936EC" w14:textId="77777777" w:rsidR="00F56108" w:rsidRPr="00C911E4" w:rsidRDefault="00F56108" w:rsidP="00D64955">
            <w:pPr>
              <w:spacing w:before="0" w:after="0"/>
              <w:jc w:val="center"/>
              <w:rPr>
                <w:rFonts w:ascii="Arial" w:hAnsi="Arial" w:cs="Arial"/>
                <w:color w:val="000000"/>
                <w:sz w:val="18"/>
                <w:szCs w:val="18"/>
              </w:rPr>
            </w:pPr>
          </w:p>
        </w:tc>
        <w:tc>
          <w:tcPr>
            <w:tcW w:w="490" w:type="dxa"/>
            <w:vMerge w:val="restart"/>
            <w:shd w:val="clear" w:color="auto" w:fill="E7F3F4"/>
            <w:vAlign w:val="center"/>
          </w:tcPr>
          <w:p w14:paraId="312CF079"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E7F3F4"/>
            <w:vAlign w:val="center"/>
          </w:tcPr>
          <w:p w14:paraId="24122BCC"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80" w:type="dxa"/>
            <w:vMerge w:val="restart"/>
            <w:shd w:val="clear" w:color="auto" w:fill="E7F3F4"/>
            <w:vAlign w:val="center"/>
          </w:tcPr>
          <w:p w14:paraId="682702C7"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E7F3F4"/>
            <w:vAlign w:val="center"/>
          </w:tcPr>
          <w:p w14:paraId="3BA28C0C" w14:textId="77777777" w:rsidR="00F56108" w:rsidRPr="00C911E4" w:rsidRDefault="00F56108" w:rsidP="00D64955">
            <w:pPr>
              <w:spacing w:before="0" w:after="0"/>
              <w:jc w:val="center"/>
              <w:rPr>
                <w:rFonts w:ascii="Arial" w:hAnsi="Arial" w:cs="Arial"/>
                <w:color w:val="000000"/>
                <w:sz w:val="18"/>
                <w:szCs w:val="18"/>
              </w:rPr>
            </w:pPr>
          </w:p>
        </w:tc>
        <w:tc>
          <w:tcPr>
            <w:tcW w:w="460" w:type="dxa"/>
            <w:vMerge w:val="restart"/>
            <w:shd w:val="clear" w:color="auto" w:fill="E7F3F4"/>
            <w:vAlign w:val="center"/>
          </w:tcPr>
          <w:p w14:paraId="65E37695" w14:textId="77777777" w:rsidR="00F56108" w:rsidRPr="00C911E4" w:rsidRDefault="00F5610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6249243E" w14:textId="77777777" w:rsidR="00F56108" w:rsidRPr="00C911E4" w:rsidRDefault="00F56108" w:rsidP="00D64955">
            <w:pPr>
              <w:spacing w:before="0" w:after="0"/>
              <w:jc w:val="center"/>
              <w:rPr>
                <w:rFonts w:ascii="Arial" w:hAnsi="Arial" w:cs="Arial"/>
                <w:color w:val="000000"/>
                <w:sz w:val="18"/>
                <w:szCs w:val="18"/>
              </w:rPr>
            </w:pPr>
          </w:p>
        </w:tc>
      </w:tr>
      <w:tr w:rsidR="00EB6CC6" w:rsidRPr="00C911E4" w14:paraId="128F4ED0" w14:textId="77777777" w:rsidTr="00EB6CC6">
        <w:trPr>
          <w:trHeight w:val="170"/>
          <w:jc w:val="center"/>
        </w:trPr>
        <w:tc>
          <w:tcPr>
            <w:tcW w:w="1135" w:type="dxa"/>
            <w:vMerge/>
            <w:shd w:val="clear" w:color="auto" w:fill="auto"/>
            <w:vAlign w:val="center"/>
          </w:tcPr>
          <w:p w14:paraId="462B0F2B" w14:textId="77777777" w:rsidR="00F56108" w:rsidRPr="00C911E4" w:rsidRDefault="00F56108"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7CF1B923" w14:textId="77777777" w:rsidR="00F56108" w:rsidRPr="00C911E4" w:rsidRDefault="00F56108"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60586FB8" w14:textId="77777777" w:rsidR="00F56108" w:rsidRPr="00C911E4" w:rsidRDefault="00F56108" w:rsidP="00D64955">
            <w:pPr>
              <w:spacing w:before="0" w:after="0"/>
              <w:jc w:val="center"/>
              <w:rPr>
                <w:rFonts w:ascii="Arial" w:hAnsi="Arial" w:cs="Arial"/>
                <w:color w:val="000000"/>
                <w:sz w:val="18"/>
                <w:szCs w:val="18"/>
              </w:rPr>
            </w:pPr>
          </w:p>
        </w:tc>
        <w:tc>
          <w:tcPr>
            <w:tcW w:w="1338" w:type="dxa"/>
            <w:vMerge/>
            <w:shd w:val="clear" w:color="auto" w:fill="E7F3F4"/>
            <w:noWrap/>
            <w:vAlign w:val="center"/>
          </w:tcPr>
          <w:p w14:paraId="3BC2D75C" w14:textId="77777777" w:rsidR="00F56108" w:rsidRPr="00C911E4" w:rsidRDefault="00F56108" w:rsidP="00D64955">
            <w:pPr>
              <w:spacing w:before="0" w:after="0"/>
              <w:jc w:val="center"/>
              <w:rPr>
                <w:rFonts w:ascii="Arial" w:hAnsi="Arial" w:cs="Arial"/>
                <w:color w:val="000000"/>
                <w:sz w:val="18"/>
                <w:szCs w:val="18"/>
              </w:rPr>
            </w:pPr>
          </w:p>
        </w:tc>
        <w:tc>
          <w:tcPr>
            <w:tcW w:w="678" w:type="dxa"/>
            <w:shd w:val="clear" w:color="auto" w:fill="E7F3F4"/>
            <w:noWrap/>
            <w:vAlign w:val="center"/>
          </w:tcPr>
          <w:p w14:paraId="3CCCC561"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FG2^</w:t>
            </w:r>
          </w:p>
        </w:tc>
        <w:tc>
          <w:tcPr>
            <w:tcW w:w="1116" w:type="dxa"/>
            <w:shd w:val="clear" w:color="auto" w:fill="E7F3F4"/>
            <w:noWrap/>
            <w:vAlign w:val="center"/>
          </w:tcPr>
          <w:p w14:paraId="16BCF5BB"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Flinders Island</w:t>
            </w:r>
          </w:p>
        </w:tc>
        <w:tc>
          <w:tcPr>
            <w:tcW w:w="493" w:type="dxa"/>
            <w:shd w:val="clear" w:color="auto" w:fill="E7F3F4"/>
            <w:noWrap/>
            <w:vAlign w:val="center"/>
          </w:tcPr>
          <w:p w14:paraId="6A2BB217"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w:t>
            </w:r>
          </w:p>
        </w:tc>
        <w:tc>
          <w:tcPr>
            <w:tcW w:w="876" w:type="dxa"/>
            <w:shd w:val="clear" w:color="auto" w:fill="E7F3F4"/>
            <w:noWrap/>
            <w:vAlign w:val="center"/>
          </w:tcPr>
          <w:p w14:paraId="295C0E2C"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10.932</w:t>
            </w:r>
          </w:p>
        </w:tc>
        <w:tc>
          <w:tcPr>
            <w:tcW w:w="594" w:type="dxa"/>
            <w:shd w:val="clear" w:color="auto" w:fill="E7F3F4"/>
            <w:noWrap/>
            <w:vAlign w:val="center"/>
          </w:tcPr>
          <w:p w14:paraId="4B988474"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144°</w:t>
            </w:r>
          </w:p>
        </w:tc>
        <w:tc>
          <w:tcPr>
            <w:tcW w:w="876" w:type="dxa"/>
            <w:shd w:val="clear" w:color="auto" w:fill="E7F3F4"/>
            <w:noWrap/>
            <w:vAlign w:val="center"/>
          </w:tcPr>
          <w:p w14:paraId="351E2125"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13.522</w:t>
            </w:r>
          </w:p>
        </w:tc>
        <w:tc>
          <w:tcPr>
            <w:tcW w:w="480" w:type="dxa"/>
            <w:vMerge/>
            <w:shd w:val="clear" w:color="auto" w:fill="E7F3F4"/>
            <w:noWrap/>
            <w:vAlign w:val="center"/>
          </w:tcPr>
          <w:p w14:paraId="5FEA5B76" w14:textId="77777777" w:rsidR="00F56108" w:rsidRPr="00C911E4" w:rsidRDefault="00F5610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3CC3A199" w14:textId="77777777" w:rsidR="00F56108" w:rsidRPr="00C911E4" w:rsidRDefault="00F5610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381B3B5B" w14:textId="77777777" w:rsidR="00F56108" w:rsidRPr="00C911E4" w:rsidRDefault="00F5610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07C0E48F" w14:textId="77777777" w:rsidR="00F56108" w:rsidRPr="00C911E4" w:rsidRDefault="00F56108" w:rsidP="00D64955">
            <w:pPr>
              <w:spacing w:before="0" w:after="0"/>
              <w:jc w:val="center"/>
              <w:rPr>
                <w:rFonts w:ascii="Arial" w:hAnsi="Arial" w:cs="Arial"/>
                <w:color w:val="000000"/>
                <w:sz w:val="18"/>
                <w:szCs w:val="18"/>
              </w:rPr>
            </w:pPr>
          </w:p>
        </w:tc>
        <w:tc>
          <w:tcPr>
            <w:tcW w:w="490" w:type="dxa"/>
            <w:vMerge/>
            <w:shd w:val="clear" w:color="auto" w:fill="E7F3F4"/>
            <w:vAlign w:val="center"/>
          </w:tcPr>
          <w:p w14:paraId="0E0CF4E7" w14:textId="77777777" w:rsidR="00F56108" w:rsidRPr="00C911E4" w:rsidRDefault="00F5610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221C092D" w14:textId="77777777" w:rsidR="00F56108" w:rsidRPr="00C911E4" w:rsidRDefault="00F5610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2898D339" w14:textId="77777777" w:rsidR="00F56108" w:rsidRPr="00C911E4" w:rsidRDefault="00F56108" w:rsidP="00D64955">
            <w:pPr>
              <w:spacing w:before="0" w:after="0"/>
              <w:jc w:val="center"/>
              <w:rPr>
                <w:rFonts w:ascii="Arial" w:hAnsi="Arial" w:cs="Arial"/>
                <w:color w:val="000000"/>
                <w:sz w:val="18"/>
                <w:szCs w:val="18"/>
              </w:rPr>
            </w:pPr>
          </w:p>
        </w:tc>
        <w:tc>
          <w:tcPr>
            <w:tcW w:w="389" w:type="dxa"/>
            <w:vMerge/>
            <w:shd w:val="clear" w:color="auto" w:fill="E7F3F4"/>
            <w:vAlign w:val="center"/>
          </w:tcPr>
          <w:p w14:paraId="09EBFD50" w14:textId="77777777" w:rsidR="00F56108" w:rsidRPr="00C911E4" w:rsidRDefault="00F56108" w:rsidP="00D64955">
            <w:pPr>
              <w:spacing w:before="0" w:after="0"/>
              <w:jc w:val="center"/>
              <w:rPr>
                <w:rFonts w:ascii="Arial" w:hAnsi="Arial" w:cs="Arial"/>
                <w:color w:val="000000"/>
                <w:sz w:val="18"/>
                <w:szCs w:val="18"/>
              </w:rPr>
            </w:pPr>
          </w:p>
        </w:tc>
        <w:tc>
          <w:tcPr>
            <w:tcW w:w="460" w:type="dxa"/>
            <w:vMerge/>
            <w:shd w:val="clear" w:color="auto" w:fill="E7F3F4"/>
            <w:vAlign w:val="center"/>
          </w:tcPr>
          <w:p w14:paraId="3D61A41B" w14:textId="77777777" w:rsidR="00F56108" w:rsidRPr="00C911E4" w:rsidRDefault="00F5610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65E16291" w14:textId="77777777" w:rsidR="00F56108" w:rsidRPr="00C911E4" w:rsidRDefault="00F56108" w:rsidP="00D64955">
            <w:pPr>
              <w:spacing w:before="0" w:after="0"/>
              <w:jc w:val="center"/>
              <w:rPr>
                <w:rFonts w:ascii="Arial" w:hAnsi="Arial" w:cs="Arial"/>
                <w:color w:val="000000"/>
                <w:sz w:val="18"/>
                <w:szCs w:val="18"/>
              </w:rPr>
            </w:pPr>
          </w:p>
        </w:tc>
      </w:tr>
      <w:tr w:rsidR="00EB6CC6" w:rsidRPr="00C911E4" w14:paraId="3B391355" w14:textId="77777777" w:rsidTr="00EB6CC6">
        <w:trPr>
          <w:trHeight w:val="170"/>
          <w:jc w:val="center"/>
        </w:trPr>
        <w:tc>
          <w:tcPr>
            <w:tcW w:w="1135" w:type="dxa"/>
            <w:vMerge/>
            <w:shd w:val="clear" w:color="auto" w:fill="auto"/>
            <w:vAlign w:val="center"/>
          </w:tcPr>
          <w:p w14:paraId="790E46D3" w14:textId="77777777" w:rsidR="00F56108" w:rsidRPr="00C911E4" w:rsidRDefault="00F56108"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33C00D88" w14:textId="77777777" w:rsidR="00F56108" w:rsidRPr="00C911E4" w:rsidRDefault="00F56108"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69D3DE10" w14:textId="77777777" w:rsidR="00F56108" w:rsidRPr="00C911E4" w:rsidRDefault="00F56108" w:rsidP="00D64955">
            <w:pPr>
              <w:spacing w:before="0" w:after="0"/>
              <w:jc w:val="center"/>
              <w:rPr>
                <w:rFonts w:ascii="Arial" w:hAnsi="Arial" w:cs="Arial"/>
                <w:color w:val="000000"/>
                <w:sz w:val="18"/>
                <w:szCs w:val="18"/>
              </w:rPr>
            </w:pPr>
          </w:p>
        </w:tc>
        <w:tc>
          <w:tcPr>
            <w:tcW w:w="1338" w:type="dxa"/>
            <w:vMerge w:val="restart"/>
            <w:shd w:val="clear" w:color="auto" w:fill="E7F3F4"/>
            <w:noWrap/>
            <w:vAlign w:val="center"/>
          </w:tcPr>
          <w:p w14:paraId="385E45DF" w14:textId="77777777"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Bathurst Bay</w:t>
            </w:r>
          </w:p>
          <w:p w14:paraId="7FFB0CD6" w14:textId="1A53BEA5" w:rsidR="00F56108" w:rsidRPr="00C911E4" w:rsidRDefault="00F5610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coastal</w:t>
            </w:r>
          </w:p>
        </w:tc>
        <w:tc>
          <w:tcPr>
            <w:tcW w:w="678" w:type="dxa"/>
            <w:shd w:val="clear" w:color="auto" w:fill="E7F3F4"/>
            <w:noWrap/>
            <w:vAlign w:val="center"/>
          </w:tcPr>
          <w:p w14:paraId="5D2865B3" w14:textId="2EE74F6C"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BY3^</w:t>
            </w:r>
          </w:p>
        </w:tc>
        <w:tc>
          <w:tcPr>
            <w:tcW w:w="1116" w:type="dxa"/>
            <w:shd w:val="clear" w:color="auto" w:fill="E7F3F4"/>
            <w:noWrap/>
            <w:vAlign w:val="center"/>
          </w:tcPr>
          <w:p w14:paraId="71D27CE2" w14:textId="5D8608FC"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Bathurst Bay</w:t>
            </w:r>
          </w:p>
        </w:tc>
        <w:tc>
          <w:tcPr>
            <w:tcW w:w="493" w:type="dxa"/>
            <w:shd w:val="clear" w:color="auto" w:fill="E7F3F4"/>
            <w:noWrap/>
            <w:vAlign w:val="center"/>
          </w:tcPr>
          <w:p w14:paraId="330DE9C8" w14:textId="58822F83"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w:t>
            </w:r>
          </w:p>
        </w:tc>
        <w:tc>
          <w:tcPr>
            <w:tcW w:w="876" w:type="dxa"/>
            <w:shd w:val="clear" w:color="auto" w:fill="E7F3F4"/>
            <w:noWrap/>
            <w:vAlign w:val="center"/>
          </w:tcPr>
          <w:p w14:paraId="37CE64EA" w14:textId="0AB35C9B" w:rsidR="00F56108" w:rsidRPr="00C911E4" w:rsidRDefault="00C61EF5" w:rsidP="00C61EF5">
            <w:pPr>
              <w:spacing w:before="0" w:after="0"/>
              <w:jc w:val="center"/>
              <w:rPr>
                <w:rFonts w:ascii="Arial" w:hAnsi="Arial" w:cs="Arial"/>
                <w:color w:val="000000"/>
                <w:sz w:val="18"/>
                <w:szCs w:val="18"/>
              </w:rPr>
            </w:pPr>
            <w:r w:rsidRPr="00C911E4">
              <w:rPr>
                <w:rFonts w:ascii="Arial" w:hAnsi="Arial" w:cs="Arial"/>
                <w:color w:val="000000"/>
                <w:sz w:val="18"/>
                <w:szCs w:val="18"/>
              </w:rPr>
              <w:t>16.556</w:t>
            </w:r>
          </w:p>
        </w:tc>
        <w:tc>
          <w:tcPr>
            <w:tcW w:w="594" w:type="dxa"/>
            <w:shd w:val="clear" w:color="auto" w:fill="E7F3F4"/>
            <w:noWrap/>
            <w:vAlign w:val="center"/>
          </w:tcPr>
          <w:p w14:paraId="040234E3" w14:textId="58E74DE8"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144°</w:t>
            </w:r>
          </w:p>
        </w:tc>
        <w:tc>
          <w:tcPr>
            <w:tcW w:w="876" w:type="dxa"/>
            <w:shd w:val="clear" w:color="auto" w:fill="E7F3F4"/>
            <w:noWrap/>
            <w:vAlign w:val="center"/>
          </w:tcPr>
          <w:p w14:paraId="63B38DB4" w14:textId="1DF44F72" w:rsidR="00F56108" w:rsidRPr="00C911E4" w:rsidRDefault="00C61EF5" w:rsidP="00C61EF5">
            <w:pPr>
              <w:spacing w:before="0" w:after="0"/>
              <w:jc w:val="center"/>
              <w:rPr>
                <w:rFonts w:ascii="Arial" w:hAnsi="Arial" w:cs="Arial"/>
                <w:color w:val="000000"/>
                <w:sz w:val="18"/>
                <w:szCs w:val="18"/>
              </w:rPr>
            </w:pPr>
            <w:r w:rsidRPr="00C911E4">
              <w:rPr>
                <w:rFonts w:ascii="Arial" w:hAnsi="Arial" w:cs="Arial"/>
                <w:color w:val="000000"/>
                <w:sz w:val="18"/>
                <w:szCs w:val="18"/>
              </w:rPr>
              <w:t>17.069</w:t>
            </w:r>
          </w:p>
        </w:tc>
        <w:tc>
          <w:tcPr>
            <w:tcW w:w="480" w:type="dxa"/>
            <w:vMerge w:val="restart"/>
            <w:shd w:val="clear" w:color="auto" w:fill="E7F3F4"/>
            <w:noWrap/>
            <w:vAlign w:val="center"/>
          </w:tcPr>
          <w:p w14:paraId="7A5016CB" w14:textId="77777777" w:rsidR="00F56108" w:rsidRPr="00C911E4" w:rsidRDefault="00F56108"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6D8752DE" w14:textId="77777777" w:rsidR="00F56108" w:rsidRPr="00C911E4" w:rsidRDefault="00F56108"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7B8308DA" w14:textId="77777777" w:rsidR="00F56108" w:rsidRPr="00C911E4" w:rsidRDefault="00F5610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6CF79D49" w14:textId="77777777" w:rsidR="00F56108" w:rsidRPr="00C911E4" w:rsidRDefault="00F56108" w:rsidP="00D64955">
            <w:pPr>
              <w:spacing w:before="0" w:after="0"/>
              <w:jc w:val="center"/>
              <w:rPr>
                <w:rFonts w:ascii="Arial" w:hAnsi="Arial" w:cs="Arial"/>
                <w:color w:val="000000"/>
                <w:sz w:val="18"/>
                <w:szCs w:val="18"/>
              </w:rPr>
            </w:pPr>
          </w:p>
        </w:tc>
        <w:tc>
          <w:tcPr>
            <w:tcW w:w="490" w:type="dxa"/>
            <w:vMerge w:val="restart"/>
            <w:shd w:val="clear" w:color="auto" w:fill="E7F3F4"/>
            <w:vAlign w:val="center"/>
          </w:tcPr>
          <w:p w14:paraId="7259F0BA" w14:textId="4C7079AA" w:rsidR="00F56108" w:rsidRPr="00C911E4" w:rsidRDefault="0031308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E7F3F4"/>
            <w:vAlign w:val="center"/>
          </w:tcPr>
          <w:p w14:paraId="7F750F78" w14:textId="77777777" w:rsidR="00F56108" w:rsidRPr="00C911E4" w:rsidRDefault="00F5610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48DF7132" w14:textId="1260E015" w:rsidR="00F56108" w:rsidRPr="00C911E4" w:rsidRDefault="0031308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E7F3F4"/>
            <w:vAlign w:val="center"/>
          </w:tcPr>
          <w:p w14:paraId="3F0655B8" w14:textId="77777777" w:rsidR="00F56108" w:rsidRPr="00C911E4" w:rsidRDefault="00F56108" w:rsidP="00D64955">
            <w:pPr>
              <w:spacing w:before="0" w:after="0"/>
              <w:jc w:val="center"/>
              <w:rPr>
                <w:rFonts w:ascii="Arial" w:hAnsi="Arial" w:cs="Arial"/>
                <w:color w:val="000000"/>
                <w:sz w:val="18"/>
                <w:szCs w:val="18"/>
              </w:rPr>
            </w:pPr>
          </w:p>
        </w:tc>
        <w:tc>
          <w:tcPr>
            <w:tcW w:w="460" w:type="dxa"/>
            <w:vMerge w:val="restart"/>
            <w:shd w:val="clear" w:color="auto" w:fill="E7F3F4"/>
            <w:vAlign w:val="center"/>
          </w:tcPr>
          <w:p w14:paraId="7113436A" w14:textId="77777777" w:rsidR="00F56108" w:rsidRPr="00C911E4" w:rsidRDefault="00F5610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0B0E35F8" w14:textId="77777777" w:rsidR="00F56108" w:rsidRPr="00C911E4" w:rsidRDefault="00F56108" w:rsidP="00D64955">
            <w:pPr>
              <w:spacing w:before="0" w:after="0"/>
              <w:jc w:val="center"/>
              <w:rPr>
                <w:rFonts w:ascii="Arial" w:hAnsi="Arial" w:cs="Arial"/>
                <w:color w:val="000000"/>
                <w:sz w:val="18"/>
                <w:szCs w:val="18"/>
              </w:rPr>
            </w:pPr>
          </w:p>
        </w:tc>
      </w:tr>
      <w:tr w:rsidR="00EB6CC6" w:rsidRPr="00C911E4" w14:paraId="01620958" w14:textId="77777777" w:rsidTr="00EB6CC6">
        <w:trPr>
          <w:trHeight w:val="170"/>
          <w:jc w:val="center"/>
        </w:trPr>
        <w:tc>
          <w:tcPr>
            <w:tcW w:w="1135" w:type="dxa"/>
            <w:vMerge/>
            <w:shd w:val="clear" w:color="auto" w:fill="auto"/>
            <w:vAlign w:val="center"/>
          </w:tcPr>
          <w:p w14:paraId="17A76C1D" w14:textId="77777777" w:rsidR="00F56108" w:rsidRPr="00C911E4" w:rsidRDefault="00F56108"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0CEB4BE9" w14:textId="77777777" w:rsidR="00F56108" w:rsidRPr="00C911E4" w:rsidRDefault="00F56108"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39CBE60A" w14:textId="77777777" w:rsidR="00F56108" w:rsidRPr="00C911E4" w:rsidRDefault="00F56108" w:rsidP="00D64955">
            <w:pPr>
              <w:spacing w:before="0" w:after="0"/>
              <w:jc w:val="center"/>
              <w:rPr>
                <w:rFonts w:ascii="Arial" w:hAnsi="Arial" w:cs="Arial"/>
                <w:color w:val="000000"/>
                <w:sz w:val="18"/>
                <w:szCs w:val="18"/>
              </w:rPr>
            </w:pPr>
          </w:p>
        </w:tc>
        <w:tc>
          <w:tcPr>
            <w:tcW w:w="1338" w:type="dxa"/>
            <w:vMerge/>
            <w:shd w:val="clear" w:color="auto" w:fill="E7F3F4"/>
            <w:noWrap/>
            <w:vAlign w:val="center"/>
          </w:tcPr>
          <w:p w14:paraId="5E44D08B" w14:textId="77777777" w:rsidR="00F56108" w:rsidRPr="00C911E4" w:rsidRDefault="00F56108" w:rsidP="00D64955">
            <w:pPr>
              <w:spacing w:before="0" w:after="0"/>
              <w:jc w:val="center"/>
              <w:rPr>
                <w:rFonts w:ascii="Arial" w:hAnsi="Arial" w:cs="Arial"/>
                <w:color w:val="000000"/>
                <w:sz w:val="18"/>
                <w:szCs w:val="18"/>
              </w:rPr>
            </w:pPr>
          </w:p>
        </w:tc>
        <w:tc>
          <w:tcPr>
            <w:tcW w:w="678" w:type="dxa"/>
            <w:shd w:val="clear" w:color="auto" w:fill="E7F3F4"/>
            <w:noWrap/>
            <w:vAlign w:val="center"/>
          </w:tcPr>
          <w:p w14:paraId="11014635" w14:textId="7ADE9E8C"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BY4^</w:t>
            </w:r>
          </w:p>
        </w:tc>
        <w:tc>
          <w:tcPr>
            <w:tcW w:w="1116" w:type="dxa"/>
            <w:shd w:val="clear" w:color="auto" w:fill="E7F3F4"/>
            <w:noWrap/>
            <w:vAlign w:val="center"/>
          </w:tcPr>
          <w:p w14:paraId="78EF0D55" w14:textId="24763FD3"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Bathurst Bay</w:t>
            </w:r>
          </w:p>
        </w:tc>
        <w:tc>
          <w:tcPr>
            <w:tcW w:w="493" w:type="dxa"/>
            <w:shd w:val="clear" w:color="auto" w:fill="E7F3F4"/>
            <w:noWrap/>
            <w:vAlign w:val="center"/>
          </w:tcPr>
          <w:p w14:paraId="05DF6AEC" w14:textId="1565A9C8"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w:t>
            </w:r>
          </w:p>
        </w:tc>
        <w:tc>
          <w:tcPr>
            <w:tcW w:w="876" w:type="dxa"/>
            <w:shd w:val="clear" w:color="auto" w:fill="E7F3F4"/>
            <w:noWrap/>
            <w:vAlign w:val="center"/>
          </w:tcPr>
          <w:p w14:paraId="671588B8" w14:textId="0DDE9AEB" w:rsidR="00F56108" w:rsidRPr="00C911E4" w:rsidRDefault="00C61EF5" w:rsidP="00D64955">
            <w:pPr>
              <w:spacing w:before="0" w:after="0"/>
              <w:jc w:val="center"/>
              <w:rPr>
                <w:rFonts w:ascii="Arial" w:hAnsi="Arial" w:cs="Arial"/>
                <w:color w:val="000000"/>
                <w:sz w:val="18"/>
                <w:szCs w:val="18"/>
              </w:rPr>
            </w:pPr>
            <w:r w:rsidRPr="00C911E4">
              <w:rPr>
                <w:rFonts w:ascii="Arial" w:hAnsi="Arial" w:cs="Arial"/>
                <w:color w:val="000000"/>
                <w:sz w:val="18"/>
                <w:szCs w:val="18"/>
              </w:rPr>
              <w:t>16.482</w:t>
            </w:r>
          </w:p>
        </w:tc>
        <w:tc>
          <w:tcPr>
            <w:tcW w:w="594" w:type="dxa"/>
            <w:shd w:val="clear" w:color="auto" w:fill="E7F3F4"/>
            <w:noWrap/>
            <w:vAlign w:val="center"/>
          </w:tcPr>
          <w:p w14:paraId="402AE265" w14:textId="3CA4A9EE" w:rsidR="00F56108" w:rsidRPr="00C911E4" w:rsidRDefault="00F56108" w:rsidP="00D64955">
            <w:pPr>
              <w:spacing w:before="0" w:after="0"/>
              <w:jc w:val="center"/>
              <w:rPr>
                <w:rFonts w:ascii="Arial" w:hAnsi="Arial" w:cs="Arial"/>
                <w:color w:val="000000"/>
                <w:sz w:val="18"/>
                <w:szCs w:val="18"/>
              </w:rPr>
            </w:pPr>
            <w:r w:rsidRPr="00C911E4">
              <w:rPr>
                <w:rFonts w:ascii="Arial" w:hAnsi="Arial" w:cs="Arial"/>
                <w:color w:val="000000"/>
                <w:sz w:val="18"/>
                <w:szCs w:val="18"/>
              </w:rPr>
              <w:t>144°</w:t>
            </w:r>
          </w:p>
        </w:tc>
        <w:tc>
          <w:tcPr>
            <w:tcW w:w="876" w:type="dxa"/>
            <w:shd w:val="clear" w:color="auto" w:fill="E7F3F4"/>
            <w:noWrap/>
            <w:vAlign w:val="center"/>
          </w:tcPr>
          <w:p w14:paraId="483C1794" w14:textId="73DAF759" w:rsidR="00F56108" w:rsidRPr="00C911E4" w:rsidRDefault="00C61EF5" w:rsidP="00D64955">
            <w:pPr>
              <w:spacing w:before="0" w:after="0"/>
              <w:jc w:val="center"/>
              <w:rPr>
                <w:rFonts w:ascii="Arial" w:hAnsi="Arial" w:cs="Arial"/>
                <w:color w:val="000000"/>
                <w:sz w:val="18"/>
                <w:szCs w:val="18"/>
              </w:rPr>
            </w:pPr>
            <w:r w:rsidRPr="00C911E4">
              <w:rPr>
                <w:rFonts w:ascii="Arial" w:hAnsi="Arial" w:cs="Arial"/>
                <w:color w:val="000000"/>
                <w:sz w:val="18"/>
                <w:szCs w:val="18"/>
              </w:rPr>
              <w:t>18.006</w:t>
            </w:r>
          </w:p>
        </w:tc>
        <w:tc>
          <w:tcPr>
            <w:tcW w:w="480" w:type="dxa"/>
            <w:vMerge/>
            <w:shd w:val="clear" w:color="auto" w:fill="E7F3F4"/>
            <w:noWrap/>
            <w:vAlign w:val="center"/>
          </w:tcPr>
          <w:p w14:paraId="44616F45" w14:textId="77777777" w:rsidR="00F56108" w:rsidRPr="00C911E4" w:rsidRDefault="00F5610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68F6701F" w14:textId="77777777" w:rsidR="00F56108" w:rsidRPr="00C911E4" w:rsidRDefault="00F5610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51384F18" w14:textId="77777777" w:rsidR="00F56108" w:rsidRPr="00C911E4" w:rsidRDefault="00F5610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783F32E4" w14:textId="77777777" w:rsidR="00F56108" w:rsidRPr="00C911E4" w:rsidRDefault="00F56108" w:rsidP="00D64955">
            <w:pPr>
              <w:spacing w:before="0" w:after="0"/>
              <w:jc w:val="center"/>
              <w:rPr>
                <w:rFonts w:ascii="Arial" w:hAnsi="Arial" w:cs="Arial"/>
                <w:color w:val="000000"/>
                <w:sz w:val="18"/>
                <w:szCs w:val="18"/>
              </w:rPr>
            </w:pPr>
          </w:p>
        </w:tc>
        <w:tc>
          <w:tcPr>
            <w:tcW w:w="490" w:type="dxa"/>
            <w:vMerge/>
            <w:shd w:val="clear" w:color="auto" w:fill="E7F3F4"/>
            <w:vAlign w:val="center"/>
          </w:tcPr>
          <w:p w14:paraId="2B90599A" w14:textId="77777777" w:rsidR="00F56108" w:rsidRPr="00C911E4" w:rsidRDefault="00F5610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5BCA3DB0" w14:textId="77777777" w:rsidR="00F56108" w:rsidRPr="00C911E4" w:rsidRDefault="00F5610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78AD737B" w14:textId="77777777" w:rsidR="00F56108" w:rsidRPr="00C911E4" w:rsidRDefault="00F56108" w:rsidP="00D64955">
            <w:pPr>
              <w:spacing w:before="0" w:after="0"/>
              <w:jc w:val="center"/>
              <w:rPr>
                <w:rFonts w:ascii="Arial" w:hAnsi="Arial" w:cs="Arial"/>
                <w:color w:val="000000"/>
                <w:sz w:val="18"/>
                <w:szCs w:val="18"/>
              </w:rPr>
            </w:pPr>
          </w:p>
        </w:tc>
        <w:tc>
          <w:tcPr>
            <w:tcW w:w="389" w:type="dxa"/>
            <w:vMerge/>
            <w:shd w:val="clear" w:color="auto" w:fill="E7F3F4"/>
            <w:vAlign w:val="center"/>
          </w:tcPr>
          <w:p w14:paraId="31344120" w14:textId="77777777" w:rsidR="00F56108" w:rsidRPr="00C911E4" w:rsidRDefault="00F56108" w:rsidP="00D64955">
            <w:pPr>
              <w:spacing w:before="0" w:after="0"/>
              <w:jc w:val="center"/>
              <w:rPr>
                <w:rFonts w:ascii="Arial" w:hAnsi="Arial" w:cs="Arial"/>
                <w:color w:val="000000"/>
                <w:sz w:val="18"/>
                <w:szCs w:val="18"/>
              </w:rPr>
            </w:pPr>
          </w:p>
        </w:tc>
        <w:tc>
          <w:tcPr>
            <w:tcW w:w="460" w:type="dxa"/>
            <w:vMerge/>
            <w:shd w:val="clear" w:color="auto" w:fill="E7F3F4"/>
            <w:vAlign w:val="center"/>
          </w:tcPr>
          <w:p w14:paraId="3CB343D0" w14:textId="77777777" w:rsidR="00F56108" w:rsidRPr="00C911E4" w:rsidRDefault="00F5610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443D5E93" w14:textId="77777777" w:rsidR="00F56108" w:rsidRPr="00C911E4" w:rsidRDefault="00F56108" w:rsidP="00D64955">
            <w:pPr>
              <w:spacing w:before="0" w:after="0"/>
              <w:jc w:val="center"/>
              <w:rPr>
                <w:rFonts w:ascii="Arial" w:hAnsi="Arial" w:cs="Arial"/>
                <w:color w:val="000000"/>
                <w:sz w:val="18"/>
                <w:szCs w:val="18"/>
              </w:rPr>
            </w:pPr>
          </w:p>
        </w:tc>
      </w:tr>
      <w:tr w:rsidR="00EB6CC6" w:rsidRPr="00C911E4" w14:paraId="32BCB67B" w14:textId="77777777" w:rsidTr="00EB6CC6">
        <w:trPr>
          <w:trHeight w:val="170"/>
          <w:jc w:val="center"/>
        </w:trPr>
        <w:tc>
          <w:tcPr>
            <w:tcW w:w="1135" w:type="dxa"/>
            <w:vMerge w:val="restart"/>
            <w:shd w:val="clear" w:color="auto" w:fill="auto"/>
            <w:vAlign w:val="center"/>
          </w:tcPr>
          <w:p w14:paraId="1ECF37E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Northern</w:t>
            </w:r>
          </w:p>
        </w:tc>
        <w:tc>
          <w:tcPr>
            <w:tcW w:w="1367" w:type="dxa"/>
            <w:vMerge w:val="restart"/>
            <w:shd w:val="clear" w:color="auto" w:fill="E7F3F4"/>
            <w:vAlign w:val="center"/>
          </w:tcPr>
          <w:p w14:paraId="0E9FCD6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Wet Tropics</w:t>
            </w:r>
          </w:p>
        </w:tc>
        <w:tc>
          <w:tcPr>
            <w:tcW w:w="1100" w:type="dxa"/>
            <w:vMerge w:val="restart"/>
            <w:shd w:val="clear" w:color="auto" w:fill="E7F3F4"/>
            <w:vAlign w:val="center"/>
          </w:tcPr>
          <w:p w14:paraId="23974B9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Tully / Murray / Herbert</w:t>
            </w:r>
          </w:p>
        </w:tc>
        <w:tc>
          <w:tcPr>
            <w:tcW w:w="1338" w:type="dxa"/>
            <w:shd w:val="clear" w:color="auto" w:fill="E7F3F4"/>
            <w:noWrap/>
            <w:vAlign w:val="center"/>
          </w:tcPr>
          <w:p w14:paraId="7E3AFC7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Rockingham Bay</w:t>
            </w:r>
          </w:p>
          <w:p w14:paraId="37F599E2" w14:textId="77777777" w:rsidR="004920D8" w:rsidRPr="00C911E4" w:rsidRDefault="004920D8"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reef</w:t>
            </w:r>
          </w:p>
        </w:tc>
        <w:tc>
          <w:tcPr>
            <w:tcW w:w="678" w:type="dxa"/>
            <w:shd w:val="clear" w:color="auto" w:fill="E7F3F4"/>
            <w:noWrap/>
            <w:vAlign w:val="center"/>
          </w:tcPr>
          <w:p w14:paraId="641D55C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GO1</w:t>
            </w:r>
          </w:p>
        </w:tc>
        <w:tc>
          <w:tcPr>
            <w:tcW w:w="1116" w:type="dxa"/>
            <w:shd w:val="clear" w:color="auto" w:fill="E7F3F4"/>
            <w:noWrap/>
            <w:vAlign w:val="center"/>
          </w:tcPr>
          <w:p w14:paraId="5470BBF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Goold Island</w:t>
            </w:r>
          </w:p>
        </w:tc>
        <w:tc>
          <w:tcPr>
            <w:tcW w:w="493" w:type="dxa"/>
            <w:shd w:val="clear" w:color="auto" w:fill="E7F3F4"/>
            <w:noWrap/>
            <w:vAlign w:val="center"/>
          </w:tcPr>
          <w:p w14:paraId="03E7B23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18°</w:t>
            </w:r>
          </w:p>
        </w:tc>
        <w:tc>
          <w:tcPr>
            <w:tcW w:w="876" w:type="dxa"/>
            <w:shd w:val="clear" w:color="auto" w:fill="E7F3F4"/>
            <w:noWrap/>
            <w:vAlign w:val="center"/>
          </w:tcPr>
          <w:p w14:paraId="6AABFC3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10.428</w:t>
            </w:r>
          </w:p>
        </w:tc>
        <w:tc>
          <w:tcPr>
            <w:tcW w:w="594" w:type="dxa"/>
            <w:shd w:val="clear" w:color="auto" w:fill="E7F3F4"/>
            <w:noWrap/>
            <w:vAlign w:val="center"/>
          </w:tcPr>
          <w:p w14:paraId="62F85BF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76" w:type="dxa"/>
            <w:shd w:val="clear" w:color="auto" w:fill="E7F3F4"/>
            <w:noWrap/>
            <w:vAlign w:val="center"/>
          </w:tcPr>
          <w:p w14:paraId="6CEE031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9.186</w:t>
            </w:r>
          </w:p>
        </w:tc>
        <w:tc>
          <w:tcPr>
            <w:tcW w:w="480" w:type="dxa"/>
            <w:shd w:val="clear" w:color="auto" w:fill="E7F3F4"/>
            <w:noWrap/>
            <w:vAlign w:val="center"/>
          </w:tcPr>
          <w:p w14:paraId="01F8EE0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70" w:type="dxa"/>
            <w:shd w:val="clear" w:color="auto" w:fill="E7F3F4"/>
            <w:vAlign w:val="center"/>
          </w:tcPr>
          <w:p w14:paraId="45CF912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70" w:type="dxa"/>
            <w:shd w:val="clear" w:color="auto" w:fill="E7F3F4"/>
            <w:vAlign w:val="center"/>
          </w:tcPr>
          <w:p w14:paraId="47014C02" w14:textId="77777777" w:rsidR="004920D8" w:rsidRPr="00C911E4" w:rsidRDefault="004920D8" w:rsidP="00D64955">
            <w:pPr>
              <w:spacing w:before="0" w:after="0"/>
              <w:jc w:val="center"/>
              <w:rPr>
                <w:rFonts w:ascii="Arial" w:hAnsi="Arial" w:cs="Arial"/>
                <w:color w:val="000000"/>
                <w:sz w:val="18"/>
                <w:szCs w:val="18"/>
              </w:rPr>
            </w:pPr>
          </w:p>
        </w:tc>
        <w:tc>
          <w:tcPr>
            <w:tcW w:w="480" w:type="dxa"/>
            <w:shd w:val="clear" w:color="auto" w:fill="E7F3F4"/>
            <w:vAlign w:val="center"/>
          </w:tcPr>
          <w:p w14:paraId="17CDBF59" w14:textId="77777777" w:rsidR="004920D8" w:rsidRPr="00C911E4" w:rsidRDefault="004920D8" w:rsidP="00D64955">
            <w:pPr>
              <w:spacing w:before="0" w:after="0"/>
              <w:jc w:val="center"/>
              <w:rPr>
                <w:rFonts w:ascii="Arial" w:hAnsi="Arial" w:cs="Arial"/>
                <w:color w:val="000000"/>
                <w:sz w:val="18"/>
                <w:szCs w:val="18"/>
              </w:rPr>
            </w:pPr>
          </w:p>
        </w:tc>
        <w:tc>
          <w:tcPr>
            <w:tcW w:w="490" w:type="dxa"/>
            <w:shd w:val="clear" w:color="auto" w:fill="E7F3F4"/>
            <w:vAlign w:val="center"/>
          </w:tcPr>
          <w:p w14:paraId="4B326BE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shd w:val="clear" w:color="auto" w:fill="E7F3F4"/>
            <w:vAlign w:val="center"/>
          </w:tcPr>
          <w:p w14:paraId="6862946C" w14:textId="77777777" w:rsidR="004920D8" w:rsidRPr="00C911E4" w:rsidRDefault="004920D8" w:rsidP="00D64955">
            <w:pPr>
              <w:spacing w:before="0" w:after="0"/>
              <w:jc w:val="center"/>
              <w:rPr>
                <w:rFonts w:ascii="Arial" w:hAnsi="Arial" w:cs="Arial"/>
                <w:color w:val="000000"/>
                <w:sz w:val="18"/>
                <w:szCs w:val="18"/>
              </w:rPr>
            </w:pPr>
          </w:p>
        </w:tc>
        <w:tc>
          <w:tcPr>
            <w:tcW w:w="480" w:type="dxa"/>
            <w:shd w:val="clear" w:color="auto" w:fill="E7F3F4"/>
            <w:vAlign w:val="center"/>
          </w:tcPr>
          <w:p w14:paraId="28E4D7B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shd w:val="clear" w:color="auto" w:fill="E7F3F4"/>
            <w:vAlign w:val="center"/>
          </w:tcPr>
          <w:p w14:paraId="6E345135" w14:textId="77777777" w:rsidR="004920D8" w:rsidRPr="00C911E4" w:rsidRDefault="004920D8" w:rsidP="00D64955">
            <w:pPr>
              <w:spacing w:before="0" w:after="0"/>
              <w:jc w:val="center"/>
              <w:rPr>
                <w:rFonts w:ascii="Arial" w:hAnsi="Arial" w:cs="Arial"/>
                <w:color w:val="000000"/>
                <w:sz w:val="18"/>
                <w:szCs w:val="18"/>
              </w:rPr>
            </w:pPr>
          </w:p>
        </w:tc>
        <w:tc>
          <w:tcPr>
            <w:tcW w:w="460" w:type="dxa"/>
            <w:shd w:val="clear" w:color="auto" w:fill="E7F3F4"/>
            <w:vAlign w:val="center"/>
          </w:tcPr>
          <w:p w14:paraId="681C5444" w14:textId="77777777" w:rsidR="004920D8" w:rsidRPr="00C911E4" w:rsidRDefault="004920D8" w:rsidP="00D64955">
            <w:pPr>
              <w:spacing w:before="0" w:after="0"/>
              <w:jc w:val="center"/>
              <w:rPr>
                <w:rFonts w:ascii="Arial" w:hAnsi="Arial" w:cs="Arial"/>
                <w:color w:val="000000"/>
                <w:sz w:val="18"/>
                <w:szCs w:val="18"/>
              </w:rPr>
            </w:pPr>
          </w:p>
        </w:tc>
        <w:tc>
          <w:tcPr>
            <w:tcW w:w="480" w:type="dxa"/>
            <w:shd w:val="clear" w:color="auto" w:fill="E7F3F4"/>
            <w:vAlign w:val="center"/>
          </w:tcPr>
          <w:p w14:paraId="21D991D7" w14:textId="77777777" w:rsidR="004920D8" w:rsidRPr="00C911E4" w:rsidRDefault="004920D8" w:rsidP="00D64955">
            <w:pPr>
              <w:spacing w:before="0" w:after="0"/>
              <w:jc w:val="center"/>
              <w:rPr>
                <w:rFonts w:ascii="Arial" w:hAnsi="Arial" w:cs="Arial"/>
                <w:color w:val="000000"/>
                <w:sz w:val="18"/>
                <w:szCs w:val="18"/>
              </w:rPr>
            </w:pPr>
          </w:p>
        </w:tc>
      </w:tr>
      <w:tr w:rsidR="00EB6CC6" w:rsidRPr="00C911E4" w14:paraId="72E5A53D" w14:textId="77777777" w:rsidTr="00EB6CC6">
        <w:trPr>
          <w:trHeight w:val="170"/>
          <w:jc w:val="center"/>
        </w:trPr>
        <w:tc>
          <w:tcPr>
            <w:tcW w:w="1135" w:type="dxa"/>
            <w:vMerge/>
            <w:shd w:val="clear" w:color="auto" w:fill="auto"/>
            <w:vAlign w:val="center"/>
          </w:tcPr>
          <w:p w14:paraId="0CB14A34" w14:textId="77777777" w:rsidR="004920D8" w:rsidRPr="00C911E4" w:rsidRDefault="004920D8"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0878653E" w14:textId="77777777" w:rsidR="004920D8" w:rsidRPr="00C911E4" w:rsidRDefault="004920D8"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0DD09F6B" w14:textId="77777777" w:rsidR="004920D8" w:rsidRPr="00C911E4" w:rsidRDefault="004920D8" w:rsidP="00D64955">
            <w:pPr>
              <w:spacing w:before="0" w:after="0"/>
              <w:jc w:val="center"/>
              <w:rPr>
                <w:rFonts w:ascii="Arial" w:hAnsi="Arial" w:cs="Arial"/>
                <w:color w:val="000000"/>
                <w:sz w:val="18"/>
                <w:szCs w:val="18"/>
              </w:rPr>
            </w:pPr>
          </w:p>
        </w:tc>
        <w:tc>
          <w:tcPr>
            <w:tcW w:w="1338" w:type="dxa"/>
            <w:vMerge w:val="restart"/>
            <w:shd w:val="clear" w:color="auto" w:fill="E7F3F4"/>
            <w:noWrap/>
            <w:vAlign w:val="center"/>
          </w:tcPr>
          <w:p w14:paraId="17807F9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Missionary Bay</w:t>
            </w:r>
          </w:p>
          <w:p w14:paraId="37AAEA9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coastal</w:t>
            </w:r>
          </w:p>
        </w:tc>
        <w:tc>
          <w:tcPr>
            <w:tcW w:w="678" w:type="dxa"/>
            <w:shd w:val="clear" w:color="auto" w:fill="E7F3F4"/>
            <w:noWrap/>
            <w:vAlign w:val="center"/>
          </w:tcPr>
          <w:p w14:paraId="32F77C6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MS1^</w:t>
            </w:r>
          </w:p>
        </w:tc>
        <w:tc>
          <w:tcPr>
            <w:tcW w:w="1116" w:type="dxa"/>
            <w:shd w:val="clear" w:color="auto" w:fill="E7F3F4"/>
            <w:noWrap/>
            <w:vAlign w:val="center"/>
          </w:tcPr>
          <w:p w14:paraId="5B6D30F2"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Cape Richards</w:t>
            </w:r>
          </w:p>
        </w:tc>
        <w:tc>
          <w:tcPr>
            <w:tcW w:w="493" w:type="dxa"/>
            <w:shd w:val="clear" w:color="auto" w:fill="E7F3F4"/>
            <w:noWrap/>
            <w:vAlign w:val="center"/>
          </w:tcPr>
          <w:p w14:paraId="06FB9B7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18°</w:t>
            </w:r>
          </w:p>
        </w:tc>
        <w:tc>
          <w:tcPr>
            <w:tcW w:w="876" w:type="dxa"/>
            <w:shd w:val="clear" w:color="auto" w:fill="E7F3F4"/>
            <w:noWrap/>
            <w:vAlign w:val="center"/>
          </w:tcPr>
          <w:p w14:paraId="7D87FF1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12.950</w:t>
            </w:r>
          </w:p>
        </w:tc>
        <w:tc>
          <w:tcPr>
            <w:tcW w:w="594" w:type="dxa"/>
            <w:shd w:val="clear" w:color="auto" w:fill="E7F3F4"/>
            <w:noWrap/>
            <w:vAlign w:val="center"/>
          </w:tcPr>
          <w:p w14:paraId="6553086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76" w:type="dxa"/>
            <w:shd w:val="clear" w:color="auto" w:fill="E7F3F4"/>
            <w:noWrap/>
            <w:vAlign w:val="center"/>
          </w:tcPr>
          <w:p w14:paraId="3D761D7A"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12.753</w:t>
            </w:r>
          </w:p>
        </w:tc>
        <w:tc>
          <w:tcPr>
            <w:tcW w:w="480" w:type="dxa"/>
            <w:vMerge w:val="restart"/>
            <w:shd w:val="clear" w:color="auto" w:fill="E7F3F4"/>
            <w:noWrap/>
            <w:vAlign w:val="center"/>
          </w:tcPr>
          <w:p w14:paraId="7755A4CA" w14:textId="77777777" w:rsidR="004920D8" w:rsidRPr="00C911E4" w:rsidRDefault="004920D8"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2B9FC090" w14:textId="77777777" w:rsidR="004920D8" w:rsidRPr="00C911E4" w:rsidRDefault="004920D8"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2AAB0C6F" w14:textId="77777777" w:rsidR="004920D8" w:rsidRPr="00C911E4" w:rsidRDefault="004920D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7F08DA08" w14:textId="77777777" w:rsidR="004920D8" w:rsidRPr="00C911E4" w:rsidRDefault="004920D8" w:rsidP="00D64955">
            <w:pPr>
              <w:spacing w:before="0" w:after="0"/>
              <w:jc w:val="center"/>
              <w:rPr>
                <w:rFonts w:ascii="Arial" w:hAnsi="Arial" w:cs="Arial"/>
                <w:color w:val="000000"/>
                <w:sz w:val="18"/>
                <w:szCs w:val="18"/>
              </w:rPr>
            </w:pPr>
          </w:p>
        </w:tc>
        <w:tc>
          <w:tcPr>
            <w:tcW w:w="490" w:type="dxa"/>
            <w:vMerge w:val="restart"/>
            <w:shd w:val="clear" w:color="auto" w:fill="E7F3F4"/>
            <w:vAlign w:val="center"/>
          </w:tcPr>
          <w:p w14:paraId="11A171B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E7F3F4"/>
            <w:vAlign w:val="center"/>
          </w:tcPr>
          <w:p w14:paraId="79939F30" w14:textId="77777777" w:rsidR="004920D8" w:rsidRPr="00C911E4" w:rsidRDefault="004920D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2F4EF95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E7F3F4"/>
            <w:vAlign w:val="center"/>
          </w:tcPr>
          <w:p w14:paraId="03C12142" w14:textId="77777777" w:rsidR="004920D8" w:rsidRPr="00C911E4" w:rsidRDefault="004920D8" w:rsidP="00D64955">
            <w:pPr>
              <w:spacing w:before="0" w:after="0"/>
              <w:jc w:val="center"/>
              <w:rPr>
                <w:rFonts w:ascii="Arial" w:hAnsi="Arial" w:cs="Arial"/>
                <w:color w:val="000000"/>
                <w:sz w:val="18"/>
                <w:szCs w:val="18"/>
              </w:rPr>
            </w:pPr>
          </w:p>
        </w:tc>
        <w:tc>
          <w:tcPr>
            <w:tcW w:w="460" w:type="dxa"/>
            <w:vMerge w:val="restart"/>
            <w:shd w:val="clear" w:color="auto" w:fill="E7F3F4"/>
            <w:vAlign w:val="center"/>
          </w:tcPr>
          <w:p w14:paraId="2325847F" w14:textId="77777777" w:rsidR="004920D8" w:rsidRPr="00C911E4" w:rsidRDefault="004920D8"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7158B35B" w14:textId="77777777" w:rsidR="004920D8" w:rsidRPr="00C911E4" w:rsidRDefault="004920D8" w:rsidP="00D64955">
            <w:pPr>
              <w:spacing w:before="0" w:after="0"/>
              <w:jc w:val="center"/>
              <w:rPr>
                <w:rFonts w:ascii="Arial" w:hAnsi="Arial" w:cs="Arial"/>
                <w:color w:val="000000"/>
                <w:sz w:val="18"/>
                <w:szCs w:val="18"/>
              </w:rPr>
            </w:pPr>
          </w:p>
        </w:tc>
      </w:tr>
      <w:tr w:rsidR="00EB6CC6" w:rsidRPr="00C911E4" w14:paraId="4DAB9BFC" w14:textId="77777777" w:rsidTr="00EB6CC6">
        <w:trPr>
          <w:trHeight w:val="170"/>
          <w:jc w:val="center"/>
        </w:trPr>
        <w:tc>
          <w:tcPr>
            <w:tcW w:w="1135" w:type="dxa"/>
            <w:vMerge/>
            <w:shd w:val="clear" w:color="auto" w:fill="auto"/>
            <w:vAlign w:val="center"/>
          </w:tcPr>
          <w:p w14:paraId="6F0106AD" w14:textId="77777777" w:rsidR="004920D8" w:rsidRPr="00C911E4" w:rsidRDefault="004920D8"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1569FBE2" w14:textId="77777777" w:rsidR="004920D8" w:rsidRPr="00C911E4" w:rsidRDefault="004920D8"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1DF0C945" w14:textId="77777777" w:rsidR="004920D8" w:rsidRPr="00C911E4" w:rsidRDefault="004920D8" w:rsidP="00D64955">
            <w:pPr>
              <w:spacing w:before="0" w:after="0"/>
              <w:jc w:val="center"/>
              <w:rPr>
                <w:rFonts w:ascii="Arial" w:hAnsi="Arial" w:cs="Arial"/>
                <w:color w:val="000000"/>
                <w:sz w:val="18"/>
                <w:szCs w:val="18"/>
              </w:rPr>
            </w:pPr>
          </w:p>
        </w:tc>
        <w:tc>
          <w:tcPr>
            <w:tcW w:w="1338" w:type="dxa"/>
            <w:vMerge/>
            <w:shd w:val="clear" w:color="auto" w:fill="E7F3F4"/>
            <w:noWrap/>
            <w:vAlign w:val="center"/>
          </w:tcPr>
          <w:p w14:paraId="39663070" w14:textId="77777777" w:rsidR="004920D8" w:rsidRPr="00C911E4" w:rsidRDefault="004920D8" w:rsidP="00D64955">
            <w:pPr>
              <w:spacing w:before="0" w:after="0"/>
              <w:jc w:val="center"/>
              <w:rPr>
                <w:rFonts w:ascii="Arial" w:hAnsi="Arial" w:cs="Arial"/>
                <w:color w:val="000000"/>
                <w:sz w:val="18"/>
                <w:szCs w:val="18"/>
              </w:rPr>
            </w:pPr>
          </w:p>
        </w:tc>
        <w:tc>
          <w:tcPr>
            <w:tcW w:w="678" w:type="dxa"/>
            <w:shd w:val="clear" w:color="auto" w:fill="E7F3F4"/>
            <w:noWrap/>
            <w:vAlign w:val="center"/>
          </w:tcPr>
          <w:p w14:paraId="205D006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MS2^</w:t>
            </w:r>
          </w:p>
        </w:tc>
        <w:tc>
          <w:tcPr>
            <w:tcW w:w="1116" w:type="dxa"/>
            <w:shd w:val="clear" w:color="auto" w:fill="E7F3F4"/>
            <w:noWrap/>
            <w:vAlign w:val="center"/>
          </w:tcPr>
          <w:p w14:paraId="2AE4F603"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Macushla</w:t>
            </w:r>
          </w:p>
        </w:tc>
        <w:tc>
          <w:tcPr>
            <w:tcW w:w="493" w:type="dxa"/>
            <w:shd w:val="clear" w:color="auto" w:fill="E7F3F4"/>
            <w:noWrap/>
            <w:vAlign w:val="center"/>
          </w:tcPr>
          <w:p w14:paraId="2CBEAA5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18°</w:t>
            </w:r>
          </w:p>
        </w:tc>
        <w:tc>
          <w:tcPr>
            <w:tcW w:w="876" w:type="dxa"/>
            <w:shd w:val="clear" w:color="auto" w:fill="E7F3F4"/>
            <w:noWrap/>
            <w:vAlign w:val="center"/>
          </w:tcPr>
          <w:p w14:paraId="29993F2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12.316</w:t>
            </w:r>
          </w:p>
        </w:tc>
        <w:tc>
          <w:tcPr>
            <w:tcW w:w="594" w:type="dxa"/>
            <w:shd w:val="clear" w:color="auto" w:fill="E7F3F4"/>
            <w:noWrap/>
            <w:vAlign w:val="center"/>
          </w:tcPr>
          <w:p w14:paraId="7719289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76" w:type="dxa"/>
            <w:shd w:val="clear" w:color="auto" w:fill="E7F3F4"/>
            <w:noWrap/>
            <w:vAlign w:val="center"/>
          </w:tcPr>
          <w:p w14:paraId="1B3800A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13.010</w:t>
            </w:r>
          </w:p>
        </w:tc>
        <w:tc>
          <w:tcPr>
            <w:tcW w:w="480" w:type="dxa"/>
            <w:vMerge/>
            <w:shd w:val="clear" w:color="auto" w:fill="E7F3F4"/>
            <w:noWrap/>
            <w:vAlign w:val="center"/>
          </w:tcPr>
          <w:p w14:paraId="4E7CE20D" w14:textId="77777777" w:rsidR="004920D8" w:rsidRPr="00C911E4" w:rsidRDefault="004920D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27F8E417" w14:textId="77777777" w:rsidR="004920D8" w:rsidRPr="00C911E4" w:rsidRDefault="004920D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12531841" w14:textId="77777777" w:rsidR="004920D8" w:rsidRPr="00C911E4" w:rsidRDefault="004920D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18D63D8C" w14:textId="77777777" w:rsidR="004920D8" w:rsidRPr="00C911E4" w:rsidRDefault="004920D8" w:rsidP="00D64955">
            <w:pPr>
              <w:spacing w:before="0" w:after="0"/>
              <w:jc w:val="center"/>
              <w:rPr>
                <w:rFonts w:ascii="Arial" w:hAnsi="Arial" w:cs="Arial"/>
                <w:color w:val="000000"/>
                <w:sz w:val="18"/>
                <w:szCs w:val="18"/>
              </w:rPr>
            </w:pPr>
          </w:p>
        </w:tc>
        <w:tc>
          <w:tcPr>
            <w:tcW w:w="490" w:type="dxa"/>
            <w:vMerge/>
            <w:shd w:val="clear" w:color="auto" w:fill="E7F3F4"/>
            <w:vAlign w:val="center"/>
          </w:tcPr>
          <w:p w14:paraId="6E03E5B8" w14:textId="77777777" w:rsidR="004920D8" w:rsidRPr="00C911E4" w:rsidRDefault="004920D8"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2690B716" w14:textId="77777777" w:rsidR="004920D8" w:rsidRPr="00C911E4" w:rsidRDefault="004920D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18CC888F" w14:textId="77777777" w:rsidR="004920D8" w:rsidRPr="00C911E4" w:rsidRDefault="004920D8" w:rsidP="00D64955">
            <w:pPr>
              <w:spacing w:before="0" w:after="0"/>
              <w:jc w:val="center"/>
              <w:rPr>
                <w:rFonts w:ascii="Arial" w:hAnsi="Arial" w:cs="Arial"/>
                <w:color w:val="000000"/>
                <w:sz w:val="18"/>
                <w:szCs w:val="18"/>
              </w:rPr>
            </w:pPr>
          </w:p>
        </w:tc>
        <w:tc>
          <w:tcPr>
            <w:tcW w:w="389" w:type="dxa"/>
            <w:vMerge/>
            <w:shd w:val="clear" w:color="auto" w:fill="E7F3F4"/>
            <w:vAlign w:val="center"/>
          </w:tcPr>
          <w:p w14:paraId="799F86F3" w14:textId="77777777" w:rsidR="004920D8" w:rsidRPr="00C911E4" w:rsidRDefault="004920D8" w:rsidP="00D64955">
            <w:pPr>
              <w:spacing w:before="0" w:after="0"/>
              <w:jc w:val="center"/>
              <w:rPr>
                <w:rFonts w:ascii="Arial" w:hAnsi="Arial" w:cs="Arial"/>
                <w:color w:val="000000"/>
                <w:sz w:val="18"/>
                <w:szCs w:val="18"/>
              </w:rPr>
            </w:pPr>
          </w:p>
        </w:tc>
        <w:tc>
          <w:tcPr>
            <w:tcW w:w="460" w:type="dxa"/>
            <w:vMerge/>
            <w:shd w:val="clear" w:color="auto" w:fill="E7F3F4"/>
            <w:vAlign w:val="center"/>
          </w:tcPr>
          <w:p w14:paraId="78091089" w14:textId="77777777" w:rsidR="004920D8" w:rsidRPr="00C911E4" w:rsidRDefault="004920D8"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0ECC4624" w14:textId="77777777" w:rsidR="004920D8" w:rsidRPr="00C911E4" w:rsidRDefault="004920D8" w:rsidP="00D64955">
            <w:pPr>
              <w:spacing w:before="0" w:after="0"/>
              <w:jc w:val="center"/>
              <w:rPr>
                <w:rFonts w:ascii="Arial" w:hAnsi="Arial" w:cs="Arial"/>
                <w:color w:val="000000"/>
                <w:sz w:val="18"/>
                <w:szCs w:val="18"/>
              </w:rPr>
            </w:pPr>
          </w:p>
        </w:tc>
      </w:tr>
      <w:tr w:rsidR="00EB6CC6" w:rsidRPr="00C911E4" w14:paraId="2EA5FE7C" w14:textId="77777777" w:rsidTr="00EB6CC6">
        <w:trPr>
          <w:trHeight w:val="170"/>
          <w:jc w:val="center"/>
        </w:trPr>
        <w:tc>
          <w:tcPr>
            <w:tcW w:w="1135" w:type="dxa"/>
            <w:vMerge w:val="restart"/>
            <w:shd w:val="clear" w:color="auto" w:fill="auto"/>
            <w:vAlign w:val="center"/>
          </w:tcPr>
          <w:p w14:paraId="4B8BE245"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Central</w:t>
            </w:r>
          </w:p>
        </w:tc>
        <w:tc>
          <w:tcPr>
            <w:tcW w:w="1367" w:type="dxa"/>
            <w:shd w:val="clear" w:color="auto" w:fill="F3F9FA"/>
            <w:vAlign w:val="center"/>
          </w:tcPr>
          <w:p w14:paraId="50745518"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Burdekin</w:t>
            </w:r>
          </w:p>
          <w:p w14:paraId="19F1665E"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w:t>
            </w:r>
            <w:r w:rsidRPr="00C911E4">
              <w:rPr>
                <w:rFonts w:ascii="Arial" w:hAnsi="Arial" w:cs="Arial"/>
                <w:i/>
                <w:color w:val="000000"/>
                <w:sz w:val="18"/>
                <w:szCs w:val="18"/>
              </w:rPr>
              <w:t>NQ Dry Tropics</w:t>
            </w:r>
            <w:r w:rsidRPr="00C911E4">
              <w:rPr>
                <w:rFonts w:ascii="Arial" w:hAnsi="Arial" w:cs="Arial"/>
                <w:color w:val="000000"/>
                <w:sz w:val="18"/>
                <w:szCs w:val="18"/>
              </w:rPr>
              <w:t>)</w:t>
            </w:r>
          </w:p>
        </w:tc>
        <w:tc>
          <w:tcPr>
            <w:tcW w:w="1100" w:type="dxa"/>
            <w:shd w:val="clear" w:color="auto" w:fill="F3F9FA"/>
            <w:vAlign w:val="center"/>
          </w:tcPr>
          <w:p w14:paraId="5CF0E629"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Ross / Burdekin</w:t>
            </w:r>
          </w:p>
        </w:tc>
        <w:tc>
          <w:tcPr>
            <w:tcW w:w="1338" w:type="dxa"/>
            <w:shd w:val="clear" w:color="auto" w:fill="F3F9FA"/>
            <w:noWrap/>
            <w:vAlign w:val="center"/>
          </w:tcPr>
          <w:p w14:paraId="20BA8DB6"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Townsville</w:t>
            </w:r>
          </w:p>
          <w:p w14:paraId="2FDB384A"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i/>
                <w:color w:val="000000"/>
                <w:sz w:val="18"/>
                <w:szCs w:val="18"/>
              </w:rPr>
              <w:t>coastal</w:t>
            </w:r>
          </w:p>
        </w:tc>
        <w:tc>
          <w:tcPr>
            <w:tcW w:w="678" w:type="dxa"/>
            <w:shd w:val="clear" w:color="auto" w:fill="F3F9FA"/>
            <w:noWrap/>
            <w:vAlign w:val="center"/>
          </w:tcPr>
          <w:p w14:paraId="080B3911"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SB2*</w:t>
            </w:r>
          </w:p>
        </w:tc>
        <w:tc>
          <w:tcPr>
            <w:tcW w:w="1116" w:type="dxa"/>
            <w:shd w:val="clear" w:color="auto" w:fill="F3F9FA"/>
            <w:noWrap/>
            <w:vAlign w:val="center"/>
          </w:tcPr>
          <w:p w14:paraId="3198EDE9"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Shelley Beach</w:t>
            </w:r>
          </w:p>
        </w:tc>
        <w:tc>
          <w:tcPr>
            <w:tcW w:w="493" w:type="dxa"/>
            <w:shd w:val="clear" w:color="auto" w:fill="F3F9FA"/>
            <w:noWrap/>
            <w:vAlign w:val="center"/>
          </w:tcPr>
          <w:p w14:paraId="52EBC7FA"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19°</w:t>
            </w:r>
          </w:p>
        </w:tc>
        <w:tc>
          <w:tcPr>
            <w:tcW w:w="876" w:type="dxa"/>
            <w:shd w:val="clear" w:color="auto" w:fill="F3F9FA"/>
            <w:noWrap/>
            <w:vAlign w:val="center"/>
          </w:tcPr>
          <w:p w14:paraId="3A63B4D6"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10.939</w:t>
            </w:r>
          </w:p>
        </w:tc>
        <w:tc>
          <w:tcPr>
            <w:tcW w:w="594" w:type="dxa"/>
            <w:shd w:val="clear" w:color="auto" w:fill="F3F9FA"/>
            <w:noWrap/>
            <w:vAlign w:val="center"/>
          </w:tcPr>
          <w:p w14:paraId="1E1D489E"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146°</w:t>
            </w:r>
          </w:p>
        </w:tc>
        <w:tc>
          <w:tcPr>
            <w:tcW w:w="876" w:type="dxa"/>
            <w:shd w:val="clear" w:color="auto" w:fill="F3F9FA"/>
            <w:noWrap/>
            <w:vAlign w:val="center"/>
          </w:tcPr>
          <w:p w14:paraId="647784D3"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45.767</w:t>
            </w:r>
          </w:p>
        </w:tc>
        <w:tc>
          <w:tcPr>
            <w:tcW w:w="480" w:type="dxa"/>
            <w:shd w:val="clear" w:color="auto" w:fill="F3F9FA"/>
            <w:noWrap/>
            <w:vAlign w:val="center"/>
          </w:tcPr>
          <w:p w14:paraId="582F9207" w14:textId="77777777" w:rsidR="006E6B0E" w:rsidRPr="00C911E4" w:rsidRDefault="006E6B0E" w:rsidP="00D64955">
            <w:pPr>
              <w:spacing w:before="0" w:after="0"/>
              <w:jc w:val="center"/>
              <w:rPr>
                <w:rFonts w:ascii="Arial" w:hAnsi="Arial" w:cs="Arial"/>
                <w:color w:val="000000"/>
                <w:sz w:val="18"/>
                <w:szCs w:val="18"/>
              </w:rPr>
            </w:pPr>
          </w:p>
        </w:tc>
        <w:tc>
          <w:tcPr>
            <w:tcW w:w="470" w:type="dxa"/>
            <w:shd w:val="clear" w:color="auto" w:fill="F3F9FA"/>
            <w:vAlign w:val="center"/>
          </w:tcPr>
          <w:p w14:paraId="34020EA7"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shd w:val="clear" w:color="auto" w:fill="F3F9FA"/>
            <w:vAlign w:val="center"/>
          </w:tcPr>
          <w:p w14:paraId="4DF8FD06" w14:textId="77777777" w:rsidR="006E6B0E" w:rsidRPr="00C911E4" w:rsidRDefault="006E6B0E" w:rsidP="00D64955">
            <w:pPr>
              <w:spacing w:before="0" w:after="0"/>
              <w:jc w:val="center"/>
              <w:rPr>
                <w:rFonts w:ascii="Arial" w:hAnsi="Arial" w:cs="Arial"/>
                <w:color w:val="000000"/>
                <w:sz w:val="18"/>
                <w:szCs w:val="18"/>
              </w:rPr>
            </w:pPr>
          </w:p>
        </w:tc>
        <w:tc>
          <w:tcPr>
            <w:tcW w:w="480" w:type="dxa"/>
            <w:shd w:val="clear" w:color="auto" w:fill="F3F9FA"/>
            <w:vAlign w:val="center"/>
          </w:tcPr>
          <w:p w14:paraId="640FBFA5" w14:textId="77777777" w:rsidR="006E6B0E" w:rsidRPr="00C911E4" w:rsidRDefault="006E6B0E" w:rsidP="00D64955">
            <w:pPr>
              <w:spacing w:before="0" w:after="0"/>
              <w:jc w:val="center"/>
              <w:rPr>
                <w:rFonts w:ascii="Arial" w:hAnsi="Arial" w:cs="Arial"/>
                <w:color w:val="000000"/>
                <w:sz w:val="18"/>
                <w:szCs w:val="18"/>
              </w:rPr>
            </w:pPr>
          </w:p>
        </w:tc>
        <w:tc>
          <w:tcPr>
            <w:tcW w:w="490" w:type="dxa"/>
            <w:shd w:val="clear" w:color="auto" w:fill="F3F9FA"/>
            <w:vAlign w:val="center"/>
          </w:tcPr>
          <w:p w14:paraId="4B380F6E"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shd w:val="clear" w:color="auto" w:fill="F3F9FA"/>
            <w:vAlign w:val="center"/>
          </w:tcPr>
          <w:p w14:paraId="40B4DDC8" w14:textId="77777777" w:rsidR="006E6B0E" w:rsidRPr="00C911E4" w:rsidRDefault="006E6B0E" w:rsidP="00D64955">
            <w:pPr>
              <w:spacing w:before="0" w:after="0"/>
              <w:jc w:val="center"/>
              <w:rPr>
                <w:rFonts w:ascii="Arial" w:hAnsi="Arial" w:cs="Arial"/>
                <w:color w:val="000000"/>
                <w:sz w:val="18"/>
                <w:szCs w:val="18"/>
              </w:rPr>
            </w:pPr>
          </w:p>
        </w:tc>
        <w:tc>
          <w:tcPr>
            <w:tcW w:w="480" w:type="dxa"/>
            <w:shd w:val="clear" w:color="auto" w:fill="F3F9FA"/>
            <w:vAlign w:val="center"/>
          </w:tcPr>
          <w:p w14:paraId="75AD0DEE"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shd w:val="clear" w:color="auto" w:fill="F3F9FA"/>
            <w:vAlign w:val="center"/>
          </w:tcPr>
          <w:p w14:paraId="0AFC6038" w14:textId="77777777" w:rsidR="006E6B0E" w:rsidRPr="00C911E4" w:rsidRDefault="006E6B0E" w:rsidP="00D64955">
            <w:pPr>
              <w:spacing w:before="0" w:after="0"/>
              <w:jc w:val="center"/>
              <w:rPr>
                <w:rFonts w:ascii="Arial" w:hAnsi="Arial" w:cs="Arial"/>
                <w:color w:val="000000"/>
                <w:sz w:val="18"/>
                <w:szCs w:val="18"/>
              </w:rPr>
            </w:pPr>
          </w:p>
        </w:tc>
        <w:tc>
          <w:tcPr>
            <w:tcW w:w="460" w:type="dxa"/>
            <w:shd w:val="clear" w:color="auto" w:fill="F3F9FA"/>
            <w:vAlign w:val="center"/>
          </w:tcPr>
          <w:p w14:paraId="0F040875" w14:textId="77777777" w:rsidR="006E6B0E" w:rsidRPr="00C911E4" w:rsidRDefault="006E6B0E" w:rsidP="00D64955">
            <w:pPr>
              <w:spacing w:before="0" w:after="0"/>
              <w:jc w:val="center"/>
              <w:rPr>
                <w:rFonts w:ascii="Arial" w:hAnsi="Arial" w:cs="Arial"/>
                <w:color w:val="000000"/>
                <w:sz w:val="18"/>
                <w:szCs w:val="18"/>
              </w:rPr>
            </w:pPr>
          </w:p>
        </w:tc>
        <w:tc>
          <w:tcPr>
            <w:tcW w:w="480" w:type="dxa"/>
            <w:shd w:val="clear" w:color="auto" w:fill="F3F9FA"/>
            <w:vAlign w:val="center"/>
          </w:tcPr>
          <w:p w14:paraId="28C52841"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EB6CC6" w:rsidRPr="00C911E4" w14:paraId="4008D394" w14:textId="77777777" w:rsidTr="00EB6CC6">
        <w:trPr>
          <w:trHeight w:val="170"/>
          <w:jc w:val="center"/>
        </w:trPr>
        <w:tc>
          <w:tcPr>
            <w:tcW w:w="1135" w:type="dxa"/>
            <w:vMerge/>
            <w:shd w:val="clear" w:color="auto" w:fill="auto"/>
            <w:vAlign w:val="center"/>
          </w:tcPr>
          <w:p w14:paraId="3120AFB8" w14:textId="77777777" w:rsidR="006E6B0E" w:rsidRPr="00C911E4" w:rsidRDefault="006E6B0E" w:rsidP="00D64955">
            <w:pPr>
              <w:spacing w:before="0" w:after="0"/>
              <w:jc w:val="center"/>
              <w:rPr>
                <w:rFonts w:ascii="Arial" w:hAnsi="Arial" w:cs="Arial"/>
                <w:color w:val="000000"/>
                <w:sz w:val="18"/>
                <w:szCs w:val="18"/>
              </w:rPr>
            </w:pPr>
          </w:p>
        </w:tc>
        <w:tc>
          <w:tcPr>
            <w:tcW w:w="1367" w:type="dxa"/>
            <w:vMerge w:val="restart"/>
            <w:shd w:val="clear" w:color="auto" w:fill="E7F3F4"/>
            <w:vAlign w:val="center"/>
          </w:tcPr>
          <w:p w14:paraId="4E01E30F" w14:textId="09DA485A" w:rsidR="006E6B0E" w:rsidRPr="00C911E4" w:rsidRDefault="00637325" w:rsidP="00D64955">
            <w:pPr>
              <w:spacing w:before="0" w:after="0"/>
              <w:jc w:val="center"/>
              <w:rPr>
                <w:rFonts w:ascii="Arial" w:hAnsi="Arial" w:cs="Arial"/>
                <w:color w:val="000000"/>
                <w:sz w:val="18"/>
                <w:szCs w:val="18"/>
              </w:rPr>
            </w:pPr>
            <w:r w:rsidRPr="00C911E4">
              <w:rPr>
                <w:rFonts w:ascii="Arial" w:hAnsi="Arial" w:cs="Arial"/>
                <w:color w:val="000000"/>
                <w:sz w:val="18"/>
                <w:szCs w:val="18"/>
              </w:rPr>
              <w:t>Mackay-Whitsunday</w:t>
            </w:r>
          </w:p>
          <w:p w14:paraId="39709FA6"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w:t>
            </w:r>
            <w:r w:rsidRPr="00C911E4">
              <w:rPr>
                <w:rFonts w:ascii="Arial" w:hAnsi="Arial" w:cs="Arial"/>
                <w:i/>
                <w:color w:val="000000"/>
                <w:sz w:val="18"/>
                <w:szCs w:val="18"/>
              </w:rPr>
              <w:t>Reef Catchments</w:t>
            </w:r>
            <w:r w:rsidRPr="00C911E4">
              <w:rPr>
                <w:rFonts w:ascii="Arial" w:hAnsi="Arial" w:cs="Arial"/>
                <w:color w:val="000000"/>
                <w:sz w:val="18"/>
                <w:szCs w:val="18"/>
              </w:rPr>
              <w:t>)</w:t>
            </w:r>
          </w:p>
        </w:tc>
        <w:tc>
          <w:tcPr>
            <w:tcW w:w="1100" w:type="dxa"/>
            <w:vMerge w:val="restart"/>
            <w:shd w:val="clear" w:color="auto" w:fill="E7F3F4"/>
            <w:vAlign w:val="center"/>
          </w:tcPr>
          <w:p w14:paraId="30A97E0B"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Don</w:t>
            </w:r>
          </w:p>
        </w:tc>
        <w:tc>
          <w:tcPr>
            <w:tcW w:w="1338" w:type="dxa"/>
            <w:vMerge w:val="restart"/>
            <w:shd w:val="clear" w:color="auto" w:fill="E7F3F4"/>
            <w:noWrap/>
            <w:vAlign w:val="center"/>
          </w:tcPr>
          <w:p w14:paraId="7155448F"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Shoal Bay</w:t>
            </w:r>
          </w:p>
          <w:p w14:paraId="6F34169C"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i/>
                <w:color w:val="000000"/>
                <w:sz w:val="18"/>
                <w:szCs w:val="18"/>
              </w:rPr>
              <w:t>reef</w:t>
            </w:r>
          </w:p>
        </w:tc>
        <w:tc>
          <w:tcPr>
            <w:tcW w:w="678" w:type="dxa"/>
            <w:shd w:val="clear" w:color="auto" w:fill="E7F3F4"/>
            <w:noWrap/>
            <w:vAlign w:val="center"/>
          </w:tcPr>
          <w:p w14:paraId="3C5457D5"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HB1*</w:t>
            </w:r>
          </w:p>
        </w:tc>
        <w:tc>
          <w:tcPr>
            <w:tcW w:w="1116" w:type="dxa"/>
            <w:shd w:val="clear" w:color="auto" w:fill="E7F3F4"/>
            <w:noWrap/>
            <w:vAlign w:val="center"/>
          </w:tcPr>
          <w:p w14:paraId="0ABA5548"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Hydeaway Bay</w:t>
            </w:r>
          </w:p>
        </w:tc>
        <w:tc>
          <w:tcPr>
            <w:tcW w:w="493" w:type="dxa"/>
            <w:shd w:val="clear" w:color="auto" w:fill="E7F3F4"/>
            <w:noWrap/>
            <w:vAlign w:val="center"/>
          </w:tcPr>
          <w:p w14:paraId="296668E6"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76" w:type="dxa"/>
            <w:shd w:val="clear" w:color="auto" w:fill="E7F3F4"/>
            <w:noWrap/>
            <w:vAlign w:val="bottom"/>
          </w:tcPr>
          <w:p w14:paraId="58D30CCE"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4.481</w:t>
            </w:r>
          </w:p>
        </w:tc>
        <w:tc>
          <w:tcPr>
            <w:tcW w:w="594" w:type="dxa"/>
            <w:shd w:val="clear" w:color="auto" w:fill="E7F3F4"/>
            <w:noWrap/>
            <w:vAlign w:val="center"/>
          </w:tcPr>
          <w:p w14:paraId="339F1F17"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76" w:type="dxa"/>
            <w:shd w:val="clear" w:color="auto" w:fill="E7F3F4"/>
            <w:noWrap/>
            <w:vAlign w:val="bottom"/>
          </w:tcPr>
          <w:p w14:paraId="7A78908A"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28.943</w:t>
            </w:r>
          </w:p>
        </w:tc>
        <w:tc>
          <w:tcPr>
            <w:tcW w:w="480" w:type="dxa"/>
            <w:vMerge w:val="restart"/>
            <w:shd w:val="clear" w:color="auto" w:fill="E7F3F4"/>
            <w:noWrap/>
            <w:vAlign w:val="center"/>
          </w:tcPr>
          <w:p w14:paraId="7E4E0081"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70" w:type="dxa"/>
            <w:vMerge w:val="restart"/>
            <w:shd w:val="clear" w:color="auto" w:fill="E7F3F4"/>
            <w:vAlign w:val="center"/>
          </w:tcPr>
          <w:p w14:paraId="1176572B" w14:textId="77777777" w:rsidR="006E6B0E" w:rsidRPr="00C911E4" w:rsidRDefault="006E6B0E"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03FABB4E"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44F05908" w14:textId="77777777" w:rsidR="006E6B0E" w:rsidRPr="00C911E4" w:rsidRDefault="006E6B0E" w:rsidP="00D64955">
            <w:pPr>
              <w:spacing w:before="0" w:after="0"/>
              <w:jc w:val="center"/>
              <w:rPr>
                <w:rFonts w:ascii="Arial" w:hAnsi="Arial" w:cs="Arial"/>
                <w:color w:val="000000"/>
                <w:sz w:val="18"/>
                <w:szCs w:val="18"/>
              </w:rPr>
            </w:pPr>
          </w:p>
        </w:tc>
        <w:tc>
          <w:tcPr>
            <w:tcW w:w="490" w:type="dxa"/>
            <w:vMerge w:val="restart"/>
            <w:shd w:val="clear" w:color="auto" w:fill="E7F3F4"/>
            <w:vAlign w:val="center"/>
          </w:tcPr>
          <w:p w14:paraId="53945C80"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E7F3F4"/>
            <w:vAlign w:val="center"/>
          </w:tcPr>
          <w:p w14:paraId="7DAD771C"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02BF5A7F"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E7F3F4"/>
            <w:vAlign w:val="center"/>
          </w:tcPr>
          <w:p w14:paraId="01FF6E37" w14:textId="77777777" w:rsidR="006E6B0E" w:rsidRPr="00C911E4" w:rsidRDefault="006E6B0E" w:rsidP="00D64955">
            <w:pPr>
              <w:spacing w:before="0" w:after="0"/>
              <w:jc w:val="center"/>
              <w:rPr>
                <w:rFonts w:ascii="Arial" w:hAnsi="Arial" w:cs="Arial"/>
                <w:color w:val="000000"/>
                <w:sz w:val="18"/>
                <w:szCs w:val="18"/>
              </w:rPr>
            </w:pPr>
          </w:p>
        </w:tc>
        <w:tc>
          <w:tcPr>
            <w:tcW w:w="460" w:type="dxa"/>
            <w:vMerge w:val="restart"/>
            <w:shd w:val="clear" w:color="auto" w:fill="E7F3F4"/>
            <w:vAlign w:val="center"/>
          </w:tcPr>
          <w:p w14:paraId="3F33F0AD"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80" w:type="dxa"/>
            <w:vMerge w:val="restart"/>
            <w:shd w:val="clear" w:color="auto" w:fill="E7F3F4"/>
            <w:vAlign w:val="center"/>
          </w:tcPr>
          <w:p w14:paraId="46A4EC44" w14:textId="77777777" w:rsidR="006E6B0E" w:rsidRPr="00C911E4" w:rsidRDefault="006E6B0E" w:rsidP="00D64955">
            <w:pPr>
              <w:spacing w:before="0" w:after="0"/>
              <w:jc w:val="center"/>
              <w:rPr>
                <w:rFonts w:ascii="Arial" w:hAnsi="Arial" w:cs="Arial"/>
                <w:color w:val="000000"/>
                <w:sz w:val="18"/>
                <w:szCs w:val="18"/>
              </w:rPr>
            </w:pPr>
          </w:p>
        </w:tc>
      </w:tr>
      <w:tr w:rsidR="00EB6CC6" w:rsidRPr="00C911E4" w14:paraId="4CF1DC20" w14:textId="77777777" w:rsidTr="00EB6CC6">
        <w:trPr>
          <w:trHeight w:val="170"/>
          <w:jc w:val="center"/>
        </w:trPr>
        <w:tc>
          <w:tcPr>
            <w:tcW w:w="1135" w:type="dxa"/>
            <w:vMerge/>
            <w:shd w:val="clear" w:color="auto" w:fill="auto"/>
            <w:vAlign w:val="center"/>
          </w:tcPr>
          <w:p w14:paraId="2DA9BDAB" w14:textId="77777777" w:rsidR="006E6B0E" w:rsidRPr="00C911E4" w:rsidRDefault="006E6B0E"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63DE07FC" w14:textId="77777777" w:rsidR="006E6B0E" w:rsidRPr="00C911E4" w:rsidRDefault="006E6B0E"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57E53798" w14:textId="77777777" w:rsidR="006E6B0E" w:rsidRPr="00C911E4" w:rsidRDefault="006E6B0E" w:rsidP="00D64955">
            <w:pPr>
              <w:spacing w:before="0" w:after="0"/>
              <w:jc w:val="center"/>
              <w:rPr>
                <w:rFonts w:ascii="Arial" w:hAnsi="Arial" w:cs="Arial"/>
                <w:color w:val="000000"/>
                <w:sz w:val="18"/>
                <w:szCs w:val="18"/>
              </w:rPr>
            </w:pPr>
          </w:p>
        </w:tc>
        <w:tc>
          <w:tcPr>
            <w:tcW w:w="1338" w:type="dxa"/>
            <w:vMerge/>
            <w:shd w:val="clear" w:color="auto" w:fill="E7F3F4"/>
            <w:noWrap/>
            <w:vAlign w:val="center"/>
          </w:tcPr>
          <w:p w14:paraId="0F92B563" w14:textId="77777777" w:rsidR="006E6B0E" w:rsidRPr="00C911E4" w:rsidRDefault="006E6B0E" w:rsidP="00D64955">
            <w:pPr>
              <w:spacing w:before="0" w:after="0"/>
              <w:jc w:val="center"/>
              <w:rPr>
                <w:rFonts w:ascii="Arial" w:hAnsi="Arial" w:cs="Arial"/>
                <w:color w:val="000000"/>
                <w:sz w:val="18"/>
                <w:szCs w:val="18"/>
              </w:rPr>
            </w:pPr>
          </w:p>
        </w:tc>
        <w:tc>
          <w:tcPr>
            <w:tcW w:w="678" w:type="dxa"/>
            <w:shd w:val="clear" w:color="auto" w:fill="E7F3F4"/>
            <w:noWrap/>
            <w:vAlign w:val="center"/>
          </w:tcPr>
          <w:p w14:paraId="0A45516A"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HB2*</w:t>
            </w:r>
          </w:p>
        </w:tc>
        <w:tc>
          <w:tcPr>
            <w:tcW w:w="1116" w:type="dxa"/>
            <w:shd w:val="clear" w:color="auto" w:fill="E7F3F4"/>
            <w:noWrap/>
            <w:vAlign w:val="center"/>
          </w:tcPr>
          <w:p w14:paraId="2050F6B3"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Hydeaway Bay</w:t>
            </w:r>
          </w:p>
        </w:tc>
        <w:tc>
          <w:tcPr>
            <w:tcW w:w="493" w:type="dxa"/>
            <w:shd w:val="clear" w:color="auto" w:fill="E7F3F4"/>
            <w:noWrap/>
            <w:vAlign w:val="center"/>
          </w:tcPr>
          <w:p w14:paraId="5D14E46D"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76" w:type="dxa"/>
            <w:shd w:val="clear" w:color="auto" w:fill="E7F3F4"/>
            <w:noWrap/>
            <w:vAlign w:val="bottom"/>
          </w:tcPr>
          <w:p w14:paraId="058C1AAB"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4.292</w:t>
            </w:r>
          </w:p>
        </w:tc>
        <w:tc>
          <w:tcPr>
            <w:tcW w:w="594" w:type="dxa"/>
            <w:shd w:val="clear" w:color="auto" w:fill="E7F3F4"/>
            <w:noWrap/>
            <w:vAlign w:val="center"/>
          </w:tcPr>
          <w:p w14:paraId="6AE7C944"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76" w:type="dxa"/>
            <w:shd w:val="clear" w:color="auto" w:fill="E7F3F4"/>
            <w:noWrap/>
            <w:vAlign w:val="bottom"/>
          </w:tcPr>
          <w:p w14:paraId="592129EA"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28.861</w:t>
            </w:r>
          </w:p>
        </w:tc>
        <w:tc>
          <w:tcPr>
            <w:tcW w:w="480" w:type="dxa"/>
            <w:vMerge/>
            <w:shd w:val="clear" w:color="auto" w:fill="E7F3F4"/>
            <w:noWrap/>
            <w:vAlign w:val="center"/>
          </w:tcPr>
          <w:p w14:paraId="6851EBB8"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29CCD965"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32BCD295"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10E75E45" w14:textId="77777777" w:rsidR="006E6B0E" w:rsidRPr="00C911E4" w:rsidRDefault="006E6B0E" w:rsidP="00D64955">
            <w:pPr>
              <w:spacing w:before="0" w:after="0"/>
              <w:jc w:val="center"/>
              <w:rPr>
                <w:rFonts w:ascii="Arial" w:hAnsi="Arial" w:cs="Arial"/>
                <w:color w:val="000000"/>
                <w:sz w:val="18"/>
                <w:szCs w:val="18"/>
              </w:rPr>
            </w:pPr>
          </w:p>
        </w:tc>
        <w:tc>
          <w:tcPr>
            <w:tcW w:w="490" w:type="dxa"/>
            <w:vMerge/>
            <w:shd w:val="clear" w:color="auto" w:fill="E7F3F4"/>
            <w:vAlign w:val="center"/>
          </w:tcPr>
          <w:p w14:paraId="17184321"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18D3F619"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1694DDE6" w14:textId="77777777" w:rsidR="006E6B0E" w:rsidRPr="00C911E4" w:rsidRDefault="006E6B0E" w:rsidP="00D64955">
            <w:pPr>
              <w:spacing w:before="0" w:after="0"/>
              <w:jc w:val="center"/>
              <w:rPr>
                <w:rFonts w:ascii="Arial" w:hAnsi="Arial" w:cs="Arial"/>
                <w:color w:val="000000"/>
                <w:sz w:val="18"/>
                <w:szCs w:val="18"/>
              </w:rPr>
            </w:pPr>
          </w:p>
        </w:tc>
        <w:tc>
          <w:tcPr>
            <w:tcW w:w="389" w:type="dxa"/>
            <w:vMerge/>
            <w:shd w:val="clear" w:color="auto" w:fill="E7F3F4"/>
            <w:vAlign w:val="center"/>
          </w:tcPr>
          <w:p w14:paraId="68117899" w14:textId="77777777" w:rsidR="006E6B0E" w:rsidRPr="00C911E4" w:rsidRDefault="006E6B0E" w:rsidP="00D64955">
            <w:pPr>
              <w:spacing w:before="0" w:after="0"/>
              <w:jc w:val="center"/>
              <w:rPr>
                <w:rFonts w:ascii="Arial" w:hAnsi="Arial" w:cs="Arial"/>
                <w:color w:val="000000"/>
                <w:sz w:val="18"/>
                <w:szCs w:val="18"/>
              </w:rPr>
            </w:pPr>
          </w:p>
        </w:tc>
        <w:tc>
          <w:tcPr>
            <w:tcW w:w="460" w:type="dxa"/>
            <w:vMerge/>
            <w:shd w:val="clear" w:color="auto" w:fill="E7F3F4"/>
            <w:vAlign w:val="center"/>
          </w:tcPr>
          <w:p w14:paraId="014C80B2"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6EF1CA7C" w14:textId="77777777" w:rsidR="006E6B0E" w:rsidRPr="00C911E4" w:rsidRDefault="006E6B0E" w:rsidP="00D64955">
            <w:pPr>
              <w:spacing w:before="0" w:after="0"/>
              <w:jc w:val="center"/>
              <w:rPr>
                <w:rFonts w:ascii="Arial" w:hAnsi="Arial" w:cs="Arial"/>
                <w:color w:val="000000"/>
                <w:sz w:val="18"/>
                <w:szCs w:val="18"/>
              </w:rPr>
            </w:pPr>
          </w:p>
        </w:tc>
      </w:tr>
      <w:tr w:rsidR="00EB6CC6" w:rsidRPr="00C911E4" w14:paraId="17DA8027" w14:textId="77777777" w:rsidTr="00EB6CC6">
        <w:trPr>
          <w:trHeight w:val="87"/>
          <w:jc w:val="center"/>
        </w:trPr>
        <w:tc>
          <w:tcPr>
            <w:tcW w:w="1135" w:type="dxa"/>
            <w:vMerge/>
            <w:shd w:val="clear" w:color="auto" w:fill="auto"/>
            <w:vAlign w:val="center"/>
          </w:tcPr>
          <w:p w14:paraId="75969E59" w14:textId="77777777" w:rsidR="006E6B0E" w:rsidRPr="00C911E4" w:rsidRDefault="006E6B0E"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2E45BDA9" w14:textId="77777777" w:rsidR="006E6B0E" w:rsidRPr="00C911E4" w:rsidRDefault="006E6B0E" w:rsidP="00D64955">
            <w:pPr>
              <w:spacing w:before="0" w:after="0"/>
              <w:jc w:val="center"/>
              <w:rPr>
                <w:rFonts w:ascii="Arial" w:hAnsi="Arial" w:cs="Arial"/>
                <w:color w:val="000000"/>
                <w:sz w:val="18"/>
                <w:szCs w:val="18"/>
              </w:rPr>
            </w:pPr>
          </w:p>
        </w:tc>
        <w:tc>
          <w:tcPr>
            <w:tcW w:w="1100" w:type="dxa"/>
            <w:vMerge w:val="restart"/>
            <w:shd w:val="clear" w:color="auto" w:fill="E7F3F4"/>
            <w:vAlign w:val="center"/>
          </w:tcPr>
          <w:p w14:paraId="4489C3A7"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Proserpine</w:t>
            </w:r>
          </w:p>
        </w:tc>
        <w:tc>
          <w:tcPr>
            <w:tcW w:w="1338" w:type="dxa"/>
            <w:vMerge w:val="restart"/>
            <w:shd w:val="clear" w:color="auto" w:fill="E7F3F4"/>
            <w:noWrap/>
            <w:vAlign w:val="center"/>
          </w:tcPr>
          <w:p w14:paraId="7423AD8A"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Pioneer Bay</w:t>
            </w:r>
          </w:p>
          <w:p w14:paraId="17C5791A" w14:textId="77777777" w:rsidR="006E6B0E" w:rsidRPr="00C911E4" w:rsidRDefault="006E6B0E"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coastal</w:t>
            </w:r>
          </w:p>
        </w:tc>
        <w:tc>
          <w:tcPr>
            <w:tcW w:w="678" w:type="dxa"/>
            <w:shd w:val="clear" w:color="auto" w:fill="E7F3F4"/>
            <w:noWrap/>
            <w:vAlign w:val="center"/>
          </w:tcPr>
          <w:p w14:paraId="0DC39890"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PI2*</w:t>
            </w:r>
          </w:p>
        </w:tc>
        <w:tc>
          <w:tcPr>
            <w:tcW w:w="1116" w:type="dxa"/>
            <w:shd w:val="clear" w:color="auto" w:fill="E7F3F4"/>
            <w:noWrap/>
            <w:vAlign w:val="center"/>
          </w:tcPr>
          <w:p w14:paraId="23C0960B"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Pigeon Island</w:t>
            </w:r>
          </w:p>
        </w:tc>
        <w:tc>
          <w:tcPr>
            <w:tcW w:w="493" w:type="dxa"/>
            <w:shd w:val="clear" w:color="auto" w:fill="E7F3F4"/>
            <w:noWrap/>
            <w:vAlign w:val="center"/>
          </w:tcPr>
          <w:p w14:paraId="2E48F3A5"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76" w:type="dxa"/>
            <w:shd w:val="clear" w:color="auto" w:fill="E7F3F4"/>
            <w:noWrap/>
            <w:vAlign w:val="bottom"/>
          </w:tcPr>
          <w:p w14:paraId="3FB7DE01"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16.163</w:t>
            </w:r>
          </w:p>
        </w:tc>
        <w:tc>
          <w:tcPr>
            <w:tcW w:w="594" w:type="dxa"/>
            <w:shd w:val="clear" w:color="auto" w:fill="E7F3F4"/>
            <w:noWrap/>
            <w:vAlign w:val="center"/>
          </w:tcPr>
          <w:p w14:paraId="0BCC96C5"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76" w:type="dxa"/>
            <w:shd w:val="clear" w:color="auto" w:fill="E7F3F4"/>
            <w:noWrap/>
            <w:vAlign w:val="bottom"/>
          </w:tcPr>
          <w:p w14:paraId="42C0C534"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41.585</w:t>
            </w:r>
          </w:p>
        </w:tc>
        <w:tc>
          <w:tcPr>
            <w:tcW w:w="480" w:type="dxa"/>
            <w:vMerge w:val="restart"/>
            <w:shd w:val="clear" w:color="auto" w:fill="E7F3F4"/>
            <w:noWrap/>
            <w:vAlign w:val="center"/>
          </w:tcPr>
          <w:p w14:paraId="785A3A39" w14:textId="77777777" w:rsidR="006E6B0E" w:rsidRPr="00C911E4" w:rsidRDefault="006E6B0E"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387890D9" w14:textId="77777777" w:rsidR="006E6B0E" w:rsidRPr="00C911E4" w:rsidRDefault="006E6B0E"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04599D4B"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7CF3EC28" w14:textId="77777777" w:rsidR="006E6B0E" w:rsidRPr="00C911E4" w:rsidRDefault="006E6B0E" w:rsidP="00D64955">
            <w:pPr>
              <w:spacing w:before="0" w:after="0"/>
              <w:jc w:val="center"/>
              <w:rPr>
                <w:rFonts w:ascii="Arial" w:hAnsi="Arial" w:cs="Arial"/>
                <w:color w:val="000000"/>
                <w:sz w:val="18"/>
                <w:szCs w:val="18"/>
              </w:rPr>
            </w:pPr>
          </w:p>
        </w:tc>
        <w:tc>
          <w:tcPr>
            <w:tcW w:w="490" w:type="dxa"/>
            <w:vMerge w:val="restart"/>
            <w:shd w:val="clear" w:color="auto" w:fill="E7F3F4"/>
            <w:vAlign w:val="center"/>
          </w:tcPr>
          <w:p w14:paraId="34B7B74A"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E7F3F4"/>
            <w:vAlign w:val="center"/>
          </w:tcPr>
          <w:p w14:paraId="06FF55FF"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80" w:type="dxa"/>
            <w:vMerge w:val="restart"/>
            <w:shd w:val="clear" w:color="auto" w:fill="E7F3F4"/>
            <w:vAlign w:val="center"/>
          </w:tcPr>
          <w:p w14:paraId="0C92CF63"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E7F3F4"/>
            <w:vAlign w:val="center"/>
          </w:tcPr>
          <w:p w14:paraId="772AC1D5" w14:textId="77777777" w:rsidR="006E6B0E" w:rsidRPr="00C911E4" w:rsidRDefault="006E6B0E" w:rsidP="00D64955">
            <w:pPr>
              <w:spacing w:before="0" w:after="0"/>
              <w:jc w:val="center"/>
              <w:rPr>
                <w:rFonts w:ascii="Arial" w:hAnsi="Arial" w:cs="Arial"/>
                <w:color w:val="000000"/>
                <w:sz w:val="18"/>
                <w:szCs w:val="18"/>
              </w:rPr>
            </w:pPr>
          </w:p>
        </w:tc>
        <w:tc>
          <w:tcPr>
            <w:tcW w:w="460" w:type="dxa"/>
            <w:vMerge w:val="restart"/>
            <w:shd w:val="clear" w:color="auto" w:fill="E7F3F4"/>
            <w:vAlign w:val="center"/>
          </w:tcPr>
          <w:p w14:paraId="3E5B0369"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449EB6E0"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EB6CC6" w:rsidRPr="00C911E4" w14:paraId="778FBF31" w14:textId="77777777" w:rsidTr="00EB6CC6">
        <w:trPr>
          <w:trHeight w:val="170"/>
          <w:jc w:val="center"/>
        </w:trPr>
        <w:tc>
          <w:tcPr>
            <w:tcW w:w="1135" w:type="dxa"/>
            <w:vMerge/>
            <w:shd w:val="clear" w:color="auto" w:fill="auto"/>
            <w:vAlign w:val="center"/>
          </w:tcPr>
          <w:p w14:paraId="3473044D" w14:textId="77777777" w:rsidR="006E6B0E" w:rsidRPr="00C911E4" w:rsidRDefault="006E6B0E" w:rsidP="00D64955">
            <w:pPr>
              <w:spacing w:before="0" w:after="0"/>
              <w:jc w:val="center"/>
              <w:rPr>
                <w:rFonts w:ascii="Arial" w:hAnsi="Arial" w:cs="Arial"/>
                <w:color w:val="000000"/>
                <w:sz w:val="18"/>
                <w:szCs w:val="18"/>
              </w:rPr>
            </w:pPr>
          </w:p>
        </w:tc>
        <w:tc>
          <w:tcPr>
            <w:tcW w:w="1367" w:type="dxa"/>
            <w:vMerge/>
            <w:shd w:val="clear" w:color="auto" w:fill="F3F9FA"/>
            <w:vAlign w:val="center"/>
          </w:tcPr>
          <w:p w14:paraId="3B78D74A" w14:textId="77777777" w:rsidR="006E6B0E" w:rsidRPr="00C911E4" w:rsidRDefault="006E6B0E"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25E7F924" w14:textId="77777777" w:rsidR="006E6B0E" w:rsidRPr="00C911E4" w:rsidRDefault="006E6B0E" w:rsidP="00D64955">
            <w:pPr>
              <w:spacing w:before="0" w:after="0"/>
              <w:jc w:val="center"/>
              <w:rPr>
                <w:rFonts w:ascii="Arial" w:hAnsi="Arial" w:cs="Arial"/>
                <w:color w:val="000000"/>
                <w:sz w:val="18"/>
                <w:szCs w:val="18"/>
              </w:rPr>
            </w:pPr>
          </w:p>
        </w:tc>
        <w:tc>
          <w:tcPr>
            <w:tcW w:w="1338" w:type="dxa"/>
            <w:vMerge/>
            <w:shd w:val="clear" w:color="auto" w:fill="E7F3F4"/>
            <w:noWrap/>
            <w:vAlign w:val="center"/>
          </w:tcPr>
          <w:p w14:paraId="4F4DA9F3" w14:textId="77777777" w:rsidR="006E6B0E" w:rsidRPr="00C911E4" w:rsidRDefault="006E6B0E" w:rsidP="00D64955">
            <w:pPr>
              <w:spacing w:before="0" w:after="0"/>
              <w:jc w:val="center"/>
              <w:rPr>
                <w:rFonts w:ascii="Arial" w:hAnsi="Arial" w:cs="Arial"/>
                <w:color w:val="000000"/>
                <w:sz w:val="18"/>
                <w:szCs w:val="18"/>
              </w:rPr>
            </w:pPr>
          </w:p>
        </w:tc>
        <w:tc>
          <w:tcPr>
            <w:tcW w:w="678" w:type="dxa"/>
            <w:shd w:val="clear" w:color="auto" w:fill="E7F3F4"/>
            <w:noWrap/>
            <w:vAlign w:val="center"/>
          </w:tcPr>
          <w:p w14:paraId="717DC13E"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PI3*</w:t>
            </w:r>
          </w:p>
        </w:tc>
        <w:tc>
          <w:tcPr>
            <w:tcW w:w="1116" w:type="dxa"/>
            <w:shd w:val="clear" w:color="auto" w:fill="E7F3F4"/>
            <w:noWrap/>
            <w:vAlign w:val="center"/>
          </w:tcPr>
          <w:p w14:paraId="006B4BEE" w14:textId="77777777" w:rsidR="006E6B0E" w:rsidRPr="00C911E4" w:rsidRDefault="006E6B0E" w:rsidP="00D64955">
            <w:pPr>
              <w:spacing w:before="0" w:after="0"/>
              <w:jc w:val="center"/>
              <w:rPr>
                <w:rFonts w:ascii="Arial" w:hAnsi="Arial" w:cs="Arial"/>
                <w:i/>
                <w:color w:val="000000"/>
                <w:sz w:val="18"/>
                <w:szCs w:val="18"/>
              </w:rPr>
            </w:pPr>
            <w:r w:rsidRPr="00C911E4">
              <w:rPr>
                <w:rFonts w:ascii="Arial" w:hAnsi="Arial" w:cs="Arial"/>
                <w:color w:val="000000"/>
                <w:sz w:val="18"/>
                <w:szCs w:val="18"/>
              </w:rPr>
              <w:t>Pigeon Island</w:t>
            </w:r>
          </w:p>
        </w:tc>
        <w:tc>
          <w:tcPr>
            <w:tcW w:w="493" w:type="dxa"/>
            <w:shd w:val="clear" w:color="auto" w:fill="E7F3F4"/>
            <w:noWrap/>
            <w:vAlign w:val="center"/>
          </w:tcPr>
          <w:p w14:paraId="2F4CAC39"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76" w:type="dxa"/>
            <w:shd w:val="clear" w:color="auto" w:fill="E7F3F4"/>
            <w:noWrap/>
            <w:vAlign w:val="bottom"/>
          </w:tcPr>
          <w:p w14:paraId="2B77DA7B"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16.232</w:t>
            </w:r>
          </w:p>
        </w:tc>
        <w:tc>
          <w:tcPr>
            <w:tcW w:w="594" w:type="dxa"/>
            <w:shd w:val="clear" w:color="auto" w:fill="E7F3F4"/>
            <w:noWrap/>
            <w:vAlign w:val="center"/>
          </w:tcPr>
          <w:p w14:paraId="30056282"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76" w:type="dxa"/>
            <w:shd w:val="clear" w:color="auto" w:fill="E7F3F4"/>
            <w:noWrap/>
            <w:vAlign w:val="bottom"/>
          </w:tcPr>
          <w:p w14:paraId="59A0F1CD"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41.850</w:t>
            </w:r>
          </w:p>
        </w:tc>
        <w:tc>
          <w:tcPr>
            <w:tcW w:w="480" w:type="dxa"/>
            <w:vMerge/>
            <w:shd w:val="clear" w:color="auto" w:fill="E7F3F4"/>
            <w:noWrap/>
            <w:vAlign w:val="center"/>
          </w:tcPr>
          <w:p w14:paraId="0E691C21"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7168E744"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607D0E44"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38993C91" w14:textId="77777777" w:rsidR="006E6B0E" w:rsidRPr="00C911E4" w:rsidRDefault="006E6B0E" w:rsidP="00D64955">
            <w:pPr>
              <w:spacing w:before="0" w:after="0"/>
              <w:jc w:val="center"/>
              <w:rPr>
                <w:rFonts w:ascii="Arial" w:hAnsi="Arial" w:cs="Arial"/>
                <w:color w:val="000000"/>
                <w:sz w:val="18"/>
                <w:szCs w:val="18"/>
              </w:rPr>
            </w:pPr>
          </w:p>
        </w:tc>
        <w:tc>
          <w:tcPr>
            <w:tcW w:w="490" w:type="dxa"/>
            <w:vMerge/>
            <w:shd w:val="clear" w:color="auto" w:fill="E7F3F4"/>
            <w:vAlign w:val="center"/>
          </w:tcPr>
          <w:p w14:paraId="69B555CC"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6CA96C1E"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3AA5A226" w14:textId="77777777" w:rsidR="006E6B0E" w:rsidRPr="00C911E4" w:rsidRDefault="006E6B0E" w:rsidP="00D64955">
            <w:pPr>
              <w:spacing w:before="0" w:after="0"/>
              <w:jc w:val="center"/>
              <w:rPr>
                <w:rFonts w:ascii="Arial" w:hAnsi="Arial" w:cs="Arial"/>
                <w:color w:val="000000"/>
                <w:sz w:val="18"/>
                <w:szCs w:val="18"/>
              </w:rPr>
            </w:pPr>
          </w:p>
        </w:tc>
        <w:tc>
          <w:tcPr>
            <w:tcW w:w="389" w:type="dxa"/>
            <w:vMerge/>
            <w:shd w:val="clear" w:color="auto" w:fill="E7F3F4"/>
            <w:vAlign w:val="center"/>
          </w:tcPr>
          <w:p w14:paraId="7F4A7154" w14:textId="77777777" w:rsidR="006E6B0E" w:rsidRPr="00C911E4" w:rsidRDefault="006E6B0E" w:rsidP="00D64955">
            <w:pPr>
              <w:spacing w:before="0" w:after="0"/>
              <w:jc w:val="center"/>
              <w:rPr>
                <w:rFonts w:ascii="Arial" w:hAnsi="Arial" w:cs="Arial"/>
                <w:color w:val="000000"/>
                <w:sz w:val="18"/>
                <w:szCs w:val="18"/>
              </w:rPr>
            </w:pPr>
          </w:p>
        </w:tc>
        <w:tc>
          <w:tcPr>
            <w:tcW w:w="460" w:type="dxa"/>
            <w:vMerge/>
            <w:shd w:val="clear" w:color="auto" w:fill="E7F3F4"/>
            <w:vAlign w:val="center"/>
          </w:tcPr>
          <w:p w14:paraId="65EAA870"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764CB384" w14:textId="77777777" w:rsidR="006E6B0E" w:rsidRPr="00C911E4" w:rsidRDefault="006E6B0E" w:rsidP="00D64955">
            <w:pPr>
              <w:spacing w:before="0" w:after="0"/>
              <w:jc w:val="center"/>
              <w:rPr>
                <w:rFonts w:ascii="Arial" w:hAnsi="Arial" w:cs="Arial"/>
                <w:color w:val="000000"/>
                <w:sz w:val="18"/>
                <w:szCs w:val="18"/>
              </w:rPr>
            </w:pPr>
          </w:p>
        </w:tc>
      </w:tr>
      <w:tr w:rsidR="00EB6CC6" w:rsidRPr="00C911E4" w14:paraId="5160278D" w14:textId="77777777" w:rsidTr="00EB6CC6">
        <w:trPr>
          <w:trHeight w:val="170"/>
          <w:jc w:val="center"/>
        </w:trPr>
        <w:tc>
          <w:tcPr>
            <w:tcW w:w="1135" w:type="dxa"/>
            <w:vMerge/>
            <w:shd w:val="clear" w:color="auto" w:fill="auto"/>
            <w:vAlign w:val="center"/>
          </w:tcPr>
          <w:p w14:paraId="60A6BEE6" w14:textId="77777777" w:rsidR="006E6B0E" w:rsidRPr="00C911E4" w:rsidRDefault="006E6B0E" w:rsidP="00D64955">
            <w:pPr>
              <w:spacing w:before="0" w:after="0"/>
              <w:jc w:val="center"/>
              <w:rPr>
                <w:rFonts w:ascii="Arial" w:hAnsi="Arial" w:cs="Arial"/>
                <w:color w:val="000000"/>
                <w:sz w:val="18"/>
                <w:szCs w:val="18"/>
              </w:rPr>
            </w:pPr>
          </w:p>
        </w:tc>
        <w:tc>
          <w:tcPr>
            <w:tcW w:w="1367" w:type="dxa"/>
            <w:vMerge/>
            <w:shd w:val="clear" w:color="auto" w:fill="F3F9FA"/>
            <w:vAlign w:val="center"/>
          </w:tcPr>
          <w:p w14:paraId="77F66062" w14:textId="77777777" w:rsidR="006E6B0E" w:rsidRPr="00C911E4" w:rsidRDefault="006E6B0E" w:rsidP="00D64955">
            <w:pPr>
              <w:spacing w:before="0" w:after="0"/>
              <w:jc w:val="center"/>
              <w:rPr>
                <w:rFonts w:ascii="Arial" w:hAnsi="Arial" w:cs="Arial"/>
                <w:color w:val="000000"/>
                <w:sz w:val="18"/>
                <w:szCs w:val="18"/>
              </w:rPr>
            </w:pPr>
          </w:p>
        </w:tc>
        <w:tc>
          <w:tcPr>
            <w:tcW w:w="1100" w:type="dxa"/>
            <w:vMerge w:val="restart"/>
            <w:shd w:val="clear" w:color="auto" w:fill="E7F3F4"/>
            <w:vAlign w:val="center"/>
          </w:tcPr>
          <w:p w14:paraId="41DC7FD8"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Proserpine / O'Connell</w:t>
            </w:r>
          </w:p>
        </w:tc>
        <w:tc>
          <w:tcPr>
            <w:tcW w:w="1338" w:type="dxa"/>
            <w:vMerge w:val="restart"/>
            <w:shd w:val="clear" w:color="auto" w:fill="E7F3F4"/>
            <w:noWrap/>
            <w:vAlign w:val="center"/>
          </w:tcPr>
          <w:p w14:paraId="43215F34" w14:textId="77777777" w:rsidR="006E6B0E" w:rsidRPr="00C911E4" w:rsidRDefault="006E6B0E" w:rsidP="00D64955">
            <w:pPr>
              <w:spacing w:before="0" w:after="0"/>
              <w:jc w:val="center"/>
              <w:rPr>
                <w:rFonts w:ascii="Arial" w:hAnsi="Arial" w:cs="Arial"/>
                <w:i/>
                <w:color w:val="000000"/>
                <w:sz w:val="18"/>
                <w:szCs w:val="18"/>
              </w:rPr>
            </w:pPr>
            <w:r w:rsidRPr="00C911E4">
              <w:rPr>
                <w:rFonts w:ascii="Arial" w:hAnsi="Arial" w:cs="Arial"/>
                <w:color w:val="000000"/>
                <w:sz w:val="18"/>
                <w:szCs w:val="18"/>
              </w:rPr>
              <w:t>Whitsunday Island</w:t>
            </w:r>
          </w:p>
          <w:p w14:paraId="724E30A5"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i/>
                <w:color w:val="000000"/>
                <w:sz w:val="18"/>
                <w:szCs w:val="18"/>
              </w:rPr>
              <w:t>reef</w:t>
            </w:r>
          </w:p>
        </w:tc>
        <w:tc>
          <w:tcPr>
            <w:tcW w:w="678" w:type="dxa"/>
            <w:shd w:val="clear" w:color="auto" w:fill="E7F3F4"/>
            <w:noWrap/>
            <w:vAlign w:val="center"/>
          </w:tcPr>
          <w:p w14:paraId="3CAD1337"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TO1^</w:t>
            </w:r>
          </w:p>
        </w:tc>
        <w:tc>
          <w:tcPr>
            <w:tcW w:w="1116" w:type="dxa"/>
            <w:shd w:val="clear" w:color="auto" w:fill="E7F3F4"/>
            <w:noWrap/>
            <w:vAlign w:val="center"/>
          </w:tcPr>
          <w:p w14:paraId="56C706C3"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Tongue Bay</w:t>
            </w:r>
          </w:p>
        </w:tc>
        <w:tc>
          <w:tcPr>
            <w:tcW w:w="493" w:type="dxa"/>
            <w:shd w:val="clear" w:color="auto" w:fill="E7F3F4"/>
            <w:noWrap/>
            <w:vAlign w:val="center"/>
          </w:tcPr>
          <w:p w14:paraId="2C5B4241"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76" w:type="dxa"/>
            <w:shd w:val="clear" w:color="auto" w:fill="E7F3F4"/>
            <w:noWrap/>
            <w:vAlign w:val="bottom"/>
          </w:tcPr>
          <w:p w14:paraId="4409822B"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14.399</w:t>
            </w:r>
          </w:p>
        </w:tc>
        <w:tc>
          <w:tcPr>
            <w:tcW w:w="594" w:type="dxa"/>
            <w:shd w:val="clear" w:color="auto" w:fill="E7F3F4"/>
            <w:noWrap/>
            <w:vAlign w:val="center"/>
          </w:tcPr>
          <w:p w14:paraId="3BD37B32"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149°</w:t>
            </w:r>
          </w:p>
        </w:tc>
        <w:tc>
          <w:tcPr>
            <w:tcW w:w="876" w:type="dxa"/>
            <w:shd w:val="clear" w:color="auto" w:fill="E7F3F4"/>
            <w:noWrap/>
            <w:vAlign w:val="bottom"/>
          </w:tcPr>
          <w:p w14:paraId="3B2A0342"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0.934</w:t>
            </w:r>
          </w:p>
        </w:tc>
        <w:tc>
          <w:tcPr>
            <w:tcW w:w="480" w:type="dxa"/>
            <w:vMerge w:val="restart"/>
            <w:shd w:val="clear" w:color="auto" w:fill="E7F3F4"/>
            <w:noWrap/>
            <w:vAlign w:val="center"/>
          </w:tcPr>
          <w:p w14:paraId="55CBC980" w14:textId="77777777" w:rsidR="006E6B0E" w:rsidRPr="00C911E4" w:rsidRDefault="006E6B0E"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05FE1B21" w14:textId="77777777" w:rsidR="006E6B0E" w:rsidRPr="00C911E4" w:rsidRDefault="006E6B0E"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00637C7C"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03AB5D12" w14:textId="77777777" w:rsidR="006E6B0E" w:rsidRPr="00C911E4" w:rsidRDefault="006E6B0E" w:rsidP="00D64955">
            <w:pPr>
              <w:spacing w:before="0" w:after="0"/>
              <w:jc w:val="center"/>
              <w:rPr>
                <w:rFonts w:ascii="Arial" w:hAnsi="Arial" w:cs="Arial"/>
                <w:color w:val="000000"/>
                <w:sz w:val="18"/>
                <w:szCs w:val="18"/>
              </w:rPr>
            </w:pPr>
          </w:p>
        </w:tc>
        <w:tc>
          <w:tcPr>
            <w:tcW w:w="490" w:type="dxa"/>
            <w:vMerge w:val="restart"/>
            <w:shd w:val="clear" w:color="auto" w:fill="E7F3F4"/>
            <w:vAlign w:val="center"/>
          </w:tcPr>
          <w:p w14:paraId="601E1B9C"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E7F3F4"/>
            <w:vAlign w:val="center"/>
          </w:tcPr>
          <w:p w14:paraId="7E160DFD"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2F23A68F"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E7F3F4"/>
            <w:vAlign w:val="center"/>
          </w:tcPr>
          <w:p w14:paraId="05B99B56" w14:textId="77777777" w:rsidR="006E6B0E" w:rsidRPr="00C911E4" w:rsidRDefault="006E6B0E" w:rsidP="00D64955">
            <w:pPr>
              <w:spacing w:before="0" w:after="0"/>
              <w:jc w:val="center"/>
              <w:rPr>
                <w:rFonts w:ascii="Arial" w:hAnsi="Arial" w:cs="Arial"/>
                <w:color w:val="000000"/>
                <w:sz w:val="18"/>
                <w:szCs w:val="18"/>
              </w:rPr>
            </w:pPr>
          </w:p>
        </w:tc>
        <w:tc>
          <w:tcPr>
            <w:tcW w:w="460" w:type="dxa"/>
            <w:vMerge w:val="restart"/>
            <w:shd w:val="clear" w:color="auto" w:fill="E7F3F4"/>
            <w:vAlign w:val="center"/>
          </w:tcPr>
          <w:p w14:paraId="3C88EE7C"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80" w:type="dxa"/>
            <w:vMerge w:val="restart"/>
            <w:shd w:val="clear" w:color="auto" w:fill="E7F3F4"/>
            <w:vAlign w:val="center"/>
          </w:tcPr>
          <w:p w14:paraId="6C31E662" w14:textId="77777777" w:rsidR="006E6B0E" w:rsidRPr="00C911E4" w:rsidRDefault="006E6B0E" w:rsidP="00D64955">
            <w:pPr>
              <w:spacing w:before="0" w:after="0"/>
              <w:jc w:val="center"/>
              <w:rPr>
                <w:rFonts w:ascii="Arial" w:hAnsi="Arial" w:cs="Arial"/>
                <w:color w:val="000000"/>
                <w:sz w:val="18"/>
                <w:szCs w:val="18"/>
              </w:rPr>
            </w:pPr>
          </w:p>
        </w:tc>
      </w:tr>
      <w:tr w:rsidR="00EB6CC6" w:rsidRPr="00C911E4" w14:paraId="0F5292A3" w14:textId="77777777" w:rsidTr="00EB6CC6">
        <w:trPr>
          <w:trHeight w:val="170"/>
          <w:jc w:val="center"/>
        </w:trPr>
        <w:tc>
          <w:tcPr>
            <w:tcW w:w="1135" w:type="dxa"/>
            <w:vMerge/>
            <w:shd w:val="clear" w:color="auto" w:fill="auto"/>
            <w:vAlign w:val="center"/>
          </w:tcPr>
          <w:p w14:paraId="70DA2011" w14:textId="77777777" w:rsidR="006E6B0E" w:rsidRPr="00C911E4" w:rsidRDefault="006E6B0E" w:rsidP="00D64955">
            <w:pPr>
              <w:spacing w:before="0" w:after="0"/>
              <w:jc w:val="center"/>
              <w:rPr>
                <w:rFonts w:ascii="Arial" w:hAnsi="Arial" w:cs="Arial"/>
                <w:color w:val="000000"/>
                <w:sz w:val="18"/>
                <w:szCs w:val="18"/>
              </w:rPr>
            </w:pPr>
          </w:p>
        </w:tc>
        <w:tc>
          <w:tcPr>
            <w:tcW w:w="1367" w:type="dxa"/>
            <w:vMerge/>
            <w:shd w:val="clear" w:color="auto" w:fill="F3F9FA"/>
            <w:vAlign w:val="center"/>
          </w:tcPr>
          <w:p w14:paraId="7B0D0FD4" w14:textId="77777777" w:rsidR="006E6B0E" w:rsidRPr="00C911E4" w:rsidRDefault="006E6B0E"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3F252855" w14:textId="77777777" w:rsidR="006E6B0E" w:rsidRPr="00C911E4" w:rsidRDefault="006E6B0E" w:rsidP="00D64955">
            <w:pPr>
              <w:spacing w:before="0" w:after="0"/>
              <w:jc w:val="center"/>
              <w:rPr>
                <w:rFonts w:ascii="Arial" w:hAnsi="Arial" w:cs="Arial"/>
                <w:color w:val="000000"/>
                <w:sz w:val="18"/>
                <w:szCs w:val="18"/>
              </w:rPr>
            </w:pPr>
          </w:p>
        </w:tc>
        <w:tc>
          <w:tcPr>
            <w:tcW w:w="1338" w:type="dxa"/>
            <w:vMerge/>
            <w:shd w:val="clear" w:color="auto" w:fill="E7F3F4"/>
            <w:noWrap/>
            <w:vAlign w:val="center"/>
          </w:tcPr>
          <w:p w14:paraId="0F892983" w14:textId="77777777" w:rsidR="006E6B0E" w:rsidRPr="00C911E4" w:rsidRDefault="006E6B0E" w:rsidP="00D64955">
            <w:pPr>
              <w:spacing w:before="0" w:after="0"/>
              <w:jc w:val="center"/>
              <w:rPr>
                <w:rFonts w:ascii="Arial" w:hAnsi="Arial" w:cs="Arial"/>
                <w:color w:val="000000"/>
                <w:sz w:val="18"/>
                <w:szCs w:val="18"/>
              </w:rPr>
            </w:pPr>
          </w:p>
        </w:tc>
        <w:tc>
          <w:tcPr>
            <w:tcW w:w="678" w:type="dxa"/>
            <w:shd w:val="clear" w:color="auto" w:fill="E7F3F4"/>
            <w:noWrap/>
            <w:vAlign w:val="center"/>
          </w:tcPr>
          <w:p w14:paraId="1C0A37E5"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TO2^</w:t>
            </w:r>
          </w:p>
        </w:tc>
        <w:tc>
          <w:tcPr>
            <w:tcW w:w="1116" w:type="dxa"/>
            <w:shd w:val="clear" w:color="auto" w:fill="E7F3F4"/>
            <w:noWrap/>
            <w:vAlign w:val="center"/>
          </w:tcPr>
          <w:p w14:paraId="4F0F1399"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Tongue Bay</w:t>
            </w:r>
          </w:p>
        </w:tc>
        <w:tc>
          <w:tcPr>
            <w:tcW w:w="493" w:type="dxa"/>
            <w:shd w:val="clear" w:color="auto" w:fill="E7F3F4"/>
            <w:noWrap/>
            <w:vAlign w:val="center"/>
          </w:tcPr>
          <w:p w14:paraId="106FB265"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76" w:type="dxa"/>
            <w:shd w:val="clear" w:color="auto" w:fill="E7F3F4"/>
            <w:noWrap/>
            <w:vAlign w:val="bottom"/>
          </w:tcPr>
          <w:p w14:paraId="281B900E"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14.495</w:t>
            </w:r>
          </w:p>
        </w:tc>
        <w:tc>
          <w:tcPr>
            <w:tcW w:w="594" w:type="dxa"/>
            <w:shd w:val="clear" w:color="auto" w:fill="E7F3F4"/>
            <w:noWrap/>
            <w:vAlign w:val="center"/>
          </w:tcPr>
          <w:p w14:paraId="447227E0"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149°</w:t>
            </w:r>
          </w:p>
        </w:tc>
        <w:tc>
          <w:tcPr>
            <w:tcW w:w="876" w:type="dxa"/>
            <w:shd w:val="clear" w:color="auto" w:fill="E7F3F4"/>
            <w:noWrap/>
            <w:vAlign w:val="bottom"/>
          </w:tcPr>
          <w:p w14:paraId="6A709E74"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0.697</w:t>
            </w:r>
          </w:p>
        </w:tc>
        <w:tc>
          <w:tcPr>
            <w:tcW w:w="480" w:type="dxa"/>
            <w:vMerge/>
            <w:shd w:val="clear" w:color="auto" w:fill="E7F3F4"/>
            <w:noWrap/>
            <w:vAlign w:val="center"/>
          </w:tcPr>
          <w:p w14:paraId="7D7BBF6C"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0F6B9909"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2DDA990E"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362E7D10" w14:textId="77777777" w:rsidR="006E6B0E" w:rsidRPr="00C911E4" w:rsidRDefault="006E6B0E" w:rsidP="00D64955">
            <w:pPr>
              <w:spacing w:before="0" w:after="0"/>
              <w:jc w:val="center"/>
              <w:rPr>
                <w:rFonts w:ascii="Arial" w:hAnsi="Arial" w:cs="Arial"/>
                <w:color w:val="000000"/>
                <w:sz w:val="18"/>
                <w:szCs w:val="18"/>
              </w:rPr>
            </w:pPr>
          </w:p>
        </w:tc>
        <w:tc>
          <w:tcPr>
            <w:tcW w:w="490" w:type="dxa"/>
            <w:vMerge/>
            <w:shd w:val="clear" w:color="auto" w:fill="E7F3F4"/>
            <w:vAlign w:val="center"/>
          </w:tcPr>
          <w:p w14:paraId="30809386"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4FA844CF"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05649DD5" w14:textId="77777777" w:rsidR="006E6B0E" w:rsidRPr="00C911E4" w:rsidRDefault="006E6B0E" w:rsidP="00D64955">
            <w:pPr>
              <w:spacing w:before="0" w:after="0"/>
              <w:jc w:val="center"/>
              <w:rPr>
                <w:rFonts w:ascii="Arial" w:hAnsi="Arial" w:cs="Arial"/>
                <w:color w:val="000000"/>
                <w:sz w:val="18"/>
                <w:szCs w:val="18"/>
              </w:rPr>
            </w:pPr>
          </w:p>
        </w:tc>
        <w:tc>
          <w:tcPr>
            <w:tcW w:w="389" w:type="dxa"/>
            <w:vMerge/>
            <w:shd w:val="clear" w:color="auto" w:fill="E7F3F4"/>
            <w:vAlign w:val="center"/>
          </w:tcPr>
          <w:p w14:paraId="0007A5B0" w14:textId="77777777" w:rsidR="006E6B0E" w:rsidRPr="00C911E4" w:rsidRDefault="006E6B0E" w:rsidP="00D64955">
            <w:pPr>
              <w:spacing w:before="0" w:after="0"/>
              <w:jc w:val="center"/>
              <w:rPr>
                <w:rFonts w:ascii="Arial" w:hAnsi="Arial" w:cs="Arial"/>
                <w:color w:val="000000"/>
                <w:sz w:val="18"/>
                <w:szCs w:val="18"/>
              </w:rPr>
            </w:pPr>
          </w:p>
        </w:tc>
        <w:tc>
          <w:tcPr>
            <w:tcW w:w="460" w:type="dxa"/>
            <w:vMerge/>
            <w:shd w:val="clear" w:color="auto" w:fill="E7F3F4"/>
            <w:vAlign w:val="center"/>
          </w:tcPr>
          <w:p w14:paraId="406BF1FB"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082F0800" w14:textId="77777777" w:rsidR="006E6B0E" w:rsidRPr="00C911E4" w:rsidRDefault="006E6B0E" w:rsidP="00D64955">
            <w:pPr>
              <w:spacing w:before="0" w:after="0"/>
              <w:jc w:val="center"/>
              <w:rPr>
                <w:rFonts w:ascii="Arial" w:hAnsi="Arial" w:cs="Arial"/>
                <w:color w:val="000000"/>
                <w:sz w:val="18"/>
                <w:szCs w:val="18"/>
              </w:rPr>
            </w:pPr>
          </w:p>
        </w:tc>
      </w:tr>
      <w:tr w:rsidR="00EB6CC6" w:rsidRPr="00C911E4" w14:paraId="463D8C76" w14:textId="77777777" w:rsidTr="00EB6CC6">
        <w:trPr>
          <w:trHeight w:val="87"/>
          <w:jc w:val="center"/>
        </w:trPr>
        <w:tc>
          <w:tcPr>
            <w:tcW w:w="1135" w:type="dxa"/>
            <w:vMerge/>
            <w:shd w:val="clear" w:color="auto" w:fill="auto"/>
            <w:vAlign w:val="center"/>
          </w:tcPr>
          <w:p w14:paraId="6DD03840" w14:textId="77777777" w:rsidR="006E6B0E" w:rsidRPr="00C911E4" w:rsidRDefault="006E6B0E"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680AE290" w14:textId="77777777" w:rsidR="006E6B0E" w:rsidRPr="00C911E4" w:rsidRDefault="006E6B0E" w:rsidP="00D64955">
            <w:pPr>
              <w:spacing w:before="0" w:after="0"/>
              <w:jc w:val="center"/>
              <w:rPr>
                <w:rFonts w:ascii="Arial" w:hAnsi="Arial" w:cs="Arial"/>
                <w:color w:val="000000"/>
                <w:sz w:val="18"/>
                <w:szCs w:val="18"/>
              </w:rPr>
            </w:pPr>
          </w:p>
        </w:tc>
        <w:tc>
          <w:tcPr>
            <w:tcW w:w="1100" w:type="dxa"/>
            <w:vMerge w:val="restart"/>
            <w:shd w:val="clear" w:color="auto" w:fill="E7F3F4"/>
            <w:vAlign w:val="center"/>
          </w:tcPr>
          <w:p w14:paraId="04A29D23"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O'Connell</w:t>
            </w:r>
          </w:p>
        </w:tc>
        <w:tc>
          <w:tcPr>
            <w:tcW w:w="1338" w:type="dxa"/>
            <w:vMerge w:val="restart"/>
            <w:shd w:val="clear" w:color="auto" w:fill="E7F3F4"/>
            <w:noWrap/>
            <w:vAlign w:val="center"/>
          </w:tcPr>
          <w:p w14:paraId="6D72EDA0"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Newry Islands</w:t>
            </w:r>
          </w:p>
          <w:p w14:paraId="6D130FE1"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i/>
                <w:color w:val="000000"/>
                <w:sz w:val="18"/>
                <w:szCs w:val="18"/>
              </w:rPr>
              <w:t>coastal</w:t>
            </w:r>
          </w:p>
        </w:tc>
        <w:tc>
          <w:tcPr>
            <w:tcW w:w="678" w:type="dxa"/>
            <w:shd w:val="clear" w:color="auto" w:fill="E7F3F4"/>
            <w:noWrap/>
            <w:vAlign w:val="center"/>
          </w:tcPr>
          <w:p w14:paraId="0F551537"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NB1^</w:t>
            </w:r>
          </w:p>
        </w:tc>
        <w:tc>
          <w:tcPr>
            <w:tcW w:w="1116" w:type="dxa"/>
            <w:shd w:val="clear" w:color="auto" w:fill="E7F3F4"/>
            <w:noWrap/>
            <w:vAlign w:val="center"/>
          </w:tcPr>
          <w:p w14:paraId="4E1B96CD"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Newry Bay</w:t>
            </w:r>
          </w:p>
        </w:tc>
        <w:tc>
          <w:tcPr>
            <w:tcW w:w="493" w:type="dxa"/>
            <w:shd w:val="clear" w:color="auto" w:fill="E7F3F4"/>
            <w:noWrap/>
            <w:vAlign w:val="center"/>
          </w:tcPr>
          <w:p w14:paraId="13751CAE"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76" w:type="dxa"/>
            <w:shd w:val="clear" w:color="auto" w:fill="E7F3F4"/>
            <w:noWrap/>
            <w:vAlign w:val="bottom"/>
          </w:tcPr>
          <w:p w14:paraId="0ED9E966"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52.057</w:t>
            </w:r>
          </w:p>
        </w:tc>
        <w:tc>
          <w:tcPr>
            <w:tcW w:w="594" w:type="dxa"/>
            <w:shd w:val="clear" w:color="auto" w:fill="E7F3F4"/>
            <w:noWrap/>
            <w:vAlign w:val="center"/>
          </w:tcPr>
          <w:p w14:paraId="58DBABA5"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76" w:type="dxa"/>
            <w:shd w:val="clear" w:color="auto" w:fill="E7F3F4"/>
            <w:noWrap/>
            <w:vAlign w:val="bottom"/>
          </w:tcPr>
          <w:p w14:paraId="7E54BE9E"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55.531</w:t>
            </w:r>
          </w:p>
        </w:tc>
        <w:tc>
          <w:tcPr>
            <w:tcW w:w="480" w:type="dxa"/>
            <w:vMerge w:val="restart"/>
            <w:shd w:val="clear" w:color="auto" w:fill="E7F3F4"/>
            <w:noWrap/>
            <w:vAlign w:val="center"/>
          </w:tcPr>
          <w:p w14:paraId="14219FE6" w14:textId="77777777" w:rsidR="006E6B0E" w:rsidRPr="00C911E4" w:rsidRDefault="006E6B0E"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68FFEEA1"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70" w:type="dxa"/>
            <w:vMerge w:val="restart"/>
            <w:shd w:val="clear" w:color="auto" w:fill="E7F3F4"/>
            <w:vAlign w:val="center"/>
          </w:tcPr>
          <w:p w14:paraId="3D72798B"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6BADA847" w14:textId="77777777" w:rsidR="006E6B0E" w:rsidRPr="00C911E4" w:rsidRDefault="006E6B0E" w:rsidP="00D64955">
            <w:pPr>
              <w:spacing w:before="0" w:after="0"/>
              <w:jc w:val="center"/>
              <w:rPr>
                <w:rFonts w:ascii="Arial" w:hAnsi="Arial" w:cs="Arial"/>
                <w:color w:val="000000"/>
                <w:sz w:val="18"/>
                <w:szCs w:val="18"/>
              </w:rPr>
            </w:pPr>
          </w:p>
        </w:tc>
        <w:tc>
          <w:tcPr>
            <w:tcW w:w="490" w:type="dxa"/>
            <w:vMerge w:val="restart"/>
            <w:shd w:val="clear" w:color="auto" w:fill="E7F3F4"/>
            <w:vAlign w:val="center"/>
          </w:tcPr>
          <w:p w14:paraId="001DA362"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E7F3F4"/>
            <w:vAlign w:val="center"/>
          </w:tcPr>
          <w:p w14:paraId="0C11962F"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80" w:type="dxa"/>
            <w:vMerge w:val="restart"/>
            <w:shd w:val="clear" w:color="auto" w:fill="E7F3F4"/>
            <w:vAlign w:val="center"/>
          </w:tcPr>
          <w:p w14:paraId="19BB49AB"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E7F3F4"/>
            <w:vAlign w:val="center"/>
          </w:tcPr>
          <w:p w14:paraId="4105D6A4"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460" w:type="dxa"/>
            <w:vMerge w:val="restart"/>
            <w:shd w:val="clear" w:color="auto" w:fill="E7F3F4"/>
            <w:vAlign w:val="center"/>
          </w:tcPr>
          <w:p w14:paraId="18081EA5"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0A8C5FA2" w14:textId="77777777" w:rsidR="006E6B0E" w:rsidRPr="00C911E4" w:rsidRDefault="006E6B0E" w:rsidP="00D64955">
            <w:pPr>
              <w:spacing w:before="0" w:after="0"/>
              <w:jc w:val="center"/>
              <w:rPr>
                <w:rFonts w:ascii="Arial" w:hAnsi="Arial" w:cs="Arial"/>
                <w:color w:val="000000"/>
                <w:sz w:val="18"/>
                <w:szCs w:val="18"/>
              </w:rPr>
            </w:pPr>
          </w:p>
        </w:tc>
      </w:tr>
      <w:tr w:rsidR="00EB6CC6" w:rsidRPr="00C911E4" w14:paraId="0ED86219" w14:textId="77777777" w:rsidTr="00EB6CC6">
        <w:trPr>
          <w:trHeight w:val="87"/>
          <w:jc w:val="center"/>
        </w:trPr>
        <w:tc>
          <w:tcPr>
            <w:tcW w:w="1135" w:type="dxa"/>
            <w:vMerge/>
            <w:shd w:val="clear" w:color="auto" w:fill="auto"/>
            <w:vAlign w:val="center"/>
          </w:tcPr>
          <w:p w14:paraId="42427710" w14:textId="77777777" w:rsidR="006E6B0E" w:rsidRPr="00C911E4" w:rsidRDefault="006E6B0E"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0ADE85BF" w14:textId="77777777" w:rsidR="006E6B0E" w:rsidRPr="00C911E4" w:rsidRDefault="006E6B0E"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15BD9734" w14:textId="77777777" w:rsidR="006E6B0E" w:rsidRPr="00C911E4" w:rsidRDefault="006E6B0E" w:rsidP="00D64955">
            <w:pPr>
              <w:spacing w:before="0" w:after="0"/>
              <w:jc w:val="center"/>
              <w:rPr>
                <w:rFonts w:ascii="Arial" w:hAnsi="Arial" w:cs="Arial"/>
                <w:color w:val="000000"/>
                <w:sz w:val="18"/>
                <w:szCs w:val="18"/>
              </w:rPr>
            </w:pPr>
          </w:p>
        </w:tc>
        <w:tc>
          <w:tcPr>
            <w:tcW w:w="1338" w:type="dxa"/>
            <w:vMerge/>
            <w:shd w:val="clear" w:color="auto" w:fill="E7F3F4"/>
            <w:noWrap/>
            <w:vAlign w:val="center"/>
          </w:tcPr>
          <w:p w14:paraId="255E5CD1" w14:textId="77777777" w:rsidR="006E6B0E" w:rsidRPr="00C911E4" w:rsidRDefault="006E6B0E" w:rsidP="00D64955">
            <w:pPr>
              <w:spacing w:before="0" w:after="0"/>
              <w:jc w:val="center"/>
              <w:rPr>
                <w:rFonts w:ascii="Arial" w:hAnsi="Arial" w:cs="Arial"/>
                <w:color w:val="000000"/>
                <w:sz w:val="18"/>
                <w:szCs w:val="18"/>
              </w:rPr>
            </w:pPr>
          </w:p>
        </w:tc>
        <w:tc>
          <w:tcPr>
            <w:tcW w:w="678" w:type="dxa"/>
            <w:shd w:val="clear" w:color="auto" w:fill="E7F3F4"/>
            <w:noWrap/>
            <w:vAlign w:val="center"/>
          </w:tcPr>
          <w:p w14:paraId="301B76DF"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NB2^</w:t>
            </w:r>
          </w:p>
        </w:tc>
        <w:tc>
          <w:tcPr>
            <w:tcW w:w="1116" w:type="dxa"/>
            <w:shd w:val="clear" w:color="auto" w:fill="E7F3F4"/>
            <w:noWrap/>
            <w:vAlign w:val="center"/>
          </w:tcPr>
          <w:p w14:paraId="28AC24A7"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Newry Bay</w:t>
            </w:r>
          </w:p>
        </w:tc>
        <w:tc>
          <w:tcPr>
            <w:tcW w:w="493" w:type="dxa"/>
            <w:shd w:val="clear" w:color="auto" w:fill="E7F3F4"/>
            <w:noWrap/>
            <w:vAlign w:val="center"/>
          </w:tcPr>
          <w:p w14:paraId="6F06D3C3"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20°</w:t>
            </w:r>
          </w:p>
        </w:tc>
        <w:tc>
          <w:tcPr>
            <w:tcW w:w="876" w:type="dxa"/>
            <w:shd w:val="clear" w:color="auto" w:fill="E7F3F4"/>
            <w:noWrap/>
            <w:vAlign w:val="bottom"/>
          </w:tcPr>
          <w:p w14:paraId="73F6C969"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52.325</w:t>
            </w:r>
          </w:p>
        </w:tc>
        <w:tc>
          <w:tcPr>
            <w:tcW w:w="594" w:type="dxa"/>
            <w:shd w:val="clear" w:color="auto" w:fill="E7F3F4"/>
            <w:noWrap/>
            <w:vAlign w:val="center"/>
          </w:tcPr>
          <w:p w14:paraId="5D99BECC"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148°</w:t>
            </w:r>
          </w:p>
        </w:tc>
        <w:tc>
          <w:tcPr>
            <w:tcW w:w="876" w:type="dxa"/>
            <w:shd w:val="clear" w:color="auto" w:fill="E7F3F4"/>
            <w:noWrap/>
            <w:vAlign w:val="bottom"/>
          </w:tcPr>
          <w:p w14:paraId="6E398979"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55.423</w:t>
            </w:r>
          </w:p>
        </w:tc>
        <w:tc>
          <w:tcPr>
            <w:tcW w:w="480" w:type="dxa"/>
            <w:vMerge/>
            <w:shd w:val="clear" w:color="auto" w:fill="E7F3F4"/>
            <w:noWrap/>
            <w:vAlign w:val="center"/>
          </w:tcPr>
          <w:p w14:paraId="305BE058"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4FBA4D56"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3935AD04"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5B3B44F3" w14:textId="77777777" w:rsidR="006E6B0E" w:rsidRPr="00C911E4" w:rsidRDefault="006E6B0E" w:rsidP="00D64955">
            <w:pPr>
              <w:spacing w:before="0" w:after="0"/>
              <w:jc w:val="center"/>
              <w:rPr>
                <w:rFonts w:ascii="Arial" w:hAnsi="Arial" w:cs="Arial"/>
                <w:color w:val="000000"/>
                <w:sz w:val="18"/>
                <w:szCs w:val="18"/>
              </w:rPr>
            </w:pPr>
          </w:p>
        </w:tc>
        <w:tc>
          <w:tcPr>
            <w:tcW w:w="490" w:type="dxa"/>
            <w:vMerge/>
            <w:shd w:val="clear" w:color="auto" w:fill="E7F3F4"/>
            <w:vAlign w:val="center"/>
          </w:tcPr>
          <w:p w14:paraId="0BD0F798"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6AB74979"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148A9D32" w14:textId="77777777" w:rsidR="006E6B0E" w:rsidRPr="00C911E4" w:rsidRDefault="006E6B0E" w:rsidP="00D64955">
            <w:pPr>
              <w:spacing w:before="0" w:after="0"/>
              <w:jc w:val="center"/>
              <w:rPr>
                <w:rFonts w:ascii="Arial" w:hAnsi="Arial" w:cs="Arial"/>
                <w:color w:val="000000"/>
                <w:sz w:val="18"/>
                <w:szCs w:val="18"/>
              </w:rPr>
            </w:pPr>
          </w:p>
        </w:tc>
        <w:tc>
          <w:tcPr>
            <w:tcW w:w="389" w:type="dxa"/>
            <w:vMerge/>
            <w:shd w:val="clear" w:color="auto" w:fill="E7F3F4"/>
            <w:vAlign w:val="center"/>
          </w:tcPr>
          <w:p w14:paraId="24BD52C5" w14:textId="77777777" w:rsidR="006E6B0E" w:rsidRPr="00C911E4" w:rsidRDefault="006E6B0E" w:rsidP="00D64955">
            <w:pPr>
              <w:spacing w:before="0" w:after="0"/>
              <w:jc w:val="center"/>
              <w:rPr>
                <w:rFonts w:ascii="Arial" w:hAnsi="Arial" w:cs="Arial"/>
                <w:color w:val="000000"/>
                <w:sz w:val="18"/>
                <w:szCs w:val="18"/>
              </w:rPr>
            </w:pPr>
          </w:p>
        </w:tc>
        <w:tc>
          <w:tcPr>
            <w:tcW w:w="460" w:type="dxa"/>
            <w:vMerge/>
            <w:shd w:val="clear" w:color="auto" w:fill="E7F3F4"/>
            <w:vAlign w:val="center"/>
          </w:tcPr>
          <w:p w14:paraId="0E1D0D9C"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0B9FDC70" w14:textId="77777777" w:rsidR="006E6B0E" w:rsidRPr="00C911E4" w:rsidRDefault="006E6B0E" w:rsidP="00D64955">
            <w:pPr>
              <w:spacing w:before="0" w:after="0"/>
              <w:jc w:val="center"/>
              <w:rPr>
                <w:rFonts w:ascii="Arial" w:hAnsi="Arial" w:cs="Arial"/>
                <w:color w:val="000000"/>
                <w:sz w:val="18"/>
                <w:szCs w:val="18"/>
              </w:rPr>
            </w:pPr>
          </w:p>
        </w:tc>
      </w:tr>
      <w:tr w:rsidR="00EB6CC6" w:rsidRPr="00C911E4" w14:paraId="1314CEF6" w14:textId="77777777" w:rsidTr="00EB6CC6">
        <w:trPr>
          <w:trHeight w:val="87"/>
          <w:jc w:val="center"/>
        </w:trPr>
        <w:tc>
          <w:tcPr>
            <w:tcW w:w="1135" w:type="dxa"/>
            <w:vMerge/>
            <w:shd w:val="clear" w:color="auto" w:fill="auto"/>
            <w:vAlign w:val="center"/>
          </w:tcPr>
          <w:p w14:paraId="0D930DBB" w14:textId="77777777" w:rsidR="006E6B0E" w:rsidRPr="00C911E4" w:rsidRDefault="006E6B0E"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5D828909" w14:textId="77777777" w:rsidR="006E6B0E" w:rsidRPr="00C911E4" w:rsidRDefault="006E6B0E" w:rsidP="00D64955">
            <w:pPr>
              <w:spacing w:before="0" w:after="0"/>
              <w:jc w:val="center"/>
              <w:rPr>
                <w:rFonts w:ascii="Arial" w:hAnsi="Arial" w:cs="Arial"/>
                <w:color w:val="000000"/>
                <w:sz w:val="18"/>
                <w:szCs w:val="18"/>
              </w:rPr>
            </w:pPr>
          </w:p>
        </w:tc>
        <w:tc>
          <w:tcPr>
            <w:tcW w:w="1100" w:type="dxa"/>
            <w:vMerge w:val="restart"/>
            <w:shd w:val="clear" w:color="auto" w:fill="E7F3F4"/>
            <w:vAlign w:val="center"/>
          </w:tcPr>
          <w:p w14:paraId="73D010C2" w14:textId="31EA0852"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Plane</w:t>
            </w:r>
          </w:p>
        </w:tc>
        <w:tc>
          <w:tcPr>
            <w:tcW w:w="1338" w:type="dxa"/>
            <w:vMerge w:val="restart"/>
            <w:shd w:val="clear" w:color="auto" w:fill="E7F3F4"/>
            <w:noWrap/>
            <w:vAlign w:val="center"/>
          </w:tcPr>
          <w:p w14:paraId="7C6BDFDD" w14:textId="77777777"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Clairview</w:t>
            </w:r>
          </w:p>
          <w:p w14:paraId="101FD14C" w14:textId="054B30F5" w:rsidR="006E6B0E" w:rsidRPr="00C911E4" w:rsidRDefault="006E6B0E" w:rsidP="00D64955">
            <w:pPr>
              <w:spacing w:before="0" w:after="0"/>
              <w:jc w:val="center"/>
              <w:rPr>
                <w:rFonts w:ascii="Arial" w:hAnsi="Arial" w:cs="Arial"/>
                <w:i/>
                <w:color w:val="000000"/>
                <w:sz w:val="18"/>
                <w:szCs w:val="18"/>
              </w:rPr>
            </w:pPr>
            <w:r w:rsidRPr="00C911E4">
              <w:rPr>
                <w:rFonts w:ascii="Arial" w:hAnsi="Arial" w:cs="Arial"/>
                <w:i/>
                <w:color w:val="000000"/>
                <w:sz w:val="18"/>
                <w:szCs w:val="18"/>
              </w:rPr>
              <w:t>coastal</w:t>
            </w:r>
          </w:p>
        </w:tc>
        <w:tc>
          <w:tcPr>
            <w:tcW w:w="678" w:type="dxa"/>
            <w:shd w:val="clear" w:color="auto" w:fill="E7F3F4"/>
            <w:noWrap/>
            <w:vAlign w:val="center"/>
          </w:tcPr>
          <w:p w14:paraId="2FAD1CF6" w14:textId="30A1E9B1"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CV1*</w:t>
            </w:r>
          </w:p>
        </w:tc>
        <w:tc>
          <w:tcPr>
            <w:tcW w:w="1116" w:type="dxa"/>
            <w:shd w:val="clear" w:color="auto" w:fill="E7F3F4"/>
            <w:noWrap/>
            <w:vAlign w:val="center"/>
          </w:tcPr>
          <w:p w14:paraId="1F3CE6BB" w14:textId="5DD0DE40"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Clairview</w:t>
            </w:r>
          </w:p>
        </w:tc>
        <w:tc>
          <w:tcPr>
            <w:tcW w:w="493" w:type="dxa"/>
            <w:shd w:val="clear" w:color="auto" w:fill="E7F3F4"/>
            <w:noWrap/>
            <w:vAlign w:val="center"/>
          </w:tcPr>
          <w:p w14:paraId="7E6C53D8" w14:textId="6CCBC4F0" w:rsidR="006E6B0E" w:rsidRPr="00C911E4" w:rsidRDefault="00AB7C35" w:rsidP="00AB7C35">
            <w:pPr>
              <w:spacing w:before="0" w:after="0"/>
              <w:jc w:val="center"/>
              <w:rPr>
                <w:rFonts w:ascii="Arial" w:hAnsi="Arial" w:cs="Arial"/>
                <w:color w:val="000000"/>
                <w:sz w:val="18"/>
                <w:szCs w:val="18"/>
              </w:rPr>
            </w:pPr>
            <w:r w:rsidRPr="00C911E4">
              <w:rPr>
                <w:rFonts w:ascii="Arial" w:hAnsi="Arial" w:cs="Arial"/>
                <w:color w:val="000000"/>
                <w:sz w:val="18"/>
                <w:szCs w:val="18"/>
              </w:rPr>
              <w:t>22°</w:t>
            </w:r>
          </w:p>
        </w:tc>
        <w:tc>
          <w:tcPr>
            <w:tcW w:w="876" w:type="dxa"/>
            <w:shd w:val="clear" w:color="auto" w:fill="E7F3F4"/>
            <w:noWrap/>
            <w:vAlign w:val="bottom"/>
          </w:tcPr>
          <w:p w14:paraId="1CD9835A" w14:textId="5646157E" w:rsidR="006E6B0E" w:rsidRPr="00C911E4" w:rsidRDefault="00AB7C35" w:rsidP="00AB7C35">
            <w:pPr>
              <w:spacing w:before="0" w:after="0"/>
              <w:jc w:val="center"/>
              <w:rPr>
                <w:rFonts w:ascii="Arial" w:hAnsi="Arial" w:cs="Arial"/>
                <w:color w:val="000000"/>
                <w:sz w:val="18"/>
                <w:szCs w:val="18"/>
              </w:rPr>
            </w:pPr>
            <w:r w:rsidRPr="00C911E4">
              <w:rPr>
                <w:rFonts w:ascii="Arial" w:hAnsi="Arial" w:cs="Arial"/>
                <w:color w:val="000000"/>
                <w:sz w:val="18"/>
                <w:szCs w:val="18"/>
              </w:rPr>
              <w:t>6.2592</w:t>
            </w:r>
          </w:p>
        </w:tc>
        <w:tc>
          <w:tcPr>
            <w:tcW w:w="594" w:type="dxa"/>
            <w:shd w:val="clear" w:color="auto" w:fill="E7F3F4"/>
            <w:noWrap/>
            <w:vAlign w:val="center"/>
          </w:tcPr>
          <w:p w14:paraId="5F90CD2A" w14:textId="761E24EF" w:rsidR="006E6B0E" w:rsidRPr="00C911E4" w:rsidRDefault="00AB7C35" w:rsidP="00AB7C35">
            <w:pPr>
              <w:spacing w:before="0" w:after="0"/>
              <w:jc w:val="center"/>
              <w:rPr>
                <w:rFonts w:ascii="Arial" w:hAnsi="Arial" w:cs="Arial"/>
                <w:color w:val="000000"/>
                <w:sz w:val="18"/>
                <w:szCs w:val="18"/>
              </w:rPr>
            </w:pPr>
            <w:r w:rsidRPr="00C911E4">
              <w:rPr>
                <w:rFonts w:ascii="Arial" w:hAnsi="Arial" w:cs="Arial"/>
                <w:color w:val="000000"/>
                <w:sz w:val="18"/>
                <w:szCs w:val="18"/>
              </w:rPr>
              <w:t>149°</w:t>
            </w:r>
          </w:p>
        </w:tc>
        <w:tc>
          <w:tcPr>
            <w:tcW w:w="876" w:type="dxa"/>
            <w:shd w:val="clear" w:color="auto" w:fill="E7F3F4"/>
            <w:noWrap/>
            <w:vAlign w:val="bottom"/>
          </w:tcPr>
          <w:p w14:paraId="511BAA4F" w14:textId="59C9695E" w:rsidR="006E6B0E" w:rsidRPr="00C911E4" w:rsidRDefault="00AB7C35" w:rsidP="00AB7C35">
            <w:pPr>
              <w:spacing w:before="0" w:after="0"/>
              <w:jc w:val="center"/>
              <w:rPr>
                <w:rFonts w:ascii="Arial" w:hAnsi="Arial" w:cs="Arial"/>
                <w:color w:val="000000"/>
                <w:sz w:val="18"/>
                <w:szCs w:val="18"/>
              </w:rPr>
            </w:pPr>
            <w:r w:rsidRPr="00C911E4">
              <w:rPr>
                <w:rFonts w:ascii="Arial" w:hAnsi="Arial" w:cs="Arial"/>
                <w:color w:val="000000"/>
                <w:sz w:val="18"/>
                <w:szCs w:val="18"/>
              </w:rPr>
              <w:t>31.9902</w:t>
            </w:r>
          </w:p>
        </w:tc>
        <w:tc>
          <w:tcPr>
            <w:tcW w:w="480" w:type="dxa"/>
            <w:vMerge w:val="restart"/>
            <w:shd w:val="clear" w:color="auto" w:fill="E7F3F4"/>
            <w:noWrap/>
            <w:vAlign w:val="center"/>
          </w:tcPr>
          <w:p w14:paraId="2D6181AD" w14:textId="77777777" w:rsidR="006E6B0E" w:rsidRPr="00C911E4" w:rsidRDefault="006E6B0E"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10B88FAF" w14:textId="77777777" w:rsidR="006E6B0E" w:rsidRPr="00C911E4" w:rsidRDefault="006E6B0E" w:rsidP="00D64955">
            <w:pPr>
              <w:spacing w:before="0" w:after="0"/>
              <w:jc w:val="center"/>
              <w:rPr>
                <w:rFonts w:ascii="Arial" w:hAnsi="Arial" w:cs="Arial"/>
                <w:color w:val="000000"/>
                <w:sz w:val="18"/>
                <w:szCs w:val="18"/>
              </w:rPr>
            </w:pPr>
          </w:p>
        </w:tc>
        <w:tc>
          <w:tcPr>
            <w:tcW w:w="470" w:type="dxa"/>
            <w:vMerge w:val="restart"/>
            <w:shd w:val="clear" w:color="auto" w:fill="E7F3F4"/>
            <w:vAlign w:val="center"/>
          </w:tcPr>
          <w:p w14:paraId="136CEB24"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54859141" w14:textId="77777777" w:rsidR="006E6B0E" w:rsidRPr="00C911E4" w:rsidRDefault="006E6B0E" w:rsidP="00D64955">
            <w:pPr>
              <w:spacing w:before="0" w:after="0"/>
              <w:jc w:val="center"/>
              <w:rPr>
                <w:rFonts w:ascii="Arial" w:hAnsi="Arial" w:cs="Arial"/>
                <w:color w:val="000000"/>
                <w:sz w:val="18"/>
                <w:szCs w:val="18"/>
              </w:rPr>
            </w:pPr>
          </w:p>
        </w:tc>
        <w:tc>
          <w:tcPr>
            <w:tcW w:w="490" w:type="dxa"/>
            <w:vMerge w:val="restart"/>
            <w:shd w:val="clear" w:color="auto" w:fill="E7F3F4"/>
            <w:vAlign w:val="center"/>
          </w:tcPr>
          <w:p w14:paraId="232247E7" w14:textId="59C3BF79"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E7F3F4"/>
            <w:vAlign w:val="center"/>
          </w:tcPr>
          <w:p w14:paraId="752D21DC"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5F78F6EC" w14:textId="16F54D99"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E7F3F4"/>
            <w:vAlign w:val="center"/>
          </w:tcPr>
          <w:p w14:paraId="3EA59B45" w14:textId="77777777" w:rsidR="006E6B0E" w:rsidRPr="00C911E4" w:rsidRDefault="006E6B0E" w:rsidP="00D64955">
            <w:pPr>
              <w:spacing w:before="0" w:after="0"/>
              <w:jc w:val="center"/>
              <w:rPr>
                <w:rFonts w:ascii="Arial" w:hAnsi="Arial" w:cs="Arial"/>
                <w:color w:val="000000"/>
                <w:sz w:val="18"/>
                <w:szCs w:val="18"/>
              </w:rPr>
            </w:pPr>
          </w:p>
        </w:tc>
        <w:tc>
          <w:tcPr>
            <w:tcW w:w="460" w:type="dxa"/>
            <w:vMerge w:val="restart"/>
            <w:shd w:val="clear" w:color="auto" w:fill="E7F3F4"/>
            <w:vAlign w:val="center"/>
          </w:tcPr>
          <w:p w14:paraId="7242703E" w14:textId="77777777" w:rsidR="006E6B0E" w:rsidRPr="00C911E4" w:rsidRDefault="006E6B0E" w:rsidP="00D64955">
            <w:pPr>
              <w:spacing w:before="0" w:after="0"/>
              <w:jc w:val="center"/>
              <w:rPr>
                <w:rFonts w:ascii="Arial" w:hAnsi="Arial" w:cs="Arial"/>
                <w:color w:val="000000"/>
                <w:sz w:val="18"/>
                <w:szCs w:val="18"/>
              </w:rPr>
            </w:pPr>
          </w:p>
        </w:tc>
        <w:tc>
          <w:tcPr>
            <w:tcW w:w="480" w:type="dxa"/>
            <w:vMerge w:val="restart"/>
            <w:shd w:val="clear" w:color="auto" w:fill="E7F3F4"/>
            <w:vAlign w:val="center"/>
          </w:tcPr>
          <w:p w14:paraId="79D8F3FB" w14:textId="7318BC1B"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EB6CC6" w:rsidRPr="00C911E4" w14:paraId="512B289D" w14:textId="77777777" w:rsidTr="00EB6CC6">
        <w:trPr>
          <w:trHeight w:val="87"/>
          <w:jc w:val="center"/>
        </w:trPr>
        <w:tc>
          <w:tcPr>
            <w:tcW w:w="1135" w:type="dxa"/>
            <w:vMerge/>
            <w:shd w:val="clear" w:color="auto" w:fill="auto"/>
            <w:vAlign w:val="center"/>
          </w:tcPr>
          <w:p w14:paraId="205460B3" w14:textId="51780B02" w:rsidR="006E6B0E" w:rsidRPr="00C911E4" w:rsidRDefault="006E6B0E" w:rsidP="00D64955">
            <w:pPr>
              <w:spacing w:before="0" w:after="0"/>
              <w:jc w:val="center"/>
              <w:rPr>
                <w:rFonts w:ascii="Arial" w:hAnsi="Arial" w:cs="Arial"/>
                <w:color w:val="000000"/>
                <w:sz w:val="18"/>
                <w:szCs w:val="18"/>
              </w:rPr>
            </w:pPr>
          </w:p>
        </w:tc>
        <w:tc>
          <w:tcPr>
            <w:tcW w:w="1367" w:type="dxa"/>
            <w:vMerge/>
            <w:shd w:val="clear" w:color="auto" w:fill="E7F3F4"/>
            <w:vAlign w:val="center"/>
          </w:tcPr>
          <w:p w14:paraId="600E88BE" w14:textId="77777777" w:rsidR="006E6B0E" w:rsidRPr="00C911E4" w:rsidRDefault="006E6B0E" w:rsidP="00D64955">
            <w:pPr>
              <w:spacing w:before="0" w:after="0"/>
              <w:jc w:val="center"/>
              <w:rPr>
                <w:rFonts w:ascii="Arial" w:hAnsi="Arial" w:cs="Arial"/>
                <w:color w:val="000000"/>
                <w:sz w:val="18"/>
                <w:szCs w:val="18"/>
              </w:rPr>
            </w:pPr>
          </w:p>
        </w:tc>
        <w:tc>
          <w:tcPr>
            <w:tcW w:w="1100" w:type="dxa"/>
            <w:vMerge/>
            <w:shd w:val="clear" w:color="auto" w:fill="E7F3F4"/>
            <w:vAlign w:val="center"/>
          </w:tcPr>
          <w:p w14:paraId="28A0D96F" w14:textId="77777777" w:rsidR="006E6B0E" w:rsidRPr="00C911E4" w:rsidRDefault="006E6B0E" w:rsidP="00D64955">
            <w:pPr>
              <w:spacing w:before="0" w:after="0"/>
              <w:jc w:val="center"/>
              <w:rPr>
                <w:rFonts w:ascii="Arial" w:hAnsi="Arial" w:cs="Arial"/>
                <w:color w:val="000000"/>
                <w:sz w:val="18"/>
                <w:szCs w:val="18"/>
              </w:rPr>
            </w:pPr>
          </w:p>
        </w:tc>
        <w:tc>
          <w:tcPr>
            <w:tcW w:w="1338" w:type="dxa"/>
            <w:vMerge/>
            <w:shd w:val="clear" w:color="auto" w:fill="E7F3F4"/>
            <w:noWrap/>
            <w:vAlign w:val="center"/>
          </w:tcPr>
          <w:p w14:paraId="3DC24D31" w14:textId="77777777" w:rsidR="006E6B0E" w:rsidRPr="00C911E4" w:rsidRDefault="006E6B0E" w:rsidP="00D64955">
            <w:pPr>
              <w:spacing w:before="0" w:after="0"/>
              <w:jc w:val="center"/>
              <w:rPr>
                <w:rFonts w:ascii="Arial" w:hAnsi="Arial" w:cs="Arial"/>
                <w:color w:val="000000"/>
                <w:sz w:val="18"/>
                <w:szCs w:val="18"/>
              </w:rPr>
            </w:pPr>
          </w:p>
        </w:tc>
        <w:tc>
          <w:tcPr>
            <w:tcW w:w="678" w:type="dxa"/>
            <w:shd w:val="clear" w:color="auto" w:fill="E7F3F4"/>
            <w:noWrap/>
            <w:vAlign w:val="center"/>
          </w:tcPr>
          <w:p w14:paraId="621830C8" w14:textId="4E8EF81A"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CV2*</w:t>
            </w:r>
          </w:p>
        </w:tc>
        <w:tc>
          <w:tcPr>
            <w:tcW w:w="1116" w:type="dxa"/>
            <w:shd w:val="clear" w:color="auto" w:fill="E7F3F4"/>
            <w:noWrap/>
            <w:vAlign w:val="center"/>
          </w:tcPr>
          <w:p w14:paraId="55145CA5" w14:textId="49C9F206" w:rsidR="006E6B0E" w:rsidRPr="00C911E4" w:rsidRDefault="006E6B0E" w:rsidP="00D64955">
            <w:pPr>
              <w:spacing w:before="0" w:after="0"/>
              <w:jc w:val="center"/>
              <w:rPr>
                <w:rFonts w:ascii="Arial" w:hAnsi="Arial" w:cs="Arial"/>
                <w:color w:val="000000"/>
                <w:sz w:val="18"/>
                <w:szCs w:val="18"/>
              </w:rPr>
            </w:pPr>
            <w:r w:rsidRPr="00C911E4">
              <w:rPr>
                <w:rFonts w:ascii="Arial" w:hAnsi="Arial" w:cs="Arial"/>
                <w:color w:val="000000"/>
                <w:sz w:val="18"/>
                <w:szCs w:val="18"/>
              </w:rPr>
              <w:t>Clairview</w:t>
            </w:r>
          </w:p>
        </w:tc>
        <w:tc>
          <w:tcPr>
            <w:tcW w:w="493" w:type="dxa"/>
            <w:shd w:val="clear" w:color="auto" w:fill="E7F3F4"/>
            <w:noWrap/>
            <w:vAlign w:val="center"/>
          </w:tcPr>
          <w:p w14:paraId="093306AD" w14:textId="4EA323C1" w:rsidR="006E6B0E" w:rsidRPr="00C911E4" w:rsidRDefault="00AB7C35" w:rsidP="00D64955">
            <w:pPr>
              <w:spacing w:before="0" w:after="0"/>
              <w:jc w:val="center"/>
              <w:rPr>
                <w:rFonts w:ascii="Arial" w:hAnsi="Arial" w:cs="Arial"/>
                <w:color w:val="000000"/>
                <w:sz w:val="18"/>
                <w:szCs w:val="18"/>
              </w:rPr>
            </w:pPr>
            <w:r w:rsidRPr="00C911E4">
              <w:rPr>
                <w:rFonts w:ascii="Arial" w:hAnsi="Arial" w:cs="Arial"/>
                <w:color w:val="000000"/>
                <w:sz w:val="18"/>
                <w:szCs w:val="18"/>
              </w:rPr>
              <w:t>22°</w:t>
            </w:r>
          </w:p>
        </w:tc>
        <w:tc>
          <w:tcPr>
            <w:tcW w:w="876" w:type="dxa"/>
            <w:shd w:val="clear" w:color="auto" w:fill="E7F3F4"/>
            <w:noWrap/>
            <w:vAlign w:val="bottom"/>
          </w:tcPr>
          <w:p w14:paraId="0593E16F" w14:textId="78C5C5E7" w:rsidR="006E6B0E" w:rsidRPr="00C911E4" w:rsidRDefault="00AB7C35" w:rsidP="00D64955">
            <w:pPr>
              <w:spacing w:before="0" w:after="0"/>
              <w:jc w:val="center"/>
              <w:rPr>
                <w:rFonts w:ascii="Arial" w:hAnsi="Arial" w:cs="Arial"/>
                <w:color w:val="000000"/>
                <w:sz w:val="18"/>
                <w:szCs w:val="18"/>
              </w:rPr>
            </w:pPr>
            <w:r w:rsidRPr="00C911E4">
              <w:rPr>
                <w:rFonts w:ascii="Arial" w:hAnsi="Arial" w:cs="Arial"/>
                <w:color w:val="000000"/>
                <w:sz w:val="18"/>
                <w:szCs w:val="18"/>
              </w:rPr>
              <w:t>6.4932</w:t>
            </w:r>
          </w:p>
        </w:tc>
        <w:tc>
          <w:tcPr>
            <w:tcW w:w="594" w:type="dxa"/>
            <w:shd w:val="clear" w:color="auto" w:fill="E7F3F4"/>
            <w:noWrap/>
            <w:vAlign w:val="center"/>
          </w:tcPr>
          <w:p w14:paraId="153C16D9" w14:textId="49A0B971" w:rsidR="006E6B0E" w:rsidRPr="00C911E4" w:rsidRDefault="00AB7C35" w:rsidP="00D64955">
            <w:pPr>
              <w:spacing w:before="0" w:after="0"/>
              <w:jc w:val="center"/>
              <w:rPr>
                <w:rFonts w:ascii="Arial" w:hAnsi="Arial" w:cs="Arial"/>
                <w:color w:val="000000"/>
                <w:sz w:val="18"/>
                <w:szCs w:val="18"/>
              </w:rPr>
            </w:pPr>
            <w:r w:rsidRPr="00C911E4">
              <w:rPr>
                <w:rFonts w:ascii="Arial" w:hAnsi="Arial" w:cs="Arial"/>
                <w:color w:val="000000"/>
                <w:sz w:val="18"/>
                <w:szCs w:val="18"/>
              </w:rPr>
              <w:t>149°</w:t>
            </w:r>
          </w:p>
        </w:tc>
        <w:tc>
          <w:tcPr>
            <w:tcW w:w="876" w:type="dxa"/>
            <w:shd w:val="clear" w:color="auto" w:fill="E7F3F4"/>
            <w:noWrap/>
            <w:vAlign w:val="bottom"/>
          </w:tcPr>
          <w:p w14:paraId="3D454D29" w14:textId="70A0898A" w:rsidR="006E6B0E" w:rsidRPr="00C911E4" w:rsidRDefault="00AB7C35" w:rsidP="00D64955">
            <w:pPr>
              <w:spacing w:before="0" w:after="0"/>
              <w:jc w:val="center"/>
              <w:rPr>
                <w:rFonts w:ascii="Arial" w:hAnsi="Arial" w:cs="Arial"/>
                <w:color w:val="000000"/>
                <w:sz w:val="18"/>
                <w:szCs w:val="18"/>
              </w:rPr>
            </w:pPr>
            <w:r w:rsidRPr="00C911E4">
              <w:rPr>
                <w:rFonts w:ascii="Arial" w:hAnsi="Arial" w:cs="Arial"/>
                <w:color w:val="000000"/>
                <w:sz w:val="18"/>
                <w:szCs w:val="18"/>
              </w:rPr>
              <w:t>32.0748</w:t>
            </w:r>
          </w:p>
        </w:tc>
        <w:tc>
          <w:tcPr>
            <w:tcW w:w="480" w:type="dxa"/>
            <w:vMerge/>
            <w:shd w:val="clear" w:color="auto" w:fill="E7F3F4"/>
            <w:noWrap/>
            <w:vAlign w:val="center"/>
          </w:tcPr>
          <w:p w14:paraId="26ADFEEE"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7C19AC8D"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7FFD90FC"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3DB005D0" w14:textId="77777777" w:rsidR="006E6B0E" w:rsidRPr="00C911E4" w:rsidRDefault="006E6B0E" w:rsidP="00D64955">
            <w:pPr>
              <w:spacing w:before="0" w:after="0"/>
              <w:jc w:val="center"/>
              <w:rPr>
                <w:rFonts w:ascii="Arial" w:hAnsi="Arial" w:cs="Arial"/>
                <w:color w:val="000000"/>
                <w:sz w:val="18"/>
                <w:szCs w:val="18"/>
              </w:rPr>
            </w:pPr>
          </w:p>
        </w:tc>
        <w:tc>
          <w:tcPr>
            <w:tcW w:w="490" w:type="dxa"/>
            <w:vMerge/>
            <w:shd w:val="clear" w:color="auto" w:fill="E7F3F4"/>
            <w:vAlign w:val="center"/>
          </w:tcPr>
          <w:p w14:paraId="24DBD68E" w14:textId="77777777" w:rsidR="006E6B0E" w:rsidRPr="00C911E4" w:rsidRDefault="006E6B0E" w:rsidP="00D64955">
            <w:pPr>
              <w:spacing w:before="0" w:after="0"/>
              <w:jc w:val="center"/>
              <w:rPr>
                <w:rFonts w:ascii="Arial" w:hAnsi="Arial" w:cs="Arial"/>
                <w:color w:val="000000"/>
                <w:sz w:val="18"/>
                <w:szCs w:val="18"/>
              </w:rPr>
            </w:pPr>
          </w:p>
        </w:tc>
        <w:tc>
          <w:tcPr>
            <w:tcW w:w="470" w:type="dxa"/>
            <w:vMerge/>
            <w:shd w:val="clear" w:color="auto" w:fill="E7F3F4"/>
            <w:vAlign w:val="center"/>
          </w:tcPr>
          <w:p w14:paraId="20C2BED5"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6A1FC286" w14:textId="77777777" w:rsidR="006E6B0E" w:rsidRPr="00C911E4" w:rsidRDefault="006E6B0E" w:rsidP="00D64955">
            <w:pPr>
              <w:spacing w:before="0" w:after="0"/>
              <w:jc w:val="center"/>
              <w:rPr>
                <w:rFonts w:ascii="Arial" w:hAnsi="Arial" w:cs="Arial"/>
                <w:color w:val="000000"/>
                <w:sz w:val="18"/>
                <w:szCs w:val="18"/>
              </w:rPr>
            </w:pPr>
          </w:p>
        </w:tc>
        <w:tc>
          <w:tcPr>
            <w:tcW w:w="389" w:type="dxa"/>
            <w:vMerge/>
            <w:shd w:val="clear" w:color="auto" w:fill="E7F3F4"/>
            <w:vAlign w:val="center"/>
          </w:tcPr>
          <w:p w14:paraId="5F768404" w14:textId="77777777" w:rsidR="006E6B0E" w:rsidRPr="00C911E4" w:rsidRDefault="006E6B0E" w:rsidP="00D64955">
            <w:pPr>
              <w:spacing w:before="0" w:after="0"/>
              <w:jc w:val="center"/>
              <w:rPr>
                <w:rFonts w:ascii="Arial" w:hAnsi="Arial" w:cs="Arial"/>
                <w:color w:val="000000"/>
                <w:sz w:val="18"/>
                <w:szCs w:val="18"/>
              </w:rPr>
            </w:pPr>
          </w:p>
        </w:tc>
        <w:tc>
          <w:tcPr>
            <w:tcW w:w="460" w:type="dxa"/>
            <w:vMerge/>
            <w:shd w:val="clear" w:color="auto" w:fill="E7F3F4"/>
            <w:vAlign w:val="center"/>
          </w:tcPr>
          <w:p w14:paraId="60B37886" w14:textId="77777777" w:rsidR="006E6B0E" w:rsidRPr="00C911E4" w:rsidRDefault="006E6B0E" w:rsidP="00D64955">
            <w:pPr>
              <w:spacing w:before="0" w:after="0"/>
              <w:jc w:val="center"/>
              <w:rPr>
                <w:rFonts w:ascii="Arial" w:hAnsi="Arial" w:cs="Arial"/>
                <w:color w:val="000000"/>
                <w:sz w:val="18"/>
                <w:szCs w:val="18"/>
              </w:rPr>
            </w:pPr>
          </w:p>
        </w:tc>
        <w:tc>
          <w:tcPr>
            <w:tcW w:w="480" w:type="dxa"/>
            <w:vMerge/>
            <w:shd w:val="clear" w:color="auto" w:fill="E7F3F4"/>
            <w:vAlign w:val="center"/>
          </w:tcPr>
          <w:p w14:paraId="60239C2C" w14:textId="77777777" w:rsidR="006E6B0E" w:rsidRPr="00C911E4" w:rsidRDefault="006E6B0E" w:rsidP="00D64955">
            <w:pPr>
              <w:spacing w:before="0" w:after="0"/>
              <w:jc w:val="center"/>
              <w:rPr>
                <w:rFonts w:ascii="Arial" w:hAnsi="Arial" w:cs="Arial"/>
                <w:color w:val="000000"/>
                <w:sz w:val="18"/>
                <w:szCs w:val="18"/>
              </w:rPr>
            </w:pPr>
          </w:p>
        </w:tc>
      </w:tr>
      <w:tr w:rsidR="00EB6CC6" w:rsidRPr="00C911E4" w14:paraId="7BE3CE74" w14:textId="77777777" w:rsidTr="00EB6CC6">
        <w:trPr>
          <w:trHeight w:val="170"/>
          <w:jc w:val="center"/>
        </w:trPr>
        <w:tc>
          <w:tcPr>
            <w:tcW w:w="1135" w:type="dxa"/>
            <w:vMerge w:val="restart"/>
            <w:shd w:val="clear" w:color="auto" w:fill="auto"/>
            <w:vAlign w:val="center"/>
          </w:tcPr>
          <w:p w14:paraId="1E380F68"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Southern</w:t>
            </w:r>
          </w:p>
        </w:tc>
        <w:tc>
          <w:tcPr>
            <w:tcW w:w="1367" w:type="dxa"/>
            <w:vMerge w:val="restart"/>
            <w:shd w:val="clear" w:color="auto" w:fill="F3F9FA"/>
            <w:vAlign w:val="center"/>
          </w:tcPr>
          <w:p w14:paraId="67B3D6B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Burnett Mary</w:t>
            </w:r>
          </w:p>
          <w:p w14:paraId="7940B3F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w:t>
            </w:r>
            <w:r w:rsidRPr="00C911E4">
              <w:rPr>
                <w:rFonts w:ascii="Arial" w:hAnsi="Arial" w:cs="Arial"/>
                <w:i/>
                <w:color w:val="000000"/>
                <w:sz w:val="18"/>
                <w:szCs w:val="18"/>
              </w:rPr>
              <w:t>Burnett Mary Regional Group</w:t>
            </w:r>
            <w:r w:rsidRPr="00C911E4">
              <w:rPr>
                <w:rFonts w:ascii="Arial" w:hAnsi="Arial" w:cs="Arial"/>
                <w:color w:val="000000"/>
                <w:sz w:val="18"/>
                <w:szCs w:val="18"/>
              </w:rPr>
              <w:t>)</w:t>
            </w:r>
          </w:p>
        </w:tc>
        <w:tc>
          <w:tcPr>
            <w:tcW w:w="1100" w:type="dxa"/>
            <w:vMerge w:val="restart"/>
            <w:shd w:val="clear" w:color="auto" w:fill="F3F9FA"/>
            <w:vAlign w:val="center"/>
          </w:tcPr>
          <w:p w14:paraId="42461A1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Burrum</w:t>
            </w:r>
          </w:p>
        </w:tc>
        <w:tc>
          <w:tcPr>
            <w:tcW w:w="1338" w:type="dxa"/>
            <w:vMerge w:val="restart"/>
            <w:shd w:val="clear" w:color="auto" w:fill="F3F9FA"/>
            <w:noWrap/>
            <w:vAlign w:val="center"/>
          </w:tcPr>
          <w:p w14:paraId="1664109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Burrum Heads</w:t>
            </w:r>
          </w:p>
          <w:p w14:paraId="17DE4795"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i/>
                <w:color w:val="000000"/>
                <w:sz w:val="18"/>
                <w:szCs w:val="18"/>
              </w:rPr>
              <w:t>coastal</w:t>
            </w:r>
          </w:p>
        </w:tc>
        <w:tc>
          <w:tcPr>
            <w:tcW w:w="678" w:type="dxa"/>
            <w:shd w:val="clear" w:color="auto" w:fill="F3F9FA"/>
            <w:noWrap/>
            <w:vAlign w:val="center"/>
          </w:tcPr>
          <w:p w14:paraId="456CCBD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BH1*</w:t>
            </w:r>
          </w:p>
        </w:tc>
        <w:tc>
          <w:tcPr>
            <w:tcW w:w="1116" w:type="dxa"/>
            <w:shd w:val="clear" w:color="auto" w:fill="F3F9FA"/>
            <w:noWrap/>
            <w:vAlign w:val="center"/>
          </w:tcPr>
          <w:p w14:paraId="79D5A19E"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Burrum Heads</w:t>
            </w:r>
          </w:p>
        </w:tc>
        <w:tc>
          <w:tcPr>
            <w:tcW w:w="493" w:type="dxa"/>
            <w:shd w:val="clear" w:color="auto" w:fill="F3F9FA"/>
            <w:noWrap/>
            <w:vAlign w:val="center"/>
          </w:tcPr>
          <w:p w14:paraId="13A61D6B"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25°</w:t>
            </w:r>
          </w:p>
        </w:tc>
        <w:tc>
          <w:tcPr>
            <w:tcW w:w="876" w:type="dxa"/>
            <w:shd w:val="clear" w:color="auto" w:fill="F3F9FA"/>
            <w:noWrap/>
            <w:vAlign w:val="center"/>
          </w:tcPr>
          <w:p w14:paraId="66C33E74"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11.290</w:t>
            </w:r>
          </w:p>
        </w:tc>
        <w:tc>
          <w:tcPr>
            <w:tcW w:w="594" w:type="dxa"/>
            <w:shd w:val="clear" w:color="auto" w:fill="F3F9FA"/>
            <w:noWrap/>
            <w:vAlign w:val="center"/>
          </w:tcPr>
          <w:p w14:paraId="6B3FC4E6"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152°</w:t>
            </w:r>
          </w:p>
        </w:tc>
        <w:tc>
          <w:tcPr>
            <w:tcW w:w="876" w:type="dxa"/>
            <w:shd w:val="clear" w:color="auto" w:fill="F3F9FA"/>
            <w:noWrap/>
            <w:vAlign w:val="center"/>
          </w:tcPr>
          <w:p w14:paraId="0871A6D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37.532</w:t>
            </w:r>
          </w:p>
        </w:tc>
        <w:tc>
          <w:tcPr>
            <w:tcW w:w="480" w:type="dxa"/>
            <w:vMerge w:val="restart"/>
            <w:shd w:val="clear" w:color="auto" w:fill="F3F9FA"/>
            <w:noWrap/>
            <w:vAlign w:val="center"/>
          </w:tcPr>
          <w:p w14:paraId="0B194BC3" w14:textId="77777777" w:rsidR="004920D8" w:rsidRPr="00C911E4" w:rsidRDefault="004920D8" w:rsidP="00D64955">
            <w:pPr>
              <w:spacing w:before="0" w:after="0"/>
              <w:jc w:val="center"/>
              <w:rPr>
                <w:rFonts w:ascii="Arial" w:hAnsi="Arial" w:cs="Arial"/>
                <w:color w:val="000000"/>
                <w:sz w:val="18"/>
                <w:szCs w:val="18"/>
              </w:rPr>
            </w:pPr>
          </w:p>
        </w:tc>
        <w:tc>
          <w:tcPr>
            <w:tcW w:w="470" w:type="dxa"/>
            <w:vMerge w:val="restart"/>
            <w:shd w:val="clear" w:color="auto" w:fill="F3F9FA"/>
            <w:vAlign w:val="center"/>
          </w:tcPr>
          <w:p w14:paraId="647C3547" w14:textId="77777777" w:rsidR="004920D8" w:rsidRPr="00C911E4" w:rsidRDefault="004920D8" w:rsidP="00D64955">
            <w:pPr>
              <w:spacing w:before="0" w:after="0"/>
              <w:jc w:val="center"/>
              <w:rPr>
                <w:rFonts w:ascii="Arial" w:hAnsi="Arial" w:cs="Arial"/>
                <w:color w:val="000000"/>
                <w:sz w:val="18"/>
                <w:szCs w:val="18"/>
              </w:rPr>
            </w:pPr>
          </w:p>
        </w:tc>
        <w:tc>
          <w:tcPr>
            <w:tcW w:w="470" w:type="dxa"/>
            <w:vMerge w:val="restart"/>
            <w:shd w:val="clear" w:color="auto" w:fill="F3F9FA"/>
            <w:vAlign w:val="center"/>
          </w:tcPr>
          <w:p w14:paraId="0C14E2E7" w14:textId="77777777" w:rsidR="004920D8" w:rsidRPr="00C911E4" w:rsidRDefault="004920D8" w:rsidP="00D64955">
            <w:pPr>
              <w:spacing w:before="0" w:after="0"/>
              <w:jc w:val="center"/>
              <w:rPr>
                <w:rFonts w:ascii="Arial" w:hAnsi="Arial" w:cs="Arial"/>
                <w:color w:val="000000"/>
                <w:sz w:val="18"/>
                <w:szCs w:val="18"/>
              </w:rPr>
            </w:pPr>
          </w:p>
        </w:tc>
        <w:tc>
          <w:tcPr>
            <w:tcW w:w="480" w:type="dxa"/>
            <w:vMerge w:val="restart"/>
            <w:shd w:val="clear" w:color="auto" w:fill="F3F9FA"/>
            <w:vAlign w:val="center"/>
          </w:tcPr>
          <w:p w14:paraId="18515FEF" w14:textId="77777777" w:rsidR="004920D8" w:rsidRPr="00C911E4" w:rsidRDefault="004920D8" w:rsidP="00D64955">
            <w:pPr>
              <w:spacing w:before="0" w:after="0"/>
              <w:jc w:val="center"/>
              <w:rPr>
                <w:rFonts w:ascii="Arial" w:hAnsi="Arial" w:cs="Arial"/>
                <w:color w:val="000000"/>
                <w:sz w:val="18"/>
                <w:szCs w:val="18"/>
              </w:rPr>
            </w:pPr>
          </w:p>
        </w:tc>
        <w:tc>
          <w:tcPr>
            <w:tcW w:w="490" w:type="dxa"/>
            <w:vMerge w:val="restart"/>
            <w:shd w:val="clear" w:color="auto" w:fill="F3F9FA"/>
            <w:vAlign w:val="center"/>
          </w:tcPr>
          <w:p w14:paraId="04DA072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A8"/>
            </w:r>
          </w:p>
        </w:tc>
        <w:tc>
          <w:tcPr>
            <w:tcW w:w="470" w:type="dxa"/>
            <w:vMerge w:val="restart"/>
            <w:shd w:val="clear" w:color="auto" w:fill="F3F9FA"/>
            <w:vAlign w:val="center"/>
          </w:tcPr>
          <w:p w14:paraId="3B5126E7" w14:textId="77777777" w:rsidR="004920D8" w:rsidRPr="00C911E4" w:rsidRDefault="004920D8" w:rsidP="00D64955">
            <w:pPr>
              <w:spacing w:before="0" w:after="0"/>
              <w:jc w:val="center"/>
              <w:rPr>
                <w:rFonts w:ascii="Arial" w:hAnsi="Arial" w:cs="Arial"/>
                <w:color w:val="000000"/>
                <w:sz w:val="18"/>
                <w:szCs w:val="18"/>
              </w:rPr>
            </w:pPr>
          </w:p>
        </w:tc>
        <w:tc>
          <w:tcPr>
            <w:tcW w:w="480" w:type="dxa"/>
            <w:vMerge w:val="restart"/>
            <w:shd w:val="clear" w:color="auto" w:fill="F3F9FA"/>
            <w:vAlign w:val="center"/>
          </w:tcPr>
          <w:p w14:paraId="334E4D8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c>
          <w:tcPr>
            <w:tcW w:w="389" w:type="dxa"/>
            <w:vMerge w:val="restart"/>
            <w:shd w:val="clear" w:color="auto" w:fill="F3F9FA"/>
            <w:vAlign w:val="center"/>
          </w:tcPr>
          <w:p w14:paraId="5E01E7B2" w14:textId="77777777" w:rsidR="004920D8" w:rsidRPr="00C911E4" w:rsidRDefault="004920D8" w:rsidP="00D64955">
            <w:pPr>
              <w:spacing w:before="0" w:after="0"/>
              <w:jc w:val="center"/>
              <w:rPr>
                <w:rFonts w:ascii="Arial" w:hAnsi="Arial" w:cs="Arial"/>
                <w:color w:val="000000"/>
                <w:sz w:val="18"/>
                <w:szCs w:val="18"/>
              </w:rPr>
            </w:pPr>
          </w:p>
        </w:tc>
        <w:tc>
          <w:tcPr>
            <w:tcW w:w="460" w:type="dxa"/>
            <w:vMerge w:val="restart"/>
            <w:shd w:val="clear" w:color="auto" w:fill="F3F9FA"/>
            <w:vAlign w:val="center"/>
          </w:tcPr>
          <w:p w14:paraId="0A2290D4" w14:textId="77777777" w:rsidR="004920D8" w:rsidRPr="00C911E4" w:rsidRDefault="004920D8" w:rsidP="00D64955">
            <w:pPr>
              <w:spacing w:before="0" w:after="0"/>
              <w:jc w:val="center"/>
              <w:rPr>
                <w:rFonts w:ascii="Arial" w:hAnsi="Arial" w:cs="Arial"/>
                <w:color w:val="000000"/>
                <w:sz w:val="18"/>
                <w:szCs w:val="18"/>
              </w:rPr>
            </w:pPr>
          </w:p>
        </w:tc>
        <w:tc>
          <w:tcPr>
            <w:tcW w:w="480" w:type="dxa"/>
            <w:vMerge w:val="restart"/>
            <w:shd w:val="clear" w:color="auto" w:fill="F3F9FA"/>
            <w:vAlign w:val="center"/>
          </w:tcPr>
          <w:p w14:paraId="6B1ABD79"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sym w:font="Wingdings" w:char="F06E"/>
            </w:r>
          </w:p>
        </w:tc>
      </w:tr>
      <w:tr w:rsidR="00EB6CC6" w:rsidRPr="00C911E4" w14:paraId="4FABB522" w14:textId="77777777" w:rsidTr="00EB6CC6">
        <w:trPr>
          <w:trHeight w:val="170"/>
          <w:jc w:val="center"/>
        </w:trPr>
        <w:tc>
          <w:tcPr>
            <w:tcW w:w="1135" w:type="dxa"/>
            <w:vMerge/>
            <w:shd w:val="clear" w:color="auto" w:fill="auto"/>
          </w:tcPr>
          <w:p w14:paraId="6D742FF3" w14:textId="77777777" w:rsidR="004920D8" w:rsidRPr="00C911E4" w:rsidRDefault="004920D8" w:rsidP="00D64955">
            <w:pPr>
              <w:spacing w:before="0" w:after="0"/>
              <w:jc w:val="center"/>
              <w:rPr>
                <w:rFonts w:ascii="Arial" w:hAnsi="Arial" w:cs="Arial"/>
                <w:color w:val="000000"/>
                <w:sz w:val="18"/>
                <w:szCs w:val="18"/>
              </w:rPr>
            </w:pPr>
          </w:p>
        </w:tc>
        <w:tc>
          <w:tcPr>
            <w:tcW w:w="1367" w:type="dxa"/>
            <w:vMerge/>
            <w:shd w:val="clear" w:color="auto" w:fill="F3F9FA"/>
          </w:tcPr>
          <w:p w14:paraId="1D606834" w14:textId="77777777" w:rsidR="004920D8" w:rsidRPr="00C911E4" w:rsidRDefault="004920D8" w:rsidP="00D64955">
            <w:pPr>
              <w:spacing w:before="0" w:after="0"/>
              <w:jc w:val="center"/>
              <w:rPr>
                <w:rFonts w:ascii="Arial" w:hAnsi="Arial" w:cs="Arial"/>
                <w:color w:val="000000"/>
                <w:sz w:val="18"/>
                <w:szCs w:val="18"/>
              </w:rPr>
            </w:pPr>
          </w:p>
        </w:tc>
        <w:tc>
          <w:tcPr>
            <w:tcW w:w="1100" w:type="dxa"/>
            <w:vMerge/>
            <w:shd w:val="clear" w:color="auto" w:fill="F3F9FA"/>
          </w:tcPr>
          <w:p w14:paraId="168A4E29" w14:textId="77777777" w:rsidR="004920D8" w:rsidRPr="00C911E4" w:rsidRDefault="004920D8" w:rsidP="00D64955">
            <w:pPr>
              <w:spacing w:before="0" w:after="0"/>
              <w:jc w:val="center"/>
              <w:rPr>
                <w:rFonts w:ascii="Arial" w:hAnsi="Arial" w:cs="Arial"/>
                <w:color w:val="000000"/>
                <w:sz w:val="18"/>
                <w:szCs w:val="18"/>
              </w:rPr>
            </w:pPr>
          </w:p>
        </w:tc>
        <w:tc>
          <w:tcPr>
            <w:tcW w:w="1338" w:type="dxa"/>
            <w:vMerge/>
            <w:shd w:val="clear" w:color="auto" w:fill="F3F9FA"/>
            <w:noWrap/>
            <w:vAlign w:val="center"/>
          </w:tcPr>
          <w:p w14:paraId="52E5485F" w14:textId="77777777" w:rsidR="004920D8" w:rsidRPr="00C911E4" w:rsidRDefault="004920D8" w:rsidP="00D64955">
            <w:pPr>
              <w:spacing w:before="0" w:after="0"/>
              <w:jc w:val="center"/>
              <w:rPr>
                <w:rFonts w:ascii="Arial" w:hAnsi="Arial" w:cs="Arial"/>
                <w:color w:val="000000"/>
                <w:sz w:val="18"/>
                <w:szCs w:val="18"/>
              </w:rPr>
            </w:pPr>
          </w:p>
        </w:tc>
        <w:tc>
          <w:tcPr>
            <w:tcW w:w="678" w:type="dxa"/>
            <w:shd w:val="clear" w:color="auto" w:fill="F3F9FA"/>
            <w:noWrap/>
            <w:vAlign w:val="center"/>
          </w:tcPr>
          <w:p w14:paraId="4116374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BH3*</w:t>
            </w:r>
          </w:p>
        </w:tc>
        <w:tc>
          <w:tcPr>
            <w:tcW w:w="1116" w:type="dxa"/>
            <w:shd w:val="clear" w:color="auto" w:fill="F3F9FA"/>
            <w:noWrap/>
            <w:vAlign w:val="center"/>
          </w:tcPr>
          <w:p w14:paraId="0C54A087"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Burrum Heads</w:t>
            </w:r>
          </w:p>
        </w:tc>
        <w:tc>
          <w:tcPr>
            <w:tcW w:w="493" w:type="dxa"/>
            <w:shd w:val="clear" w:color="auto" w:fill="F3F9FA"/>
            <w:noWrap/>
            <w:vAlign w:val="center"/>
          </w:tcPr>
          <w:p w14:paraId="259F11D1"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25°</w:t>
            </w:r>
          </w:p>
        </w:tc>
        <w:tc>
          <w:tcPr>
            <w:tcW w:w="876" w:type="dxa"/>
            <w:shd w:val="clear" w:color="auto" w:fill="F3F9FA"/>
            <w:noWrap/>
            <w:vAlign w:val="center"/>
          </w:tcPr>
          <w:p w14:paraId="627B504C"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12.620</w:t>
            </w:r>
          </w:p>
        </w:tc>
        <w:tc>
          <w:tcPr>
            <w:tcW w:w="594" w:type="dxa"/>
            <w:shd w:val="clear" w:color="auto" w:fill="F3F9FA"/>
            <w:noWrap/>
            <w:vAlign w:val="center"/>
          </w:tcPr>
          <w:p w14:paraId="2FC4577D"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152°</w:t>
            </w:r>
          </w:p>
        </w:tc>
        <w:tc>
          <w:tcPr>
            <w:tcW w:w="876" w:type="dxa"/>
            <w:shd w:val="clear" w:color="auto" w:fill="F3F9FA"/>
            <w:noWrap/>
            <w:vAlign w:val="center"/>
          </w:tcPr>
          <w:p w14:paraId="1A5D351F" w14:textId="77777777" w:rsidR="004920D8" w:rsidRPr="00C911E4" w:rsidRDefault="004920D8" w:rsidP="00D64955">
            <w:pPr>
              <w:spacing w:before="0" w:after="0"/>
              <w:jc w:val="center"/>
              <w:rPr>
                <w:rFonts w:ascii="Arial" w:hAnsi="Arial" w:cs="Arial"/>
                <w:color w:val="000000"/>
                <w:sz w:val="18"/>
                <w:szCs w:val="18"/>
              </w:rPr>
            </w:pPr>
            <w:r w:rsidRPr="00C911E4">
              <w:rPr>
                <w:rFonts w:ascii="Arial" w:hAnsi="Arial" w:cs="Arial"/>
                <w:color w:val="000000"/>
                <w:sz w:val="18"/>
                <w:szCs w:val="18"/>
              </w:rPr>
              <w:t>38.359</w:t>
            </w:r>
          </w:p>
        </w:tc>
        <w:tc>
          <w:tcPr>
            <w:tcW w:w="480" w:type="dxa"/>
            <w:vMerge/>
            <w:shd w:val="clear" w:color="auto" w:fill="F3F9FA"/>
            <w:noWrap/>
            <w:vAlign w:val="center"/>
          </w:tcPr>
          <w:p w14:paraId="04CBB085" w14:textId="77777777" w:rsidR="004920D8" w:rsidRPr="00C911E4" w:rsidRDefault="004920D8" w:rsidP="00D64955">
            <w:pPr>
              <w:spacing w:before="0" w:after="0"/>
              <w:jc w:val="center"/>
              <w:rPr>
                <w:rFonts w:ascii="Arial" w:hAnsi="Arial" w:cs="Arial"/>
                <w:color w:val="000000"/>
                <w:sz w:val="18"/>
                <w:szCs w:val="18"/>
              </w:rPr>
            </w:pPr>
          </w:p>
        </w:tc>
        <w:tc>
          <w:tcPr>
            <w:tcW w:w="470" w:type="dxa"/>
            <w:vMerge/>
            <w:shd w:val="clear" w:color="auto" w:fill="F3F9FA"/>
          </w:tcPr>
          <w:p w14:paraId="153F9205" w14:textId="77777777" w:rsidR="004920D8" w:rsidRPr="00C911E4" w:rsidRDefault="004920D8" w:rsidP="00D64955">
            <w:pPr>
              <w:spacing w:before="0" w:after="0"/>
              <w:jc w:val="center"/>
              <w:rPr>
                <w:rFonts w:ascii="Arial" w:hAnsi="Arial" w:cs="Arial"/>
                <w:color w:val="000000"/>
                <w:sz w:val="18"/>
                <w:szCs w:val="18"/>
              </w:rPr>
            </w:pPr>
          </w:p>
        </w:tc>
        <w:tc>
          <w:tcPr>
            <w:tcW w:w="470" w:type="dxa"/>
            <w:vMerge/>
            <w:shd w:val="clear" w:color="auto" w:fill="F3F9FA"/>
          </w:tcPr>
          <w:p w14:paraId="42D18A08" w14:textId="77777777" w:rsidR="004920D8" w:rsidRPr="00C911E4" w:rsidRDefault="004920D8" w:rsidP="00D64955">
            <w:pPr>
              <w:spacing w:before="0" w:after="0"/>
              <w:jc w:val="center"/>
              <w:rPr>
                <w:rFonts w:ascii="Arial" w:hAnsi="Arial" w:cs="Arial"/>
                <w:color w:val="000000"/>
                <w:sz w:val="18"/>
                <w:szCs w:val="18"/>
              </w:rPr>
            </w:pPr>
          </w:p>
        </w:tc>
        <w:tc>
          <w:tcPr>
            <w:tcW w:w="480" w:type="dxa"/>
            <w:vMerge/>
            <w:shd w:val="clear" w:color="auto" w:fill="F3F9FA"/>
          </w:tcPr>
          <w:p w14:paraId="7BA921EE" w14:textId="77777777" w:rsidR="004920D8" w:rsidRPr="00C911E4" w:rsidRDefault="004920D8" w:rsidP="00D64955">
            <w:pPr>
              <w:spacing w:before="0" w:after="0"/>
              <w:jc w:val="center"/>
              <w:rPr>
                <w:rFonts w:ascii="Arial" w:hAnsi="Arial" w:cs="Arial"/>
                <w:color w:val="000000"/>
                <w:sz w:val="18"/>
                <w:szCs w:val="18"/>
              </w:rPr>
            </w:pPr>
          </w:p>
        </w:tc>
        <w:tc>
          <w:tcPr>
            <w:tcW w:w="490" w:type="dxa"/>
            <w:vMerge/>
            <w:shd w:val="clear" w:color="auto" w:fill="F3F9FA"/>
          </w:tcPr>
          <w:p w14:paraId="22879D2D" w14:textId="77777777" w:rsidR="004920D8" w:rsidRPr="00C911E4" w:rsidRDefault="004920D8" w:rsidP="00D64955">
            <w:pPr>
              <w:spacing w:before="0" w:after="0"/>
              <w:jc w:val="center"/>
              <w:rPr>
                <w:rFonts w:ascii="Arial" w:hAnsi="Arial" w:cs="Arial"/>
                <w:color w:val="000000"/>
                <w:sz w:val="18"/>
                <w:szCs w:val="18"/>
              </w:rPr>
            </w:pPr>
          </w:p>
        </w:tc>
        <w:tc>
          <w:tcPr>
            <w:tcW w:w="470" w:type="dxa"/>
            <w:vMerge/>
            <w:shd w:val="clear" w:color="auto" w:fill="F3F9FA"/>
          </w:tcPr>
          <w:p w14:paraId="47A5889C" w14:textId="77777777" w:rsidR="004920D8" w:rsidRPr="00C911E4" w:rsidRDefault="004920D8" w:rsidP="00D64955">
            <w:pPr>
              <w:spacing w:before="0" w:after="0"/>
              <w:jc w:val="center"/>
              <w:rPr>
                <w:rFonts w:ascii="Arial" w:hAnsi="Arial" w:cs="Arial"/>
                <w:color w:val="000000"/>
                <w:sz w:val="18"/>
                <w:szCs w:val="18"/>
              </w:rPr>
            </w:pPr>
          </w:p>
        </w:tc>
        <w:tc>
          <w:tcPr>
            <w:tcW w:w="480" w:type="dxa"/>
            <w:vMerge/>
            <w:shd w:val="clear" w:color="auto" w:fill="F3F9FA"/>
          </w:tcPr>
          <w:p w14:paraId="3476AA87" w14:textId="77777777" w:rsidR="004920D8" w:rsidRPr="00C911E4" w:rsidRDefault="004920D8" w:rsidP="00D64955">
            <w:pPr>
              <w:spacing w:before="0" w:after="0"/>
              <w:jc w:val="center"/>
              <w:rPr>
                <w:rFonts w:ascii="Arial" w:hAnsi="Arial" w:cs="Arial"/>
                <w:color w:val="000000"/>
                <w:sz w:val="18"/>
                <w:szCs w:val="18"/>
              </w:rPr>
            </w:pPr>
          </w:p>
        </w:tc>
        <w:tc>
          <w:tcPr>
            <w:tcW w:w="389" w:type="dxa"/>
            <w:vMerge/>
            <w:shd w:val="clear" w:color="auto" w:fill="F3F9FA"/>
          </w:tcPr>
          <w:p w14:paraId="4778DF6C" w14:textId="77777777" w:rsidR="004920D8" w:rsidRPr="00C911E4" w:rsidRDefault="004920D8" w:rsidP="00D64955">
            <w:pPr>
              <w:spacing w:before="0" w:after="0"/>
              <w:jc w:val="center"/>
              <w:rPr>
                <w:rFonts w:ascii="Arial" w:hAnsi="Arial" w:cs="Arial"/>
                <w:color w:val="000000"/>
                <w:sz w:val="18"/>
                <w:szCs w:val="18"/>
              </w:rPr>
            </w:pPr>
          </w:p>
        </w:tc>
        <w:tc>
          <w:tcPr>
            <w:tcW w:w="460" w:type="dxa"/>
            <w:vMerge/>
            <w:shd w:val="clear" w:color="auto" w:fill="F3F9FA"/>
          </w:tcPr>
          <w:p w14:paraId="03201F09" w14:textId="77777777" w:rsidR="004920D8" w:rsidRPr="00C911E4" w:rsidRDefault="004920D8" w:rsidP="00D64955">
            <w:pPr>
              <w:spacing w:before="0" w:after="0"/>
              <w:jc w:val="center"/>
              <w:rPr>
                <w:rFonts w:ascii="Arial" w:hAnsi="Arial" w:cs="Arial"/>
                <w:color w:val="000000"/>
                <w:sz w:val="18"/>
                <w:szCs w:val="18"/>
              </w:rPr>
            </w:pPr>
          </w:p>
        </w:tc>
        <w:tc>
          <w:tcPr>
            <w:tcW w:w="480" w:type="dxa"/>
            <w:vMerge/>
            <w:shd w:val="clear" w:color="auto" w:fill="F3F9FA"/>
          </w:tcPr>
          <w:p w14:paraId="025345DC" w14:textId="77777777" w:rsidR="004920D8" w:rsidRPr="00C911E4" w:rsidRDefault="004920D8" w:rsidP="00D64955">
            <w:pPr>
              <w:spacing w:before="0" w:after="0"/>
              <w:jc w:val="center"/>
              <w:outlineLvl w:val="0"/>
              <w:rPr>
                <w:rFonts w:ascii="Arial" w:hAnsi="Arial" w:cs="Arial"/>
                <w:color w:val="000000"/>
                <w:sz w:val="18"/>
                <w:szCs w:val="18"/>
              </w:rPr>
            </w:pPr>
          </w:p>
        </w:tc>
      </w:tr>
    </w:tbl>
    <w:p w14:paraId="0950AA46" w14:textId="77777777" w:rsidR="004920D8" w:rsidRPr="00CB093C" w:rsidRDefault="004920D8" w:rsidP="004920D8">
      <w:pPr>
        <w:rPr>
          <w:rFonts w:ascii="Arial" w:hAnsi="Arial" w:cs="Arial"/>
          <w:color w:val="000000"/>
          <w:szCs w:val="22"/>
        </w:rPr>
      </w:pPr>
    </w:p>
    <w:p w14:paraId="042CA469" w14:textId="77777777" w:rsidR="0070343A" w:rsidRPr="00CB093C" w:rsidRDefault="0070343A" w:rsidP="008B4845">
      <w:pPr>
        <w:rPr>
          <w:rFonts w:ascii="Arial" w:hAnsi="Arial" w:cs="Arial"/>
          <w:color w:val="000000"/>
          <w:szCs w:val="22"/>
        </w:rPr>
      </w:pPr>
    </w:p>
    <w:p w14:paraId="0939A8A5" w14:textId="77777777" w:rsidR="00955497" w:rsidRPr="00CB093C" w:rsidRDefault="00955497" w:rsidP="004902B0">
      <w:pPr>
        <w:spacing w:before="0" w:after="0"/>
        <w:rPr>
          <w:rFonts w:ascii="Arial" w:hAnsi="Arial" w:cs="Arial"/>
          <w:i/>
          <w:color w:val="000000"/>
          <w:szCs w:val="22"/>
          <w:lang w:val="it-IT"/>
        </w:rPr>
      </w:pPr>
    </w:p>
    <w:p w14:paraId="04077D37" w14:textId="77777777" w:rsidR="004902B0" w:rsidRPr="00CB093C" w:rsidRDefault="004902B0" w:rsidP="00B20DDB">
      <w:pPr>
        <w:outlineLvl w:val="0"/>
        <w:rPr>
          <w:rFonts w:ascii="Arial" w:hAnsi="Arial" w:cs="Arial"/>
          <w:szCs w:val="22"/>
        </w:rPr>
        <w:sectPr w:rsidR="004902B0" w:rsidRPr="00CB093C" w:rsidSect="00D10D59">
          <w:headerReference w:type="even" r:id="rId47"/>
          <w:headerReference w:type="default" r:id="rId48"/>
          <w:headerReference w:type="first" r:id="rId49"/>
          <w:pgSz w:w="16838" w:h="11906" w:orient="landscape"/>
          <w:pgMar w:top="719" w:right="1440" w:bottom="1079" w:left="1440" w:header="709" w:footer="709" w:gutter="0"/>
          <w:cols w:space="708"/>
          <w:docGrid w:linePitch="360"/>
        </w:sectPr>
      </w:pPr>
    </w:p>
    <w:p w14:paraId="7FCFC183" w14:textId="77777777" w:rsidR="003D1F7F" w:rsidRPr="00CB093C" w:rsidRDefault="003D1F7F" w:rsidP="00AD06D4">
      <w:pPr>
        <w:pStyle w:val="Heading3"/>
        <w:numPr>
          <w:ilvl w:val="2"/>
          <w:numId w:val="4"/>
        </w:numPr>
        <w:rPr>
          <w:rFonts w:ascii="Arial" w:hAnsi="Arial" w:cs="Arial"/>
          <w:sz w:val="22"/>
          <w:szCs w:val="22"/>
        </w:rPr>
      </w:pPr>
      <w:bookmarkStart w:id="60" w:name="_Toc441474088"/>
      <w:bookmarkStart w:id="61" w:name="_Toc441474123"/>
      <w:bookmarkStart w:id="62" w:name="_Toc441474139"/>
      <w:bookmarkStart w:id="63" w:name="_Toc441474155"/>
      <w:bookmarkStart w:id="64" w:name="_Toc441474171"/>
      <w:bookmarkStart w:id="65" w:name="_Toc441474203"/>
      <w:bookmarkStart w:id="66" w:name="_Toc441474219"/>
      <w:bookmarkStart w:id="67" w:name="_Toc441474235"/>
      <w:bookmarkStart w:id="68" w:name="_Toc441474251"/>
      <w:bookmarkStart w:id="69" w:name="_Toc441474267"/>
      <w:bookmarkStart w:id="70" w:name="_Toc441474283"/>
      <w:bookmarkStart w:id="71" w:name="_Toc441474299"/>
      <w:bookmarkStart w:id="72" w:name="_Toc441474332"/>
      <w:bookmarkStart w:id="73" w:name="_Toc441474348"/>
      <w:bookmarkStart w:id="74" w:name="_Toc441474364"/>
      <w:bookmarkStart w:id="75" w:name="_Toc441474396"/>
      <w:bookmarkStart w:id="76" w:name="_Toc441474412"/>
      <w:bookmarkStart w:id="77" w:name="_Toc441474444"/>
      <w:bookmarkStart w:id="78" w:name="_Toc441474460"/>
      <w:bookmarkStart w:id="79" w:name="_Toc441474492"/>
      <w:bookmarkStart w:id="80" w:name="_Toc441474508"/>
      <w:bookmarkStart w:id="81" w:name="_Toc441474509"/>
      <w:bookmarkStart w:id="82" w:name="_Toc11394696"/>
      <w:bookmarkEnd w:id="50"/>
      <w:bookmarkEnd w:id="51"/>
      <w:bookmarkEnd w:id="52"/>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r w:rsidRPr="00CB093C">
        <w:rPr>
          <w:rFonts w:ascii="Arial" w:hAnsi="Arial" w:cs="Arial"/>
          <w:sz w:val="22"/>
          <w:szCs w:val="22"/>
        </w:rPr>
        <w:lastRenderedPageBreak/>
        <w:t xml:space="preserve">Seagrass abundance, composition and </w:t>
      </w:r>
      <w:r w:rsidR="00BB52BF" w:rsidRPr="00CB093C">
        <w:rPr>
          <w:rFonts w:ascii="Arial" w:hAnsi="Arial" w:cs="Arial"/>
          <w:sz w:val="22"/>
          <w:szCs w:val="22"/>
        </w:rPr>
        <w:t>extent</w:t>
      </w:r>
      <w:bookmarkEnd w:id="82"/>
    </w:p>
    <w:p w14:paraId="122B71B0" w14:textId="0AA16891" w:rsidR="00A42BBC" w:rsidRPr="00CB093C" w:rsidRDefault="003D1F7F" w:rsidP="008300F2">
      <w:pPr>
        <w:spacing w:before="240"/>
        <w:rPr>
          <w:rFonts w:ascii="Arial" w:hAnsi="Arial" w:cs="Arial"/>
          <w:szCs w:val="22"/>
        </w:rPr>
      </w:pPr>
      <w:r w:rsidRPr="00CB093C">
        <w:rPr>
          <w:rFonts w:ascii="Arial" w:hAnsi="Arial" w:cs="Arial"/>
          <w:szCs w:val="22"/>
        </w:rPr>
        <w:t xml:space="preserve">Field survey methodology followed </w:t>
      </w:r>
      <w:r w:rsidR="00322AD3" w:rsidRPr="00CB093C">
        <w:rPr>
          <w:rFonts w:ascii="Arial" w:hAnsi="Arial" w:cs="Arial"/>
          <w:szCs w:val="22"/>
        </w:rPr>
        <w:t xml:space="preserve">globally </w:t>
      </w:r>
      <w:r w:rsidRPr="00CB093C">
        <w:rPr>
          <w:rFonts w:ascii="Arial" w:hAnsi="Arial" w:cs="Arial"/>
          <w:szCs w:val="22"/>
        </w:rPr>
        <w:t xml:space="preserve">standardised protocols (detailed in McKenzie </w:t>
      </w:r>
      <w:r w:rsidRPr="00CB093C">
        <w:rPr>
          <w:rFonts w:ascii="Arial" w:hAnsi="Arial" w:cs="Arial"/>
          <w:i/>
          <w:szCs w:val="22"/>
        </w:rPr>
        <w:t>et al.</w:t>
      </w:r>
      <w:r w:rsidRPr="00CB093C">
        <w:rPr>
          <w:rFonts w:ascii="Arial" w:hAnsi="Arial" w:cs="Arial"/>
          <w:szCs w:val="22"/>
        </w:rPr>
        <w:t xml:space="preserve"> (</w:t>
      </w:r>
      <w:hyperlink w:anchor="_ENREF_96" w:tooltip="McKenzie, 2003 #945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 ExcludeAuth="1"&gt;&lt;Year&gt;2003&lt;/Year&gt;&lt;RecNum&gt;9457&lt;/RecNum&gt;&lt;DisplayText&gt;2003&lt;/DisplayText&gt;&lt;record&gt;&lt;rec-number&gt;9457&lt;/rec-number&gt;&lt;foreign-keys&gt;&lt;key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2003</w:t>
        </w:r>
        <w:r w:rsidR="00513C39" w:rsidRPr="00CB093C">
          <w:rPr>
            <w:rFonts w:ascii="Arial" w:hAnsi="Arial" w:cs="Arial"/>
            <w:szCs w:val="22"/>
          </w:rPr>
          <w:fldChar w:fldCharType="end"/>
        </w:r>
      </w:hyperlink>
      <w:r w:rsidRPr="00CB093C">
        <w:rPr>
          <w:rFonts w:ascii="Arial" w:hAnsi="Arial" w:cs="Arial"/>
          <w:szCs w:val="22"/>
        </w:rPr>
        <w:t>)</w:t>
      </w:r>
      <w:r w:rsidR="006F061E" w:rsidRPr="00CB093C">
        <w:rPr>
          <w:rFonts w:ascii="Arial" w:hAnsi="Arial" w:cs="Arial"/>
          <w:szCs w:val="22"/>
        </w:rPr>
        <w:t>)</w:t>
      </w:r>
      <w:r w:rsidRPr="00CB093C">
        <w:rPr>
          <w:rFonts w:ascii="Arial" w:hAnsi="Arial" w:cs="Arial"/>
          <w:szCs w:val="22"/>
        </w:rPr>
        <w:t>. At each location, with the exception of subtidal sites, sampling included two sites nested within 500</w:t>
      </w:r>
      <w:r w:rsidR="00A42BBC" w:rsidRPr="00CB093C">
        <w:rPr>
          <w:rFonts w:ascii="Arial" w:hAnsi="Arial" w:cs="Arial"/>
          <w:szCs w:val="22"/>
        </w:rPr>
        <w:t xml:space="preserve"> </w:t>
      </w:r>
      <w:r w:rsidRPr="00CB093C">
        <w:rPr>
          <w:rFonts w:ascii="Arial" w:hAnsi="Arial" w:cs="Arial"/>
          <w:szCs w:val="22"/>
        </w:rPr>
        <w:t xml:space="preserve">m of each other. Subtidal sites were not </w:t>
      </w:r>
      <w:r w:rsidR="00640BF3" w:rsidRPr="00CB093C">
        <w:rPr>
          <w:rFonts w:ascii="Arial" w:hAnsi="Arial" w:cs="Arial"/>
          <w:szCs w:val="22"/>
        </w:rPr>
        <w:t xml:space="preserve">always </w:t>
      </w:r>
      <w:r w:rsidRPr="00CB093C">
        <w:rPr>
          <w:rFonts w:ascii="Arial" w:hAnsi="Arial" w:cs="Arial"/>
          <w:szCs w:val="22"/>
        </w:rPr>
        <w:t xml:space="preserve">replicated within locations. Intertidal sites were defined as a </w:t>
      </w:r>
      <w:r w:rsidR="00DB32BE" w:rsidRPr="00CB093C">
        <w:rPr>
          <w:rFonts w:ascii="Arial" w:hAnsi="Arial" w:cs="Arial"/>
          <w:szCs w:val="22"/>
        </w:rPr>
        <w:t>5.5 hectare</w:t>
      </w:r>
      <w:r w:rsidRPr="00CB093C">
        <w:rPr>
          <w:rFonts w:ascii="Arial" w:hAnsi="Arial" w:cs="Arial"/>
          <w:szCs w:val="22"/>
        </w:rPr>
        <w:t xml:space="preserve"> area within a relatively homogenous section of a representative seagrass community/meadow (</w:t>
      </w:r>
      <w:hyperlink w:anchor="_ENREF_96" w:tooltip="McKenzie, 2003 #945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&lt;EndNote&gt;&lt;Cite&gt;&lt;Author&gt;McKenzie&lt;/Author&gt;&lt;Year&gt;2003&lt;/Year&gt;&lt;RecNum&gt;9457&lt;/RecNum&gt;&lt;DisplayText&gt;McKenzie&lt;style face="italic"&gt; et al.&lt;/style&gt; 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2003</w:t>
        </w:r>
        <w:r w:rsidR="00513C39" w:rsidRPr="00CB093C">
          <w:rPr>
            <w:rFonts w:ascii="Arial" w:hAnsi="Arial" w:cs="Arial"/>
            <w:szCs w:val="22"/>
          </w:rPr>
          <w:fldChar w:fldCharType="end"/>
        </w:r>
      </w:hyperlink>
      <w:r w:rsidRPr="00CB093C">
        <w:rPr>
          <w:rFonts w:ascii="Arial" w:hAnsi="Arial" w:cs="Arial"/>
          <w:szCs w:val="22"/>
        </w:rPr>
        <w:t xml:space="preserve">). </w:t>
      </w:r>
    </w:p>
    <w:p w14:paraId="37CB456B" w14:textId="01821A8B" w:rsidR="00A42BBC" w:rsidRPr="00CB093C" w:rsidRDefault="003D1F7F" w:rsidP="008300F2">
      <w:pPr>
        <w:spacing w:before="240"/>
        <w:rPr>
          <w:rFonts w:ascii="Arial" w:hAnsi="Arial" w:cs="Arial"/>
          <w:szCs w:val="22"/>
        </w:rPr>
      </w:pPr>
      <w:r w:rsidRPr="00CB093C">
        <w:rPr>
          <w:rFonts w:ascii="Arial" w:hAnsi="Arial" w:cs="Arial"/>
          <w:szCs w:val="22"/>
        </w:rPr>
        <w:t>Monitoring at sites in the late dry (September/October 201</w:t>
      </w:r>
      <w:r w:rsidR="003B152A" w:rsidRPr="00CB093C">
        <w:rPr>
          <w:rFonts w:ascii="Arial" w:hAnsi="Arial" w:cs="Arial"/>
          <w:szCs w:val="22"/>
        </w:rPr>
        <w:t>7</w:t>
      </w:r>
      <w:r w:rsidRPr="00CB093C">
        <w:rPr>
          <w:rFonts w:ascii="Arial" w:hAnsi="Arial" w:cs="Arial"/>
          <w:szCs w:val="22"/>
        </w:rPr>
        <w:t xml:space="preserve">) and late </w:t>
      </w:r>
      <w:r w:rsidR="000945E8" w:rsidRPr="00CB093C">
        <w:rPr>
          <w:rFonts w:ascii="Arial" w:hAnsi="Arial" w:cs="Arial"/>
          <w:szCs w:val="22"/>
        </w:rPr>
        <w:t>wet</w:t>
      </w:r>
      <w:r w:rsidRPr="00CB093C">
        <w:rPr>
          <w:rFonts w:ascii="Arial" w:hAnsi="Arial" w:cs="Arial"/>
          <w:szCs w:val="22"/>
        </w:rPr>
        <w:t xml:space="preserve"> (March/April 201</w:t>
      </w:r>
      <w:r w:rsidR="003B152A" w:rsidRPr="00CB093C">
        <w:rPr>
          <w:rFonts w:ascii="Arial" w:hAnsi="Arial" w:cs="Arial"/>
          <w:szCs w:val="22"/>
        </w:rPr>
        <w:t>8</w:t>
      </w:r>
      <w:r w:rsidRPr="00CB093C">
        <w:rPr>
          <w:rFonts w:ascii="Arial" w:hAnsi="Arial" w:cs="Arial"/>
          <w:szCs w:val="22"/>
        </w:rPr>
        <w:t xml:space="preserve">) of each year was conducted by a qualified </w:t>
      </w:r>
      <w:r w:rsidR="00640BF3" w:rsidRPr="00CB093C">
        <w:rPr>
          <w:rFonts w:ascii="Arial" w:hAnsi="Arial" w:cs="Arial"/>
          <w:szCs w:val="22"/>
        </w:rPr>
        <w:t>scientist who was</w:t>
      </w:r>
      <w:r w:rsidRPr="00CB093C">
        <w:rPr>
          <w:rFonts w:ascii="Arial" w:hAnsi="Arial" w:cs="Arial"/>
          <w:szCs w:val="22"/>
        </w:rPr>
        <w:t xml:space="preserve"> trained</w:t>
      </w:r>
      <w:r w:rsidR="00640BF3" w:rsidRPr="00CB093C">
        <w:rPr>
          <w:rFonts w:ascii="Arial" w:hAnsi="Arial" w:cs="Arial"/>
          <w:szCs w:val="22"/>
        </w:rPr>
        <w:t xml:space="preserve"> in the monitoring protocols</w:t>
      </w:r>
      <w:r w:rsidRPr="00CB093C">
        <w:rPr>
          <w:rFonts w:ascii="Arial" w:hAnsi="Arial" w:cs="Arial"/>
          <w:szCs w:val="22"/>
        </w:rPr>
        <w:t xml:space="preserve">. </w:t>
      </w:r>
      <w:r w:rsidR="00DB32BE" w:rsidRPr="00CB093C">
        <w:rPr>
          <w:rFonts w:ascii="Arial" w:hAnsi="Arial" w:cs="Arial"/>
          <w:szCs w:val="22"/>
        </w:rPr>
        <w:t>In the centre of</w:t>
      </w:r>
      <w:r w:rsidRPr="00CB093C">
        <w:rPr>
          <w:rFonts w:ascii="Arial" w:hAnsi="Arial" w:cs="Arial"/>
          <w:szCs w:val="22"/>
        </w:rPr>
        <w:t xml:space="preserve"> each site, during each survey, observers recorded the </w:t>
      </w:r>
      <w:r w:rsidR="006875E3" w:rsidRPr="00CB093C">
        <w:rPr>
          <w:rFonts w:ascii="Arial" w:hAnsi="Arial" w:cs="Arial"/>
          <w:szCs w:val="22"/>
        </w:rPr>
        <w:t>percentage</w:t>
      </w:r>
      <w:r w:rsidRPr="00CB093C">
        <w:rPr>
          <w:rFonts w:ascii="Arial" w:hAnsi="Arial" w:cs="Arial"/>
          <w:szCs w:val="22"/>
        </w:rPr>
        <w:t xml:space="preserve"> seagrass cover within </w:t>
      </w:r>
      <w:r w:rsidR="009A51FB" w:rsidRPr="00CB093C">
        <w:rPr>
          <w:rFonts w:ascii="Arial" w:hAnsi="Arial" w:cs="Arial"/>
          <w:szCs w:val="22"/>
        </w:rPr>
        <w:t>33 quadrats (</w:t>
      </w:r>
      <w:r w:rsidRPr="00CB093C">
        <w:rPr>
          <w:rFonts w:ascii="Arial" w:hAnsi="Arial" w:cs="Arial"/>
          <w:szCs w:val="22"/>
        </w:rPr>
        <w:t>50</w:t>
      </w:r>
      <w:r w:rsidR="00A42BBC" w:rsidRPr="00CB093C">
        <w:rPr>
          <w:rFonts w:ascii="Arial" w:hAnsi="Arial" w:cs="Arial"/>
          <w:szCs w:val="22"/>
        </w:rPr>
        <w:t xml:space="preserve"> </w:t>
      </w:r>
      <w:r w:rsidRPr="00CB093C">
        <w:rPr>
          <w:rFonts w:ascii="Arial" w:hAnsi="Arial" w:cs="Arial"/>
          <w:szCs w:val="22"/>
        </w:rPr>
        <w:t>cm × 50</w:t>
      </w:r>
      <w:r w:rsidR="00A42BBC" w:rsidRPr="00CB093C">
        <w:rPr>
          <w:rFonts w:ascii="Arial" w:hAnsi="Arial" w:cs="Arial"/>
          <w:szCs w:val="22"/>
        </w:rPr>
        <w:t xml:space="preserve"> </w:t>
      </w:r>
      <w:r w:rsidRPr="00CB093C">
        <w:rPr>
          <w:rFonts w:ascii="Arial" w:hAnsi="Arial" w:cs="Arial"/>
          <w:szCs w:val="22"/>
        </w:rPr>
        <w:t>cm</w:t>
      </w:r>
      <w:r w:rsidR="009A51FB" w:rsidRPr="00CB093C">
        <w:rPr>
          <w:rFonts w:ascii="Arial" w:hAnsi="Arial" w:cs="Arial"/>
          <w:szCs w:val="22"/>
        </w:rPr>
        <w:t>, placed</w:t>
      </w:r>
      <w:r w:rsidRPr="00CB093C">
        <w:rPr>
          <w:rFonts w:ascii="Arial" w:hAnsi="Arial" w:cs="Arial"/>
          <w:szCs w:val="22"/>
        </w:rPr>
        <w:t xml:space="preserve"> every 5</w:t>
      </w:r>
      <w:r w:rsidR="00A42BBC" w:rsidRPr="00CB093C">
        <w:rPr>
          <w:rFonts w:ascii="Arial" w:hAnsi="Arial" w:cs="Arial"/>
          <w:szCs w:val="22"/>
        </w:rPr>
        <w:t xml:space="preserve"> </w:t>
      </w:r>
      <w:r w:rsidRPr="00CB093C">
        <w:rPr>
          <w:rFonts w:ascii="Arial" w:hAnsi="Arial" w:cs="Arial"/>
          <w:szCs w:val="22"/>
        </w:rPr>
        <w:t>m along three 50</w:t>
      </w:r>
      <w:r w:rsidR="00A42BBC" w:rsidRPr="00CB093C">
        <w:rPr>
          <w:rFonts w:ascii="Arial" w:hAnsi="Arial" w:cs="Arial"/>
          <w:szCs w:val="22"/>
        </w:rPr>
        <w:t xml:space="preserve"> </w:t>
      </w:r>
      <w:r w:rsidRPr="00CB093C">
        <w:rPr>
          <w:rFonts w:ascii="Arial" w:hAnsi="Arial" w:cs="Arial"/>
          <w:szCs w:val="22"/>
        </w:rPr>
        <w:t xml:space="preserve">m transects, </w:t>
      </w:r>
      <w:r w:rsidR="00322AD3" w:rsidRPr="00CB093C">
        <w:rPr>
          <w:rFonts w:ascii="Arial" w:hAnsi="Arial" w:cs="Arial"/>
          <w:szCs w:val="22"/>
        </w:rPr>
        <w:t>located</w:t>
      </w:r>
      <w:r w:rsidRPr="00CB093C">
        <w:rPr>
          <w:rFonts w:ascii="Arial" w:hAnsi="Arial" w:cs="Arial"/>
          <w:szCs w:val="22"/>
        </w:rPr>
        <w:t xml:space="preserve"> 25</w:t>
      </w:r>
      <w:r w:rsidR="00A42BBC" w:rsidRPr="00CB093C">
        <w:rPr>
          <w:rFonts w:ascii="Arial" w:hAnsi="Arial" w:cs="Arial"/>
          <w:szCs w:val="22"/>
        </w:rPr>
        <w:t xml:space="preserve"> </w:t>
      </w:r>
      <w:r w:rsidRPr="00CB093C">
        <w:rPr>
          <w:rFonts w:ascii="Arial" w:hAnsi="Arial" w:cs="Arial"/>
          <w:szCs w:val="22"/>
        </w:rPr>
        <w:t>m apart</w:t>
      </w:r>
      <w:r w:rsidR="009A51FB" w:rsidRPr="00CB093C">
        <w:rPr>
          <w:rFonts w:ascii="Arial" w:hAnsi="Arial" w:cs="Arial"/>
          <w:szCs w:val="22"/>
        </w:rPr>
        <w:t>)</w:t>
      </w:r>
      <w:r w:rsidRPr="00CB093C">
        <w:rPr>
          <w:rFonts w:ascii="Arial" w:hAnsi="Arial" w:cs="Arial"/>
          <w:szCs w:val="22"/>
        </w:rPr>
        <w:t xml:space="preserve">. </w:t>
      </w:r>
      <w:r w:rsidR="009A51FB" w:rsidRPr="00CB093C">
        <w:rPr>
          <w:rFonts w:ascii="Arial" w:hAnsi="Arial" w:cs="Arial"/>
          <w:szCs w:val="22"/>
        </w:rPr>
        <w:t>The sampling strategy for subtidal sites was modified to sample along 50</w:t>
      </w:r>
      <w:r w:rsidR="00A42BBC" w:rsidRPr="00CB093C">
        <w:rPr>
          <w:rFonts w:ascii="Arial" w:hAnsi="Arial" w:cs="Arial"/>
          <w:szCs w:val="22"/>
        </w:rPr>
        <w:t xml:space="preserve"> </w:t>
      </w:r>
      <w:r w:rsidR="009A51FB" w:rsidRPr="00CB093C">
        <w:rPr>
          <w:rFonts w:ascii="Arial" w:hAnsi="Arial" w:cs="Arial"/>
          <w:szCs w:val="22"/>
        </w:rPr>
        <w:t>m transects 2</w:t>
      </w:r>
      <w:r w:rsidR="00A42BBC" w:rsidRPr="00CB093C">
        <w:rPr>
          <w:rFonts w:ascii="Arial" w:hAnsi="Arial" w:cs="Arial"/>
          <w:szCs w:val="22"/>
        </w:rPr>
        <w:t>–</w:t>
      </w:r>
      <w:r w:rsidR="009A51FB" w:rsidRPr="00CB093C">
        <w:rPr>
          <w:rFonts w:ascii="Arial" w:hAnsi="Arial" w:cs="Arial"/>
          <w:szCs w:val="22"/>
        </w:rPr>
        <w:t xml:space="preserve">3 m apart (aligned along the depth contour) due to logistics of SCUBA diving in waters of poor visibility. </w:t>
      </w:r>
    </w:p>
    <w:p w14:paraId="0628DC1A" w14:textId="60DA178D" w:rsidR="00251E93" w:rsidRPr="00CB093C" w:rsidRDefault="00251E93" w:rsidP="00251E93">
      <w:pPr>
        <w:rPr>
          <w:rFonts w:ascii="Arial" w:hAnsi="Arial" w:cs="Arial"/>
          <w:szCs w:val="22"/>
        </w:rPr>
      </w:pPr>
      <w:r w:rsidRPr="00CB093C">
        <w:rPr>
          <w:rFonts w:ascii="Arial" w:hAnsi="Arial" w:cs="Arial"/>
          <w:szCs w:val="22"/>
        </w:rPr>
        <w:t xml:space="preserve">Seagrass species were identified as per Waycott </w:t>
      </w:r>
      <w:r w:rsidRPr="00CB093C">
        <w:rPr>
          <w:rFonts w:ascii="Arial" w:hAnsi="Arial" w:cs="Arial"/>
          <w:i/>
          <w:szCs w:val="22"/>
        </w:rPr>
        <w:t>et al.</w:t>
      </w:r>
      <w:r w:rsidRPr="00CB093C">
        <w:rPr>
          <w:rFonts w:ascii="Arial" w:hAnsi="Arial" w:cs="Arial"/>
          <w:szCs w:val="22"/>
        </w:rPr>
        <w:t xml:space="preserve"> (</w:t>
      </w:r>
      <w:hyperlink w:anchor="_ENREF_152" w:tooltip="Waycott, 2004 #888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 ExcludeAuth="1"&gt;&lt;Year&gt;2004&lt;/Year&gt;&lt;RecNum&gt;8887&lt;/RecNum&gt;&lt;DisplayText&gt;2004&lt;/DisplayText&gt;&lt;record&gt;&lt;rec-number&gt;8887&lt;/rec-number&gt;&lt;foreign-keys&gt;&lt;key app="EN" db-id="0eve55x9y5vfd6e9dacxtew4eatve2dzds9a" timestamp="0"&gt;8887&lt;/key&gt;&lt;/foreign-keys&gt;&lt;ref-type name="Book"&gt;6&lt;/ref-type&gt;&lt;contributors&gt;&lt;authors&gt;&lt;author&gt;Waycott, Michelle&lt;/author&gt;&lt;author&gt;McMahon, Kathryn Margaret&lt;/author&gt;&lt;author&gt;Mellors, Jane E.&lt;/author&gt;&lt;author&gt;Calladine, Ainsley&lt;/author&gt;&lt;author&gt;Kleine, Diana&lt;/author&gt;&lt;/authors&gt;&lt;/contributors&gt;&lt;titles&gt;&lt;title&gt;A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2004</w:t>
        </w:r>
        <w:r w:rsidR="00513C39" w:rsidRPr="00CB093C">
          <w:rPr>
            <w:rFonts w:ascii="Arial" w:hAnsi="Arial" w:cs="Arial"/>
            <w:szCs w:val="22"/>
          </w:rPr>
          <w:fldChar w:fldCharType="end"/>
        </w:r>
      </w:hyperlink>
      <w:r w:rsidRPr="00CB093C">
        <w:rPr>
          <w:rFonts w:ascii="Arial" w:hAnsi="Arial" w:cs="Arial"/>
          <w:szCs w:val="22"/>
        </w:rPr>
        <w:t xml:space="preserve">). Species were further categorised according to their life history traits and strategies and classified into colonising, opportunistic or persistent as broadly defined by Kilminister </w:t>
      </w:r>
      <w:r w:rsidRPr="00CB093C">
        <w:rPr>
          <w:rFonts w:ascii="Arial" w:hAnsi="Arial" w:cs="Arial"/>
          <w:i/>
          <w:szCs w:val="22"/>
        </w:rPr>
        <w:t>et al.</w:t>
      </w:r>
      <w:r w:rsidRPr="00CB093C">
        <w:rPr>
          <w:rFonts w:ascii="Arial" w:hAnsi="Arial" w:cs="Arial"/>
          <w:szCs w:val="22"/>
        </w:rPr>
        <w:t xml:space="preserve"> (</w:t>
      </w:r>
      <w:hyperlink w:anchor="_ENREF_75" w:tooltip="Kilminster, 2015 #10294"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 ExcludeAuth="1"&gt;&lt;Author&gt;Kilminster&lt;/Author&gt;&lt;Year&gt;2015&lt;/Year&gt;&lt;RecNum&gt;10294&lt;/RecNum&gt;&lt;DisplayText&gt;2015&lt;/DisplayText&gt;&lt;record&gt;&lt;rec-number&gt;10294&lt;/rec-number&gt;&lt;foreign-keys&gt;&lt;key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2015</w:t>
        </w:r>
        <w:r w:rsidR="00513C39" w:rsidRPr="00CB093C">
          <w:rPr>
            <w:rFonts w:ascii="Arial" w:hAnsi="Arial" w:cs="Arial"/>
            <w:szCs w:val="22"/>
          </w:rPr>
          <w:fldChar w:fldCharType="end"/>
        </w:r>
      </w:hyperlink>
      <w:r w:rsidRPr="00CB093C">
        <w:rPr>
          <w:rFonts w:ascii="Arial" w:hAnsi="Arial" w:cs="Arial"/>
          <w:szCs w:val="22"/>
        </w:rPr>
        <w:t xml:space="preserve">) (for detailed methods, see </w:t>
      </w:r>
      <w:hyperlink w:anchor="_ENREF_106" w:tooltip="McKenzie, 2018 #11715"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&lt;EndNote&gt;&lt;Cite&gt;&lt;Author&gt;McKenzie&lt;/Author&gt;&lt;Year&gt;2018&lt;/Year&gt;&lt;RecNum&gt;11715&lt;/RecNum&gt;&lt;DisplayText&gt;McKenzie&lt;style face="italic"&gt; et al.&lt;/style&gt; 2018b&lt;/DisplayText&gt;&lt;record&gt;&lt;rec-number&gt;11715&lt;/rec-number&gt;&lt;foreign-keys&gt;&lt;key app="EN" db-id="0eve55x9y5vfd6e9dacxtew4eatve2dzds9a" timestamp="1535166877"&gt;11715&lt;/key&gt;&lt;/foreign-keys&gt;&lt;ref-type name="Book Section"&gt;5&lt;/ref-type&gt;&lt;contributors&gt;&lt;authors&gt;&lt;author&gt;McKenzie, Len J&lt;/author&gt;&lt;author&gt;Waycott, Michelle&lt;/author&gt;&lt;author&gt;Unsworth Richard, K. F.&lt;/author&gt;&lt;author&gt;Collier, Catherine&lt;/author&gt;&lt;/authors&gt;&lt;/contributors&gt;&lt;titles&gt;&lt;title&gt;Inshore seagrass monitoring&lt;/title&gt;&lt;secondary-title&gt;Marine Monitoring Program quality assurance and quality control manual 2016/17&lt;/secondary-title&gt;&lt;/titles&gt;&lt;pages&gt;78-95&lt;/pages&gt;&lt;section&gt;6&lt;/section&gt;&lt;dates&gt;&lt;year&gt;2018&lt;/year&gt;&lt;/dates&gt;&lt;pub-location&gt;Townsville&lt;/pub-location&gt;&lt;publisher&gt;Great Barrier Reef Marine Park Authority &lt;/publisher&gt;&lt;urls&gt;&lt;/urls&gt;&lt;/record&gt;&lt;/Cite&gt;&lt;/EndNote&gt;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2018b</w:t>
        </w:r>
        <w:r w:rsidR="00513C39" w:rsidRPr="00CB093C">
          <w:rPr>
            <w:rFonts w:ascii="Arial" w:hAnsi="Arial" w:cs="Arial"/>
            <w:szCs w:val="22"/>
          </w:rPr>
          <w:fldChar w:fldCharType="end"/>
        </w:r>
      </w:hyperlink>
      <w:r w:rsidRPr="00CB093C">
        <w:rPr>
          <w:rFonts w:ascii="Arial" w:hAnsi="Arial" w:cs="Arial"/>
          <w:szCs w:val="22"/>
        </w:rPr>
        <w:t>).</w:t>
      </w:r>
    </w:p>
    <w:p w14:paraId="603FB3C7" w14:textId="03F607B8" w:rsidR="008300F2" w:rsidRPr="00CB093C" w:rsidRDefault="00595A52" w:rsidP="008300F2">
      <w:pPr>
        <w:spacing w:before="240"/>
        <w:rPr>
          <w:rFonts w:ascii="Arial" w:hAnsi="Arial" w:cs="Arial"/>
          <w:szCs w:val="22"/>
        </w:rPr>
      </w:pPr>
      <w:r w:rsidRPr="00CB093C">
        <w:rPr>
          <w:rFonts w:ascii="Arial" w:hAnsi="Arial" w:cs="Arial"/>
          <w:szCs w:val="22"/>
        </w:rPr>
        <w:t>Mapping of the meadow</w:t>
      </w:r>
      <w:r w:rsidR="00251E34" w:rsidRPr="00CB093C">
        <w:rPr>
          <w:rFonts w:ascii="Arial" w:hAnsi="Arial" w:cs="Arial"/>
          <w:szCs w:val="22"/>
        </w:rPr>
        <w:t xml:space="preserve"> extent and</w:t>
      </w:r>
      <w:r w:rsidRPr="00CB093C">
        <w:rPr>
          <w:rFonts w:ascii="Arial" w:hAnsi="Arial" w:cs="Arial"/>
          <w:szCs w:val="22"/>
        </w:rPr>
        <w:t xml:space="preserve"> landscape </w:t>
      </w:r>
      <w:r w:rsidR="0028494D" w:rsidRPr="00CB093C">
        <w:rPr>
          <w:rFonts w:ascii="Arial" w:hAnsi="Arial" w:cs="Arial"/>
          <w:szCs w:val="22"/>
        </w:rPr>
        <w:t>(</w:t>
      </w:r>
      <w:r w:rsidR="00251E34" w:rsidRPr="00CB093C">
        <w:rPr>
          <w:rFonts w:ascii="Arial" w:hAnsi="Arial" w:cs="Arial"/>
          <w:szCs w:val="22"/>
        </w:rPr>
        <w:t>i.e.</w:t>
      </w:r>
      <w:r w:rsidR="0028494D" w:rsidRPr="00CB093C">
        <w:rPr>
          <w:rFonts w:ascii="Arial" w:hAnsi="Arial" w:cs="Arial"/>
          <w:szCs w:val="22"/>
        </w:rPr>
        <w:t xml:space="preserve"> patches and scars) </w:t>
      </w:r>
      <w:r w:rsidRPr="00CB093C">
        <w:rPr>
          <w:rFonts w:ascii="Arial" w:hAnsi="Arial" w:cs="Arial"/>
          <w:szCs w:val="22"/>
        </w:rPr>
        <w:t xml:space="preserve">within each site </w:t>
      </w:r>
      <w:r w:rsidR="00C815FB" w:rsidRPr="00CB093C">
        <w:rPr>
          <w:rFonts w:ascii="Arial" w:hAnsi="Arial" w:cs="Arial"/>
          <w:szCs w:val="22"/>
        </w:rPr>
        <w:t xml:space="preserve">was also </w:t>
      </w:r>
      <w:r w:rsidRPr="00CB093C">
        <w:rPr>
          <w:rFonts w:ascii="Arial" w:hAnsi="Arial" w:cs="Arial"/>
          <w:szCs w:val="22"/>
        </w:rPr>
        <w:t>conducted</w:t>
      </w:r>
      <w:r w:rsidR="00C815FB" w:rsidRPr="00CB093C">
        <w:rPr>
          <w:rFonts w:ascii="Arial" w:hAnsi="Arial" w:cs="Arial"/>
          <w:szCs w:val="22"/>
        </w:rPr>
        <w:t xml:space="preserve"> as part of the monitoring</w:t>
      </w:r>
      <w:r w:rsidR="0028494D" w:rsidRPr="00CB093C">
        <w:rPr>
          <w:rFonts w:ascii="Arial" w:hAnsi="Arial" w:cs="Arial"/>
          <w:szCs w:val="22"/>
        </w:rPr>
        <w:t xml:space="preserve"> in both the late dry and late </w:t>
      </w:r>
      <w:r w:rsidR="000945E8" w:rsidRPr="00CB093C">
        <w:rPr>
          <w:rFonts w:ascii="Arial" w:hAnsi="Arial" w:cs="Arial"/>
          <w:szCs w:val="22"/>
        </w:rPr>
        <w:t>wet</w:t>
      </w:r>
      <w:r w:rsidR="0028494D" w:rsidRPr="00CB093C">
        <w:rPr>
          <w:rFonts w:ascii="Arial" w:hAnsi="Arial" w:cs="Arial"/>
          <w:szCs w:val="22"/>
        </w:rPr>
        <w:t xml:space="preserve"> periods</w:t>
      </w:r>
      <w:r w:rsidR="00C815FB" w:rsidRPr="00CB093C">
        <w:rPr>
          <w:rFonts w:ascii="Arial" w:hAnsi="Arial" w:cs="Arial"/>
          <w:szCs w:val="22"/>
        </w:rPr>
        <w:t>.</w:t>
      </w:r>
      <w:r w:rsidR="005E74A3" w:rsidRPr="00CB093C">
        <w:rPr>
          <w:rFonts w:ascii="Arial" w:hAnsi="Arial" w:cs="Arial"/>
          <w:szCs w:val="22"/>
        </w:rPr>
        <w:t xml:space="preserve"> </w:t>
      </w:r>
      <w:r w:rsidR="0028494D" w:rsidRPr="00CB093C">
        <w:rPr>
          <w:rFonts w:ascii="Arial" w:hAnsi="Arial" w:cs="Arial"/>
          <w:szCs w:val="22"/>
        </w:rPr>
        <w:t>Mapping followed standard methodologies (</w:t>
      </w:r>
      <w:hyperlink w:anchor="_ENREF_100" w:tooltip="McKenzie, 2001 #3703"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&lt;EndNote&gt;&lt;Cite&gt;&lt;Author&gt;McKenzie&lt;/Author&gt;&lt;Year&gt;2001&lt;/Year&gt;&lt;RecNum&gt;3703&lt;/RecNum&gt;&lt;DisplayText&gt;McKenzie&lt;style face="italic"&gt; et al.&lt;/style&gt; 2001&lt;/DisplayText&gt;&lt;record&gt;&lt;rec-number&gt;3703&lt;/rec-number&gt;&lt;foreign-keys&gt;&lt;key app="EN" db-id="0eve55x9y5vfd6e9dacxtew4eatve2dzds9a" timestamp="0"&gt;3703&lt;/key&gt;&lt;/foreign-keys&gt;&lt;ref-type name="Book Section"&gt;5&lt;/ref-type&gt;&lt;contributors&gt;&lt;authors&gt;&lt;author&gt;McKenzie, Len J&lt;/author&gt;&lt;author&gt;Finkbeiner, Mark A&lt;/author&gt;&lt;author&gt;Kirkman, Hugh&lt;/author&gt;&lt;/authors&gt;&lt;secondary-authors&gt;&lt;author&gt;Short, F.T.&lt;/author&gt;&lt;author&gt;Coles, R.G.&lt;/author&gt;&lt;/secondary-authors&gt;&lt;/contributors&gt;&lt;titles&gt;&lt;title&gt;Methods for mapping seagrass distribution&lt;/title&gt;&lt;secondary-title&gt;Global Seagrass Research Methods&lt;/secondary-title&gt;&lt;/titles&gt;&lt;periodical&gt;&lt;full-title&gt;Global Seagrass Research Methods&lt;/full-title&gt;&lt;/periodical&gt;&lt;pages&gt;101-121&lt;/pages&gt;&lt;section&gt;5&lt;/section&gt;&lt;dates&gt;&lt;year&gt;2001&lt;/year&gt;&lt;/dates&gt;&lt;pub-location&gt;Amsterdam&lt;/pub-location&gt;&lt;publisher&gt;Elsevier Science B.V.&lt;/publisher&gt;&lt;isbn&gt;0-404-50891-0&lt;/isbn&gt;&lt;urls&gt;&lt;related-urls&gt;&lt;url&gt;http://www.sciencedirect.com/science/article/pii/B9780444508911500062&lt;/url&gt;&lt;/related-urls&gt;&lt;/urls&gt;&lt;electronic-resource-num&gt;10.1016/B978-044450891-1/50006-2&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2001</w:t>
        </w:r>
        <w:r w:rsidR="00513C39" w:rsidRPr="00CB093C">
          <w:rPr>
            <w:rFonts w:ascii="Arial" w:hAnsi="Arial" w:cs="Arial"/>
            <w:szCs w:val="22"/>
          </w:rPr>
          <w:fldChar w:fldCharType="end"/>
        </w:r>
      </w:hyperlink>
      <w:r w:rsidR="0028494D" w:rsidRPr="00CB093C">
        <w:rPr>
          <w:rFonts w:ascii="Arial" w:hAnsi="Arial" w:cs="Arial"/>
          <w:szCs w:val="22"/>
        </w:rPr>
        <w:t xml:space="preserve">) </w:t>
      </w:r>
      <w:r w:rsidR="005E74A3" w:rsidRPr="00CB093C">
        <w:rPr>
          <w:rFonts w:ascii="Arial" w:hAnsi="Arial" w:cs="Arial"/>
          <w:szCs w:val="22"/>
        </w:rPr>
        <w:t xml:space="preserve">using a </w:t>
      </w:r>
      <w:r w:rsidR="0028494D" w:rsidRPr="00CB093C">
        <w:rPr>
          <w:rFonts w:ascii="Arial" w:hAnsi="Arial" w:cs="Arial"/>
          <w:szCs w:val="22"/>
        </w:rPr>
        <w:t xml:space="preserve">handheld </w:t>
      </w:r>
      <w:r w:rsidR="005E74A3" w:rsidRPr="00CB093C">
        <w:rPr>
          <w:rFonts w:ascii="Arial" w:hAnsi="Arial" w:cs="Arial"/>
          <w:szCs w:val="22"/>
        </w:rPr>
        <w:t>GPS</w:t>
      </w:r>
      <w:r w:rsidR="008300F2" w:rsidRPr="00CB093C">
        <w:rPr>
          <w:rFonts w:ascii="Arial" w:hAnsi="Arial" w:cs="Arial"/>
          <w:szCs w:val="22"/>
        </w:rPr>
        <w:t xml:space="preserve"> on foot. </w:t>
      </w:r>
      <w:r w:rsidR="008300F2" w:rsidRPr="00CB093C">
        <w:rPr>
          <w:rFonts w:ascii="Arial" w:hAnsi="Arial" w:cs="Arial"/>
          <w:szCs w:val="22"/>
          <w:lang w:eastAsia="en-AU"/>
        </w:rPr>
        <w:t>Where the seagrass landscape tended to grade from dense continuous cover to no cover</w:t>
      </w:r>
      <w:r w:rsidR="002F0124" w:rsidRPr="00CB093C">
        <w:rPr>
          <w:rFonts w:ascii="Arial" w:hAnsi="Arial" w:cs="Arial"/>
          <w:szCs w:val="22"/>
          <w:lang w:eastAsia="en-AU"/>
        </w:rPr>
        <w:t>,</w:t>
      </w:r>
      <w:r w:rsidR="008300F2" w:rsidRPr="00CB093C">
        <w:rPr>
          <w:rFonts w:ascii="Arial" w:hAnsi="Arial" w:cs="Arial"/>
          <w:szCs w:val="22"/>
          <w:lang w:eastAsia="en-AU"/>
        </w:rPr>
        <w:t xml:space="preserve"> over a continuum that included small patches and shoots of decreasing density, the </w:t>
      </w:r>
      <w:r w:rsidR="00167865" w:rsidRPr="00CB093C">
        <w:rPr>
          <w:rFonts w:ascii="Arial" w:hAnsi="Arial" w:cs="Arial"/>
          <w:szCs w:val="22"/>
          <w:lang w:eastAsia="en-AU"/>
        </w:rPr>
        <w:t xml:space="preserve">meadow </w:t>
      </w:r>
      <w:r w:rsidR="008300F2" w:rsidRPr="00CB093C">
        <w:rPr>
          <w:rFonts w:ascii="Arial" w:hAnsi="Arial" w:cs="Arial"/>
          <w:szCs w:val="22"/>
          <w:lang w:eastAsia="en-AU"/>
        </w:rPr>
        <w:t>edge was delineated where there was a gap with the distance of more than 3 metres (i.e. accuracy of the GPS).</w:t>
      </w:r>
      <w:r w:rsidR="00446C3C" w:rsidRPr="00CB093C">
        <w:rPr>
          <w:rFonts w:ascii="Arial" w:hAnsi="Arial" w:cs="Arial"/>
          <w:szCs w:val="22"/>
          <w:lang w:eastAsia="en-AU"/>
        </w:rPr>
        <w:t xml:space="preserve"> Therefore the entire 5.5 hectare </w:t>
      </w:r>
      <w:r w:rsidR="00DB32BE" w:rsidRPr="00CB093C">
        <w:rPr>
          <w:rFonts w:ascii="Arial" w:hAnsi="Arial" w:cs="Arial"/>
          <w:szCs w:val="22"/>
          <w:lang w:eastAsia="en-AU"/>
        </w:rPr>
        <w:t>site</w:t>
      </w:r>
      <w:r w:rsidR="00446C3C" w:rsidRPr="00CB093C">
        <w:rPr>
          <w:rFonts w:ascii="Arial" w:hAnsi="Arial" w:cs="Arial"/>
          <w:szCs w:val="22"/>
          <w:lang w:eastAsia="en-AU"/>
        </w:rPr>
        <w:t xml:space="preserve"> was mapped (seagrass and no seagrass). </w:t>
      </w:r>
    </w:p>
    <w:p w14:paraId="64F97FC2" w14:textId="50907F9D" w:rsidR="000168DB" w:rsidRPr="00CB093C" w:rsidRDefault="000168DB" w:rsidP="00AD06D4">
      <w:pPr>
        <w:pStyle w:val="Heading3"/>
        <w:numPr>
          <w:ilvl w:val="2"/>
          <w:numId w:val="4"/>
        </w:numPr>
        <w:rPr>
          <w:rFonts w:ascii="Arial" w:hAnsi="Arial" w:cs="Arial"/>
          <w:sz w:val="22"/>
          <w:szCs w:val="22"/>
        </w:rPr>
      </w:pPr>
      <w:bookmarkStart w:id="83" w:name="_Toc184101946"/>
      <w:bookmarkStart w:id="84" w:name="_Toc232845894"/>
      <w:bookmarkStart w:id="85" w:name="_Toc11394697"/>
      <w:r w:rsidRPr="00CB093C">
        <w:rPr>
          <w:rFonts w:ascii="Arial" w:hAnsi="Arial" w:cs="Arial"/>
          <w:sz w:val="22"/>
          <w:szCs w:val="22"/>
        </w:rPr>
        <w:t xml:space="preserve">Seagrass reproductive </w:t>
      </w:r>
      <w:bookmarkEnd w:id="83"/>
      <w:r w:rsidR="003B152A" w:rsidRPr="00CB093C">
        <w:rPr>
          <w:rFonts w:ascii="Arial" w:hAnsi="Arial" w:cs="Arial"/>
          <w:sz w:val="22"/>
          <w:szCs w:val="22"/>
        </w:rPr>
        <w:t>status</w:t>
      </w:r>
      <w:bookmarkEnd w:id="84"/>
      <w:bookmarkEnd w:id="85"/>
    </w:p>
    <w:p w14:paraId="52A71443" w14:textId="127C6053" w:rsidR="000168DB" w:rsidRPr="00CB093C" w:rsidRDefault="000168DB" w:rsidP="000168DB">
      <w:pPr>
        <w:spacing w:before="0" w:after="0"/>
        <w:rPr>
          <w:rFonts w:ascii="Arial" w:hAnsi="Arial" w:cs="Arial"/>
          <w:szCs w:val="22"/>
        </w:rPr>
      </w:pPr>
      <w:bookmarkStart w:id="86" w:name="_Toc175991047"/>
      <w:bookmarkStart w:id="87" w:name="_Toc232845895"/>
      <w:bookmarkStart w:id="88" w:name="_Toc184101947"/>
      <w:r w:rsidRPr="00CB093C">
        <w:rPr>
          <w:rFonts w:ascii="Arial" w:hAnsi="Arial" w:cs="Arial"/>
          <w:szCs w:val="22"/>
        </w:rPr>
        <w:t>Seagrass reproductive health was assessed from samples collected in the late dry 201</w:t>
      </w:r>
      <w:r w:rsidR="002C6858" w:rsidRPr="00CB093C">
        <w:rPr>
          <w:rFonts w:ascii="Arial" w:hAnsi="Arial" w:cs="Arial"/>
          <w:szCs w:val="22"/>
        </w:rPr>
        <w:t>7</w:t>
      </w:r>
      <w:r w:rsidRPr="00CB093C">
        <w:rPr>
          <w:rFonts w:ascii="Arial" w:hAnsi="Arial" w:cs="Arial"/>
          <w:szCs w:val="22"/>
        </w:rPr>
        <w:t xml:space="preserve"> and late </w:t>
      </w:r>
      <w:r w:rsidR="000945E8" w:rsidRPr="00CB093C">
        <w:rPr>
          <w:rFonts w:ascii="Arial" w:hAnsi="Arial" w:cs="Arial"/>
          <w:szCs w:val="22"/>
        </w:rPr>
        <w:t>wet</w:t>
      </w:r>
      <w:r w:rsidRPr="00CB093C">
        <w:rPr>
          <w:rFonts w:ascii="Arial" w:hAnsi="Arial" w:cs="Arial"/>
          <w:szCs w:val="22"/>
        </w:rPr>
        <w:t xml:space="preserve"> 201</w:t>
      </w:r>
      <w:r w:rsidR="002C6858" w:rsidRPr="00CB093C">
        <w:rPr>
          <w:rFonts w:ascii="Arial" w:hAnsi="Arial" w:cs="Arial"/>
          <w:szCs w:val="22"/>
        </w:rPr>
        <w:t>8</w:t>
      </w:r>
      <w:r w:rsidRPr="00CB093C">
        <w:rPr>
          <w:rFonts w:ascii="Arial" w:hAnsi="Arial" w:cs="Arial"/>
          <w:szCs w:val="22"/>
        </w:rPr>
        <w:t xml:space="preserve"> at locations identified in </w:t>
      </w:r>
      <w:r w:rsidR="00EB19B4" w:rsidRPr="00CB093C">
        <w:rPr>
          <w:rFonts w:ascii="Arial" w:hAnsi="Arial" w:cs="Arial"/>
          <w:szCs w:val="22"/>
        </w:rPr>
        <w:fldChar w:fldCharType="begin"/>
      </w:r>
      <w:r w:rsidR="00EB19B4" w:rsidRPr="00CB093C">
        <w:rPr>
          <w:rFonts w:ascii="Arial" w:hAnsi="Arial" w:cs="Arial"/>
          <w:szCs w:val="22"/>
        </w:rPr>
        <w:instrText xml:space="preserve"> REF _Ref236539751 \h </w:instrText>
      </w:r>
      <w:r w:rsidR="00DA741D" w:rsidRPr="00CB093C">
        <w:rPr>
          <w:rFonts w:ascii="Arial" w:hAnsi="Arial" w:cs="Arial"/>
          <w:szCs w:val="22"/>
        </w:rPr>
        <w:instrText xml:space="preserve"> \* MERGEFORMAT </w:instrText>
      </w:r>
      <w:r w:rsidR="00EB19B4" w:rsidRPr="00CB093C">
        <w:rPr>
          <w:rFonts w:ascii="Arial" w:hAnsi="Arial" w:cs="Arial"/>
          <w:szCs w:val="22"/>
        </w:rPr>
      </w:r>
      <w:r w:rsidR="00EB19B4" w:rsidRPr="00CB093C">
        <w:rPr>
          <w:rFonts w:ascii="Arial" w:hAnsi="Arial" w:cs="Arial"/>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w:t>
      </w:r>
      <w:r w:rsidR="00EB19B4" w:rsidRPr="00CB093C">
        <w:rPr>
          <w:rFonts w:ascii="Arial" w:hAnsi="Arial" w:cs="Arial"/>
          <w:szCs w:val="22"/>
        </w:rPr>
        <w:fldChar w:fldCharType="end"/>
      </w:r>
      <w:r w:rsidRPr="00CB093C">
        <w:rPr>
          <w:rFonts w:ascii="Arial" w:hAnsi="Arial" w:cs="Arial"/>
          <w:szCs w:val="22"/>
        </w:rPr>
        <w:t>. Samples were processed according to standard methodologies (</w:t>
      </w:r>
      <w:hyperlink w:anchor="_ENREF_107" w:tooltip="McKenzie, 2019 #11986"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&lt;EndNote&gt;&lt;Cite&gt;&lt;Author&gt;McKenzie&lt;/Author&gt;&lt;Year&gt;2019&lt;/Year&gt;&lt;RecNum&gt;11986&lt;/RecNum&gt;&lt;DisplayText&gt;McKenzie&lt;style face="italic"&gt; et al.&lt;/style&gt; 2019&lt;/DisplayText&gt;&lt;record&gt;&lt;rec-number&gt;11986&lt;/rec-number&gt;&lt;foreign-keys&gt;&lt;key app="EN" db-id="0eve55x9y5vfd6e9dacxtew4eatve2dzds9a" timestamp="1554243817"&gt;11986&lt;/key&gt;&lt;/foreign-keys&gt;&lt;ref-type name="Book Section"&gt;5&lt;/ref-type&gt;&lt;contributors&gt;&lt;authors&gt;&lt;author&gt;McKenzie, Len J&lt;/author&gt;&lt;author&gt;Waycott, Michelle&lt;/author&gt;&lt;author&gt;Unsworth Richard, K. F.&lt;/author&gt;&lt;author&gt;Collier, Catherine&lt;/author&gt;&lt;/authors&gt;&lt;secondary-authors&gt;&lt;author&gt;Great Barrier Reef Marine Park Authority,&lt;/author&gt;&lt;/secondary-authors&gt;&lt;/contributors&gt;&lt;titles&gt;&lt;title&gt;Inshore seagrass monitoring&lt;/title&gt;&lt;secondary-title&gt;Marine Monitoring Program quality assurance and quality control manual 2017–2018&lt;/secondary-title&gt;&lt;/titles&gt;&lt;pages&gt;73-98&lt;/pages&gt;&lt;section&gt;6&lt;/section&gt;&lt;dates&gt;&lt;year&gt;2019&lt;/year&gt;&lt;/dates&gt;&lt;pub-location&gt;Townsville&lt;/pub-location&gt;&lt;publisher&gt;Great Barrier Reef Marine Park Authority &lt;/publisher&gt;&lt;urls&gt;&lt;/urls&gt;&lt;/record&gt;&lt;/Cite&gt;&lt;/EndNote&gt;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2019</w:t>
        </w:r>
        <w:r w:rsidR="00513C39" w:rsidRPr="00CB093C">
          <w:rPr>
            <w:rFonts w:ascii="Arial" w:hAnsi="Arial" w:cs="Arial"/>
            <w:szCs w:val="22"/>
          </w:rPr>
          <w:fldChar w:fldCharType="end"/>
        </w:r>
      </w:hyperlink>
      <w:r w:rsidR="00F326E4" w:rsidRPr="00CB093C">
        <w:rPr>
          <w:rFonts w:ascii="Arial" w:hAnsi="Arial" w:cs="Arial"/>
          <w:szCs w:val="22"/>
        </w:rPr>
        <w:t>)</w:t>
      </w:r>
      <w:r w:rsidRPr="00CB093C">
        <w:rPr>
          <w:rFonts w:ascii="Arial" w:hAnsi="Arial" w:cs="Arial"/>
          <w:szCs w:val="22"/>
        </w:rPr>
        <w:t>.</w:t>
      </w:r>
    </w:p>
    <w:p w14:paraId="6EC11F8F" w14:textId="07A75745" w:rsidR="000168DB" w:rsidRPr="00CB093C" w:rsidRDefault="000168DB" w:rsidP="000168DB">
      <w:pPr>
        <w:rPr>
          <w:rFonts w:ascii="Arial" w:hAnsi="Arial" w:cs="Arial"/>
          <w:szCs w:val="22"/>
        </w:rPr>
      </w:pPr>
      <w:r w:rsidRPr="00CB093C">
        <w:rPr>
          <w:rFonts w:ascii="Arial" w:hAnsi="Arial" w:cs="Arial"/>
          <w:szCs w:val="22"/>
        </w:rPr>
        <w:t>In the field, 15 haphazardly placed cores (100</w:t>
      </w:r>
      <w:r w:rsidR="00251E93" w:rsidRPr="00CB093C">
        <w:rPr>
          <w:rFonts w:ascii="Arial" w:hAnsi="Arial" w:cs="Arial"/>
          <w:szCs w:val="22"/>
        </w:rPr>
        <w:t xml:space="preserve"> </w:t>
      </w:r>
      <w:r w:rsidRPr="00CB093C">
        <w:rPr>
          <w:rFonts w:ascii="Arial" w:hAnsi="Arial" w:cs="Arial"/>
          <w:szCs w:val="22"/>
        </w:rPr>
        <w:t>mm diameter x 100</w:t>
      </w:r>
      <w:r w:rsidR="00251E93" w:rsidRPr="00CB093C">
        <w:rPr>
          <w:rFonts w:ascii="Arial" w:hAnsi="Arial" w:cs="Arial"/>
          <w:szCs w:val="22"/>
        </w:rPr>
        <w:t xml:space="preserve"> </w:t>
      </w:r>
      <w:r w:rsidRPr="00CB093C">
        <w:rPr>
          <w:rFonts w:ascii="Arial" w:hAnsi="Arial" w:cs="Arial"/>
          <w:szCs w:val="22"/>
        </w:rPr>
        <w:t xml:space="preserve">mm depth) of seagrass were collected </w:t>
      </w:r>
      <w:r w:rsidR="00AF378C" w:rsidRPr="00CB093C">
        <w:rPr>
          <w:rFonts w:ascii="Arial" w:hAnsi="Arial" w:cs="Arial"/>
          <w:szCs w:val="22"/>
        </w:rPr>
        <w:t xml:space="preserve">within each site </w:t>
      </w:r>
      <w:r w:rsidRPr="00CB093C">
        <w:rPr>
          <w:rFonts w:ascii="Arial" w:hAnsi="Arial" w:cs="Arial"/>
          <w:szCs w:val="22"/>
        </w:rPr>
        <w:t xml:space="preserve">from an area adjacent (of similar cover and species composition) to </w:t>
      </w:r>
      <w:r w:rsidR="00AF378C" w:rsidRPr="00CB093C">
        <w:rPr>
          <w:rFonts w:ascii="Arial" w:hAnsi="Arial" w:cs="Arial"/>
          <w:szCs w:val="22"/>
        </w:rPr>
        <w:t>the</w:t>
      </w:r>
      <w:r w:rsidRPr="00CB093C">
        <w:rPr>
          <w:rFonts w:ascii="Arial" w:hAnsi="Arial" w:cs="Arial"/>
          <w:szCs w:val="22"/>
        </w:rPr>
        <w:t xml:space="preserve"> monitoring </w:t>
      </w:r>
      <w:r w:rsidR="00AF378C" w:rsidRPr="00CB093C">
        <w:rPr>
          <w:rFonts w:ascii="Arial" w:hAnsi="Arial" w:cs="Arial"/>
          <w:szCs w:val="22"/>
        </w:rPr>
        <w:t>transects</w:t>
      </w:r>
      <w:r w:rsidRPr="00CB093C">
        <w:rPr>
          <w:rFonts w:ascii="Arial" w:hAnsi="Arial" w:cs="Arial"/>
          <w:szCs w:val="22"/>
        </w:rPr>
        <w:t xml:space="preserve">. </w:t>
      </w:r>
      <w:bookmarkStart w:id="89" w:name="_Toc175991046"/>
      <w:r w:rsidRPr="00CB093C">
        <w:rPr>
          <w:rFonts w:ascii="Arial" w:hAnsi="Arial" w:cs="Arial"/>
          <w:szCs w:val="22"/>
        </w:rPr>
        <w:t xml:space="preserve">In the laboratory, reproductive structures (spathes, fruits, </w:t>
      </w:r>
      <w:r w:rsidRPr="00CB093C">
        <w:rPr>
          <w:rFonts w:ascii="Arial" w:hAnsi="Arial" w:cs="Arial"/>
          <w:szCs w:val="22"/>
        </w:rPr>
        <w:lastRenderedPageBreak/>
        <w:t xml:space="preserve">female and male flowers) of plants from each core were </w:t>
      </w:r>
      <w:bookmarkEnd w:id="89"/>
      <w:r w:rsidRPr="00CB093C">
        <w:rPr>
          <w:rFonts w:ascii="Arial" w:hAnsi="Arial" w:cs="Arial"/>
          <w:szCs w:val="22"/>
        </w:rPr>
        <w:t>identified and counted for each sample and species. Reproductive effort was calculated as number of reproductive structures (fruits, flowers, spathes; species pooled) per core for analysis.</w:t>
      </w:r>
    </w:p>
    <w:p w14:paraId="3CD77DA4" w14:textId="311CA28D" w:rsidR="003D1F7F" w:rsidRPr="00CB093C" w:rsidRDefault="000168DB" w:rsidP="00E742E9">
      <w:pPr>
        <w:rPr>
          <w:rFonts w:ascii="Arial" w:hAnsi="Arial" w:cs="Arial"/>
          <w:szCs w:val="22"/>
        </w:rPr>
      </w:pPr>
      <w:r w:rsidRPr="00CB093C">
        <w:rPr>
          <w:rFonts w:ascii="Arial" w:hAnsi="Arial" w:cs="Arial"/>
          <w:szCs w:val="22"/>
        </w:rPr>
        <w:t xml:space="preserve">Seeds banks and abundance of germinated seeds were sampled according to standard methods </w:t>
      </w:r>
      <w:r w:rsidR="00935167" w:rsidRPr="00CB093C">
        <w:rPr>
          <w:rFonts w:ascii="Arial" w:hAnsi="Arial" w:cs="Arial"/>
          <w:szCs w:val="22"/>
        </w:rPr>
        <w:t>(</w:t>
      </w:r>
      <w:hyperlink w:anchor="_ENREF_107" w:tooltip="McKenzie, 2019 #11986"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&lt;EndNote&gt;&lt;Cite&gt;&lt;Author&gt;McKenzie&lt;/Author&gt;&lt;Year&gt;2019&lt;/Year&gt;&lt;RecNum&gt;11986&lt;/RecNum&gt;&lt;DisplayText&gt;McKenzie&lt;style face="italic"&gt; et al.&lt;/style&gt; 2019&lt;/DisplayText&gt;&lt;record&gt;&lt;rec-number&gt;11986&lt;/rec-number&gt;&lt;foreign-keys&gt;&lt;key app="EN" db-id="0eve55x9y5vfd6e9dacxtew4eatve2dzds9a" timestamp="1554243817"&gt;11986&lt;/key&gt;&lt;/foreign-keys&gt;&lt;ref-type name="Book Section"&gt;5&lt;/ref-type&gt;&lt;contributors&gt;&lt;authors&gt;&lt;author&gt;McKenzie, Len J&lt;/author&gt;&lt;author&gt;Waycott, Michelle&lt;/author&gt;&lt;author&gt;Unsworth Richard, K. F.&lt;/author&gt;&lt;author&gt;Collier, Catherine&lt;/author&gt;&lt;/authors&gt;&lt;secondary-authors&gt;&lt;author&gt;Great Barrier Reef Marine Park Authority,&lt;/author&gt;&lt;/secondary-authors&gt;&lt;/contributors&gt;&lt;titles&gt;&lt;title&gt;Inshore seagrass monitoring&lt;/title&gt;&lt;secondary-title&gt;Marine Monitoring Program quality assurance and quality control manual 2017–2018&lt;/secondary-title&gt;&lt;/titles&gt;&lt;pages&gt;73-98&lt;/pages&gt;&lt;section&gt;6&lt;/section&gt;&lt;dates&gt;&lt;year&gt;2019&lt;/year&gt;&lt;/dates&gt;&lt;pub-location&gt;Townsville&lt;/pub-location&gt;&lt;publisher&gt;Great Barrier Reef Marine Park Authority &lt;/publisher&gt;&lt;urls&gt;&lt;/urls&gt;&lt;/record&gt;&lt;/Cite&gt;&lt;/EndNote&gt;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2019</w:t>
        </w:r>
        <w:r w:rsidR="00513C39" w:rsidRPr="00CB093C">
          <w:rPr>
            <w:rFonts w:ascii="Arial" w:hAnsi="Arial" w:cs="Arial"/>
            <w:szCs w:val="22"/>
          </w:rPr>
          <w:fldChar w:fldCharType="end"/>
        </w:r>
      </w:hyperlink>
      <w:r w:rsidR="00935167" w:rsidRPr="00CB093C">
        <w:rPr>
          <w:rFonts w:ascii="Arial" w:hAnsi="Arial" w:cs="Arial"/>
          <w:szCs w:val="22"/>
        </w:rPr>
        <w:t>)</w:t>
      </w:r>
      <w:r w:rsidRPr="00CB093C">
        <w:rPr>
          <w:rFonts w:ascii="Arial" w:hAnsi="Arial" w:cs="Arial"/>
          <w:szCs w:val="22"/>
        </w:rPr>
        <w:t xml:space="preserve"> by sieving (2mm mesh) 30 cores (50mm diameter, 100mm depth) of sediment collected across each site and counting the seeds retained in each. For </w:t>
      </w:r>
      <w:r w:rsidRPr="00CB093C">
        <w:rPr>
          <w:rFonts w:ascii="Arial" w:hAnsi="Arial" w:cs="Arial"/>
          <w:i/>
          <w:szCs w:val="22"/>
        </w:rPr>
        <w:t>Zostera muelleri</w:t>
      </w:r>
      <w:r w:rsidRPr="00CB093C">
        <w:rPr>
          <w:rFonts w:ascii="Arial" w:hAnsi="Arial" w:cs="Arial"/>
          <w:szCs w:val="22"/>
        </w:rPr>
        <w:t>, where the seed are &lt;1</w:t>
      </w:r>
      <w:r w:rsidR="00251E93" w:rsidRPr="00CB093C">
        <w:rPr>
          <w:rFonts w:ascii="Arial" w:hAnsi="Arial" w:cs="Arial"/>
          <w:szCs w:val="22"/>
        </w:rPr>
        <w:t xml:space="preserve"> </w:t>
      </w:r>
      <w:r w:rsidRPr="00CB093C">
        <w:rPr>
          <w:rFonts w:ascii="Arial" w:hAnsi="Arial" w:cs="Arial"/>
          <w:szCs w:val="22"/>
        </w:rPr>
        <w:t>mm diameter, intact cores (18) were collected and returned to the laboratory where they were washed through a 710</w:t>
      </w:r>
      <w:r w:rsidR="00251E93" w:rsidRPr="00CB093C">
        <w:rPr>
          <w:rFonts w:ascii="Arial" w:hAnsi="Arial" w:cs="Arial"/>
          <w:szCs w:val="22"/>
        </w:rPr>
        <w:t xml:space="preserve"> </w:t>
      </w:r>
      <w:r w:rsidRPr="00CB093C">
        <w:rPr>
          <w:rFonts w:ascii="Arial" w:hAnsi="Arial" w:cs="Arial"/>
          <w:szCs w:val="22"/>
        </w:rPr>
        <w:t>µm sieve and seeds identified using a hand lens/microscope.</w:t>
      </w:r>
      <w:bookmarkEnd w:id="86"/>
      <w:bookmarkEnd w:id="87"/>
      <w:bookmarkEnd w:id="88"/>
    </w:p>
    <w:p w14:paraId="31FBCD0E" w14:textId="1CE642B3" w:rsidR="004902B0" w:rsidRPr="00CB093C" w:rsidRDefault="004902B0" w:rsidP="00AD06D4">
      <w:pPr>
        <w:pStyle w:val="Heading3"/>
        <w:numPr>
          <w:ilvl w:val="2"/>
          <w:numId w:val="4"/>
        </w:numPr>
        <w:rPr>
          <w:rFonts w:ascii="Arial" w:hAnsi="Arial" w:cs="Arial"/>
          <w:sz w:val="22"/>
          <w:szCs w:val="22"/>
        </w:rPr>
      </w:pPr>
      <w:bookmarkStart w:id="90" w:name="_Toc11394698"/>
      <w:bookmarkStart w:id="91" w:name="_Toc184101949"/>
      <w:r w:rsidRPr="00CB093C">
        <w:rPr>
          <w:rFonts w:ascii="Arial" w:hAnsi="Arial" w:cs="Arial"/>
          <w:sz w:val="22"/>
          <w:szCs w:val="22"/>
        </w:rPr>
        <w:t xml:space="preserve">Seagrass </w:t>
      </w:r>
      <w:r w:rsidR="003B152A" w:rsidRPr="00CB093C">
        <w:rPr>
          <w:rFonts w:ascii="Arial" w:hAnsi="Arial" w:cs="Arial"/>
          <w:sz w:val="22"/>
          <w:szCs w:val="22"/>
        </w:rPr>
        <w:t xml:space="preserve">leaf </w:t>
      </w:r>
      <w:r w:rsidRPr="00CB093C">
        <w:rPr>
          <w:rFonts w:ascii="Arial" w:hAnsi="Arial" w:cs="Arial"/>
          <w:sz w:val="22"/>
          <w:szCs w:val="22"/>
        </w:rPr>
        <w:t>tissue nutrients</w:t>
      </w:r>
      <w:bookmarkEnd w:id="90"/>
    </w:p>
    <w:p w14:paraId="073DA920" w14:textId="555821E4" w:rsidR="00F613E3" w:rsidRPr="00CB093C" w:rsidRDefault="003D1F7F" w:rsidP="003D1F7F">
      <w:pPr>
        <w:rPr>
          <w:rFonts w:ascii="Arial" w:hAnsi="Arial" w:cs="Arial"/>
          <w:szCs w:val="22"/>
        </w:rPr>
      </w:pPr>
      <w:r w:rsidRPr="00CB093C">
        <w:rPr>
          <w:rFonts w:ascii="Arial" w:hAnsi="Arial" w:cs="Arial"/>
          <w:szCs w:val="22"/>
        </w:rPr>
        <w:t>In the late dry season (October 201</w:t>
      </w:r>
      <w:r w:rsidR="002C6858" w:rsidRPr="00CB093C">
        <w:rPr>
          <w:rFonts w:ascii="Arial" w:hAnsi="Arial" w:cs="Arial"/>
          <w:szCs w:val="22"/>
        </w:rPr>
        <w:t>7</w:t>
      </w:r>
      <w:r w:rsidR="00F613E3" w:rsidRPr="00CB093C">
        <w:rPr>
          <w:rFonts w:ascii="Arial" w:hAnsi="Arial" w:cs="Arial"/>
          <w:szCs w:val="22"/>
        </w:rPr>
        <w:t>)</w:t>
      </w:r>
      <w:r w:rsidRPr="00CB093C">
        <w:rPr>
          <w:rFonts w:ascii="Arial" w:hAnsi="Arial" w:cs="Arial"/>
          <w:szCs w:val="22"/>
        </w:rPr>
        <w:t xml:space="preserve">, </w:t>
      </w:r>
      <w:r w:rsidR="0042061B" w:rsidRPr="00CB093C">
        <w:rPr>
          <w:rFonts w:ascii="Arial" w:hAnsi="Arial" w:cs="Arial"/>
          <w:szCs w:val="22"/>
        </w:rPr>
        <w:t xml:space="preserve">leaf tissue samples from the </w:t>
      </w:r>
      <w:r w:rsidRPr="00CB093C">
        <w:rPr>
          <w:rFonts w:ascii="Arial" w:hAnsi="Arial" w:cs="Arial"/>
          <w:szCs w:val="22"/>
        </w:rPr>
        <w:t xml:space="preserve">foundational seagrass species </w:t>
      </w:r>
      <w:r w:rsidR="0042061B" w:rsidRPr="00CB093C">
        <w:rPr>
          <w:rFonts w:ascii="Arial" w:hAnsi="Arial" w:cs="Arial"/>
          <w:szCs w:val="22"/>
        </w:rPr>
        <w:t xml:space="preserve">were collected from each monitoring site for </w:t>
      </w:r>
      <w:r w:rsidRPr="00CB093C">
        <w:rPr>
          <w:rFonts w:ascii="Arial" w:hAnsi="Arial" w:cs="Arial"/>
          <w:szCs w:val="22"/>
        </w:rPr>
        <w:t>nutrient</w:t>
      </w:r>
      <w:r w:rsidR="0042061B" w:rsidRPr="00CB093C">
        <w:rPr>
          <w:rFonts w:ascii="Arial" w:hAnsi="Arial" w:cs="Arial"/>
          <w:szCs w:val="22"/>
        </w:rPr>
        <w:t xml:space="preserve"> content analysis</w:t>
      </w:r>
      <w:r w:rsidRPr="00CB093C">
        <w:rPr>
          <w:rFonts w:ascii="Arial" w:hAnsi="Arial" w:cs="Arial"/>
          <w:szCs w:val="22"/>
        </w:rPr>
        <w:t xml:space="preserve"> (</w:t>
      </w:r>
      <w:r w:rsidR="00EB19B4" w:rsidRPr="00CB093C">
        <w:rPr>
          <w:rFonts w:ascii="Arial" w:hAnsi="Arial" w:cs="Arial"/>
          <w:szCs w:val="22"/>
        </w:rPr>
        <w:fldChar w:fldCharType="begin"/>
      </w:r>
      <w:r w:rsidR="00EB19B4" w:rsidRPr="00CB093C">
        <w:rPr>
          <w:rFonts w:ascii="Arial" w:hAnsi="Arial" w:cs="Arial"/>
          <w:szCs w:val="22"/>
        </w:rPr>
        <w:instrText xml:space="preserve"> REF _Ref236539751 \h </w:instrText>
      </w:r>
      <w:r w:rsidR="00DA741D" w:rsidRPr="00CB093C">
        <w:rPr>
          <w:rFonts w:ascii="Arial" w:hAnsi="Arial" w:cs="Arial"/>
          <w:szCs w:val="22"/>
        </w:rPr>
        <w:instrText xml:space="preserve"> \* MERGEFORMAT </w:instrText>
      </w:r>
      <w:r w:rsidR="00EB19B4" w:rsidRPr="00CB093C">
        <w:rPr>
          <w:rFonts w:ascii="Arial" w:hAnsi="Arial" w:cs="Arial"/>
          <w:szCs w:val="22"/>
        </w:rPr>
      </w:r>
      <w:r w:rsidR="00EB19B4" w:rsidRPr="00CB093C">
        <w:rPr>
          <w:rFonts w:ascii="Arial" w:hAnsi="Arial" w:cs="Arial"/>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w:t>
      </w:r>
      <w:r w:rsidR="00EB19B4" w:rsidRPr="00CB093C">
        <w:rPr>
          <w:rFonts w:ascii="Arial" w:hAnsi="Arial" w:cs="Arial"/>
          <w:szCs w:val="22"/>
        </w:rPr>
        <w:fldChar w:fldCharType="end"/>
      </w:r>
      <w:r w:rsidRPr="00CB093C">
        <w:rPr>
          <w:rFonts w:ascii="Arial" w:hAnsi="Arial" w:cs="Arial"/>
          <w:szCs w:val="22"/>
        </w:rPr>
        <w:t>).</w:t>
      </w:r>
      <w:r w:rsidR="00EB19B4" w:rsidRPr="00CB093C">
        <w:rPr>
          <w:rFonts w:ascii="Arial" w:hAnsi="Arial" w:cs="Arial"/>
          <w:szCs w:val="22"/>
        </w:rPr>
        <w:t xml:space="preserve"> </w:t>
      </w:r>
      <w:r w:rsidRPr="00CB093C">
        <w:rPr>
          <w:rFonts w:ascii="Arial" w:hAnsi="Arial" w:cs="Arial"/>
          <w:szCs w:val="22"/>
        </w:rPr>
        <w:t xml:space="preserve">For nutrient status comparisons, collections </w:t>
      </w:r>
      <w:r w:rsidR="00F613E3" w:rsidRPr="00CB093C">
        <w:rPr>
          <w:rFonts w:ascii="Arial" w:hAnsi="Arial" w:cs="Arial"/>
          <w:szCs w:val="22"/>
        </w:rPr>
        <w:t>are made</w:t>
      </w:r>
      <w:r w:rsidRPr="00CB093C">
        <w:rPr>
          <w:rFonts w:ascii="Arial" w:hAnsi="Arial" w:cs="Arial"/>
          <w:szCs w:val="22"/>
        </w:rPr>
        <w:t xml:space="preserve"> during the growth season (e.g. late dry when nutrient contents are at a minimum) (</w:t>
      </w:r>
      <w:hyperlink w:anchor="_ENREF_114" w:tooltip="Mellors, 2005 #3739"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&lt;EndNote&gt;&lt;Cite&gt;&lt;Author&gt;Mellors&lt;/Author&gt;&lt;Year&gt;2005&lt;/Year&gt;&lt;RecNum&gt;3739&lt;/RecNum&gt;&lt;DisplayText&gt;Mellors&lt;style face="italic"&gt; et al.&lt;/style&gt; 2005&lt;/DisplayText&gt;&lt;record&gt;&lt;rec-number&gt;3739&lt;/rec-number&gt;&lt;foreign-keys&gt;&lt;key app="EN" db-id="0eve55x9y5vfd6e9dacxtew4eatve2dzds9a" timestamp="0"&gt;3739&lt;/key&gt;&lt;/foreign-keys&gt;&lt;ref-type name="Journal Article"&gt;17&lt;/ref-type&gt;&lt;contributors&gt;&lt;authors&gt;&lt;author&gt;Mellors, J.&lt;/author&gt;&lt;author&gt;Waycott, M.&lt;/author&gt;&lt;author&gt;Marsh, H.&lt;/author&gt;&lt;/authors&gt;&lt;/contributors&gt;&lt;titles&gt;&lt;title&gt;Variation in biogeochemical parameters across intertidal seagrass meadows in the central Great Barrier Reef region&lt;/title&gt;&lt;secondary-title&gt;Marine Pollution Bulletin&lt;/secondary-title&gt;&lt;/titles&gt;&lt;periodical&gt;&lt;full-title&gt;Marine Pollution Bulletin&lt;/full-title&gt;&lt;/periodical&gt;&lt;pages&gt;335-342&lt;/pages&gt;&lt;volume&gt;51&lt;/volume&gt;&lt;number&gt;1-4&lt;/number&gt;&lt;dates&gt;&lt;year&gt;2005&lt;/year&gt;&lt;/dates&gt;&lt;isbn&gt;0025-326X&lt;/isbn&gt;&lt;accession-num&gt;WOS:000227981800031&lt;/accession-num&gt;&lt;urls&gt;&lt;related-urls&gt;&lt;url&gt;&amp;lt;Go to ISI&amp;gt;://WOS:000227981800031 &lt;/url&gt;&lt;/related-urls&gt;&lt;/urls&gt;&lt;electronic-resource-num&gt;10.1016/j.marpolbul.2004.10.046&lt;/electronic-resource-num&gt;&lt;/record&gt;&lt;/Cite&gt;&lt;/EndNote&gt;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Mellors</w:t>
        </w:r>
        <w:r w:rsidR="00513C39" w:rsidRPr="00CB093C">
          <w:rPr>
            <w:rFonts w:ascii="Arial" w:hAnsi="Arial" w:cs="Arial"/>
            <w:i/>
            <w:noProof/>
            <w:szCs w:val="22"/>
          </w:rPr>
          <w:t xml:space="preserve"> et al.</w:t>
        </w:r>
        <w:r w:rsidR="00513C39" w:rsidRPr="00CB093C">
          <w:rPr>
            <w:rFonts w:ascii="Arial" w:hAnsi="Arial" w:cs="Arial"/>
            <w:noProof/>
            <w:szCs w:val="22"/>
          </w:rPr>
          <w:t xml:space="preserve"> 2005</w:t>
        </w:r>
        <w:r w:rsidR="00513C39" w:rsidRPr="00CB093C">
          <w:rPr>
            <w:rFonts w:ascii="Arial" w:hAnsi="Arial" w:cs="Arial"/>
            <w:szCs w:val="22"/>
          </w:rPr>
          <w:fldChar w:fldCharType="end"/>
        </w:r>
      </w:hyperlink>
      <w:r w:rsidRPr="00CB093C">
        <w:rPr>
          <w:rFonts w:ascii="Arial" w:hAnsi="Arial" w:cs="Arial"/>
          <w:szCs w:val="22"/>
        </w:rPr>
        <w:t>) and at the same time of the year and at the same depth at the different localities (</w:t>
      </w:r>
      <w:hyperlink w:anchor="_ENREF_11" w:tooltip="Borum, 2004 #7829"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&lt;EndNote&gt;&lt;Cite&gt;&lt;Author&gt;Borum&lt;/Author&gt;&lt;Year&gt;2004&lt;/Year&gt;&lt;RecNum&gt;7829&lt;/RecNum&gt;&lt;DisplayText&gt;Borum&lt;style face="italic"&gt; et al.&lt;/style&gt; 2004&lt;/DisplayText&gt;&lt;record&gt;&lt;rec-number&gt;7829&lt;/rec-number&gt;&lt;foreign-keys&gt;&lt;key app="EN" db-id="0eve55x9y5vfd6e9dacxtew4eatve2dzds9a" timestamp="0"&gt;7829&lt;/key&gt;&lt;/foreign-keys&gt;&lt;ref-type name="Book"&gt;6&lt;/ref-type&gt;&lt;contributors&gt;&lt;authors&gt;&lt;author&gt;Borum, J&lt;/author&gt;&lt;author&gt;Duarte, C M&lt;/author&gt;&lt;author&gt;Krause-Jensen, D&lt;/author&gt;&lt;author&gt;Greve, T M&lt;/author&gt;&lt;/authors&gt;&lt;/contributors&gt;&lt;titles&gt;&lt;title&gt;European seagrasses: an introduction to monitoring and management&lt;/title&gt;&lt;/titles&gt;&lt;pages&gt;95&lt;/pages&gt;&lt;section&gt;1-95&lt;/section&gt;&lt;dates&gt;&lt;year&gt;2004&lt;/year&gt;&lt;/dates&gt;&lt;pub-location&gt;Copenhagen&lt;/pub-location&gt;&lt;publisher&gt;The M&amp;amp;MS project&lt;/publisher&gt;&lt;isbn&gt;ISBN: 87-89143-21-3&lt;/isbn&gt;&lt;urls&gt;&lt;/urls&gt;&lt;/record&gt;&lt;/Cite&gt;&lt;/EndNote&gt;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Borum</w:t>
        </w:r>
        <w:r w:rsidR="00513C39" w:rsidRPr="00CB093C">
          <w:rPr>
            <w:rFonts w:ascii="Arial" w:hAnsi="Arial" w:cs="Arial"/>
            <w:i/>
            <w:noProof/>
            <w:szCs w:val="22"/>
          </w:rPr>
          <w:t xml:space="preserve"> et al.</w:t>
        </w:r>
        <w:r w:rsidR="00513C39" w:rsidRPr="00CB093C">
          <w:rPr>
            <w:rFonts w:ascii="Arial" w:hAnsi="Arial" w:cs="Arial"/>
            <w:noProof/>
            <w:szCs w:val="22"/>
          </w:rPr>
          <w:t xml:space="preserve"> 2004</w:t>
        </w:r>
        <w:r w:rsidR="00513C39" w:rsidRPr="00CB093C">
          <w:rPr>
            <w:rFonts w:ascii="Arial" w:hAnsi="Arial" w:cs="Arial"/>
            <w:szCs w:val="22"/>
          </w:rPr>
          <w:fldChar w:fldCharType="end"/>
        </w:r>
      </w:hyperlink>
      <w:r w:rsidRPr="00CB093C">
        <w:rPr>
          <w:rFonts w:ascii="Arial" w:hAnsi="Arial" w:cs="Arial"/>
          <w:szCs w:val="22"/>
        </w:rPr>
        <w:t>). Shoots from three haphazardly placed 0.25</w:t>
      </w:r>
      <w:r w:rsidR="00F613E3" w:rsidRPr="00CB093C">
        <w:rPr>
          <w:rFonts w:ascii="Arial" w:hAnsi="Arial" w:cs="Arial"/>
          <w:szCs w:val="22"/>
        </w:rPr>
        <w:t xml:space="preserve"> </w:t>
      </w:r>
      <w:r w:rsidRPr="00CB093C">
        <w:rPr>
          <w:rFonts w:ascii="Arial" w:hAnsi="Arial" w:cs="Arial"/>
          <w:szCs w:val="22"/>
        </w:rPr>
        <w:t>m</w:t>
      </w:r>
      <w:r w:rsidRPr="00CB093C">
        <w:rPr>
          <w:rFonts w:ascii="Arial" w:hAnsi="Arial" w:cs="Arial"/>
          <w:szCs w:val="22"/>
          <w:vertAlign w:val="superscript"/>
        </w:rPr>
        <w:t>2</w:t>
      </w:r>
      <w:r w:rsidRPr="00CB093C">
        <w:rPr>
          <w:rFonts w:ascii="Arial" w:hAnsi="Arial" w:cs="Arial"/>
          <w:szCs w:val="22"/>
        </w:rPr>
        <w:t xml:space="preserve"> quadrats were collected from an area adjacent (of similar cover and species composition) to </w:t>
      </w:r>
      <w:r w:rsidR="00A22E5C" w:rsidRPr="00CB093C">
        <w:rPr>
          <w:rFonts w:ascii="Arial" w:hAnsi="Arial" w:cs="Arial"/>
          <w:szCs w:val="22"/>
        </w:rPr>
        <w:t xml:space="preserve">the </w:t>
      </w:r>
      <w:r w:rsidRPr="00CB093C">
        <w:rPr>
          <w:rFonts w:ascii="Arial" w:hAnsi="Arial" w:cs="Arial"/>
          <w:szCs w:val="22"/>
        </w:rPr>
        <w:t xml:space="preserve">monitoring </w:t>
      </w:r>
      <w:r w:rsidR="00A22E5C" w:rsidRPr="00CB093C">
        <w:rPr>
          <w:rFonts w:ascii="Arial" w:hAnsi="Arial" w:cs="Arial"/>
          <w:szCs w:val="22"/>
        </w:rPr>
        <w:t>transects</w:t>
      </w:r>
      <w:r w:rsidRPr="00CB093C">
        <w:rPr>
          <w:rFonts w:ascii="Arial" w:hAnsi="Arial" w:cs="Arial"/>
          <w:szCs w:val="22"/>
        </w:rPr>
        <w:t xml:space="preserve">. </w:t>
      </w:r>
    </w:p>
    <w:p w14:paraId="6FFAD6C6" w14:textId="4D59B88F" w:rsidR="003D1F7F" w:rsidRPr="00CB093C" w:rsidRDefault="00F42C54" w:rsidP="006875E3">
      <w:pPr>
        <w:rPr>
          <w:rFonts w:ascii="Arial" w:hAnsi="Arial" w:cs="Arial"/>
          <w:szCs w:val="22"/>
        </w:rPr>
      </w:pPr>
      <w:r w:rsidRPr="00CB093C">
        <w:rPr>
          <w:rFonts w:ascii="Arial" w:hAnsi="Arial" w:cs="Arial"/>
          <w:szCs w:val="22"/>
        </w:rPr>
        <w:t xml:space="preserve">Species within the sample are separated, and all species (except </w:t>
      </w:r>
      <w:r w:rsidRPr="00CB093C">
        <w:rPr>
          <w:rFonts w:ascii="Arial" w:hAnsi="Arial" w:cs="Arial"/>
          <w:i/>
          <w:szCs w:val="22"/>
        </w:rPr>
        <w:t>Halophila</w:t>
      </w:r>
      <w:r w:rsidRPr="00CB093C">
        <w:rPr>
          <w:rFonts w:ascii="Arial" w:hAnsi="Arial" w:cs="Arial"/>
          <w:szCs w:val="22"/>
        </w:rPr>
        <w:t xml:space="preserve"> spp.) were analysed for tissue nutrient content. </w:t>
      </w:r>
      <w:r w:rsidR="00BB454E" w:rsidRPr="00CB093C">
        <w:rPr>
          <w:rFonts w:ascii="Arial" w:hAnsi="Arial" w:cs="Arial"/>
          <w:szCs w:val="22"/>
        </w:rPr>
        <w:t>All l</w:t>
      </w:r>
      <w:r w:rsidR="003D1F7F" w:rsidRPr="00CB093C">
        <w:rPr>
          <w:rFonts w:ascii="Arial" w:hAnsi="Arial" w:cs="Arial"/>
          <w:szCs w:val="22"/>
        </w:rPr>
        <w:t xml:space="preserve">eaves </w:t>
      </w:r>
      <w:r w:rsidR="00BB454E" w:rsidRPr="00CB093C">
        <w:rPr>
          <w:rFonts w:ascii="Arial" w:hAnsi="Arial" w:cs="Arial"/>
          <w:szCs w:val="22"/>
        </w:rPr>
        <w:t xml:space="preserve">within the sample </w:t>
      </w:r>
      <w:r w:rsidR="003D1F7F" w:rsidRPr="00CB093C">
        <w:rPr>
          <w:rFonts w:ascii="Arial" w:hAnsi="Arial" w:cs="Arial"/>
          <w:szCs w:val="22"/>
        </w:rPr>
        <w:t>were separated from the below ground material in the laboratory and epiphytic algae removed by gently scraping</w:t>
      </w:r>
      <w:r w:rsidR="003D1F7F" w:rsidRPr="00CB093C">
        <w:rPr>
          <w:rFonts w:ascii="Arial" w:hAnsi="Arial" w:cs="Arial"/>
          <w:color w:val="000000" w:themeColor="text1"/>
          <w:szCs w:val="22"/>
        </w:rPr>
        <w:t xml:space="preserve">. Dried and milled </w:t>
      </w:r>
      <w:r w:rsidRPr="00CB093C">
        <w:rPr>
          <w:rFonts w:ascii="Arial" w:hAnsi="Arial" w:cs="Arial"/>
          <w:color w:val="000000" w:themeColor="text1"/>
          <w:szCs w:val="22"/>
        </w:rPr>
        <w:t xml:space="preserve">leaf </w:t>
      </w:r>
      <w:r w:rsidR="003D1F7F" w:rsidRPr="00CB093C">
        <w:rPr>
          <w:rFonts w:ascii="Arial" w:hAnsi="Arial" w:cs="Arial"/>
          <w:color w:val="000000" w:themeColor="text1"/>
          <w:szCs w:val="22"/>
        </w:rPr>
        <w:t xml:space="preserve">samples were analysed according to </w:t>
      </w:r>
      <w:hyperlink w:anchor="_ENREF_107" w:tooltip="McKenzie, 2019 #11986"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&lt;EndNote&gt;&lt;Cite&gt;&lt;Author&gt;McKenzie&lt;/Author&gt;&lt;Year&gt;2019&lt;/Year&gt;&lt;RecNum&gt;11986&lt;/RecNum&gt;&lt;DisplayText&gt;McKenzie&lt;style face="italic"&gt; et al.&lt;/style&gt; 2019&lt;/DisplayText&gt;&lt;record&gt;&lt;rec-number&gt;11986&lt;/rec-number&gt;&lt;foreign-keys&gt;&lt;key app="EN" db-id="0eve55x9y5vfd6e9dacxtew4eatve2dzds9a" timestamp="1554243817"&gt;11986&lt;/key&gt;&lt;/foreign-keys&gt;&lt;ref-type name="Book Section"&gt;5&lt;/ref-type&gt;&lt;contributors&gt;&lt;authors&gt;&lt;author&gt;McKenzie, Len J&lt;/author&gt;&lt;author&gt;Waycott, Michelle&lt;/author&gt;&lt;author&gt;Unsworth Richard, K. F.&lt;/author&gt;&lt;author&gt;Collier, Catherine&lt;/author&gt;&lt;/authors&gt;&lt;secondary-authors&gt;&lt;author&gt;Great Barrier Reef Marine Park Authority,&lt;/author&gt;&lt;/secondary-authors&gt;&lt;/contributors&gt;&lt;titles&gt;&lt;title&gt;Inshore seagrass monitoring&lt;/title&gt;&lt;secondary-title&gt;Marine Monitoring Program quality assurance and quality control manual 2017–2018&lt;/secondary-title&gt;&lt;/titles&gt;&lt;pages&gt;73-98&lt;/pages&gt;&lt;section&gt;6&lt;/section&gt;&lt;dates&gt;&lt;year&gt;2019&lt;/year&gt;&lt;/dates&gt;&lt;pub-location&gt;Townsville&lt;/pub-location&gt;&lt;publisher&gt;Great Barrier Reef Marine Park Authority &lt;/publisher&gt;&lt;urls&gt;&lt;/urls&gt;&lt;/record&gt;&lt;/Cite&gt;&lt;/EndNote&gt;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2019</w:t>
        </w:r>
        <w:r w:rsidR="00513C39" w:rsidRPr="00CB093C">
          <w:rPr>
            <w:rFonts w:ascii="Arial" w:hAnsi="Arial" w:cs="Arial"/>
            <w:szCs w:val="22"/>
          </w:rPr>
          <w:fldChar w:fldCharType="end"/>
        </w:r>
      </w:hyperlink>
      <w:r w:rsidR="00935167" w:rsidRPr="00CB093C">
        <w:rPr>
          <w:rFonts w:ascii="Arial" w:hAnsi="Arial" w:cs="Arial"/>
          <w:szCs w:val="22"/>
        </w:rPr>
        <w:t>(</w:t>
      </w:r>
      <w:hyperlink w:anchor="_ENREF_107" w:tooltip="McKenzie, 2019 #11986"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&lt;EndNote&gt;&lt;Cite&gt;&lt;Author&gt;McKenzie&lt;/Author&gt;&lt;Year&gt;2019&lt;/Year&gt;&lt;RecNum&gt;11986&lt;/RecNum&gt;&lt;DisplayText&gt;McKenzie&lt;style face="italic"&gt; et al.&lt;/style&gt; 2019&lt;/DisplayText&gt;&lt;record&gt;&lt;rec-number&gt;11986&lt;/rec-number&gt;&lt;foreign-keys&gt;&lt;key app="EN" db-id="0eve55x9y5vfd6e9dacxtew4eatve2dzds9a" timestamp="1554243817"&gt;11986&lt;/key&gt;&lt;/foreign-keys&gt;&lt;ref-type name="Book Section"&gt;5&lt;/ref-type&gt;&lt;contributors&gt;&lt;authors&gt;&lt;author&gt;McKenzie, Len J&lt;/author&gt;&lt;author&gt;Waycott, Michelle&lt;/author&gt;&lt;author&gt;Unsworth Richard, K. F.&lt;/author&gt;&lt;author&gt;Collier, Catherine&lt;/author&gt;&lt;/authors&gt;&lt;secondary-authors&gt;&lt;author&gt;Great Barrier Reef Marine Park Authority,&lt;/author&gt;&lt;/secondary-authors&gt;&lt;/contributors&gt;&lt;titles&gt;&lt;title&gt;Inshore seagrass monitoring&lt;/title&gt;&lt;secondary-title&gt;Marine Monitoring Program quality assurance and quality control manual 2017–2018&lt;/secondary-title&gt;&lt;/titles&gt;&lt;pages&gt;73-98&lt;/pages&gt;&lt;section&gt;6&lt;/section&gt;&lt;dates&gt;&lt;year&gt;2019&lt;/year&gt;&lt;/dates&gt;&lt;pub-location&gt;Townsville&lt;/pub-location&gt;&lt;publisher&gt;Great Barrier Reef Marine Park Authority &lt;/publisher&gt;&lt;urls&gt;&lt;/urls&gt;&lt;/record&gt;&lt;/Cite&gt;&lt;/EndNote&gt;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2019</w:t>
        </w:r>
        <w:r w:rsidR="00513C39" w:rsidRPr="00CB093C">
          <w:rPr>
            <w:rFonts w:ascii="Arial" w:hAnsi="Arial" w:cs="Arial"/>
            <w:szCs w:val="22"/>
          </w:rPr>
          <w:fldChar w:fldCharType="end"/>
        </w:r>
      </w:hyperlink>
      <w:r w:rsidR="00935167" w:rsidRPr="00CB093C">
        <w:rPr>
          <w:rFonts w:ascii="Arial" w:hAnsi="Arial" w:cs="Arial"/>
          <w:szCs w:val="22"/>
        </w:rPr>
        <w:t>)</w:t>
      </w:r>
      <w:r w:rsidR="003D1F7F" w:rsidRPr="00CB093C">
        <w:rPr>
          <w:rFonts w:ascii="Arial" w:hAnsi="Arial" w:cs="Arial"/>
          <w:color w:val="000000" w:themeColor="text1"/>
          <w:szCs w:val="22"/>
          <w:lang w:val="en-US"/>
        </w:rPr>
        <w:t xml:space="preserve">. </w:t>
      </w:r>
      <w:r w:rsidR="003D1F7F" w:rsidRPr="00CB093C">
        <w:rPr>
          <w:rFonts w:ascii="Arial" w:hAnsi="Arial" w:cs="Arial"/>
          <w:color w:val="000000" w:themeColor="text1"/>
          <w:szCs w:val="22"/>
        </w:rPr>
        <w:t>Elemental ratios (C:N:P) were calculated on a mole:mole b</w:t>
      </w:r>
      <w:r w:rsidR="008D142C" w:rsidRPr="00CB093C">
        <w:rPr>
          <w:rFonts w:ascii="Arial" w:hAnsi="Arial" w:cs="Arial"/>
          <w:color w:val="000000" w:themeColor="text1"/>
          <w:szCs w:val="22"/>
        </w:rPr>
        <w:t>asis using atomic weights (i.e.</w:t>
      </w:r>
      <w:bookmarkStart w:id="92" w:name="_Toc184101948"/>
      <w:r w:rsidR="006875E3" w:rsidRPr="00CB093C">
        <w:rPr>
          <w:rFonts w:ascii="Arial" w:hAnsi="Arial" w:cs="Arial"/>
          <w:color w:val="000000" w:themeColor="text1"/>
          <w:szCs w:val="22"/>
        </w:rPr>
        <w:t xml:space="preserve"> C=12, N=14, P=31).</w:t>
      </w:r>
    </w:p>
    <w:p w14:paraId="04381739" w14:textId="4A83E87C" w:rsidR="003B152A" w:rsidRPr="00CB093C" w:rsidRDefault="003B152A" w:rsidP="00AD06D4">
      <w:pPr>
        <w:pStyle w:val="Heading3"/>
        <w:numPr>
          <w:ilvl w:val="2"/>
          <w:numId w:val="4"/>
        </w:numPr>
        <w:rPr>
          <w:rFonts w:ascii="Arial" w:hAnsi="Arial" w:cs="Arial"/>
          <w:sz w:val="22"/>
          <w:szCs w:val="22"/>
        </w:rPr>
      </w:pPr>
      <w:bookmarkStart w:id="93" w:name="_Toc11394699"/>
      <w:r w:rsidRPr="00CB093C">
        <w:rPr>
          <w:rFonts w:ascii="Arial" w:hAnsi="Arial" w:cs="Arial"/>
          <w:sz w:val="22"/>
          <w:szCs w:val="22"/>
        </w:rPr>
        <w:t xml:space="preserve">Epiphytes </w:t>
      </w:r>
      <w:r w:rsidR="00930A4B" w:rsidRPr="00CB093C">
        <w:rPr>
          <w:rFonts w:ascii="Arial" w:hAnsi="Arial" w:cs="Arial"/>
          <w:sz w:val="22"/>
          <w:szCs w:val="22"/>
        </w:rPr>
        <w:t>a</w:t>
      </w:r>
      <w:r w:rsidRPr="00CB093C">
        <w:rPr>
          <w:rFonts w:ascii="Arial" w:hAnsi="Arial" w:cs="Arial"/>
          <w:sz w:val="22"/>
          <w:szCs w:val="22"/>
        </w:rPr>
        <w:t>nd macroalgae</w:t>
      </w:r>
      <w:bookmarkEnd w:id="93"/>
    </w:p>
    <w:p w14:paraId="1052E134" w14:textId="2D19ED7B" w:rsidR="003B152A" w:rsidRPr="00CB093C" w:rsidRDefault="008C46A0" w:rsidP="008C46A0">
      <w:pPr>
        <w:rPr>
          <w:rFonts w:ascii="Arial" w:hAnsi="Arial" w:cs="Arial"/>
          <w:szCs w:val="22"/>
        </w:rPr>
      </w:pPr>
      <w:r w:rsidRPr="00CB093C">
        <w:rPr>
          <w:rFonts w:ascii="Arial" w:hAnsi="Arial" w:cs="Arial"/>
          <w:szCs w:val="22"/>
        </w:rPr>
        <w:t>Epiphyte and macroalgae cover were measured according to standard methods (</w:t>
      </w:r>
      <w:hyperlink w:anchor="_ENREF_96" w:tooltip="McKenzie, 2003 #945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&lt;EndNote&gt;&lt;Cite&gt;&lt;Author&gt;McKenzie&lt;/Author&gt;&lt;Year&gt;2003&lt;/Year&gt;&lt;RecNum&gt;9457&lt;/RecNum&gt;&lt;DisplayText&gt;McKenzie&lt;style face="italic"&gt; et al.&lt;/style&gt; 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2003</w:t>
        </w:r>
        <w:r w:rsidR="00513C39" w:rsidRPr="00CB093C">
          <w:rPr>
            <w:rFonts w:ascii="Arial" w:hAnsi="Arial" w:cs="Arial"/>
            <w:szCs w:val="22"/>
          </w:rPr>
          <w:fldChar w:fldCharType="end"/>
        </w:r>
      </w:hyperlink>
      <w:r w:rsidRPr="00CB093C">
        <w:rPr>
          <w:rFonts w:ascii="Arial" w:hAnsi="Arial" w:cs="Arial"/>
          <w:szCs w:val="22"/>
        </w:rPr>
        <w:t xml:space="preserve">). The total percentage of leaf surface area (both sides, all species pooled) covered by epiphytes and percentage of quadrat area covered by macroalgae, were measured each monitoring event. Values were compared against the </w:t>
      </w:r>
      <w:r w:rsidR="00F206BF" w:rsidRPr="00CB093C">
        <w:rPr>
          <w:rFonts w:ascii="Arial" w:hAnsi="Arial" w:cs="Arial"/>
          <w:szCs w:val="22"/>
        </w:rPr>
        <w:t>Reef</w:t>
      </w:r>
      <w:r w:rsidRPr="00CB093C">
        <w:rPr>
          <w:rFonts w:ascii="Arial" w:hAnsi="Arial" w:cs="Arial"/>
          <w:szCs w:val="22"/>
        </w:rPr>
        <w:t xml:space="preserve"> long</w:t>
      </w:r>
      <w:r w:rsidRPr="00CB093C">
        <w:rPr>
          <w:rFonts w:ascii="Cambria Math" w:hAnsi="Cambria Math" w:cs="Cambria Math"/>
          <w:szCs w:val="22"/>
        </w:rPr>
        <w:t>‐</w:t>
      </w:r>
      <w:r w:rsidRPr="00CB093C">
        <w:rPr>
          <w:rFonts w:ascii="Arial" w:hAnsi="Arial" w:cs="Arial"/>
          <w:szCs w:val="22"/>
        </w:rPr>
        <w:t>term average (1999</w:t>
      </w:r>
      <w:r w:rsidRPr="00CB093C">
        <w:rPr>
          <w:rFonts w:ascii="Cambria Math" w:hAnsi="Cambria Math" w:cs="Cambria Math"/>
          <w:szCs w:val="22"/>
        </w:rPr>
        <w:t>‐</w:t>
      </w:r>
      <w:r w:rsidRPr="00CB093C">
        <w:rPr>
          <w:rFonts w:ascii="Arial" w:hAnsi="Arial" w:cs="Arial"/>
          <w:szCs w:val="22"/>
        </w:rPr>
        <w:t>2010) calculated for each habitat type.</w:t>
      </w:r>
    </w:p>
    <w:p w14:paraId="476B2FC0" w14:textId="77777777" w:rsidR="007F5DF1" w:rsidRPr="00CB093C" w:rsidRDefault="007F5DF1" w:rsidP="0015509E">
      <w:pPr>
        <w:pStyle w:val="Heading2"/>
        <w:rPr>
          <w:lang w:val="en-US"/>
        </w:rPr>
      </w:pPr>
      <w:bookmarkStart w:id="94" w:name="_Toc530689355"/>
      <w:bookmarkStart w:id="95" w:name="_Toc11394700"/>
      <w:bookmarkEnd w:id="92"/>
      <w:r w:rsidRPr="00CB093C">
        <w:rPr>
          <w:lang w:val="en-US"/>
        </w:rPr>
        <w:t>Data analyses</w:t>
      </w:r>
      <w:bookmarkEnd w:id="94"/>
      <w:bookmarkEnd w:id="95"/>
    </w:p>
    <w:p w14:paraId="418E030C" w14:textId="77777777" w:rsidR="00807334" w:rsidRDefault="00807334" w:rsidP="007F5DF1">
      <w:pPr>
        <w:rPr>
          <w:rFonts w:ascii="Arial" w:hAnsi="Arial" w:cs="Arial"/>
          <w:color w:val="000000" w:themeColor="text1"/>
          <w:szCs w:val="22"/>
        </w:rPr>
      </w:pPr>
      <w:r w:rsidRPr="00807334">
        <w:rPr>
          <w:rFonts w:ascii="Arial" w:hAnsi="Arial" w:cs="Arial"/>
          <w:color w:val="000000" w:themeColor="text1"/>
          <w:szCs w:val="22"/>
        </w:rPr>
        <w:t xml:space="preserve">All seagrass condition indicators had uncertainties associated with their measurements at the lowest reporting levels (e.g. percentage, count, ratio, etc) which was presented as Standard </w:t>
      </w:r>
      <w:r w:rsidRPr="00807334">
        <w:rPr>
          <w:rFonts w:ascii="Arial" w:hAnsi="Arial" w:cs="Arial"/>
          <w:color w:val="000000" w:themeColor="text1"/>
          <w:szCs w:val="22"/>
        </w:rPr>
        <w:lastRenderedPageBreak/>
        <w:t>Error (calculated from the site, day, or core standard deviations). To propagate the uncertainty (i.e. propagation of error) through each higher level of aggregation (e.g. habitat, NRM and GBR), the square root of the sum of squares approach (using the SE at each subsequent level) was applied (Ku, 1966). The same propagation of error approach was applied to the annual seagrass report card scores to calculate a more exact measure of uncertainty in the three seagrass indicators and overall index.</w:t>
      </w:r>
    </w:p>
    <w:p w14:paraId="7613AB65" w14:textId="0017CD9D" w:rsidR="007F5DF1" w:rsidRPr="00CB093C" w:rsidRDefault="0034227D" w:rsidP="007F5DF1">
      <w:pPr>
        <w:rPr>
          <w:rFonts w:ascii="Arial" w:hAnsi="Arial" w:cs="Arial"/>
          <w:color w:val="000000" w:themeColor="text1"/>
          <w:szCs w:val="22"/>
        </w:rPr>
      </w:pPr>
      <w:r w:rsidRPr="00CB093C">
        <w:rPr>
          <w:rFonts w:ascii="Arial" w:hAnsi="Arial" w:cs="Arial"/>
          <w:color w:val="000000" w:themeColor="text1"/>
          <w:szCs w:val="22"/>
        </w:rPr>
        <w:t xml:space="preserve">Results </w:t>
      </w:r>
      <w:r w:rsidR="007F5DF1" w:rsidRPr="00CB093C">
        <w:rPr>
          <w:rFonts w:ascii="Arial" w:hAnsi="Arial" w:cs="Arial"/>
          <w:color w:val="000000" w:themeColor="text1"/>
          <w:szCs w:val="22"/>
        </w:rPr>
        <w:t xml:space="preserve">are presented to reveal temporal changes in seagrass community attributes and key environmental variables. Generalised additive mixed effects models (GAMMs) </w:t>
      </w:r>
      <w:r w:rsidR="002B4EA4" w:rsidRPr="00CB093C">
        <w:rPr>
          <w:rFonts w:ascii="Arial" w:hAnsi="Arial" w:cs="Arial"/>
          <w:color w:val="000000" w:themeColor="text1"/>
          <w:szCs w:val="22"/>
        </w:rPr>
        <w:t>are</w:t>
      </w:r>
      <w:r w:rsidR="007F5DF1" w:rsidRPr="00CB093C">
        <w:rPr>
          <w:rFonts w:ascii="Arial" w:hAnsi="Arial" w:cs="Arial"/>
          <w:color w:val="000000" w:themeColor="text1"/>
          <w:szCs w:val="22"/>
        </w:rPr>
        <w:t xml:space="preserve"> fitted to seagrass attributes for each habitat and NRM, to identify the presence and consistency of trends, using the mgcv (</w:t>
      </w:r>
      <w:hyperlink w:anchor="_ENREF_156" w:tooltip="Wood, 2006 #10039"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 timestamp="1418705276"&gt;10039&lt;/key&gt;&lt;/foreign-keys&gt;&lt;ref-type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color w:val="000000" w:themeColor="text1"/>
            <w:szCs w:val="22"/>
          </w:rPr>
          <w:t>Wood 2006</w:t>
        </w:r>
        <w:r w:rsidR="00513C39" w:rsidRPr="00CB093C">
          <w:rPr>
            <w:rFonts w:ascii="Arial" w:hAnsi="Arial" w:cs="Arial"/>
            <w:color w:val="000000" w:themeColor="text1"/>
            <w:szCs w:val="22"/>
          </w:rPr>
          <w:fldChar w:fldCharType="end"/>
        </w:r>
      </w:hyperlink>
      <w:r w:rsidR="007F5DF1" w:rsidRPr="00CB093C">
        <w:rPr>
          <w:rFonts w:ascii="Arial" w:hAnsi="Arial" w:cs="Arial"/>
          <w:color w:val="000000" w:themeColor="text1"/>
          <w:szCs w:val="22"/>
        </w:rPr>
        <w:t>;</w:t>
      </w:r>
      <w:hyperlink w:anchor="_ENREF_155" w:tooltip="Wood, 2014 #10474"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&lt;EndNote&gt;&lt;Cite&gt;&lt;Author&gt;Wood&lt;/Author&gt;&lt;Year&gt;2014&lt;/Year&gt;&lt;RecNum&gt;10474&lt;/RecNum&gt;&lt;DisplayText&gt;Wood 2014&lt;/DisplayText&gt;&lt;record&gt;&lt;rec-number&gt;10474&lt;/rec-number&gt;&lt;foreign-keys&gt;&lt;key app="EN" db-id="0eve55x9y5vfd6e9dacxtew4eatve2dzds9a" timestamp="1453680375"&gt;10474&lt;/key&gt;&lt;/foreign-keys&gt;&lt;ref-type name="Journal Article"&gt;17&lt;/ref-type&gt;&lt;contributors&gt;&lt;authors&gt;&lt;author&gt;Wood, S&lt;/author&gt;&lt;/authors&gt;&lt;/contributors&gt;&lt;titles&gt;&lt;title&gt;Mixed GAM Computation Vehicle with GCV/AIC/REML Smoothness Estimation, version 1.8-9&lt;/title&gt;&lt;secondary-title&gt;Comprehensive R Archive Network&lt;/secondary-title&gt;&lt;/titles&gt;&lt;periodical&gt;&lt;full-title&gt;Comprehensive R Archive Network&lt;/full-title&gt;&lt;/periodical&gt;&lt;pages&gt;10&lt;/pages&gt;&lt;number&gt;cran.r-project.org&lt;/number&gt;&lt;dates&gt;&lt;year&gt;2014&lt;/year&gt;&lt;/dates&gt;&lt;urls&gt;&lt;/urls&gt;&lt;/record&gt;&lt;/Cite&gt;&lt;/EndNote&gt;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color w:val="000000" w:themeColor="text1"/>
            <w:szCs w:val="22"/>
          </w:rPr>
          <w:t>Wood 2014</w:t>
        </w:r>
        <w:r w:rsidR="00513C39" w:rsidRPr="00CB093C">
          <w:rPr>
            <w:rFonts w:ascii="Arial" w:hAnsi="Arial" w:cs="Arial"/>
            <w:color w:val="000000" w:themeColor="text1"/>
            <w:szCs w:val="22"/>
          </w:rPr>
          <w:fldChar w:fldCharType="end"/>
        </w:r>
      </w:hyperlink>
      <w:r w:rsidR="007F5DF1" w:rsidRPr="00CB093C">
        <w:rPr>
          <w:rFonts w:ascii="Arial" w:hAnsi="Arial" w:cs="Arial"/>
          <w:color w:val="000000" w:themeColor="text1"/>
          <w:szCs w:val="22"/>
        </w:rPr>
        <w:t>) package in R 3.4.3 (</w:t>
      </w:r>
      <w:hyperlink w:anchor="_ENREF_127" w:tooltip="R Core Team, 2014 #10041"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&lt;EndNote&gt;&lt;Cite&gt;&lt;Author&gt;R Core Team&lt;/Author&gt;&lt;Year&gt;2014&lt;/Year&gt;&lt;RecNum&gt;10041&lt;/RecNum&gt;&lt;DisplayText&gt;R Core Team 2014&lt;/DisplayText&gt;&lt;record&gt;&lt;rec-number&gt;10041&lt;/rec-number&gt;&lt;foreign-keys&gt;&lt;key app="EN" db-id="0eve55x9y5vfd6e9dacxtew4eatve2dzds9a" timestamp="1418705505"&gt;10041&lt;/key&gt;&lt;/foreign-keys&gt;&lt;ref-type name="Electronic Book"&gt;44&lt;/ref-type&gt;&lt;contributors&gt;&lt;authors&gt;&lt;author&gt;R Core Team,&lt;/author&gt;&lt;/authors&gt;&lt;/contributors&gt;&lt;titles&gt;&lt;title&gt;R: A language and environment for statistical computing.&lt;/title&gt;&lt;/titles&gt;&lt;dates&gt;&lt;year&gt;2014&lt;/year&gt;&lt;/dates&gt;&lt;pub-location&gt;Vienna, Austria&lt;/pub-location&gt;&lt;publisher&gt;R Foundation for Statistical Computing&lt;/publisher&gt;&lt;urls&gt;&lt;related-urls&gt;&lt;url&gt;http://www.R-project.org/.&lt;/url&gt;&lt;/related-urls&gt;&lt;/urls&gt;&lt;/record&gt;&lt;/Cite&gt;&lt;/EndNote&gt;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color w:val="000000" w:themeColor="text1"/>
            <w:szCs w:val="22"/>
          </w:rPr>
          <w:t>R Core Team 2014</w:t>
        </w:r>
        <w:r w:rsidR="00513C39" w:rsidRPr="00CB093C">
          <w:rPr>
            <w:rFonts w:ascii="Arial" w:hAnsi="Arial" w:cs="Arial"/>
            <w:color w:val="000000" w:themeColor="text1"/>
            <w:szCs w:val="22"/>
          </w:rPr>
          <w:fldChar w:fldCharType="end"/>
        </w:r>
      </w:hyperlink>
      <w:r w:rsidR="007F5DF1" w:rsidRPr="00CB093C">
        <w:rPr>
          <w:rFonts w:ascii="Arial" w:hAnsi="Arial" w:cs="Arial"/>
          <w:color w:val="000000" w:themeColor="text1"/>
          <w:szCs w:val="22"/>
        </w:rPr>
        <w:t>). GAMMs (</w:t>
      </w:r>
      <w:hyperlink w:anchor="_ENREF_156" w:tooltip="Wood, 2006 #10039"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 timestamp="1418705276"&gt;10039&lt;/key&gt;&lt;/foreign-keys&gt;&lt;ref-type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color w:val="000000" w:themeColor="text1"/>
            <w:szCs w:val="22"/>
          </w:rPr>
          <w:t>Wood 2006</w:t>
        </w:r>
        <w:r w:rsidR="00513C39" w:rsidRPr="00CB093C">
          <w:rPr>
            <w:rFonts w:ascii="Arial" w:hAnsi="Arial" w:cs="Arial"/>
            <w:color w:val="000000" w:themeColor="text1"/>
            <w:szCs w:val="22"/>
          </w:rPr>
          <w:fldChar w:fldCharType="end"/>
        </w:r>
      </w:hyperlink>
      <w:r w:rsidR="007F5DF1" w:rsidRPr="00CB093C">
        <w:rPr>
          <w:rFonts w:ascii="Arial" w:hAnsi="Arial" w:cs="Arial"/>
          <w:color w:val="000000" w:themeColor="text1"/>
          <w:szCs w:val="22"/>
        </w:rPr>
        <w:t xml:space="preserve">) were used to decompose the </w:t>
      </w:r>
      <w:r w:rsidR="002B4EA4" w:rsidRPr="00CB093C">
        <w:rPr>
          <w:rFonts w:ascii="Arial" w:hAnsi="Arial" w:cs="Arial"/>
          <w:color w:val="000000" w:themeColor="text1"/>
          <w:szCs w:val="22"/>
        </w:rPr>
        <w:t>irregularly-</w:t>
      </w:r>
      <w:r w:rsidR="007F5DF1" w:rsidRPr="00CB093C">
        <w:rPr>
          <w:rFonts w:ascii="Arial" w:hAnsi="Arial" w:cs="Arial"/>
          <w:color w:val="000000" w:themeColor="text1"/>
          <w:szCs w:val="22"/>
        </w:rPr>
        <w:t xml:space="preserve">spaced </w:t>
      </w:r>
      <w:r w:rsidR="002B4EA4" w:rsidRPr="00CB093C">
        <w:rPr>
          <w:rFonts w:ascii="Arial" w:hAnsi="Arial" w:cs="Arial"/>
          <w:color w:val="000000" w:themeColor="text1"/>
          <w:szCs w:val="22"/>
        </w:rPr>
        <w:t>time-</w:t>
      </w:r>
      <w:r w:rsidR="007F5DF1" w:rsidRPr="00CB093C">
        <w:rPr>
          <w:rFonts w:ascii="Arial" w:hAnsi="Arial" w:cs="Arial"/>
          <w:color w:val="000000" w:themeColor="text1"/>
          <w:szCs w:val="22"/>
        </w:rPr>
        <w:t xml:space="preserve">series into its trend cycles (long-term) and periodic (seasonal) components. </w:t>
      </w:r>
    </w:p>
    <w:p w14:paraId="6BA328F1" w14:textId="7093E36C" w:rsidR="007F5DF1" w:rsidRPr="00CB093C" w:rsidRDefault="007F5DF1" w:rsidP="007F5DF1">
      <w:pPr>
        <w:rPr>
          <w:rFonts w:ascii="Arial" w:hAnsi="Arial" w:cs="Arial"/>
          <w:color w:val="000000" w:themeColor="text1"/>
          <w:szCs w:val="22"/>
        </w:rPr>
      </w:pPr>
      <w:r w:rsidRPr="00CB093C">
        <w:rPr>
          <w:rFonts w:ascii="Arial" w:hAnsi="Arial" w:cs="Arial"/>
          <w:color w:val="000000" w:themeColor="text1"/>
          <w:szCs w:val="22"/>
        </w:rPr>
        <w:t>GAMMs are an extension of additive models, which allow flexible modelling of non-linear relationships by incorporating penalized regression spline types of smoothing functions into the estimation process. The degree of smoothing of each smooth term (and by extension, the estimated degrees of freedom of each smoother) is treated as a random effect and thus estimable via its variance as with other effects in a mixed modelling structure (</w:t>
      </w:r>
      <w:hyperlink w:anchor="_ENREF_156" w:tooltip="Wood, 2006 #10039"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 timestamp="1418705276"&gt;10039&lt;/key&gt;&lt;/foreign-keys&gt;&lt;ref-type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Wood 2006</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r w:rsidR="002B4EA4" w:rsidRPr="00CB093C">
        <w:rPr>
          <w:rFonts w:ascii="Arial" w:hAnsi="Arial" w:cs="Arial"/>
          <w:color w:val="000000" w:themeColor="text1"/>
          <w:szCs w:val="22"/>
        </w:rPr>
        <w:t xml:space="preserve">Results </w:t>
      </w:r>
      <w:r w:rsidRPr="00CB093C">
        <w:rPr>
          <w:rFonts w:ascii="Arial" w:hAnsi="Arial" w:cs="Arial"/>
          <w:color w:val="000000" w:themeColor="text1"/>
          <w:szCs w:val="22"/>
        </w:rPr>
        <w:t xml:space="preserve">of these analyses are graphically presented in a consistent format: predicted values from the model were plotted as bold black lines, the 95 </w:t>
      </w:r>
      <w:r w:rsidR="00882B72" w:rsidRPr="00CB093C">
        <w:rPr>
          <w:rFonts w:ascii="Arial" w:hAnsi="Arial" w:cs="Arial"/>
          <w:color w:val="000000" w:themeColor="text1"/>
          <w:szCs w:val="22"/>
        </w:rPr>
        <w:t>%</w:t>
      </w:r>
      <w:r w:rsidRPr="00CB093C">
        <w:rPr>
          <w:rFonts w:ascii="Arial" w:hAnsi="Arial" w:cs="Arial"/>
          <w:color w:val="000000" w:themeColor="text1"/>
          <w:szCs w:val="22"/>
        </w:rPr>
        <w:t xml:space="preserve"> confidence intervals of these trends delimited by grey shading. </w:t>
      </w:r>
    </w:p>
    <w:p w14:paraId="6D668B14" w14:textId="77777777" w:rsidR="007F5DF1" w:rsidRPr="00CB093C" w:rsidRDefault="007F5DF1" w:rsidP="007F5DF1">
      <w:pPr>
        <w:rPr>
          <w:rFonts w:ascii="Arial" w:hAnsi="Arial" w:cs="Arial"/>
          <w:color w:val="000000" w:themeColor="text1"/>
          <w:szCs w:val="22"/>
        </w:rPr>
      </w:pPr>
      <w:r w:rsidRPr="00CB093C">
        <w:rPr>
          <w:rFonts w:ascii="Arial" w:hAnsi="Arial" w:cs="Arial"/>
          <w:color w:val="000000" w:themeColor="text1"/>
          <w:szCs w:val="22"/>
        </w:rPr>
        <w:t>Several GAMMs were used on seagrass cover and C:N ratio to tease out trends at the habitat, regional and location scale over time. The random effects were incorporated as a nested structure of quadrat within transect within site, to account for spatial correlation. As part of our regular validation process the residuals of all models were checked for violations of the generalised model assumptions. In few instances the random effects structure caused issues and the transect level had to be omitted.</w:t>
      </w:r>
    </w:p>
    <w:p w14:paraId="11F25CE7" w14:textId="6EBF9A83" w:rsidR="007F5DF1" w:rsidRPr="00CB093C" w:rsidRDefault="007F5DF1" w:rsidP="007F5DF1">
      <w:pPr>
        <w:rPr>
          <w:rFonts w:ascii="Arial" w:hAnsi="Arial" w:cs="Arial"/>
          <w:szCs w:val="22"/>
        </w:rPr>
      </w:pPr>
      <w:r w:rsidRPr="00CB093C">
        <w:rPr>
          <w:rFonts w:ascii="Arial" w:hAnsi="Arial" w:cs="Arial"/>
          <w:color w:val="000000" w:themeColor="text1"/>
          <w:szCs w:val="22"/>
        </w:rPr>
        <w:t>Per</w:t>
      </w:r>
      <w:r w:rsidR="00F326E4" w:rsidRPr="00CB093C">
        <w:rPr>
          <w:rFonts w:ascii="Arial" w:hAnsi="Arial" w:cs="Arial"/>
          <w:color w:val="000000" w:themeColor="text1"/>
          <w:szCs w:val="22"/>
        </w:rPr>
        <w:t> </w:t>
      </w:r>
      <w:r w:rsidRPr="00CB093C">
        <w:rPr>
          <w:rFonts w:ascii="Arial" w:hAnsi="Arial" w:cs="Arial"/>
          <w:color w:val="000000" w:themeColor="text1"/>
          <w:szCs w:val="22"/>
        </w:rPr>
        <w:t xml:space="preserve">cent seagrass cover data GAMMs were fitted using a quasi-binomial distribution due to the proportional (bound between 0 and 1) nature of the data. Raw data at the quadrat level was used to provide the maximum resolution for modelling. However, this led to a very large proportion of 0 in some data sets causing high heterogeneity of variance for some models. For this reason, GAMMs for epiphyte and macroalgae cover are not presented and the inclusion in future reports of zero-inflated GAMMs is being investigated. C:N data models were fitted using a gamma distribution due to the strictly positive continuous nature of the data. Here the random effects consisted of species nested </w:t>
      </w:r>
      <w:r w:rsidRPr="00CB093C">
        <w:rPr>
          <w:rFonts w:ascii="Arial" w:hAnsi="Arial" w:cs="Arial"/>
          <w:szCs w:val="22"/>
        </w:rPr>
        <w:t>within site</w:t>
      </w:r>
      <w:r w:rsidR="009C0054" w:rsidRPr="00CB093C">
        <w:rPr>
          <w:rFonts w:ascii="Arial" w:hAnsi="Arial" w:cs="Arial"/>
          <w:szCs w:val="22"/>
        </w:rPr>
        <w:t>.</w:t>
      </w:r>
    </w:p>
    <w:p w14:paraId="19E2CD48" w14:textId="77656A06" w:rsidR="007F5DF1" w:rsidRPr="00CB093C" w:rsidRDefault="007F5DF1" w:rsidP="009C0054">
      <w:pPr>
        <w:rPr>
          <w:rFonts w:ascii="Arial" w:hAnsi="Arial" w:cs="Arial"/>
          <w:color w:val="000000" w:themeColor="text1"/>
          <w:szCs w:val="22"/>
        </w:rPr>
      </w:pPr>
      <w:r w:rsidRPr="00CB093C">
        <w:rPr>
          <w:rFonts w:ascii="Arial" w:hAnsi="Arial" w:cs="Arial"/>
          <w:color w:val="000000" w:themeColor="text1"/>
          <w:szCs w:val="22"/>
        </w:rPr>
        <w:lastRenderedPageBreak/>
        <w:t xml:space="preserve">For the analyses of the various tissue nutrients and isotopes variables Generalised </w:t>
      </w:r>
      <w:r w:rsidR="009C0054" w:rsidRPr="00CB093C">
        <w:rPr>
          <w:rFonts w:ascii="Arial" w:hAnsi="Arial" w:cs="Arial"/>
          <w:color w:val="000000" w:themeColor="text1"/>
          <w:szCs w:val="22"/>
        </w:rPr>
        <w:t>L</w:t>
      </w:r>
      <w:r w:rsidRPr="00CB093C">
        <w:rPr>
          <w:rFonts w:ascii="Arial" w:hAnsi="Arial" w:cs="Arial"/>
          <w:color w:val="000000" w:themeColor="text1"/>
          <w:szCs w:val="22"/>
        </w:rPr>
        <w:t xml:space="preserve">inear </w:t>
      </w:r>
      <w:r w:rsidR="009C0054" w:rsidRPr="00CB093C">
        <w:rPr>
          <w:rFonts w:ascii="Arial" w:hAnsi="Arial" w:cs="Arial"/>
          <w:color w:val="000000" w:themeColor="text1"/>
          <w:szCs w:val="22"/>
        </w:rPr>
        <w:t>M</w:t>
      </w:r>
      <w:r w:rsidRPr="00CB093C">
        <w:rPr>
          <w:rFonts w:ascii="Arial" w:hAnsi="Arial" w:cs="Arial"/>
          <w:color w:val="000000" w:themeColor="text1"/>
          <w:szCs w:val="22"/>
        </w:rPr>
        <w:t xml:space="preserve">ixed </w:t>
      </w:r>
      <w:r w:rsidR="009C0054" w:rsidRPr="00CB093C">
        <w:rPr>
          <w:rFonts w:ascii="Arial" w:hAnsi="Arial" w:cs="Arial"/>
          <w:color w:val="000000" w:themeColor="text1"/>
          <w:szCs w:val="22"/>
        </w:rPr>
        <w:t>M</w:t>
      </w:r>
      <w:r w:rsidRPr="00CB093C">
        <w:rPr>
          <w:rFonts w:ascii="Arial" w:hAnsi="Arial" w:cs="Arial"/>
          <w:color w:val="000000" w:themeColor="text1"/>
          <w:szCs w:val="22"/>
        </w:rPr>
        <w:t xml:space="preserve">odels (GLMMs) were used instead of GAMMs as these samples are only collected once a year. The </w:t>
      </w:r>
      <w:r w:rsidRPr="00CB093C">
        <w:rPr>
          <w:rFonts w:ascii="Arial" w:hAnsi="Arial" w:cs="Arial"/>
          <w:szCs w:val="22"/>
        </w:rPr>
        <w:t xml:space="preserve">tissue nutrient variables (C:N, C:P, N:P, </w:t>
      </w:r>
      <w:r w:rsidR="009C0054" w:rsidRPr="00CB093C">
        <w:rPr>
          <w:rFonts w:ascii="Arial" w:hAnsi="Arial" w:cs="Arial"/>
          <w:szCs w:val="22"/>
        </w:rPr>
        <w:t>%</w:t>
      </w:r>
      <w:r w:rsidRPr="00CB093C">
        <w:rPr>
          <w:rFonts w:ascii="Arial" w:hAnsi="Arial" w:cs="Arial"/>
          <w:szCs w:val="22"/>
        </w:rPr>
        <w:t xml:space="preserve">N, </w:t>
      </w:r>
      <w:r w:rsidR="009C0054" w:rsidRPr="00CB093C">
        <w:rPr>
          <w:rFonts w:ascii="Arial" w:hAnsi="Arial" w:cs="Arial"/>
          <w:szCs w:val="22"/>
        </w:rPr>
        <w:t>%</w:t>
      </w:r>
      <w:r w:rsidRPr="00CB093C">
        <w:rPr>
          <w:rFonts w:ascii="Arial" w:hAnsi="Arial" w:cs="Arial"/>
          <w:szCs w:val="22"/>
        </w:rPr>
        <w:t xml:space="preserve">P) were analysed using the R-INLA </w:t>
      </w:r>
      <w:r w:rsidR="009C0054" w:rsidRPr="00CB093C">
        <w:rPr>
          <w:rFonts w:ascii="Arial" w:hAnsi="Arial" w:cs="Arial"/>
          <w:szCs w:val="22"/>
        </w:rPr>
        <w:t>(</w:t>
      </w:r>
      <w:hyperlink w:anchor="_ENREF_134" w:tooltip="Rue, 2009 #11859"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&lt;EndNote&gt;&lt;Cite&gt;&lt;Author&gt;Rue&lt;/Author&gt;&lt;Year&gt;2009&lt;/Year&gt;&lt;RecNum&gt;11859&lt;/RecNum&gt;&lt;DisplayText&gt;Rue&lt;style face="italic"&gt; et al.&lt;/style&gt; 2009&lt;/DisplayText&gt;&lt;record&gt;&lt;rec-number&gt;11859&lt;/rec-number&gt;&lt;foreign-keys&gt;&lt;key app="EN" db-id="0eve55x9y5vfd6e9dacxtew4eatve2dzds9a" timestamp="1544751959"&gt;11859&lt;/key&gt;&lt;/foreign-keys&gt;&lt;ref-type name="Journal Article"&gt;17&lt;/ref-type&gt;&lt;contributors&gt;&lt;authors&gt;&lt;author&gt;Rue, Håvard&lt;/author&gt;&lt;author&gt;Martino, Sara&lt;/author&gt;&lt;author&gt;Chopin, Nicolas&lt;/author&gt;&lt;/authors&gt;&lt;/contributors&gt;&lt;titles&gt;&lt;title&gt;Approximate Bayesian inference for latent Gaussian models by using integrated nested Laplace approximations&lt;/title&gt;&lt;secondary-title&gt;Journal of the Royal Statistical Society: Series B (Statistical Methodology)&lt;/secondary-title&gt;&lt;/titles&gt;&lt;periodical&gt;&lt;full-title&gt;Journal of the Royal Statistical Society: Series B (Statistical Methodology)&lt;/full-title&gt;&lt;/periodical&gt;&lt;pages&gt;319-392&lt;/pages&gt;&lt;volume&gt;71&lt;/volume&gt;&lt;number&gt;2&lt;/number&gt;&lt;dates&gt;&lt;year&gt;2009&lt;/year&gt;&lt;/dates&gt;&lt;urls&gt;&lt;related-urls&gt;&lt;url&gt;https://rss.onlinelibrary.wiley.com/doi/abs/10.1111/j.1467-9868.2008.00700.x&lt;/url&gt;&lt;/related-urls&gt;&lt;/urls&gt;&lt;electronic-resource-num&gt;doi:10.1111/j.1467-9868.2008.00700.x&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Rue</w:t>
        </w:r>
        <w:r w:rsidR="00513C39" w:rsidRPr="00CB093C">
          <w:rPr>
            <w:rFonts w:ascii="Arial" w:hAnsi="Arial" w:cs="Arial"/>
            <w:i/>
            <w:noProof/>
            <w:szCs w:val="22"/>
          </w:rPr>
          <w:t xml:space="preserve"> et al.</w:t>
        </w:r>
        <w:r w:rsidR="00513C39" w:rsidRPr="00CB093C">
          <w:rPr>
            <w:rFonts w:ascii="Arial" w:hAnsi="Arial" w:cs="Arial"/>
            <w:noProof/>
            <w:szCs w:val="22"/>
          </w:rPr>
          <w:t xml:space="preserve"> 2009</w:t>
        </w:r>
        <w:r w:rsidR="00513C39" w:rsidRPr="00CB093C">
          <w:rPr>
            <w:rFonts w:ascii="Arial" w:hAnsi="Arial" w:cs="Arial"/>
            <w:szCs w:val="22"/>
          </w:rPr>
          <w:fldChar w:fldCharType="end"/>
        </w:r>
      </w:hyperlink>
      <w:r w:rsidR="009C0054" w:rsidRPr="00CB093C">
        <w:rPr>
          <w:rFonts w:ascii="Arial" w:hAnsi="Arial" w:cs="Arial"/>
          <w:szCs w:val="22"/>
        </w:rPr>
        <w:t xml:space="preserve">) </w:t>
      </w:r>
      <w:r w:rsidRPr="00CB093C">
        <w:rPr>
          <w:rFonts w:ascii="Arial" w:hAnsi="Arial" w:cs="Arial"/>
          <w:szCs w:val="22"/>
        </w:rPr>
        <w:t>package with a gamma distribution and the isotopes variables (</w:t>
      </w:r>
      <w:r w:rsidRPr="00CB093C">
        <w:rPr>
          <w:rFonts w:ascii="Arial" w:hAnsi="Arial" w:cs="Arial"/>
          <w:szCs w:val="22"/>
        </w:rPr>
        <w:sym w:font="Symbol" w:char="F064"/>
      </w:r>
      <w:r w:rsidRPr="00CB093C">
        <w:rPr>
          <w:rFonts w:ascii="Arial" w:hAnsi="Arial" w:cs="Arial"/>
          <w:szCs w:val="22"/>
          <w:vertAlign w:val="superscript"/>
        </w:rPr>
        <w:t>13</w:t>
      </w:r>
      <w:r w:rsidRPr="00CB093C">
        <w:rPr>
          <w:rFonts w:ascii="Arial" w:hAnsi="Arial" w:cs="Arial"/>
          <w:szCs w:val="22"/>
        </w:rPr>
        <w:t xml:space="preserve">C and </w:t>
      </w:r>
      <w:r w:rsidRPr="00CB093C">
        <w:rPr>
          <w:rFonts w:ascii="Arial" w:hAnsi="Arial" w:cs="Arial"/>
          <w:szCs w:val="22"/>
        </w:rPr>
        <w:sym w:font="Symbol" w:char="F064"/>
      </w:r>
      <w:r w:rsidRPr="00CB093C">
        <w:rPr>
          <w:rFonts w:ascii="Arial" w:hAnsi="Arial" w:cs="Arial"/>
          <w:szCs w:val="22"/>
          <w:vertAlign w:val="superscript"/>
        </w:rPr>
        <w:t>15</w:t>
      </w:r>
      <w:r w:rsidRPr="00CB093C">
        <w:rPr>
          <w:rFonts w:ascii="Arial" w:hAnsi="Arial" w:cs="Arial"/>
          <w:szCs w:val="22"/>
        </w:rPr>
        <w:t xml:space="preserve">N) with a </w:t>
      </w:r>
      <w:r w:rsidR="009E0200" w:rsidRPr="00CB093C">
        <w:rPr>
          <w:rFonts w:ascii="Arial" w:hAnsi="Arial" w:cs="Arial"/>
          <w:color w:val="000000" w:themeColor="text1"/>
          <w:szCs w:val="22"/>
        </w:rPr>
        <w:t>Gaussian</w:t>
      </w:r>
      <w:r w:rsidRPr="00CB093C">
        <w:rPr>
          <w:rFonts w:ascii="Arial" w:hAnsi="Arial" w:cs="Arial"/>
          <w:color w:val="000000" w:themeColor="text1"/>
          <w:szCs w:val="22"/>
        </w:rPr>
        <w:t xml:space="preserve"> distribution. Similarly to the C:N GAMMs, the random effects consisted of species nested within site.</w:t>
      </w:r>
    </w:p>
    <w:p w14:paraId="2CEA01F3" w14:textId="431A372D" w:rsidR="007F5DF1" w:rsidRPr="00CB093C" w:rsidRDefault="007F5DF1" w:rsidP="007F5DF1">
      <w:pPr>
        <w:rPr>
          <w:rFonts w:ascii="Arial" w:hAnsi="Arial" w:cs="Arial"/>
          <w:color w:val="000000" w:themeColor="text1"/>
          <w:szCs w:val="22"/>
        </w:rPr>
      </w:pPr>
      <w:r w:rsidRPr="00CB093C">
        <w:rPr>
          <w:rFonts w:ascii="Arial" w:hAnsi="Arial" w:cs="Arial"/>
          <w:color w:val="000000" w:themeColor="text1"/>
          <w:szCs w:val="22"/>
        </w:rPr>
        <w:t>Trend analysis was conducted to determine if there was a significant trend (reduction or increase) in seagrass abundance (</w:t>
      </w:r>
      <w:r w:rsidR="00882B72" w:rsidRPr="00CB093C">
        <w:rPr>
          <w:rFonts w:ascii="Arial" w:hAnsi="Arial" w:cs="Arial"/>
          <w:color w:val="000000" w:themeColor="text1"/>
          <w:szCs w:val="22"/>
        </w:rPr>
        <w:t>%</w:t>
      </w:r>
      <w:r w:rsidRPr="00CB093C">
        <w:rPr>
          <w:rFonts w:ascii="Arial" w:hAnsi="Arial" w:cs="Arial"/>
          <w:color w:val="000000" w:themeColor="text1"/>
          <w:szCs w:val="22"/>
        </w:rPr>
        <w:t xml:space="preserve"> cover) at a particular site (averaged by sampling event) over all time periods. A Mann-Kendall test was performed using the “trend” package in R 3.2.1 (R Core Team, 2014). Mann-Kendall is a common non-parametric test used to detect overall trends over time. The measure of the ranked correlation is the Kendall’s tau coefficient (Kendall-</w:t>
      </w:r>
      <w:r w:rsidRPr="00CB093C">
        <w:rPr>
          <w:rFonts w:ascii="Arial" w:hAnsi="Arial" w:cs="Arial"/>
          <w:i/>
          <w:color w:val="000000" w:themeColor="text1"/>
          <w:szCs w:val="22"/>
        </w:rPr>
        <w:t>τ</w:t>
      </w:r>
      <w:r w:rsidRPr="00CB093C">
        <w:rPr>
          <w:rFonts w:ascii="Arial" w:hAnsi="Arial" w:cs="Arial"/>
          <w:color w:val="000000" w:themeColor="text1"/>
          <w:szCs w:val="22"/>
        </w:rPr>
        <w:t xml:space="preserve">), which is the proportion of up-movements against time vs the proportion of down-movements, looking at all possible pairwise time-differences. As the test assumes independence between observations, data was checked for autocorrelation and if present a corrected </w:t>
      </w:r>
      <w:r w:rsidRPr="00CB093C">
        <w:rPr>
          <w:rFonts w:ascii="Arial" w:hAnsi="Arial" w:cs="Arial"/>
          <w:i/>
          <w:color w:val="000000" w:themeColor="text1"/>
          <w:szCs w:val="22"/>
        </w:rPr>
        <w:t>p</w:t>
      </w:r>
      <w:r w:rsidRPr="00CB093C">
        <w:rPr>
          <w:rFonts w:ascii="Arial" w:hAnsi="Arial" w:cs="Arial"/>
          <w:color w:val="000000" w:themeColor="text1"/>
          <w:szCs w:val="22"/>
        </w:rPr>
        <w:t>-value was calculated using the “modifiedmk” package (Hamed and Rao 1998).</w:t>
      </w:r>
    </w:p>
    <w:p w14:paraId="5AE7D0E3" w14:textId="6F886155" w:rsidR="003D1F7F" w:rsidRPr="00CB093C" w:rsidRDefault="007F5DF1" w:rsidP="00F16C11">
      <w:pPr>
        <w:rPr>
          <w:rFonts w:ascii="Arial" w:hAnsi="Arial" w:cs="Arial"/>
          <w:color w:val="000000" w:themeColor="text1"/>
          <w:szCs w:val="22"/>
        </w:rPr>
      </w:pPr>
      <w:r w:rsidRPr="00CB093C">
        <w:rPr>
          <w:rFonts w:ascii="Arial" w:hAnsi="Arial" w:cs="Arial"/>
          <w:color w:val="000000" w:themeColor="text1"/>
          <w:szCs w:val="22"/>
        </w:rPr>
        <w:t>The majority of meadows have been in a "recovery mode" since losses during the periods 2008</w:t>
      </w:r>
      <w:r w:rsidR="002B4EA4" w:rsidRPr="00CB093C">
        <w:rPr>
          <w:rFonts w:ascii="Arial" w:hAnsi="Arial" w:cs="Arial"/>
          <w:color w:val="000000" w:themeColor="text1"/>
          <w:szCs w:val="22"/>
        </w:rPr>
        <w:t>–20</w:t>
      </w:r>
      <w:r w:rsidRPr="00CB093C">
        <w:rPr>
          <w:rFonts w:ascii="Arial" w:hAnsi="Arial" w:cs="Arial"/>
          <w:color w:val="000000" w:themeColor="text1"/>
          <w:szCs w:val="22"/>
        </w:rPr>
        <w:t>09 to 2010</w:t>
      </w:r>
      <w:r w:rsidR="002B4EA4" w:rsidRPr="00CB093C">
        <w:rPr>
          <w:rFonts w:ascii="Arial" w:hAnsi="Arial" w:cs="Arial"/>
          <w:color w:val="000000" w:themeColor="text1"/>
          <w:szCs w:val="22"/>
        </w:rPr>
        <w:t>–20</w:t>
      </w:r>
      <w:r w:rsidRPr="00CB093C">
        <w:rPr>
          <w:rFonts w:ascii="Arial" w:hAnsi="Arial" w:cs="Arial"/>
          <w:color w:val="000000" w:themeColor="text1"/>
          <w:szCs w:val="22"/>
        </w:rPr>
        <w:t xml:space="preserve">11. As such, there have been periods of limited sample availability (e.g. for tissue nutrients), and the absence of data has restricted whether multivariate analysis can be undertaken routinely. Analysis is currently underway to more fully interrogate the temporal and covariate components of the data as the time series of observations lengthen. </w:t>
      </w:r>
      <w:r w:rsidR="003D1F7F" w:rsidRPr="00CB093C">
        <w:rPr>
          <w:rFonts w:ascii="Arial" w:hAnsi="Arial" w:cs="Arial"/>
          <w:color w:val="000000" w:themeColor="text1"/>
          <w:szCs w:val="22"/>
        </w:rPr>
        <w:t xml:space="preserve"> </w:t>
      </w:r>
    </w:p>
    <w:p w14:paraId="0A457A12" w14:textId="77777777" w:rsidR="003D1F7F" w:rsidRPr="00CB093C" w:rsidRDefault="003D1F7F" w:rsidP="0015509E">
      <w:pPr>
        <w:pStyle w:val="Heading2"/>
      </w:pPr>
      <w:bookmarkStart w:id="96" w:name="_Toc170191607"/>
      <w:bookmarkStart w:id="97" w:name="_Toc175991054"/>
      <w:bookmarkStart w:id="98" w:name="_Toc232845902"/>
      <w:bookmarkStart w:id="99" w:name="_Toc184101953"/>
      <w:bookmarkStart w:id="100" w:name="_Toc11394701"/>
      <w:bookmarkEnd w:id="91"/>
      <w:r w:rsidRPr="00CB093C">
        <w:t>Reporting Approach</w:t>
      </w:r>
      <w:bookmarkEnd w:id="96"/>
      <w:bookmarkEnd w:id="97"/>
      <w:bookmarkEnd w:id="98"/>
      <w:bookmarkEnd w:id="99"/>
      <w:bookmarkEnd w:id="100"/>
    </w:p>
    <w:p w14:paraId="2668C3B5" w14:textId="77777777" w:rsidR="003D1F7F" w:rsidRPr="00CB093C" w:rsidRDefault="003D1F7F" w:rsidP="003D1F7F">
      <w:pPr>
        <w:spacing w:before="240"/>
        <w:rPr>
          <w:rFonts w:ascii="Arial" w:hAnsi="Arial" w:cs="Arial"/>
          <w:color w:val="000000" w:themeColor="text1"/>
          <w:szCs w:val="22"/>
        </w:rPr>
      </w:pPr>
      <w:r w:rsidRPr="00CB093C">
        <w:rPr>
          <w:rFonts w:ascii="Arial" w:hAnsi="Arial" w:cs="Arial"/>
          <w:color w:val="000000" w:themeColor="text1"/>
          <w:szCs w:val="22"/>
        </w:rPr>
        <w:t>The data is presented in a number of ways depending on the indicator and section of the report:</w:t>
      </w:r>
    </w:p>
    <w:p w14:paraId="1C28AEF4" w14:textId="5E0AE2ED" w:rsidR="003D1F7F" w:rsidRPr="00CB093C" w:rsidRDefault="003D1F7F" w:rsidP="00AD06D4">
      <w:pPr>
        <w:numPr>
          <w:ilvl w:val="0"/>
          <w:numId w:val="3"/>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t xml:space="preserve">Report card scores </w:t>
      </w:r>
      <w:r w:rsidR="008E5C2F" w:rsidRPr="00CB093C">
        <w:rPr>
          <w:rFonts w:ascii="Arial" w:hAnsi="Arial" w:cs="Arial"/>
          <w:color w:val="000000" w:themeColor="text1"/>
          <w:szCs w:val="22"/>
        </w:rPr>
        <w:t xml:space="preserve">for seagrass condition </w:t>
      </w:r>
      <w:r w:rsidRPr="00CB093C">
        <w:rPr>
          <w:rFonts w:ascii="Arial" w:hAnsi="Arial" w:cs="Arial"/>
          <w:color w:val="000000" w:themeColor="text1"/>
          <w:szCs w:val="22"/>
        </w:rPr>
        <w:t xml:space="preserve">are presented at the start of each section. These are a numerical summary of the </w:t>
      </w:r>
      <w:r w:rsidR="00306CAE" w:rsidRPr="00CB093C">
        <w:rPr>
          <w:rFonts w:ascii="Arial" w:hAnsi="Arial" w:cs="Arial"/>
          <w:color w:val="000000" w:themeColor="text1"/>
          <w:szCs w:val="22"/>
        </w:rPr>
        <w:t>condition</w:t>
      </w:r>
      <w:r w:rsidRPr="00CB093C">
        <w:rPr>
          <w:rFonts w:ascii="Arial" w:hAnsi="Arial" w:cs="Arial"/>
          <w:color w:val="000000" w:themeColor="text1"/>
          <w:szCs w:val="22"/>
        </w:rPr>
        <w:t xml:space="preserve"> within the region relative to a regional basel</w:t>
      </w:r>
      <w:r w:rsidR="00CD53D5" w:rsidRPr="00CB093C">
        <w:rPr>
          <w:rFonts w:ascii="Arial" w:hAnsi="Arial" w:cs="Arial"/>
          <w:color w:val="000000" w:themeColor="text1"/>
          <w:szCs w:val="22"/>
        </w:rPr>
        <w:t>ine (described further below)</w:t>
      </w:r>
    </w:p>
    <w:p w14:paraId="5FCC82F5" w14:textId="62B09169" w:rsidR="00423FEC" w:rsidRPr="00CB093C" w:rsidRDefault="00423FEC" w:rsidP="00AD06D4">
      <w:pPr>
        <w:numPr>
          <w:ilvl w:val="0"/>
          <w:numId w:val="3"/>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t>Climate and environmental pressures are presented as averages (daily, monthly or a</w:t>
      </w:r>
      <w:r w:rsidR="00CD53D5" w:rsidRPr="00CB093C">
        <w:rPr>
          <w:rFonts w:ascii="Arial" w:hAnsi="Arial" w:cs="Arial"/>
          <w:color w:val="000000" w:themeColor="text1"/>
          <w:szCs w:val="22"/>
        </w:rPr>
        <w:t>nnual) and threshold exceedance</w:t>
      </w:r>
    </w:p>
    <w:p w14:paraId="43C8D34F" w14:textId="2AC757E4" w:rsidR="003D1F7F" w:rsidRPr="00CB093C" w:rsidRDefault="00423FEC" w:rsidP="00AD06D4">
      <w:pPr>
        <w:numPr>
          <w:ilvl w:val="0"/>
          <w:numId w:val="3"/>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t xml:space="preserve">Seagrass community data </w:t>
      </w:r>
      <w:r w:rsidR="00395A22" w:rsidRPr="00CB093C">
        <w:rPr>
          <w:rFonts w:ascii="Arial" w:hAnsi="Arial" w:cs="Arial"/>
          <w:color w:val="000000" w:themeColor="text1"/>
          <w:szCs w:val="22"/>
        </w:rPr>
        <w:t xml:space="preserve">such as seagrass abundance, leaf tissue nutrients </w:t>
      </w:r>
      <w:r w:rsidRPr="00CB093C">
        <w:rPr>
          <w:rFonts w:ascii="Arial" w:hAnsi="Arial" w:cs="Arial"/>
          <w:color w:val="000000" w:themeColor="text1"/>
          <w:szCs w:val="22"/>
        </w:rPr>
        <w:t xml:space="preserve">are presented as averages </w:t>
      </w:r>
      <w:r w:rsidR="00395A22" w:rsidRPr="00CB093C">
        <w:rPr>
          <w:rFonts w:ascii="Arial" w:hAnsi="Arial" w:cs="Arial"/>
          <w:color w:val="000000" w:themeColor="text1"/>
          <w:szCs w:val="22"/>
        </w:rPr>
        <w:t>(</w:t>
      </w:r>
      <w:r w:rsidRPr="00CB093C">
        <w:rPr>
          <w:rFonts w:ascii="Arial" w:hAnsi="Arial" w:cs="Arial"/>
          <w:color w:val="000000" w:themeColor="text1"/>
          <w:szCs w:val="22"/>
        </w:rPr>
        <w:t>sampling event</w:t>
      </w:r>
      <w:r w:rsidR="00395A22" w:rsidRPr="00CB093C">
        <w:rPr>
          <w:rFonts w:ascii="Arial" w:hAnsi="Arial" w:cs="Arial"/>
          <w:color w:val="000000" w:themeColor="text1"/>
          <w:szCs w:val="22"/>
        </w:rPr>
        <w:t>, season or monitoring period</w:t>
      </w:r>
      <w:r w:rsidR="000630F4" w:rsidRPr="00CB093C">
        <w:rPr>
          <w:rFonts w:ascii="Arial" w:hAnsi="Arial" w:cs="Arial"/>
          <w:color w:val="000000" w:themeColor="text1"/>
          <w:szCs w:val="22"/>
        </w:rPr>
        <w:t xml:space="preserve"> with </w:t>
      </w:r>
      <w:r w:rsidR="009C7692" w:rsidRPr="00CB093C">
        <w:rPr>
          <w:rFonts w:ascii="Arial" w:hAnsi="Arial" w:cs="Arial"/>
          <w:color w:val="000000" w:themeColor="text1"/>
          <w:szCs w:val="22"/>
        </w:rPr>
        <w:t>SE</w:t>
      </w:r>
      <w:r w:rsidR="00395A22" w:rsidRPr="00CB093C">
        <w:rPr>
          <w:rFonts w:ascii="Arial" w:hAnsi="Arial" w:cs="Arial"/>
          <w:color w:val="000000" w:themeColor="text1"/>
          <w:szCs w:val="22"/>
        </w:rPr>
        <w:t>)</w:t>
      </w:r>
      <w:r w:rsidRPr="00CB093C">
        <w:rPr>
          <w:rFonts w:ascii="Arial" w:hAnsi="Arial" w:cs="Arial"/>
          <w:color w:val="000000" w:themeColor="text1"/>
          <w:szCs w:val="22"/>
        </w:rPr>
        <w:t xml:space="preserve"> and threshold exceedance </w:t>
      </w:r>
      <w:r w:rsidR="00395A22" w:rsidRPr="00CB093C">
        <w:rPr>
          <w:rFonts w:ascii="Arial" w:hAnsi="Arial" w:cs="Arial"/>
          <w:color w:val="000000" w:themeColor="text1"/>
          <w:szCs w:val="22"/>
        </w:rPr>
        <w:t>data</w:t>
      </w:r>
    </w:p>
    <w:p w14:paraId="0A5F6388" w14:textId="3C838B23" w:rsidR="00395A22" w:rsidRPr="00CB093C" w:rsidRDefault="00395A22" w:rsidP="00AD06D4">
      <w:pPr>
        <w:numPr>
          <w:ilvl w:val="0"/>
          <w:numId w:val="3"/>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lastRenderedPageBreak/>
        <w:t>Seagrass ecosystem data such as sediment composition, epiphyte and macroalgae are presented as averages (sampling event, season or monitoring period) and relative to the long-term</w:t>
      </w:r>
    </w:p>
    <w:p w14:paraId="087A061E" w14:textId="77777777" w:rsidR="003D1F7F" w:rsidRPr="00CB093C" w:rsidRDefault="003D1F7F" w:rsidP="00AD06D4">
      <w:pPr>
        <w:numPr>
          <w:ilvl w:val="0"/>
          <w:numId w:val="3"/>
        </w:numPr>
        <w:spacing w:before="0" w:after="0"/>
        <w:ind w:left="714" w:hanging="357"/>
        <w:rPr>
          <w:rFonts w:ascii="Arial" w:hAnsi="Arial" w:cs="Arial"/>
          <w:color w:val="000000" w:themeColor="text1"/>
          <w:szCs w:val="22"/>
        </w:rPr>
      </w:pPr>
      <w:r w:rsidRPr="00CB093C">
        <w:rPr>
          <w:rFonts w:ascii="Arial" w:hAnsi="Arial" w:cs="Arial"/>
          <w:color w:val="000000" w:themeColor="text1"/>
          <w:szCs w:val="22"/>
        </w:rPr>
        <w:t xml:space="preserve">Trend analysis (GAMM plots) are also used to explore the long-term temporal trends in biological and environmental indicators. </w:t>
      </w:r>
    </w:p>
    <w:p w14:paraId="17147F6F" w14:textId="477E13CD" w:rsidR="005B06BC" w:rsidRPr="00CB093C" w:rsidRDefault="003D1F7F" w:rsidP="003D1F7F">
      <w:pPr>
        <w:spacing w:before="240"/>
        <w:rPr>
          <w:rFonts w:ascii="Arial" w:hAnsi="Arial" w:cs="Arial"/>
          <w:color w:val="000000" w:themeColor="text1"/>
          <w:szCs w:val="22"/>
        </w:rPr>
      </w:pPr>
      <w:r w:rsidRPr="00CB093C">
        <w:rPr>
          <w:rFonts w:ascii="Arial" w:hAnsi="Arial" w:cs="Arial"/>
          <w:color w:val="000000" w:themeColor="text1"/>
          <w:szCs w:val="22"/>
        </w:rPr>
        <w:t xml:space="preserve">Within each region, estuarine and coastal habitat boundaries were delineated based on the Queensland coastal waterways geomorphic habitat mapping, Version 2 (1:100 000 </w:t>
      </w:r>
      <w:bookmarkStart w:id="101" w:name="OLE_LINK17"/>
      <w:bookmarkStart w:id="102" w:name="OLE_LINK18"/>
      <w:r w:rsidRPr="00CB093C">
        <w:rPr>
          <w:rFonts w:ascii="Arial" w:hAnsi="Arial" w:cs="Arial"/>
          <w:color w:val="000000" w:themeColor="text1"/>
          <w:szCs w:val="22"/>
        </w:rPr>
        <w:t>scale digital data)</w:t>
      </w:r>
      <w:bookmarkEnd w:id="101"/>
      <w:bookmarkEnd w:id="102"/>
      <w:r w:rsidRPr="00CB093C">
        <w:rPr>
          <w:rFonts w:ascii="Arial" w:hAnsi="Arial" w:cs="Arial"/>
          <w:color w:val="000000" w:themeColor="text1"/>
          <w:szCs w:val="22"/>
        </w:rPr>
        <w:t xml:space="preserve"> (</w:t>
      </w:r>
      <w:hyperlink w:anchor="_ENREF_67" w:tooltip="Heap, 2015 #10955"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&lt;EndNote&gt;&lt;Cite&gt;&lt;Author&gt;Heap&lt;/Author&gt;&lt;Year&gt;2015&lt;/Year&gt;&lt;RecNum&gt;10955&lt;/RecNum&gt;&lt;DisplayText&gt;Heap&lt;style face="italic"&gt; et al.&lt;/style&gt; 2015&lt;/DisplayText&gt;&lt;record&gt;&lt;rec-number&gt;10955&lt;/rec-number&gt;&lt;foreign-keys&gt;&lt;key app="EN" db-id="0eve55x9y5vfd6e9dacxtew4eatve2dzds9a" timestamp="1492560013"&gt;10955&lt;/key&gt;&lt;/foreign-keys&gt;&lt;ref-type name="Dataset"&gt;59&lt;/ref-type&gt;&lt;contributors&gt;&lt;authors&gt;&lt;author&gt;Heap, A. D.&lt;/author&gt;&lt;author&gt;Murray, E.&lt;/author&gt;&lt;author&gt;Ryan, D. A.&lt;/author&gt;&lt;author&gt;Gallagher, J.&lt;/author&gt;&lt;author&gt;Tobin, G.&lt;/author&gt;&lt;author&gt;Creasey, J.&lt;/author&gt;&lt;author&gt;Dyall, A.&lt;/author&gt;&lt;/authors&gt;&lt;/contributors&gt;&lt;titles&gt;&lt;title&gt;Queensland Coastal Waterways Geomorphic Habitat Mapping, Version 2 (1:100 000 scale digital data)&lt;/title&gt;&lt;/titles&gt;&lt;keywords&gt;&lt;keyword&gt;Geoscientific Information&lt;/keyword&gt;&lt;keyword&gt;Gis Dataset&lt;/keyword&gt;&lt;keyword&gt;100k Scale&lt;/keyword&gt;&lt;keyword&gt;Water Resources&lt;/keyword&gt;&lt;keyword&gt;Marine&lt;/keyword&gt;&lt;keyword&gt;Mapping&lt;/keyword&gt;&lt;keyword&gt;Coasts&lt;/keyword&gt;&lt;keyword&gt;Gis&lt;/keyword&gt;&lt;keyword&gt;Earth Sciences&lt;/keyword&gt;&lt;/keywords&gt;&lt;dates&gt;&lt;year&gt;2015&lt;/year&gt;&lt;/dates&gt;&lt;publisher&gt;Australian Coastal Ecosystems Facility&lt;/publisher&gt;&lt;reviewed-item&gt;northlimit=-10.6; southlimit=-28.2; westlimit=137.8; eastLimit=153.2; projection=WGS84&lt;/reviewed-item&gt;&lt;urls&gt;&lt;related-urls&gt;&lt;url&gt;http://acef.tern.org.au/geonetwork/srv/en/metadata.show?uuid=a05f7892-c344-7506-e044-00144fdd4fa6&lt;/url&gt;&lt;/related-urls&gt;&lt;/urls&gt;&lt;custom5&gt;Creative Commons Attribution 4.0 International Licence. http://creativecommons.org/licenses/by/4.0/&lt;/custom5&gt;&lt;language&gt;English&lt;/language&gt;&lt;access-date&gt;2017-04-19&lt;/access-date&gt;&lt;/record&gt;&lt;/Cite&gt;&lt;/EndNote&gt;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Heap</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2015</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p>
    <w:p w14:paraId="52127ACB" w14:textId="77777777" w:rsidR="005B06BC" w:rsidRPr="00CB093C" w:rsidRDefault="003D1F7F" w:rsidP="003D1F7F">
      <w:pPr>
        <w:spacing w:before="240"/>
        <w:rPr>
          <w:rFonts w:ascii="Arial" w:hAnsi="Arial" w:cs="Arial"/>
          <w:color w:val="000000" w:themeColor="text1"/>
          <w:szCs w:val="22"/>
        </w:rPr>
      </w:pPr>
      <w:r w:rsidRPr="00CB093C">
        <w:rPr>
          <w:rFonts w:ascii="Arial" w:hAnsi="Arial" w:cs="Arial"/>
          <w:color w:val="000000" w:themeColor="text1"/>
          <w:szCs w:val="22"/>
        </w:rPr>
        <w:t>Reef habitat boundaries were determined using the AUSLIG (now the National Mapping Division of Geosciences Australia) geodata topographic basemap (1:100 000 scale digital data).</w:t>
      </w:r>
      <w:r w:rsidR="009817B8" w:rsidRPr="00CB093C">
        <w:rPr>
          <w:rFonts w:ascii="Arial" w:hAnsi="Arial" w:cs="Arial"/>
          <w:color w:val="000000" w:themeColor="text1"/>
          <w:szCs w:val="22"/>
        </w:rPr>
        <w:t xml:space="preserve"> </w:t>
      </w:r>
    </w:p>
    <w:p w14:paraId="52BA4A74" w14:textId="29FD9AA9" w:rsidR="00306220" w:rsidRPr="00CB093C" w:rsidRDefault="003D1F7F" w:rsidP="003D1F7F">
      <w:pPr>
        <w:spacing w:before="240"/>
        <w:rPr>
          <w:rFonts w:ascii="Arial" w:hAnsi="Arial" w:cs="Arial"/>
          <w:color w:val="000000" w:themeColor="text1"/>
          <w:szCs w:val="22"/>
        </w:rPr>
      </w:pPr>
      <w:r w:rsidRPr="00CB093C">
        <w:rPr>
          <w:rFonts w:ascii="Arial" w:hAnsi="Arial" w:cs="Arial"/>
          <w:color w:val="000000" w:themeColor="text1"/>
          <w:szCs w:val="22"/>
        </w:rPr>
        <w:t>Conceptual diagrams have been used to illustrate the general seagrass habitats type in each region</w:t>
      </w:r>
      <w:r w:rsidR="00EB19B4" w:rsidRPr="00CB093C">
        <w:rPr>
          <w:rFonts w:ascii="Arial" w:hAnsi="Arial" w:cs="Arial"/>
          <w:color w:val="000000" w:themeColor="text1"/>
          <w:szCs w:val="22"/>
        </w:rPr>
        <w:t xml:space="preserve"> and can be found in Appendix 1 with the background description of each NRM region</w:t>
      </w:r>
      <w:r w:rsidRPr="00CB093C">
        <w:rPr>
          <w:rFonts w:ascii="Arial" w:hAnsi="Arial" w:cs="Arial"/>
          <w:color w:val="000000" w:themeColor="text1"/>
          <w:szCs w:val="22"/>
        </w:rPr>
        <w:t xml:space="preserve">. Symbols/icons have been used in the conceptual diagrams to illustrate major controls, processes </w:t>
      </w:r>
      <w:r w:rsidR="00EB19B4" w:rsidRPr="00CB093C">
        <w:rPr>
          <w:rFonts w:ascii="Arial" w:hAnsi="Arial" w:cs="Arial"/>
          <w:color w:val="000000" w:themeColor="text1"/>
          <w:szCs w:val="22"/>
        </w:rPr>
        <w:t>and threats/impacts</w:t>
      </w:r>
      <w:r w:rsidRPr="00CB093C">
        <w:rPr>
          <w:rFonts w:ascii="Arial" w:hAnsi="Arial" w:cs="Arial"/>
          <w:color w:val="000000" w:themeColor="text1"/>
          <w:szCs w:val="22"/>
        </w:rPr>
        <w:t>.</w:t>
      </w:r>
    </w:p>
    <w:p w14:paraId="20323CD8" w14:textId="77777777" w:rsidR="00A2551D" w:rsidRPr="00CB093C" w:rsidRDefault="00A2551D" w:rsidP="003D1F7F">
      <w:pPr>
        <w:spacing w:before="240"/>
        <w:rPr>
          <w:rFonts w:ascii="Arial" w:hAnsi="Arial" w:cs="Arial"/>
          <w:color w:val="000000" w:themeColor="text1"/>
          <w:szCs w:val="22"/>
        </w:rPr>
      </w:pPr>
    </w:p>
    <w:p w14:paraId="34DDE1BD" w14:textId="36C85D2C" w:rsidR="003D1F7F" w:rsidRPr="00CB093C" w:rsidRDefault="005478D5" w:rsidP="0015509E">
      <w:pPr>
        <w:pStyle w:val="Heading2"/>
      </w:pPr>
      <w:bookmarkStart w:id="103" w:name="_Toc11394702"/>
      <w:r w:rsidRPr="00CB093C">
        <w:t xml:space="preserve">Calculating </w:t>
      </w:r>
      <w:r w:rsidR="00BB4AB0" w:rsidRPr="00CB093C">
        <w:t xml:space="preserve">report card </w:t>
      </w:r>
      <w:r w:rsidRPr="00CB093C">
        <w:t>scores</w:t>
      </w:r>
      <w:bookmarkEnd w:id="103"/>
    </w:p>
    <w:p w14:paraId="3F29E767" w14:textId="67AE4202" w:rsidR="003D1F7F" w:rsidRPr="00CB093C" w:rsidRDefault="003D1F7F" w:rsidP="004A6709">
      <w:pPr>
        <w:spacing w:after="0"/>
        <w:rPr>
          <w:rFonts w:ascii="Arial" w:hAnsi="Arial" w:cs="Arial"/>
          <w:szCs w:val="22"/>
        </w:rPr>
      </w:pPr>
      <w:r w:rsidRPr="00CB093C">
        <w:rPr>
          <w:rFonts w:ascii="Arial" w:hAnsi="Arial" w:cs="Arial"/>
          <w:szCs w:val="22"/>
        </w:rPr>
        <w:t xml:space="preserve">Three indicators (presented as </w:t>
      </w:r>
      <w:r w:rsidR="009E0200" w:rsidRPr="00CB093C">
        <w:rPr>
          <w:rFonts w:ascii="Arial" w:hAnsi="Arial" w:cs="Arial"/>
          <w:szCs w:val="22"/>
        </w:rPr>
        <w:t>unitless</w:t>
      </w:r>
      <w:r w:rsidRPr="00CB093C">
        <w:rPr>
          <w:rFonts w:ascii="Arial" w:hAnsi="Arial" w:cs="Arial"/>
          <w:szCs w:val="22"/>
        </w:rPr>
        <w:t xml:space="preserve"> scores) </w:t>
      </w:r>
      <w:r w:rsidR="005B06BC" w:rsidRPr="00CB093C">
        <w:rPr>
          <w:rFonts w:ascii="Arial" w:hAnsi="Arial" w:cs="Arial"/>
          <w:szCs w:val="22"/>
        </w:rPr>
        <w:t>are used</w:t>
      </w:r>
      <w:r w:rsidRPr="00CB093C">
        <w:rPr>
          <w:rFonts w:ascii="Arial" w:hAnsi="Arial" w:cs="Arial"/>
          <w:szCs w:val="22"/>
        </w:rPr>
        <w:t xml:space="preserve"> for the seagrass </w:t>
      </w:r>
      <w:r w:rsidR="00E50AF6" w:rsidRPr="00CB093C">
        <w:rPr>
          <w:rFonts w:ascii="Arial" w:hAnsi="Arial" w:cs="Arial"/>
          <w:szCs w:val="22"/>
        </w:rPr>
        <w:t xml:space="preserve">component of the Marine Results report and Reef </w:t>
      </w:r>
      <w:r w:rsidRPr="00CB093C">
        <w:rPr>
          <w:rFonts w:ascii="Arial" w:hAnsi="Arial" w:cs="Arial"/>
          <w:szCs w:val="22"/>
        </w:rPr>
        <w:t xml:space="preserve">report card: </w:t>
      </w:r>
    </w:p>
    <w:p w14:paraId="459F28CB" w14:textId="6C0F5453" w:rsidR="003D1F7F" w:rsidRPr="00CB093C" w:rsidRDefault="003D1F7F" w:rsidP="00AD06D4">
      <w:pPr>
        <w:numPr>
          <w:ilvl w:val="0"/>
          <w:numId w:val="24"/>
        </w:numPr>
        <w:spacing w:before="0" w:after="0"/>
        <w:rPr>
          <w:rFonts w:ascii="Arial" w:hAnsi="Arial" w:cs="Arial"/>
          <w:szCs w:val="22"/>
        </w:rPr>
      </w:pPr>
      <w:r w:rsidRPr="00CB093C">
        <w:rPr>
          <w:rFonts w:ascii="Arial" w:hAnsi="Arial" w:cs="Arial"/>
          <w:szCs w:val="22"/>
        </w:rPr>
        <w:t>seagrass abundance (</w:t>
      </w:r>
      <w:r w:rsidR="00882B72" w:rsidRPr="00CB093C">
        <w:rPr>
          <w:rFonts w:ascii="Arial" w:hAnsi="Arial" w:cs="Arial"/>
          <w:szCs w:val="22"/>
        </w:rPr>
        <w:t>%</w:t>
      </w:r>
      <w:r w:rsidR="00167865" w:rsidRPr="00CB093C">
        <w:rPr>
          <w:rFonts w:ascii="Arial" w:hAnsi="Arial" w:cs="Arial"/>
          <w:szCs w:val="22"/>
        </w:rPr>
        <w:t xml:space="preserve"> </w:t>
      </w:r>
      <w:r w:rsidRPr="00CB093C">
        <w:rPr>
          <w:rFonts w:ascii="Arial" w:hAnsi="Arial" w:cs="Arial"/>
          <w:szCs w:val="22"/>
        </w:rPr>
        <w:t>cover)</w:t>
      </w:r>
    </w:p>
    <w:p w14:paraId="05ECCD70" w14:textId="77777777" w:rsidR="003D1F7F" w:rsidRPr="00CB093C" w:rsidRDefault="003D1F7F" w:rsidP="00AD06D4">
      <w:pPr>
        <w:numPr>
          <w:ilvl w:val="0"/>
          <w:numId w:val="24"/>
        </w:numPr>
        <w:spacing w:before="0" w:after="0"/>
        <w:rPr>
          <w:rFonts w:ascii="Arial" w:hAnsi="Arial" w:cs="Arial"/>
          <w:szCs w:val="22"/>
        </w:rPr>
      </w:pPr>
      <w:r w:rsidRPr="00CB093C">
        <w:rPr>
          <w:rFonts w:ascii="Arial" w:hAnsi="Arial" w:cs="Arial"/>
          <w:szCs w:val="22"/>
        </w:rPr>
        <w:t>reproductive effort</w:t>
      </w:r>
    </w:p>
    <w:p w14:paraId="6892056C" w14:textId="72D447F1" w:rsidR="003D1F7F" w:rsidRPr="00CB093C" w:rsidRDefault="003D1F7F" w:rsidP="00AD06D4">
      <w:pPr>
        <w:numPr>
          <w:ilvl w:val="0"/>
          <w:numId w:val="24"/>
        </w:numPr>
        <w:spacing w:before="0"/>
        <w:rPr>
          <w:rFonts w:ascii="Arial" w:hAnsi="Arial" w:cs="Arial"/>
          <w:szCs w:val="22"/>
        </w:rPr>
      </w:pPr>
      <w:r w:rsidRPr="00CB093C">
        <w:rPr>
          <w:rFonts w:ascii="Arial" w:hAnsi="Arial" w:cs="Arial"/>
          <w:szCs w:val="22"/>
        </w:rPr>
        <w:t>nutrient status (</w:t>
      </w:r>
      <w:r w:rsidR="00EB19B4" w:rsidRPr="00CB093C">
        <w:rPr>
          <w:rFonts w:ascii="Arial" w:hAnsi="Arial" w:cs="Arial"/>
          <w:szCs w:val="22"/>
        </w:rPr>
        <w:t>leaf</w:t>
      </w:r>
      <w:r w:rsidRPr="00CB093C">
        <w:rPr>
          <w:rFonts w:ascii="Arial" w:hAnsi="Arial" w:cs="Arial"/>
          <w:szCs w:val="22"/>
        </w:rPr>
        <w:t xml:space="preserve"> tissue C:N ratio)</w:t>
      </w:r>
      <w:r w:rsidR="005B06BC" w:rsidRPr="00CB093C">
        <w:rPr>
          <w:rFonts w:ascii="Arial" w:hAnsi="Arial" w:cs="Arial"/>
          <w:szCs w:val="22"/>
        </w:rPr>
        <w:t>.</w:t>
      </w:r>
    </w:p>
    <w:p w14:paraId="44E6E1DE" w14:textId="64CEE67F" w:rsidR="003D1F7F" w:rsidRPr="00CB093C" w:rsidRDefault="004A6709" w:rsidP="004A6709">
      <w:pPr>
        <w:rPr>
          <w:rFonts w:ascii="Arial" w:hAnsi="Arial" w:cs="Arial"/>
          <w:i/>
          <w:szCs w:val="22"/>
        </w:rPr>
      </w:pPr>
      <w:r w:rsidRPr="00CB093C">
        <w:rPr>
          <w:rFonts w:ascii="Arial" w:hAnsi="Arial" w:cs="Arial"/>
          <w:szCs w:val="22"/>
        </w:rPr>
        <w:t xml:space="preserve">A seagrass condition index (score) is reported for each monitoring </w:t>
      </w:r>
      <w:r w:rsidR="00D90BED" w:rsidRPr="00CB093C">
        <w:rPr>
          <w:rFonts w:ascii="Arial" w:hAnsi="Arial" w:cs="Arial"/>
          <w:szCs w:val="22"/>
        </w:rPr>
        <w:t>region</w:t>
      </w:r>
      <w:r w:rsidRPr="00CB093C">
        <w:rPr>
          <w:rFonts w:ascii="Arial" w:hAnsi="Arial" w:cs="Arial"/>
          <w:szCs w:val="22"/>
        </w:rPr>
        <w:t xml:space="preserve"> based on changes in each of the indicators relative to a baseline. </w:t>
      </w:r>
      <w:r w:rsidR="003D1F7F" w:rsidRPr="00CB093C">
        <w:rPr>
          <w:rFonts w:ascii="Arial" w:hAnsi="Arial" w:cs="Arial"/>
          <w:szCs w:val="22"/>
        </w:rPr>
        <w:t xml:space="preserve">The methods for </w:t>
      </w:r>
      <w:r w:rsidR="00167865" w:rsidRPr="00CB093C">
        <w:rPr>
          <w:rFonts w:ascii="Arial" w:hAnsi="Arial" w:cs="Arial"/>
          <w:szCs w:val="22"/>
        </w:rPr>
        <w:t xml:space="preserve">score </w:t>
      </w:r>
      <w:r w:rsidR="003D1F7F" w:rsidRPr="00CB093C">
        <w:rPr>
          <w:rFonts w:ascii="Arial" w:hAnsi="Arial" w:cs="Arial"/>
          <w:szCs w:val="22"/>
        </w:rPr>
        <w:t>calculation w</w:t>
      </w:r>
      <w:r w:rsidRPr="00CB093C">
        <w:rPr>
          <w:rFonts w:ascii="Arial" w:hAnsi="Arial" w:cs="Arial"/>
          <w:szCs w:val="22"/>
        </w:rPr>
        <w:t>ere</w:t>
      </w:r>
      <w:r w:rsidR="003D1F7F" w:rsidRPr="00CB093C">
        <w:rPr>
          <w:rFonts w:ascii="Arial" w:hAnsi="Arial" w:cs="Arial"/>
          <w:szCs w:val="22"/>
        </w:rPr>
        <w:t xml:space="preserve"> chosen by </w:t>
      </w:r>
      <w:r w:rsidR="003D1F7F" w:rsidRPr="00CB093C">
        <w:rPr>
          <w:rFonts w:ascii="Arial" w:hAnsi="Arial" w:cs="Arial"/>
          <w:szCs w:val="22"/>
          <w:lang w:val="en-US"/>
        </w:rPr>
        <w:t xml:space="preserve">the Paddock to Reef Integration Team and </w:t>
      </w:r>
      <w:r w:rsidR="003D1F7F" w:rsidRPr="00CB093C">
        <w:rPr>
          <w:rFonts w:ascii="Arial" w:hAnsi="Arial" w:cs="Arial"/>
          <w:szCs w:val="22"/>
        </w:rPr>
        <w:t xml:space="preserve">all report card scores are transformed to a five point scale from 0 to 100 to allow integration with other components of the </w:t>
      </w:r>
      <w:r w:rsidR="00A2551D" w:rsidRPr="00CB093C">
        <w:rPr>
          <w:rFonts w:ascii="Arial" w:hAnsi="Arial" w:cs="Arial"/>
          <w:szCs w:val="22"/>
        </w:rPr>
        <w:t>Reef report card</w:t>
      </w:r>
      <w:r w:rsidR="003D1F7F" w:rsidRPr="00CB093C">
        <w:rPr>
          <w:rFonts w:ascii="Arial" w:hAnsi="Arial" w:cs="Arial"/>
          <w:szCs w:val="22"/>
        </w:rPr>
        <w:t xml:space="preserve"> (</w:t>
      </w:r>
      <w:hyperlink w:anchor="_ENREF_46" w:tooltip="Department of the Premier and Cabinet, 2014 #10062"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Department of the Premier and Cabinet 2014</w:t>
        </w:r>
        <w:r w:rsidR="00513C39" w:rsidRPr="00CB093C">
          <w:rPr>
            <w:rFonts w:ascii="Arial" w:hAnsi="Arial" w:cs="Arial"/>
            <w:szCs w:val="22"/>
          </w:rPr>
          <w:fldChar w:fldCharType="end"/>
        </w:r>
      </w:hyperlink>
      <w:r w:rsidR="003D1F7F" w:rsidRPr="00CB093C">
        <w:rPr>
          <w:rFonts w:ascii="Arial" w:hAnsi="Arial" w:cs="Arial"/>
          <w:szCs w:val="22"/>
        </w:rPr>
        <w:t>). The methods a</w:t>
      </w:r>
      <w:r w:rsidR="00167865" w:rsidRPr="00CB093C">
        <w:rPr>
          <w:rFonts w:ascii="Arial" w:hAnsi="Arial" w:cs="Arial"/>
          <w:szCs w:val="22"/>
        </w:rPr>
        <w:t>nd</w:t>
      </w:r>
      <w:r w:rsidR="003D1F7F" w:rsidRPr="00CB093C">
        <w:rPr>
          <w:rFonts w:ascii="Arial" w:hAnsi="Arial" w:cs="Arial"/>
          <w:szCs w:val="22"/>
        </w:rPr>
        <w:t xml:space="preserve"> scoring system for the report card are detailed </w:t>
      </w:r>
      <w:r w:rsidR="00867CCE" w:rsidRPr="00CB093C">
        <w:rPr>
          <w:rFonts w:ascii="Arial" w:hAnsi="Arial" w:cs="Arial"/>
          <w:szCs w:val="22"/>
        </w:rPr>
        <w:t>below</w:t>
      </w:r>
      <w:r w:rsidR="003D1F7F" w:rsidRPr="00CB093C">
        <w:rPr>
          <w:rFonts w:ascii="Arial" w:hAnsi="Arial" w:cs="Arial"/>
          <w:szCs w:val="22"/>
        </w:rPr>
        <w:t xml:space="preserve">. </w:t>
      </w:r>
      <w:r w:rsidR="003D1F7F" w:rsidRPr="00CB093C">
        <w:rPr>
          <w:rFonts w:ascii="Arial" w:hAnsi="Arial" w:cs="Arial"/>
          <w:i/>
          <w:szCs w:val="22"/>
        </w:rPr>
        <w:t>Please note that the scale from 0 to 100 is unitless and should not be interpreted as a proportion or ratio.</w:t>
      </w:r>
    </w:p>
    <w:p w14:paraId="6873CF1F" w14:textId="77777777" w:rsidR="003D1F7F" w:rsidRPr="00CB093C" w:rsidRDefault="003D1F7F" w:rsidP="00AD06D4">
      <w:pPr>
        <w:pStyle w:val="Heading3"/>
        <w:numPr>
          <w:ilvl w:val="2"/>
          <w:numId w:val="4"/>
        </w:numPr>
        <w:rPr>
          <w:rFonts w:ascii="Arial" w:hAnsi="Arial" w:cs="Arial"/>
          <w:sz w:val="22"/>
          <w:szCs w:val="22"/>
        </w:rPr>
      </w:pPr>
      <w:bookmarkStart w:id="104" w:name="_Toc381027991"/>
      <w:bookmarkStart w:id="105" w:name="_Ref534355097"/>
      <w:bookmarkStart w:id="106" w:name="_Toc11394703"/>
      <w:r w:rsidRPr="00CB093C">
        <w:rPr>
          <w:rFonts w:ascii="Arial" w:hAnsi="Arial" w:cs="Arial"/>
          <w:sz w:val="22"/>
          <w:szCs w:val="22"/>
        </w:rPr>
        <w:lastRenderedPageBreak/>
        <w:t>Seagrass abundance</w:t>
      </w:r>
      <w:bookmarkEnd w:id="104"/>
      <w:bookmarkEnd w:id="105"/>
      <w:bookmarkEnd w:id="106"/>
    </w:p>
    <w:p w14:paraId="0A34EFAF" w14:textId="52E7BE7F" w:rsidR="000252FF" w:rsidRPr="00CB093C" w:rsidRDefault="000252FF" w:rsidP="000252FF">
      <w:pPr>
        <w:spacing w:before="240"/>
        <w:rPr>
          <w:rFonts w:ascii="Arial" w:hAnsi="Arial" w:cs="Arial"/>
          <w:szCs w:val="22"/>
        </w:rPr>
      </w:pPr>
      <w:r w:rsidRPr="00CB093C">
        <w:rPr>
          <w:rFonts w:ascii="Arial" w:hAnsi="Arial" w:cs="Arial"/>
          <w:szCs w:val="22"/>
        </w:rPr>
        <w:t>Seagrass abundance state in the MMP is measure</w:t>
      </w:r>
      <w:r w:rsidR="00F61BF9" w:rsidRPr="00CB093C">
        <w:rPr>
          <w:rFonts w:ascii="Arial" w:hAnsi="Arial" w:cs="Arial"/>
          <w:szCs w:val="22"/>
        </w:rPr>
        <w:t xml:space="preserve">d using the median seagrass </w:t>
      </w:r>
      <w:r w:rsidR="000E742F" w:rsidRPr="00CB093C">
        <w:rPr>
          <w:rFonts w:ascii="Arial" w:hAnsi="Arial" w:cs="Arial"/>
          <w:szCs w:val="22"/>
        </w:rPr>
        <w:t>per cent</w:t>
      </w:r>
      <w:r w:rsidRPr="00CB093C">
        <w:rPr>
          <w:rFonts w:ascii="Arial" w:hAnsi="Arial" w:cs="Arial"/>
          <w:szCs w:val="22"/>
        </w:rPr>
        <w:t xml:space="preserve"> cover relative to the site or reference guideline</w:t>
      </w:r>
      <w:r w:rsidR="005B06BC" w:rsidRPr="00CB093C">
        <w:rPr>
          <w:rFonts w:ascii="Arial" w:hAnsi="Arial" w:cs="Arial"/>
          <w:szCs w:val="22"/>
        </w:rPr>
        <w:t>(habitat type within each NRM region)</w:t>
      </w:r>
      <w:r w:rsidRPr="00CB093C">
        <w:rPr>
          <w:rFonts w:ascii="Arial" w:hAnsi="Arial" w:cs="Arial"/>
          <w:szCs w:val="22"/>
        </w:rPr>
        <w:t>. Abundance guidelines (threshold levels) were determined using the long-term (&gt;4 years) baseline where the percentile variance plateaued (generally 15-20 sampling events), thereby providing an estimate of the true percentile value (</w:t>
      </w:r>
      <w:hyperlink w:anchor="_ENREF_94" w:tooltip="McKenzie, 2009 #9756"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&lt;EndNote&gt;&lt;Cite&gt;&lt;Author&gt;McKenzie&lt;/Author&gt;&lt;Year&gt;2009&lt;/Year&gt;&lt;RecNum&gt;9756&lt;/RecNum&gt;&lt;DisplayText&gt;McKenzie 2009&lt;/DisplayText&gt;&lt;record&gt;&lt;rec-number&gt;9756&lt;/rec-number&gt;&lt;foreign-keys&gt;&lt;key app="EN" db-id="0eve55x9y5vfd6e9dacxtew4eatve2dzds9a" timestamp="1393312309"&gt;9756&lt;/key&gt;&lt;/foreign-keys&gt;&lt;ref-type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http://rrrc.org.au/wp-content/uploads/2014/06/113-QDPIF-McKenzie-L-2009-June-Milestone-Report.pdf accessed 23 February 2017.&lt;/secondary-title&gt;&lt;/titles&gt;&lt;pages&gt;7-1&lt;/pages&gt;&lt;dates&gt;&lt;year&gt;2009&lt;/year&gt;&lt;/dates&gt;&lt;pub-location&gt;Cairns&lt;/pub-location&gt;&lt;publisher&gt;RRRC&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 2009</w:t>
        </w:r>
        <w:r w:rsidR="00513C39" w:rsidRPr="00CB093C">
          <w:rPr>
            <w:rFonts w:ascii="Arial" w:hAnsi="Arial" w:cs="Arial"/>
            <w:szCs w:val="22"/>
          </w:rPr>
          <w:fldChar w:fldCharType="end"/>
        </w:r>
      </w:hyperlink>
      <w:r w:rsidRPr="00CB093C">
        <w:rPr>
          <w:rFonts w:ascii="Arial" w:hAnsi="Arial" w:cs="Arial"/>
          <w:szCs w:val="22"/>
        </w:rPr>
        <w:t>). Guidelines for individual sites were only applied if the conditions of the site aligned with reference conditions and the site had been subject to minimal/limited disturbance for 3</w:t>
      </w:r>
      <w:r w:rsidR="005B06BC" w:rsidRPr="00CB093C">
        <w:rPr>
          <w:rFonts w:ascii="Arial" w:hAnsi="Arial" w:cs="Arial"/>
          <w:szCs w:val="22"/>
        </w:rPr>
        <w:t>–</w:t>
      </w:r>
      <w:r w:rsidRPr="00CB093C">
        <w:rPr>
          <w:rFonts w:ascii="Arial" w:hAnsi="Arial" w:cs="Arial"/>
          <w:szCs w:val="22"/>
        </w:rPr>
        <w:t xml:space="preserve">5 years (see </w:t>
      </w:r>
      <w:r w:rsidR="00D90BED" w:rsidRPr="00CB093C">
        <w:rPr>
          <w:rFonts w:ascii="Arial" w:hAnsi="Arial" w:cs="Arial"/>
          <w:szCs w:val="22"/>
        </w:rPr>
        <w:fldChar w:fldCharType="begin"/>
      </w:r>
      <w:r w:rsidR="00D90BED" w:rsidRPr="00CB093C">
        <w:rPr>
          <w:rFonts w:ascii="Arial" w:hAnsi="Arial" w:cs="Arial"/>
          <w:szCs w:val="22"/>
        </w:rPr>
        <w:instrText xml:space="preserve"> REF _Ref511380752 \r \h </w:instrText>
      </w:r>
      <w:r w:rsidR="00CB093C" w:rsidRPr="00CB093C">
        <w:rPr>
          <w:rFonts w:ascii="Arial" w:hAnsi="Arial" w:cs="Arial"/>
          <w:szCs w:val="22"/>
        </w:rPr>
        <w:instrText xml:space="preserve"> \* MERGEFORMAT </w:instrText>
      </w:r>
      <w:r w:rsidR="00D90BED" w:rsidRPr="00CB093C">
        <w:rPr>
          <w:rFonts w:ascii="Arial" w:hAnsi="Arial" w:cs="Arial"/>
          <w:szCs w:val="22"/>
        </w:rPr>
      </w:r>
      <w:r w:rsidR="00D90BED" w:rsidRPr="00CB093C">
        <w:rPr>
          <w:rFonts w:ascii="Arial" w:hAnsi="Arial" w:cs="Arial"/>
          <w:szCs w:val="22"/>
        </w:rPr>
        <w:fldChar w:fldCharType="separate"/>
      </w:r>
      <w:r w:rsidR="005F00D4">
        <w:rPr>
          <w:rFonts w:ascii="Arial" w:hAnsi="Arial" w:cs="Arial"/>
          <w:szCs w:val="22"/>
        </w:rPr>
        <w:t>Appendix 2</w:t>
      </w:r>
      <w:r w:rsidR="00D90BED" w:rsidRPr="00CB093C">
        <w:rPr>
          <w:rFonts w:ascii="Arial" w:hAnsi="Arial" w:cs="Arial"/>
          <w:szCs w:val="22"/>
        </w:rPr>
        <w:fldChar w:fldCharType="end"/>
      </w:r>
      <w:r w:rsidR="00E03E9F" w:rsidRPr="00CB093C">
        <w:rPr>
          <w:rFonts w:ascii="Arial" w:hAnsi="Arial" w:cs="Arial"/>
          <w:szCs w:val="22"/>
        </w:rPr>
        <w:t xml:space="preserve">, </w:t>
      </w:r>
      <w:r w:rsidR="00E03E9F" w:rsidRPr="00CB093C">
        <w:rPr>
          <w:rFonts w:ascii="Arial" w:hAnsi="Arial" w:cs="Arial"/>
          <w:szCs w:val="22"/>
        </w:rPr>
        <w:fldChar w:fldCharType="begin"/>
      </w:r>
      <w:r w:rsidR="00E03E9F" w:rsidRPr="00CB093C">
        <w:rPr>
          <w:rFonts w:ascii="Arial" w:hAnsi="Arial" w:cs="Arial"/>
          <w:szCs w:val="22"/>
        </w:rPr>
        <w:instrText xml:space="preserve"> REF _Ref340344284 \h </w:instrText>
      </w:r>
      <w:r w:rsidR="00DA741D" w:rsidRPr="00CB093C">
        <w:rPr>
          <w:rFonts w:ascii="Arial" w:hAnsi="Arial" w:cs="Arial"/>
          <w:szCs w:val="22"/>
        </w:rPr>
        <w:instrText xml:space="preserve"> \* MERGEFORMAT </w:instrText>
      </w:r>
      <w:r w:rsidR="00E03E9F" w:rsidRPr="00CB093C">
        <w:rPr>
          <w:rFonts w:ascii="Arial" w:hAnsi="Arial" w:cs="Arial"/>
          <w:szCs w:val="22"/>
        </w:rPr>
      </w:r>
      <w:r w:rsidR="00E03E9F" w:rsidRPr="00CB093C">
        <w:rPr>
          <w:rFonts w:ascii="Arial" w:hAnsi="Arial" w:cs="Arial"/>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20</w:t>
      </w:r>
      <w:r w:rsidR="00E03E9F" w:rsidRPr="00CB093C">
        <w:rPr>
          <w:rFonts w:ascii="Arial" w:hAnsi="Arial" w:cs="Arial"/>
          <w:szCs w:val="22"/>
        </w:rPr>
        <w:fldChar w:fldCharType="end"/>
      </w:r>
      <w:r w:rsidRPr="00CB093C">
        <w:rPr>
          <w:rFonts w:ascii="Arial" w:hAnsi="Arial" w:cs="Arial"/>
          <w:szCs w:val="22"/>
        </w:rPr>
        <w:t xml:space="preserve">). </w:t>
      </w:r>
    </w:p>
    <w:p w14:paraId="6C0CBB15" w14:textId="77777777" w:rsidR="005B06BC" w:rsidRPr="00CB093C" w:rsidRDefault="00CD3DA9" w:rsidP="000252FF">
      <w:pPr>
        <w:rPr>
          <w:rFonts w:ascii="Arial" w:hAnsi="Arial" w:cs="Arial"/>
          <w:szCs w:val="22"/>
        </w:rPr>
      </w:pPr>
      <w:r w:rsidRPr="00CB093C">
        <w:rPr>
          <w:rFonts w:ascii="Arial" w:hAnsi="Arial" w:cs="Arial"/>
          <w:szCs w:val="22"/>
        </w:rPr>
        <w:t>Abundance</w:t>
      </w:r>
      <w:r w:rsidR="000252FF" w:rsidRPr="00CB093C">
        <w:rPr>
          <w:rFonts w:ascii="Arial" w:hAnsi="Arial" w:cs="Arial"/>
          <w:szCs w:val="22"/>
        </w:rPr>
        <w:t xml:space="preserve"> state at each site for each monitoring event was allocated a grade: </w:t>
      </w:r>
    </w:p>
    <w:p w14:paraId="72DDBC9B" w14:textId="6520A69D" w:rsidR="005B06BC" w:rsidRPr="00CB093C" w:rsidRDefault="000252FF" w:rsidP="00AD06D4">
      <w:pPr>
        <w:pStyle w:val="ListParagraph"/>
        <w:numPr>
          <w:ilvl w:val="0"/>
          <w:numId w:val="25"/>
        </w:numPr>
        <w:rPr>
          <w:rFonts w:ascii="Arial" w:hAnsi="Arial" w:cs="Arial"/>
          <w:szCs w:val="22"/>
        </w:rPr>
      </w:pPr>
      <w:r w:rsidRPr="00CB093C">
        <w:rPr>
          <w:rFonts w:ascii="Arial" w:hAnsi="Arial" w:cs="Arial"/>
          <w:i/>
          <w:szCs w:val="22"/>
        </w:rPr>
        <w:t>very good</w:t>
      </w:r>
      <w:r w:rsidRPr="00CB093C">
        <w:rPr>
          <w:rFonts w:ascii="Arial" w:hAnsi="Arial" w:cs="Arial"/>
          <w:szCs w:val="22"/>
        </w:rPr>
        <w:t xml:space="preserve">, median </w:t>
      </w:r>
      <w:r w:rsidR="00882B72" w:rsidRPr="00CB093C">
        <w:rPr>
          <w:rFonts w:ascii="Arial" w:hAnsi="Arial" w:cs="Arial"/>
          <w:szCs w:val="22"/>
        </w:rPr>
        <w:t>%</w:t>
      </w:r>
      <w:r w:rsidRPr="00CB093C">
        <w:rPr>
          <w:rFonts w:ascii="Arial" w:hAnsi="Arial" w:cs="Arial"/>
          <w:szCs w:val="22"/>
        </w:rPr>
        <w:t xml:space="preserve"> cover at or above 75</w:t>
      </w:r>
      <w:r w:rsidRPr="00CB093C">
        <w:rPr>
          <w:rFonts w:ascii="Arial" w:hAnsi="Arial" w:cs="Arial"/>
          <w:szCs w:val="22"/>
          <w:vertAlign w:val="superscript"/>
        </w:rPr>
        <w:t>th</w:t>
      </w:r>
      <w:r w:rsidRPr="00CB093C">
        <w:rPr>
          <w:rFonts w:ascii="Arial" w:hAnsi="Arial" w:cs="Arial"/>
          <w:szCs w:val="22"/>
        </w:rPr>
        <w:t xml:space="preserve"> percentile </w:t>
      </w:r>
    </w:p>
    <w:p w14:paraId="00EC7434" w14:textId="69179044" w:rsidR="005B06BC" w:rsidRPr="00CB093C" w:rsidRDefault="000252FF" w:rsidP="00AD06D4">
      <w:pPr>
        <w:pStyle w:val="ListParagraph"/>
        <w:numPr>
          <w:ilvl w:val="0"/>
          <w:numId w:val="25"/>
        </w:numPr>
        <w:rPr>
          <w:rFonts w:ascii="Arial" w:hAnsi="Arial" w:cs="Arial"/>
          <w:szCs w:val="22"/>
        </w:rPr>
      </w:pPr>
      <w:r w:rsidRPr="00CB093C">
        <w:rPr>
          <w:rFonts w:ascii="Arial" w:hAnsi="Arial" w:cs="Arial"/>
          <w:i/>
          <w:szCs w:val="22"/>
        </w:rPr>
        <w:t>good</w:t>
      </w:r>
      <w:r w:rsidRPr="00CB093C">
        <w:rPr>
          <w:rFonts w:ascii="Arial" w:hAnsi="Arial" w:cs="Arial"/>
          <w:szCs w:val="22"/>
        </w:rPr>
        <w:t xml:space="preserve">, median </w:t>
      </w:r>
      <w:r w:rsidR="00882B72" w:rsidRPr="00CB093C">
        <w:rPr>
          <w:rFonts w:ascii="Arial" w:hAnsi="Arial" w:cs="Arial"/>
          <w:szCs w:val="22"/>
        </w:rPr>
        <w:t>%</w:t>
      </w:r>
      <w:r w:rsidRPr="00CB093C">
        <w:rPr>
          <w:rFonts w:ascii="Arial" w:hAnsi="Arial" w:cs="Arial"/>
          <w:szCs w:val="22"/>
        </w:rPr>
        <w:t xml:space="preserve"> cover at or above 50</w:t>
      </w:r>
      <w:r w:rsidRPr="00CB093C">
        <w:rPr>
          <w:rFonts w:ascii="Arial" w:hAnsi="Arial" w:cs="Arial"/>
          <w:szCs w:val="22"/>
          <w:vertAlign w:val="superscript"/>
        </w:rPr>
        <w:t>th</w:t>
      </w:r>
      <w:r w:rsidRPr="00CB093C">
        <w:rPr>
          <w:rFonts w:ascii="Arial" w:hAnsi="Arial" w:cs="Arial"/>
          <w:szCs w:val="22"/>
        </w:rPr>
        <w:t xml:space="preserve"> percentile</w:t>
      </w:r>
    </w:p>
    <w:p w14:paraId="5457D8A3" w14:textId="5FB36A11" w:rsidR="005B06BC" w:rsidRPr="00CB093C" w:rsidRDefault="000252FF" w:rsidP="00AD06D4">
      <w:pPr>
        <w:pStyle w:val="ListParagraph"/>
        <w:numPr>
          <w:ilvl w:val="0"/>
          <w:numId w:val="25"/>
        </w:numPr>
        <w:rPr>
          <w:rFonts w:ascii="Arial" w:hAnsi="Arial" w:cs="Arial"/>
          <w:szCs w:val="22"/>
        </w:rPr>
      </w:pPr>
      <w:r w:rsidRPr="00CB093C">
        <w:rPr>
          <w:rFonts w:ascii="Arial" w:hAnsi="Arial" w:cs="Arial"/>
          <w:i/>
          <w:szCs w:val="22"/>
        </w:rPr>
        <w:t>moderate</w:t>
      </w:r>
      <w:r w:rsidRPr="00CB093C">
        <w:rPr>
          <w:rFonts w:ascii="Arial" w:hAnsi="Arial" w:cs="Arial"/>
          <w:szCs w:val="22"/>
        </w:rPr>
        <w:t xml:space="preserve">, median </w:t>
      </w:r>
      <w:r w:rsidR="00882B72" w:rsidRPr="00CB093C">
        <w:rPr>
          <w:rFonts w:ascii="Arial" w:hAnsi="Arial" w:cs="Arial"/>
          <w:szCs w:val="22"/>
        </w:rPr>
        <w:t>%</w:t>
      </w:r>
      <w:r w:rsidRPr="00CB093C">
        <w:rPr>
          <w:rFonts w:ascii="Arial" w:hAnsi="Arial" w:cs="Arial"/>
          <w:szCs w:val="22"/>
        </w:rPr>
        <w:t xml:space="preserve"> cover below 50</w:t>
      </w:r>
      <w:r w:rsidRPr="00CB093C">
        <w:rPr>
          <w:rFonts w:ascii="Arial" w:hAnsi="Arial" w:cs="Arial"/>
          <w:szCs w:val="22"/>
          <w:vertAlign w:val="superscript"/>
        </w:rPr>
        <w:t>th</w:t>
      </w:r>
      <w:r w:rsidRPr="00CB093C">
        <w:rPr>
          <w:rFonts w:ascii="Arial" w:hAnsi="Arial" w:cs="Arial"/>
          <w:szCs w:val="22"/>
        </w:rPr>
        <w:t xml:space="preserve"> percentile and at or above </w:t>
      </w:r>
      <w:r w:rsidR="00CD3DA9" w:rsidRPr="00CB093C">
        <w:rPr>
          <w:rFonts w:ascii="Arial" w:hAnsi="Arial" w:cs="Arial"/>
          <w:szCs w:val="22"/>
        </w:rPr>
        <w:t xml:space="preserve">low </w:t>
      </w:r>
      <w:r w:rsidR="00F61BF9" w:rsidRPr="00CB093C">
        <w:rPr>
          <w:rFonts w:ascii="Arial" w:hAnsi="Arial" w:cs="Arial"/>
          <w:szCs w:val="22"/>
        </w:rPr>
        <w:t>guideline</w:t>
      </w:r>
      <w:r w:rsidRPr="00CB093C">
        <w:rPr>
          <w:rFonts w:ascii="Arial" w:hAnsi="Arial" w:cs="Arial"/>
          <w:szCs w:val="22"/>
        </w:rPr>
        <w:t xml:space="preserve"> </w:t>
      </w:r>
    </w:p>
    <w:p w14:paraId="3F6151F2" w14:textId="6998DFB9" w:rsidR="005B06BC" w:rsidRPr="00CB093C" w:rsidRDefault="000252FF" w:rsidP="00AD06D4">
      <w:pPr>
        <w:pStyle w:val="ListParagraph"/>
        <w:numPr>
          <w:ilvl w:val="0"/>
          <w:numId w:val="25"/>
        </w:numPr>
        <w:rPr>
          <w:rFonts w:ascii="Arial" w:hAnsi="Arial" w:cs="Arial"/>
          <w:szCs w:val="22"/>
        </w:rPr>
      </w:pPr>
      <w:r w:rsidRPr="00CB093C">
        <w:rPr>
          <w:rFonts w:ascii="Arial" w:hAnsi="Arial" w:cs="Arial"/>
          <w:i/>
          <w:szCs w:val="22"/>
        </w:rPr>
        <w:t>poor</w:t>
      </w:r>
      <w:r w:rsidRPr="00CB093C">
        <w:rPr>
          <w:rFonts w:ascii="Arial" w:hAnsi="Arial" w:cs="Arial"/>
          <w:szCs w:val="22"/>
        </w:rPr>
        <w:t xml:space="preserve">, median </w:t>
      </w:r>
      <w:r w:rsidR="00882B72" w:rsidRPr="00CB093C">
        <w:rPr>
          <w:rFonts w:ascii="Arial" w:hAnsi="Arial" w:cs="Arial"/>
          <w:szCs w:val="22"/>
        </w:rPr>
        <w:t>%</w:t>
      </w:r>
      <w:r w:rsidRPr="00CB093C">
        <w:rPr>
          <w:rFonts w:ascii="Arial" w:hAnsi="Arial" w:cs="Arial"/>
          <w:szCs w:val="22"/>
        </w:rPr>
        <w:t xml:space="preserve"> cover below </w:t>
      </w:r>
      <w:r w:rsidR="00CD3DA9" w:rsidRPr="00CB093C">
        <w:rPr>
          <w:rFonts w:ascii="Arial" w:hAnsi="Arial" w:cs="Arial"/>
          <w:szCs w:val="22"/>
        </w:rPr>
        <w:t xml:space="preserve">low </w:t>
      </w:r>
      <w:r w:rsidR="00F61BF9" w:rsidRPr="00CB093C">
        <w:rPr>
          <w:rFonts w:ascii="Arial" w:hAnsi="Arial" w:cs="Arial"/>
          <w:szCs w:val="22"/>
        </w:rPr>
        <w:t>guideline</w:t>
      </w:r>
    </w:p>
    <w:p w14:paraId="4ED8BE90" w14:textId="18E62DF3" w:rsidR="005B06BC" w:rsidRPr="00CB093C" w:rsidRDefault="000252FF" w:rsidP="00AD06D4">
      <w:pPr>
        <w:pStyle w:val="ListParagraph"/>
        <w:numPr>
          <w:ilvl w:val="0"/>
          <w:numId w:val="25"/>
        </w:numPr>
        <w:rPr>
          <w:rFonts w:ascii="Arial" w:hAnsi="Arial" w:cs="Arial"/>
          <w:szCs w:val="22"/>
        </w:rPr>
      </w:pPr>
      <w:r w:rsidRPr="00CB093C">
        <w:rPr>
          <w:rFonts w:ascii="Arial" w:hAnsi="Arial" w:cs="Arial"/>
          <w:i/>
          <w:szCs w:val="22"/>
        </w:rPr>
        <w:t>very poor</w:t>
      </w:r>
      <w:r w:rsidRPr="00CB093C">
        <w:rPr>
          <w:rFonts w:ascii="Arial" w:hAnsi="Arial" w:cs="Arial"/>
          <w:szCs w:val="22"/>
        </w:rPr>
        <w:t xml:space="preserve">, median </w:t>
      </w:r>
      <w:r w:rsidR="00882B72" w:rsidRPr="00CB093C">
        <w:rPr>
          <w:rFonts w:ascii="Arial" w:hAnsi="Arial" w:cs="Arial"/>
          <w:szCs w:val="22"/>
        </w:rPr>
        <w:t>%</w:t>
      </w:r>
      <w:r w:rsidRPr="00CB093C">
        <w:rPr>
          <w:rFonts w:ascii="Arial" w:hAnsi="Arial" w:cs="Arial"/>
          <w:szCs w:val="22"/>
        </w:rPr>
        <w:t xml:space="preserve"> cover below </w:t>
      </w:r>
      <w:r w:rsidR="00CD3DA9" w:rsidRPr="00CB093C">
        <w:rPr>
          <w:rFonts w:ascii="Arial" w:hAnsi="Arial" w:cs="Arial"/>
          <w:szCs w:val="22"/>
        </w:rPr>
        <w:t xml:space="preserve">low </w:t>
      </w:r>
      <w:r w:rsidR="00F61BF9" w:rsidRPr="00CB093C">
        <w:rPr>
          <w:rFonts w:ascii="Arial" w:hAnsi="Arial" w:cs="Arial"/>
          <w:szCs w:val="22"/>
        </w:rPr>
        <w:t xml:space="preserve">guideline </w:t>
      </w:r>
      <w:r w:rsidRPr="00CB093C">
        <w:rPr>
          <w:rFonts w:ascii="Arial" w:hAnsi="Arial" w:cs="Arial"/>
          <w:szCs w:val="22"/>
        </w:rPr>
        <w:t xml:space="preserve">and declined by &gt;20 </w:t>
      </w:r>
      <w:r w:rsidR="00882B72" w:rsidRPr="00CB093C">
        <w:rPr>
          <w:rFonts w:ascii="Arial" w:hAnsi="Arial" w:cs="Arial"/>
          <w:szCs w:val="22"/>
        </w:rPr>
        <w:t>%</w:t>
      </w:r>
      <w:r w:rsidRPr="00CB093C">
        <w:rPr>
          <w:rFonts w:ascii="Arial" w:hAnsi="Arial" w:cs="Arial"/>
          <w:szCs w:val="22"/>
        </w:rPr>
        <w:t xml:space="preserve"> since previous sampling event). </w:t>
      </w:r>
    </w:p>
    <w:p w14:paraId="2BDBC1DA" w14:textId="1F8400C8" w:rsidR="000252FF" w:rsidRPr="00CB093C" w:rsidRDefault="000252FF" w:rsidP="000252FF">
      <w:pPr>
        <w:rPr>
          <w:rFonts w:ascii="Arial" w:hAnsi="Arial" w:cs="Arial"/>
          <w:szCs w:val="22"/>
        </w:rPr>
      </w:pPr>
      <w:r w:rsidRPr="00CB093C">
        <w:rPr>
          <w:rFonts w:ascii="Arial" w:hAnsi="Arial" w:cs="Arial"/>
          <w:szCs w:val="22"/>
        </w:rPr>
        <w:t>The choice of whether the 20</w:t>
      </w:r>
      <w:r w:rsidRPr="00CB093C">
        <w:rPr>
          <w:rFonts w:ascii="Arial" w:hAnsi="Arial" w:cs="Arial"/>
          <w:szCs w:val="22"/>
          <w:vertAlign w:val="superscript"/>
        </w:rPr>
        <w:t>th</w:t>
      </w:r>
      <w:r w:rsidRPr="00CB093C">
        <w:rPr>
          <w:rFonts w:ascii="Arial" w:hAnsi="Arial" w:cs="Arial"/>
          <w:szCs w:val="22"/>
        </w:rPr>
        <w:t xml:space="preserve"> or 10</w:t>
      </w:r>
      <w:r w:rsidRPr="00CB093C">
        <w:rPr>
          <w:rFonts w:ascii="Arial" w:hAnsi="Arial" w:cs="Arial"/>
          <w:szCs w:val="22"/>
          <w:vertAlign w:val="superscript"/>
        </w:rPr>
        <w:t>th</w:t>
      </w:r>
      <w:r w:rsidRPr="00CB093C">
        <w:rPr>
          <w:rFonts w:ascii="Arial" w:hAnsi="Arial" w:cs="Arial"/>
          <w:szCs w:val="22"/>
        </w:rPr>
        <w:t xml:space="preserve"> percentile </w:t>
      </w:r>
      <w:r w:rsidR="00E03E9F" w:rsidRPr="00CB093C">
        <w:rPr>
          <w:rFonts w:ascii="Arial" w:hAnsi="Arial" w:cs="Arial"/>
          <w:szCs w:val="22"/>
        </w:rPr>
        <w:t>wa</w:t>
      </w:r>
      <w:r w:rsidRPr="00CB093C">
        <w:rPr>
          <w:rFonts w:ascii="Arial" w:hAnsi="Arial" w:cs="Arial"/>
          <w:szCs w:val="22"/>
        </w:rPr>
        <w:t>s used for the low guideline depend</w:t>
      </w:r>
      <w:r w:rsidR="00E03E9F" w:rsidRPr="00CB093C">
        <w:rPr>
          <w:rFonts w:ascii="Arial" w:hAnsi="Arial" w:cs="Arial"/>
          <w:szCs w:val="22"/>
        </w:rPr>
        <w:t>ed</w:t>
      </w:r>
      <w:r w:rsidRPr="00CB093C">
        <w:rPr>
          <w:rFonts w:ascii="Arial" w:hAnsi="Arial" w:cs="Arial"/>
          <w:szCs w:val="22"/>
        </w:rPr>
        <w:t xml:space="preserve"> on the within-site variability</w:t>
      </w:r>
      <w:r w:rsidR="00F61BF9" w:rsidRPr="00CB093C">
        <w:rPr>
          <w:rFonts w:ascii="Arial" w:hAnsi="Arial" w:cs="Arial"/>
          <w:szCs w:val="22"/>
        </w:rPr>
        <w:t>; g</w:t>
      </w:r>
      <w:r w:rsidRPr="00CB093C">
        <w:rPr>
          <w:rFonts w:ascii="Arial" w:hAnsi="Arial" w:cs="Arial"/>
          <w:szCs w:val="22"/>
        </w:rPr>
        <w:t>enerally the 20</w:t>
      </w:r>
      <w:r w:rsidRPr="00CB093C">
        <w:rPr>
          <w:rFonts w:ascii="Arial" w:hAnsi="Arial" w:cs="Arial"/>
          <w:szCs w:val="22"/>
          <w:vertAlign w:val="superscript"/>
        </w:rPr>
        <w:t>th</w:t>
      </w:r>
      <w:r w:rsidRPr="00CB093C">
        <w:rPr>
          <w:rFonts w:ascii="Arial" w:hAnsi="Arial" w:cs="Arial"/>
          <w:szCs w:val="22"/>
        </w:rPr>
        <w:t xml:space="preserve"> percentile is used, unless within-site variability</w:t>
      </w:r>
      <w:r w:rsidR="008D142C" w:rsidRPr="00CB093C">
        <w:rPr>
          <w:rFonts w:ascii="Arial" w:hAnsi="Arial" w:cs="Arial"/>
          <w:szCs w:val="22"/>
        </w:rPr>
        <w:t xml:space="preserve"> was low (e.g.</w:t>
      </w:r>
      <w:r w:rsidRPr="00CB093C">
        <w:rPr>
          <w:rFonts w:ascii="Arial" w:hAnsi="Arial" w:cs="Arial"/>
          <w:szCs w:val="22"/>
        </w:rPr>
        <w:t xml:space="preserve"> CV&lt;0.6), whereby the 10</w:t>
      </w:r>
      <w:r w:rsidRPr="00CB093C">
        <w:rPr>
          <w:rFonts w:ascii="Arial" w:hAnsi="Arial" w:cs="Arial"/>
          <w:szCs w:val="22"/>
          <w:vertAlign w:val="superscript"/>
        </w:rPr>
        <w:t>th</w:t>
      </w:r>
      <w:r w:rsidRPr="00CB093C">
        <w:rPr>
          <w:rFonts w:ascii="Arial" w:hAnsi="Arial" w:cs="Arial"/>
          <w:szCs w:val="22"/>
        </w:rPr>
        <w:t xml:space="preserve"> percentile was more appropriate as the variance would primarily be the result of natural seasonal fluctuations (i.e. nearly every seasonal low would fall below the 20</w:t>
      </w:r>
      <w:r w:rsidRPr="00CB093C">
        <w:rPr>
          <w:rFonts w:ascii="Arial" w:hAnsi="Arial" w:cs="Arial"/>
          <w:szCs w:val="22"/>
          <w:vertAlign w:val="superscript"/>
        </w:rPr>
        <w:t>th</w:t>
      </w:r>
      <w:r w:rsidRPr="00CB093C">
        <w:rPr>
          <w:rFonts w:ascii="Arial" w:hAnsi="Arial" w:cs="Arial"/>
          <w:szCs w:val="22"/>
        </w:rPr>
        <w:t xml:space="preserve"> percentile). </w:t>
      </w:r>
      <w:r w:rsidR="00CD3DA9" w:rsidRPr="00CB093C">
        <w:rPr>
          <w:rFonts w:ascii="Arial" w:hAnsi="Arial" w:cs="Arial"/>
          <w:szCs w:val="22"/>
        </w:rPr>
        <w:t>Details on the per</w:t>
      </w:r>
      <w:r w:rsidR="000E742F" w:rsidRPr="00CB093C">
        <w:rPr>
          <w:rFonts w:ascii="Arial" w:hAnsi="Arial" w:cs="Arial"/>
          <w:szCs w:val="22"/>
        </w:rPr>
        <w:t> </w:t>
      </w:r>
      <w:r w:rsidR="00CD3DA9" w:rsidRPr="00CB093C">
        <w:rPr>
          <w:rFonts w:ascii="Arial" w:hAnsi="Arial" w:cs="Arial"/>
          <w:szCs w:val="22"/>
        </w:rPr>
        <w:t xml:space="preserve">cent cover guidelines can be found in </w:t>
      </w:r>
      <w:r w:rsidR="00F326E4" w:rsidRPr="00CB093C">
        <w:rPr>
          <w:rFonts w:ascii="Arial" w:hAnsi="Arial" w:cs="Arial"/>
          <w:szCs w:val="22"/>
        </w:rPr>
        <w:fldChar w:fldCharType="begin"/>
      </w:r>
      <w:r w:rsidR="00F326E4" w:rsidRPr="00CB093C">
        <w:rPr>
          <w:rFonts w:ascii="Arial" w:hAnsi="Arial" w:cs="Arial"/>
          <w:szCs w:val="22"/>
        </w:rPr>
        <w:instrText xml:space="preserve"> REF _Ref511380752 \r \h </w:instrText>
      </w:r>
      <w:r w:rsidR="00CB093C" w:rsidRPr="00CB093C">
        <w:rPr>
          <w:rFonts w:ascii="Arial" w:hAnsi="Arial" w:cs="Arial"/>
          <w:szCs w:val="22"/>
        </w:rPr>
        <w:instrText xml:space="preserve"> \* MERGEFORMAT </w:instrText>
      </w:r>
      <w:r w:rsidR="00F326E4" w:rsidRPr="00CB093C">
        <w:rPr>
          <w:rFonts w:ascii="Arial" w:hAnsi="Arial" w:cs="Arial"/>
          <w:szCs w:val="22"/>
        </w:rPr>
      </w:r>
      <w:r w:rsidR="00F326E4" w:rsidRPr="00CB093C">
        <w:rPr>
          <w:rFonts w:ascii="Arial" w:hAnsi="Arial" w:cs="Arial"/>
          <w:szCs w:val="22"/>
        </w:rPr>
        <w:fldChar w:fldCharType="separate"/>
      </w:r>
      <w:r w:rsidR="005F00D4">
        <w:rPr>
          <w:rFonts w:ascii="Arial" w:hAnsi="Arial" w:cs="Arial"/>
          <w:szCs w:val="22"/>
        </w:rPr>
        <w:t>Appendix 2</w:t>
      </w:r>
      <w:r w:rsidR="00F326E4" w:rsidRPr="00CB093C">
        <w:rPr>
          <w:rFonts w:ascii="Arial" w:hAnsi="Arial" w:cs="Arial"/>
          <w:szCs w:val="22"/>
        </w:rPr>
        <w:fldChar w:fldCharType="end"/>
      </w:r>
      <w:r w:rsidR="00CD3DA9" w:rsidRPr="00CB093C">
        <w:rPr>
          <w:rFonts w:ascii="Arial" w:hAnsi="Arial" w:cs="Arial"/>
          <w:szCs w:val="22"/>
        </w:rPr>
        <w:t>.</w:t>
      </w:r>
    </w:p>
    <w:p w14:paraId="28A8814B" w14:textId="56E07504" w:rsidR="000252FF" w:rsidRPr="00CB093C" w:rsidRDefault="000252FF" w:rsidP="000252FF">
      <w:pPr>
        <w:rPr>
          <w:rFonts w:ascii="Arial" w:hAnsi="Arial" w:cs="Arial"/>
          <w:szCs w:val="22"/>
        </w:rPr>
      </w:pPr>
      <w:r w:rsidRPr="00CB093C">
        <w:rPr>
          <w:rFonts w:ascii="Arial" w:hAnsi="Arial" w:cs="Arial"/>
          <w:szCs w:val="22"/>
        </w:rPr>
        <w:t>A grade score from 0 to 100 (</w:t>
      </w:r>
      <w:r w:rsidRPr="00CB093C">
        <w:rPr>
          <w:rFonts w:ascii="Arial" w:hAnsi="Arial" w:cs="Arial"/>
          <w:szCs w:val="22"/>
        </w:rPr>
        <w:fldChar w:fldCharType="begin"/>
      </w:r>
      <w:r w:rsidRPr="00CB093C">
        <w:rPr>
          <w:rFonts w:ascii="Arial" w:hAnsi="Arial" w:cs="Arial"/>
          <w:szCs w:val="22"/>
        </w:rPr>
        <w:instrText xml:space="preserve"> REF _Ref316227159 \h </w:instrText>
      </w:r>
      <w:r w:rsidR="00DA741D"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4</w:t>
      </w:r>
      <w:r w:rsidRPr="00CB093C">
        <w:rPr>
          <w:rFonts w:ascii="Arial" w:hAnsi="Arial" w:cs="Arial"/>
          <w:szCs w:val="22"/>
        </w:rPr>
        <w:fldChar w:fldCharType="end"/>
      </w:r>
      <w:r w:rsidRPr="00CB093C">
        <w:rPr>
          <w:rFonts w:ascii="Arial" w:hAnsi="Arial" w:cs="Arial"/>
          <w:szCs w:val="22"/>
        </w:rPr>
        <w:t xml:space="preserve">) was then assigned to enable integration with other seagrass indicators and other components of the </w:t>
      </w:r>
      <w:r w:rsidR="005B06BC" w:rsidRPr="00CB093C">
        <w:rPr>
          <w:rFonts w:ascii="Arial" w:hAnsi="Arial" w:cs="Arial"/>
          <w:szCs w:val="22"/>
        </w:rPr>
        <w:t>Reef</w:t>
      </w:r>
      <w:r w:rsidRPr="00CB093C">
        <w:rPr>
          <w:rFonts w:ascii="Arial" w:hAnsi="Arial" w:cs="Arial"/>
          <w:szCs w:val="22"/>
        </w:rPr>
        <w:t xml:space="preserve"> report card (</w:t>
      </w:r>
      <w:hyperlink w:anchor="_ENREF_46" w:tooltip="Department of the Premier and Cabinet, 2014 #10062"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Department of the Premier and Cabinet 2014</w:t>
        </w:r>
        <w:r w:rsidR="00513C39" w:rsidRPr="00CB093C">
          <w:rPr>
            <w:rFonts w:ascii="Arial" w:hAnsi="Arial" w:cs="Arial"/>
            <w:szCs w:val="22"/>
          </w:rPr>
          <w:fldChar w:fldCharType="end"/>
        </w:r>
      </w:hyperlink>
      <w:r w:rsidRPr="00CB093C">
        <w:rPr>
          <w:rFonts w:ascii="Arial" w:hAnsi="Arial" w:cs="Arial"/>
          <w:szCs w:val="22"/>
        </w:rPr>
        <w:t>). Annual seagrass abundance scores were calculate</w:t>
      </w:r>
      <w:r w:rsidR="005B06BC" w:rsidRPr="00CB093C">
        <w:rPr>
          <w:rFonts w:ascii="Arial" w:hAnsi="Arial" w:cs="Arial"/>
          <w:szCs w:val="22"/>
        </w:rPr>
        <w:t>d</w:t>
      </w:r>
      <w:r w:rsidRPr="00CB093C">
        <w:rPr>
          <w:rFonts w:ascii="Arial" w:hAnsi="Arial" w:cs="Arial"/>
          <w:szCs w:val="22"/>
        </w:rPr>
        <w:t xml:space="preserve"> using the average grade score for each site (including all sampling events per year), each habitat and each NRM. </w:t>
      </w:r>
    </w:p>
    <w:p w14:paraId="07C17B97" w14:textId="6B9FB00A" w:rsidR="003D1F7F" w:rsidRPr="00CB093C" w:rsidRDefault="003D1F7F" w:rsidP="0089405C">
      <w:pPr>
        <w:keepNext/>
        <w:jc w:val="center"/>
        <w:rPr>
          <w:rFonts w:ascii="Arial" w:hAnsi="Arial" w:cs="Arial"/>
          <w:i/>
          <w:vanish/>
          <w:color w:val="000000"/>
          <w:szCs w:val="22"/>
          <w:specVanish/>
        </w:rPr>
      </w:pPr>
      <w:bookmarkStart w:id="107" w:name="_Ref271182817"/>
      <w:bookmarkStart w:id="108" w:name="_Ref316227159"/>
      <w:bookmarkStart w:id="109" w:name="_Ref410131826"/>
      <w:bookmarkStart w:id="110" w:name="_Ref271182809"/>
      <w:bookmarkStart w:id="111" w:name="_Toc5616032"/>
      <w:r w:rsidRPr="00CB093C">
        <w:rPr>
          <w:rFonts w:ascii="Arial" w:hAnsi="Arial" w:cs="Arial"/>
          <w:color w:val="000000"/>
          <w:szCs w:val="22"/>
        </w:rPr>
        <w:t xml:space="preserve">Table </w:t>
      </w:r>
      <w:r w:rsidRPr="00CB093C">
        <w:rPr>
          <w:rFonts w:ascii="Arial" w:hAnsi="Arial" w:cs="Arial"/>
          <w:color w:val="000000"/>
          <w:szCs w:val="22"/>
        </w:rPr>
        <w:fldChar w:fldCharType="begin"/>
      </w:r>
      <w:r w:rsidRPr="00CB093C">
        <w:rPr>
          <w:rFonts w:ascii="Arial" w:hAnsi="Arial" w:cs="Arial"/>
          <w:color w:val="000000"/>
          <w:szCs w:val="22"/>
        </w:rPr>
        <w:instrText xml:space="preserve"> SEQ Table \* ARABIC </w:instrText>
      </w:r>
      <w:r w:rsidRPr="00CB093C">
        <w:rPr>
          <w:rFonts w:ascii="Arial" w:hAnsi="Arial" w:cs="Arial"/>
          <w:color w:val="000000"/>
          <w:szCs w:val="22"/>
        </w:rPr>
        <w:fldChar w:fldCharType="separate"/>
      </w:r>
      <w:r w:rsidR="005F00D4">
        <w:rPr>
          <w:rFonts w:ascii="Arial" w:hAnsi="Arial" w:cs="Arial"/>
          <w:noProof/>
          <w:color w:val="000000"/>
          <w:szCs w:val="22"/>
        </w:rPr>
        <w:t>4</w:t>
      </w:r>
      <w:r w:rsidRPr="00CB093C">
        <w:rPr>
          <w:rFonts w:ascii="Arial" w:hAnsi="Arial" w:cs="Arial"/>
          <w:color w:val="000000"/>
          <w:szCs w:val="22"/>
        </w:rPr>
        <w:fldChar w:fldCharType="end"/>
      </w:r>
      <w:bookmarkEnd w:id="107"/>
      <w:bookmarkEnd w:id="108"/>
      <w:bookmarkEnd w:id="109"/>
      <w:r w:rsidRPr="00CB093C">
        <w:rPr>
          <w:rFonts w:ascii="Arial" w:hAnsi="Arial" w:cs="Arial"/>
          <w:color w:val="000000"/>
          <w:szCs w:val="22"/>
        </w:rPr>
        <w:t xml:space="preserve">. </w:t>
      </w:r>
      <w:r w:rsidRPr="00CB093C">
        <w:rPr>
          <w:rFonts w:ascii="Arial" w:hAnsi="Arial" w:cs="Arial"/>
          <w:i/>
          <w:color w:val="000000"/>
          <w:szCs w:val="22"/>
        </w:rPr>
        <w:t>Scoring threshold table to determine seagrass abundance status.</w:t>
      </w:r>
      <w:bookmarkEnd w:id="110"/>
      <w:bookmarkEnd w:id="111"/>
      <w:r w:rsidRPr="00CB093C">
        <w:rPr>
          <w:rFonts w:ascii="Arial" w:hAnsi="Arial" w:cs="Arial"/>
          <w:i/>
          <w:color w:val="000000"/>
          <w:szCs w:val="22"/>
        </w:rPr>
        <w:t xml:space="preserve"> </w:t>
      </w:r>
    </w:p>
    <w:p w14:paraId="24AEFADE" w14:textId="5354A509" w:rsidR="003D1F7F" w:rsidRPr="00CB093C" w:rsidRDefault="003D1F7F" w:rsidP="0089405C">
      <w:pPr>
        <w:keepNext/>
        <w:jc w:val="center"/>
        <w:rPr>
          <w:rFonts w:ascii="Arial" w:hAnsi="Arial" w:cs="Arial"/>
          <w:color w:val="000000"/>
          <w:szCs w:val="22"/>
        </w:rPr>
      </w:pPr>
      <w:r w:rsidRPr="00CB093C">
        <w:rPr>
          <w:rFonts w:ascii="Arial" w:hAnsi="Arial" w:cs="Arial"/>
          <w:i/>
          <w:color w:val="000000"/>
          <w:szCs w:val="22"/>
        </w:rPr>
        <w:t>low = 10</w:t>
      </w:r>
      <w:r w:rsidRPr="00CB093C">
        <w:rPr>
          <w:rFonts w:ascii="Arial" w:hAnsi="Arial" w:cs="Arial"/>
          <w:i/>
          <w:color w:val="000000"/>
          <w:szCs w:val="22"/>
          <w:vertAlign w:val="superscript"/>
        </w:rPr>
        <w:t>th</w:t>
      </w:r>
      <w:r w:rsidRPr="00CB093C">
        <w:rPr>
          <w:rFonts w:ascii="Arial" w:hAnsi="Arial" w:cs="Arial"/>
          <w:i/>
          <w:color w:val="000000"/>
          <w:szCs w:val="22"/>
        </w:rPr>
        <w:t xml:space="preserve"> or 20</w:t>
      </w:r>
      <w:r w:rsidRPr="00CB093C">
        <w:rPr>
          <w:rFonts w:ascii="Arial" w:hAnsi="Arial" w:cs="Arial"/>
          <w:i/>
          <w:color w:val="000000"/>
          <w:szCs w:val="22"/>
          <w:vertAlign w:val="superscript"/>
        </w:rPr>
        <w:t>th</w:t>
      </w:r>
      <w:r w:rsidRPr="00CB093C">
        <w:rPr>
          <w:rFonts w:ascii="Arial" w:hAnsi="Arial" w:cs="Arial"/>
          <w:i/>
          <w:color w:val="000000"/>
          <w:szCs w:val="22"/>
        </w:rPr>
        <w:t xml:space="preserve"> percentile guideline. NB: scores are unitless.</w:t>
      </w:r>
    </w:p>
    <w:tbl>
      <w:tblPr>
        <w:tblW w:w="6907" w:type="dxa"/>
        <w:jc w:val="center"/>
        <w:tblLook w:val="0000" w:firstRow="0" w:lastRow="0" w:firstColumn="0" w:lastColumn="0" w:noHBand="0" w:noVBand="0"/>
      </w:tblPr>
      <w:tblGrid>
        <w:gridCol w:w="1370"/>
        <w:gridCol w:w="2357"/>
        <w:gridCol w:w="1560"/>
        <w:gridCol w:w="1620"/>
      </w:tblGrid>
      <w:tr w:rsidR="003D1F7F" w:rsidRPr="00CB093C" w14:paraId="68CB6EB5" w14:textId="77777777" w:rsidTr="000252FF">
        <w:trPr>
          <w:trHeight w:val="290"/>
          <w:jc w:val="center"/>
        </w:trPr>
        <w:tc>
          <w:tcPr>
            <w:tcW w:w="1370" w:type="dxa"/>
            <w:tcBorders>
              <w:top w:val="single" w:sz="4" w:space="0" w:color="auto"/>
              <w:left w:val="nil"/>
              <w:bottom w:val="single" w:sz="4" w:space="0" w:color="auto"/>
              <w:right w:val="nil"/>
            </w:tcBorders>
            <w:noWrap/>
            <w:vAlign w:val="bottom"/>
          </w:tcPr>
          <w:p w14:paraId="67DAEB28" w14:textId="52D73476" w:rsidR="003D1F7F" w:rsidRPr="00CB093C" w:rsidRDefault="000252FF" w:rsidP="001368E7">
            <w:pPr>
              <w:spacing w:before="0" w:after="0"/>
              <w:jc w:val="center"/>
              <w:rPr>
                <w:rFonts w:ascii="Arial" w:hAnsi="Arial" w:cs="Arial"/>
                <w:b/>
                <w:color w:val="000000"/>
                <w:szCs w:val="22"/>
                <w:lang w:val="en-US"/>
              </w:rPr>
            </w:pPr>
            <w:r w:rsidRPr="00CB093C">
              <w:rPr>
                <w:rFonts w:ascii="Arial" w:hAnsi="Arial" w:cs="Arial"/>
                <w:b/>
                <w:color w:val="000000"/>
                <w:szCs w:val="22"/>
                <w:lang w:val="en-US"/>
              </w:rPr>
              <w:t>grade</w:t>
            </w:r>
          </w:p>
        </w:tc>
        <w:tc>
          <w:tcPr>
            <w:tcW w:w="2357" w:type="dxa"/>
            <w:tcBorders>
              <w:top w:val="single" w:sz="4" w:space="0" w:color="auto"/>
              <w:left w:val="nil"/>
              <w:bottom w:val="single" w:sz="4" w:space="0" w:color="auto"/>
              <w:right w:val="nil"/>
            </w:tcBorders>
            <w:noWrap/>
            <w:vAlign w:val="bottom"/>
          </w:tcPr>
          <w:p w14:paraId="547C4A4A" w14:textId="3BBA3A03" w:rsidR="003D1F7F" w:rsidRPr="00CB093C" w:rsidRDefault="000252FF" w:rsidP="001368E7">
            <w:pPr>
              <w:spacing w:before="0" w:after="0"/>
              <w:jc w:val="center"/>
              <w:rPr>
                <w:rFonts w:ascii="Arial" w:hAnsi="Arial" w:cs="Arial"/>
                <w:b/>
                <w:color w:val="000000"/>
                <w:szCs w:val="22"/>
                <w:lang w:val="en-US"/>
              </w:rPr>
            </w:pPr>
            <w:r w:rsidRPr="00CB093C">
              <w:rPr>
                <w:rFonts w:ascii="Arial" w:hAnsi="Arial" w:cs="Arial"/>
                <w:b/>
                <w:color w:val="000000"/>
                <w:szCs w:val="22"/>
                <w:lang w:val="en-US"/>
              </w:rPr>
              <w:t xml:space="preserve">percentile </w:t>
            </w:r>
            <w:r w:rsidR="003D1F7F" w:rsidRPr="00CB093C">
              <w:rPr>
                <w:rFonts w:ascii="Arial" w:hAnsi="Arial" w:cs="Arial"/>
                <w:b/>
                <w:color w:val="000000"/>
                <w:szCs w:val="22"/>
                <w:lang w:val="en-US"/>
              </w:rPr>
              <w:t>category</w:t>
            </w:r>
          </w:p>
        </w:tc>
        <w:tc>
          <w:tcPr>
            <w:tcW w:w="1560" w:type="dxa"/>
            <w:tcBorders>
              <w:top w:val="single" w:sz="4" w:space="0" w:color="auto"/>
              <w:left w:val="nil"/>
              <w:bottom w:val="single" w:sz="4" w:space="0" w:color="auto"/>
              <w:right w:val="nil"/>
            </w:tcBorders>
            <w:noWrap/>
            <w:vAlign w:val="bottom"/>
          </w:tcPr>
          <w:p w14:paraId="3F3AD87E" w14:textId="77777777" w:rsidR="003D1F7F" w:rsidRPr="00CB093C" w:rsidRDefault="003D1F7F" w:rsidP="001368E7">
            <w:pPr>
              <w:spacing w:before="0" w:after="0"/>
              <w:jc w:val="center"/>
              <w:rPr>
                <w:rFonts w:ascii="Arial" w:hAnsi="Arial" w:cs="Arial"/>
                <w:b/>
                <w:color w:val="000000"/>
                <w:szCs w:val="22"/>
                <w:lang w:val="en-US"/>
              </w:rPr>
            </w:pPr>
            <w:r w:rsidRPr="00CB093C">
              <w:rPr>
                <w:rFonts w:ascii="Arial" w:hAnsi="Arial" w:cs="Arial"/>
                <w:b/>
                <w:color w:val="000000"/>
                <w:szCs w:val="22"/>
                <w:lang w:val="en-US"/>
              </w:rPr>
              <w:t>score</w:t>
            </w:r>
          </w:p>
        </w:tc>
        <w:tc>
          <w:tcPr>
            <w:tcW w:w="1620" w:type="dxa"/>
            <w:tcBorders>
              <w:top w:val="single" w:sz="4" w:space="0" w:color="auto"/>
              <w:left w:val="nil"/>
              <w:bottom w:val="single" w:sz="4" w:space="0" w:color="auto"/>
              <w:right w:val="nil"/>
            </w:tcBorders>
            <w:noWrap/>
            <w:vAlign w:val="bottom"/>
          </w:tcPr>
          <w:p w14:paraId="4F902AEC" w14:textId="77777777" w:rsidR="003D1F7F" w:rsidRPr="00CB093C" w:rsidRDefault="003D1F7F" w:rsidP="001368E7">
            <w:pPr>
              <w:spacing w:before="0" w:after="0"/>
              <w:jc w:val="center"/>
              <w:rPr>
                <w:rFonts w:ascii="Arial" w:hAnsi="Arial" w:cs="Arial"/>
                <w:b/>
                <w:color w:val="000000"/>
                <w:szCs w:val="22"/>
                <w:lang w:val="en-US"/>
              </w:rPr>
            </w:pPr>
            <w:r w:rsidRPr="00CB093C">
              <w:rPr>
                <w:rFonts w:ascii="Arial" w:hAnsi="Arial" w:cs="Arial"/>
                <w:b/>
                <w:color w:val="000000"/>
                <w:szCs w:val="22"/>
                <w:lang w:val="en-US"/>
              </w:rPr>
              <w:t>status</w:t>
            </w:r>
          </w:p>
        </w:tc>
      </w:tr>
      <w:tr w:rsidR="003D1F7F" w:rsidRPr="00CB093C" w14:paraId="42047088" w14:textId="77777777" w:rsidTr="000252FF">
        <w:trPr>
          <w:trHeight w:val="290"/>
          <w:jc w:val="center"/>
        </w:trPr>
        <w:tc>
          <w:tcPr>
            <w:tcW w:w="1370" w:type="dxa"/>
            <w:tcBorders>
              <w:top w:val="nil"/>
              <w:left w:val="nil"/>
              <w:bottom w:val="nil"/>
              <w:right w:val="nil"/>
            </w:tcBorders>
            <w:noWrap/>
            <w:vAlign w:val="bottom"/>
          </w:tcPr>
          <w:p w14:paraId="5F6300D3"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very good</w:t>
            </w:r>
          </w:p>
        </w:tc>
        <w:tc>
          <w:tcPr>
            <w:tcW w:w="2357" w:type="dxa"/>
            <w:tcBorders>
              <w:top w:val="nil"/>
              <w:left w:val="nil"/>
              <w:bottom w:val="nil"/>
              <w:right w:val="nil"/>
            </w:tcBorders>
            <w:noWrap/>
            <w:vAlign w:val="bottom"/>
          </w:tcPr>
          <w:p w14:paraId="74238E25"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75-100</w:t>
            </w:r>
          </w:p>
        </w:tc>
        <w:tc>
          <w:tcPr>
            <w:tcW w:w="1560" w:type="dxa"/>
            <w:tcBorders>
              <w:top w:val="nil"/>
              <w:left w:val="nil"/>
              <w:bottom w:val="nil"/>
              <w:right w:val="nil"/>
            </w:tcBorders>
            <w:noWrap/>
            <w:vAlign w:val="bottom"/>
          </w:tcPr>
          <w:p w14:paraId="13110613"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100</w:t>
            </w:r>
          </w:p>
        </w:tc>
        <w:tc>
          <w:tcPr>
            <w:tcW w:w="1620" w:type="dxa"/>
            <w:tcBorders>
              <w:top w:val="nil"/>
              <w:left w:val="nil"/>
              <w:bottom w:val="nil"/>
              <w:right w:val="nil"/>
            </w:tcBorders>
            <w:shd w:val="clear" w:color="auto" w:fill="008000"/>
            <w:noWrap/>
            <w:vAlign w:val="bottom"/>
          </w:tcPr>
          <w:p w14:paraId="0F22B849" w14:textId="77777777" w:rsidR="003D1F7F" w:rsidRPr="00CB093C" w:rsidRDefault="003D1F7F"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8</w:t>
            </w:r>
            <w:r w:rsidR="002605DA" w:rsidRPr="00CB093C">
              <w:rPr>
                <w:rFonts w:ascii="Arial" w:hAnsi="Arial" w:cs="Arial"/>
                <w:color w:val="000000"/>
                <w:szCs w:val="22"/>
                <w:lang w:eastAsia="en-AU"/>
              </w:rPr>
              <w:t>1</w:t>
            </w:r>
            <w:r w:rsidRPr="00CB093C">
              <w:rPr>
                <w:rFonts w:ascii="Arial" w:hAnsi="Arial" w:cs="Arial"/>
                <w:color w:val="000000"/>
                <w:szCs w:val="22"/>
                <w:lang w:eastAsia="en-AU"/>
              </w:rPr>
              <w:t xml:space="preserve"> - 100</w:t>
            </w:r>
          </w:p>
        </w:tc>
      </w:tr>
      <w:tr w:rsidR="003D1F7F" w:rsidRPr="00CB093C" w14:paraId="07C60766" w14:textId="77777777" w:rsidTr="000252FF">
        <w:trPr>
          <w:trHeight w:val="290"/>
          <w:jc w:val="center"/>
        </w:trPr>
        <w:tc>
          <w:tcPr>
            <w:tcW w:w="1370" w:type="dxa"/>
            <w:tcBorders>
              <w:top w:val="nil"/>
              <w:left w:val="nil"/>
              <w:bottom w:val="nil"/>
              <w:right w:val="nil"/>
            </w:tcBorders>
            <w:noWrap/>
            <w:vAlign w:val="bottom"/>
          </w:tcPr>
          <w:p w14:paraId="3F5DEB19"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good</w:t>
            </w:r>
          </w:p>
        </w:tc>
        <w:tc>
          <w:tcPr>
            <w:tcW w:w="2357" w:type="dxa"/>
            <w:tcBorders>
              <w:top w:val="nil"/>
              <w:left w:val="nil"/>
              <w:bottom w:val="nil"/>
              <w:right w:val="nil"/>
            </w:tcBorders>
            <w:noWrap/>
            <w:vAlign w:val="bottom"/>
          </w:tcPr>
          <w:p w14:paraId="1110E1D2"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50-75</w:t>
            </w:r>
          </w:p>
        </w:tc>
        <w:tc>
          <w:tcPr>
            <w:tcW w:w="1560" w:type="dxa"/>
            <w:tcBorders>
              <w:top w:val="nil"/>
              <w:left w:val="nil"/>
              <w:bottom w:val="nil"/>
              <w:right w:val="nil"/>
            </w:tcBorders>
            <w:noWrap/>
            <w:vAlign w:val="bottom"/>
          </w:tcPr>
          <w:p w14:paraId="4FB3F08F"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75</w:t>
            </w:r>
          </w:p>
        </w:tc>
        <w:tc>
          <w:tcPr>
            <w:tcW w:w="1620" w:type="dxa"/>
            <w:tcBorders>
              <w:top w:val="nil"/>
              <w:left w:val="nil"/>
              <w:bottom w:val="nil"/>
              <w:right w:val="nil"/>
            </w:tcBorders>
            <w:shd w:val="clear" w:color="auto" w:fill="92D050"/>
            <w:noWrap/>
            <w:vAlign w:val="bottom"/>
          </w:tcPr>
          <w:p w14:paraId="45206B6D" w14:textId="77777777" w:rsidR="003D1F7F" w:rsidRPr="00CB093C" w:rsidRDefault="003D1F7F"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6</w:t>
            </w:r>
            <w:r w:rsidR="002605DA" w:rsidRPr="00CB093C">
              <w:rPr>
                <w:rFonts w:ascii="Arial" w:hAnsi="Arial" w:cs="Arial"/>
                <w:color w:val="000000"/>
                <w:szCs w:val="22"/>
                <w:lang w:eastAsia="en-AU"/>
              </w:rPr>
              <w:t>1</w:t>
            </w:r>
            <w:r w:rsidRPr="00CB093C">
              <w:rPr>
                <w:rFonts w:ascii="Arial" w:hAnsi="Arial" w:cs="Arial"/>
                <w:color w:val="000000"/>
                <w:szCs w:val="22"/>
                <w:lang w:eastAsia="en-AU"/>
              </w:rPr>
              <w:t xml:space="preserve"> - 80</w:t>
            </w:r>
          </w:p>
        </w:tc>
      </w:tr>
      <w:tr w:rsidR="003D1F7F" w:rsidRPr="00CB093C" w14:paraId="2CE5017D" w14:textId="77777777" w:rsidTr="000252FF">
        <w:trPr>
          <w:trHeight w:val="290"/>
          <w:jc w:val="center"/>
        </w:trPr>
        <w:tc>
          <w:tcPr>
            <w:tcW w:w="1370" w:type="dxa"/>
            <w:tcBorders>
              <w:top w:val="nil"/>
              <w:left w:val="nil"/>
              <w:bottom w:val="nil"/>
              <w:right w:val="nil"/>
            </w:tcBorders>
            <w:noWrap/>
            <w:vAlign w:val="bottom"/>
          </w:tcPr>
          <w:p w14:paraId="53167C84"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moderate</w:t>
            </w:r>
          </w:p>
        </w:tc>
        <w:tc>
          <w:tcPr>
            <w:tcW w:w="2357" w:type="dxa"/>
            <w:tcBorders>
              <w:top w:val="nil"/>
              <w:left w:val="nil"/>
              <w:bottom w:val="nil"/>
              <w:right w:val="nil"/>
            </w:tcBorders>
            <w:noWrap/>
            <w:vAlign w:val="bottom"/>
          </w:tcPr>
          <w:p w14:paraId="20B3B117"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low-50</w:t>
            </w:r>
          </w:p>
        </w:tc>
        <w:tc>
          <w:tcPr>
            <w:tcW w:w="1560" w:type="dxa"/>
            <w:tcBorders>
              <w:top w:val="nil"/>
              <w:left w:val="nil"/>
              <w:bottom w:val="nil"/>
              <w:right w:val="nil"/>
            </w:tcBorders>
            <w:noWrap/>
            <w:vAlign w:val="bottom"/>
          </w:tcPr>
          <w:p w14:paraId="289D90BB"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50</w:t>
            </w:r>
          </w:p>
        </w:tc>
        <w:tc>
          <w:tcPr>
            <w:tcW w:w="1620" w:type="dxa"/>
            <w:tcBorders>
              <w:top w:val="nil"/>
              <w:left w:val="nil"/>
              <w:bottom w:val="nil"/>
              <w:right w:val="nil"/>
            </w:tcBorders>
            <w:shd w:val="clear" w:color="auto" w:fill="FFFF00"/>
            <w:noWrap/>
            <w:vAlign w:val="bottom"/>
          </w:tcPr>
          <w:p w14:paraId="3FC61373" w14:textId="77777777" w:rsidR="003D1F7F" w:rsidRPr="00CB093C" w:rsidRDefault="002605DA"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 xml:space="preserve">41 - </w:t>
            </w:r>
            <w:r w:rsidR="003D1F7F" w:rsidRPr="00CB093C">
              <w:rPr>
                <w:rFonts w:ascii="Arial" w:hAnsi="Arial" w:cs="Arial"/>
                <w:color w:val="000000"/>
                <w:szCs w:val="22"/>
                <w:lang w:eastAsia="en-AU"/>
              </w:rPr>
              <w:t>60</w:t>
            </w:r>
          </w:p>
        </w:tc>
      </w:tr>
      <w:tr w:rsidR="003D1F7F" w:rsidRPr="00CB093C" w14:paraId="4A38D832" w14:textId="77777777" w:rsidTr="000252FF">
        <w:trPr>
          <w:trHeight w:val="290"/>
          <w:jc w:val="center"/>
        </w:trPr>
        <w:tc>
          <w:tcPr>
            <w:tcW w:w="1370" w:type="dxa"/>
            <w:tcBorders>
              <w:top w:val="nil"/>
              <w:left w:val="nil"/>
              <w:right w:val="nil"/>
            </w:tcBorders>
            <w:noWrap/>
            <w:vAlign w:val="bottom"/>
          </w:tcPr>
          <w:p w14:paraId="6876E2A9"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poor</w:t>
            </w:r>
          </w:p>
        </w:tc>
        <w:tc>
          <w:tcPr>
            <w:tcW w:w="2357" w:type="dxa"/>
            <w:tcBorders>
              <w:top w:val="nil"/>
              <w:left w:val="nil"/>
              <w:right w:val="nil"/>
            </w:tcBorders>
            <w:noWrap/>
            <w:vAlign w:val="bottom"/>
          </w:tcPr>
          <w:p w14:paraId="33E26DD3"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&lt;low</w:t>
            </w:r>
          </w:p>
        </w:tc>
        <w:tc>
          <w:tcPr>
            <w:tcW w:w="1560" w:type="dxa"/>
            <w:tcBorders>
              <w:top w:val="nil"/>
              <w:left w:val="nil"/>
              <w:right w:val="nil"/>
            </w:tcBorders>
            <w:noWrap/>
            <w:vAlign w:val="bottom"/>
          </w:tcPr>
          <w:p w14:paraId="109BF7DE"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25</w:t>
            </w:r>
          </w:p>
        </w:tc>
        <w:tc>
          <w:tcPr>
            <w:tcW w:w="1620" w:type="dxa"/>
            <w:tcBorders>
              <w:top w:val="nil"/>
              <w:left w:val="nil"/>
              <w:right w:val="nil"/>
            </w:tcBorders>
            <w:shd w:val="clear" w:color="auto" w:fill="FFC000"/>
            <w:noWrap/>
            <w:vAlign w:val="bottom"/>
          </w:tcPr>
          <w:p w14:paraId="4A80CCAD" w14:textId="77777777" w:rsidR="003D1F7F" w:rsidRPr="00CB093C" w:rsidRDefault="002605DA"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 xml:space="preserve">21 - </w:t>
            </w:r>
            <w:r w:rsidR="003D1F7F" w:rsidRPr="00CB093C">
              <w:rPr>
                <w:rFonts w:ascii="Arial" w:hAnsi="Arial" w:cs="Arial"/>
                <w:color w:val="000000"/>
                <w:szCs w:val="22"/>
                <w:lang w:eastAsia="en-AU"/>
              </w:rPr>
              <w:t>40</w:t>
            </w:r>
          </w:p>
        </w:tc>
      </w:tr>
      <w:tr w:rsidR="003D1F7F" w:rsidRPr="00CB093C" w14:paraId="09A4F357" w14:textId="77777777" w:rsidTr="000252FF">
        <w:trPr>
          <w:trHeight w:val="290"/>
          <w:jc w:val="center"/>
        </w:trPr>
        <w:tc>
          <w:tcPr>
            <w:tcW w:w="1370" w:type="dxa"/>
            <w:tcBorders>
              <w:top w:val="nil"/>
              <w:left w:val="nil"/>
              <w:bottom w:val="single" w:sz="4" w:space="0" w:color="auto"/>
              <w:right w:val="nil"/>
            </w:tcBorders>
            <w:noWrap/>
            <w:vAlign w:val="bottom"/>
          </w:tcPr>
          <w:p w14:paraId="01CADDB8"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very poor</w:t>
            </w:r>
          </w:p>
        </w:tc>
        <w:tc>
          <w:tcPr>
            <w:tcW w:w="2357" w:type="dxa"/>
            <w:tcBorders>
              <w:top w:val="nil"/>
              <w:left w:val="nil"/>
              <w:bottom w:val="single" w:sz="4" w:space="0" w:color="auto"/>
              <w:right w:val="nil"/>
            </w:tcBorders>
            <w:noWrap/>
            <w:vAlign w:val="bottom"/>
          </w:tcPr>
          <w:p w14:paraId="5EA8905E" w14:textId="55447BA8"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&lt;low by &gt;20</w:t>
            </w:r>
            <w:r w:rsidR="0063478C" w:rsidRPr="00CB093C">
              <w:rPr>
                <w:rFonts w:ascii="Arial" w:hAnsi="Arial" w:cs="Arial"/>
                <w:color w:val="000000"/>
                <w:szCs w:val="22"/>
                <w:lang w:eastAsia="en-AU"/>
              </w:rPr>
              <w:t xml:space="preserve"> </w:t>
            </w:r>
            <w:r w:rsidR="00882B72" w:rsidRPr="00CB093C">
              <w:rPr>
                <w:rFonts w:ascii="Arial" w:hAnsi="Arial" w:cs="Arial"/>
                <w:color w:val="000000"/>
                <w:szCs w:val="22"/>
                <w:lang w:eastAsia="en-AU"/>
              </w:rPr>
              <w:t>%</w:t>
            </w:r>
          </w:p>
        </w:tc>
        <w:tc>
          <w:tcPr>
            <w:tcW w:w="1560" w:type="dxa"/>
            <w:tcBorders>
              <w:top w:val="nil"/>
              <w:left w:val="nil"/>
              <w:bottom w:val="single" w:sz="4" w:space="0" w:color="auto"/>
              <w:right w:val="nil"/>
            </w:tcBorders>
            <w:noWrap/>
            <w:vAlign w:val="bottom"/>
          </w:tcPr>
          <w:p w14:paraId="03B74CA8"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0</w:t>
            </w:r>
          </w:p>
        </w:tc>
        <w:tc>
          <w:tcPr>
            <w:tcW w:w="1620" w:type="dxa"/>
            <w:tcBorders>
              <w:top w:val="nil"/>
              <w:left w:val="nil"/>
              <w:bottom w:val="single" w:sz="4" w:space="0" w:color="auto"/>
              <w:right w:val="nil"/>
            </w:tcBorders>
            <w:shd w:val="clear" w:color="auto" w:fill="FF0000"/>
            <w:noWrap/>
            <w:vAlign w:val="bottom"/>
          </w:tcPr>
          <w:p w14:paraId="2A047FBB" w14:textId="77777777" w:rsidR="003D1F7F" w:rsidRPr="00CB093C" w:rsidRDefault="002605DA"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 xml:space="preserve">0 - </w:t>
            </w:r>
            <w:r w:rsidR="003D1F7F" w:rsidRPr="00CB093C">
              <w:rPr>
                <w:rFonts w:ascii="Arial" w:hAnsi="Arial" w:cs="Arial"/>
                <w:color w:val="000000"/>
                <w:szCs w:val="22"/>
                <w:lang w:eastAsia="en-AU"/>
              </w:rPr>
              <w:t>20</w:t>
            </w:r>
          </w:p>
        </w:tc>
      </w:tr>
    </w:tbl>
    <w:p w14:paraId="1818123F" w14:textId="77777777" w:rsidR="003D1F7F" w:rsidRPr="00CB093C" w:rsidRDefault="003D1F7F" w:rsidP="00AD06D4">
      <w:pPr>
        <w:pStyle w:val="Heading3"/>
        <w:numPr>
          <w:ilvl w:val="2"/>
          <w:numId w:val="4"/>
        </w:numPr>
        <w:rPr>
          <w:rFonts w:ascii="Arial" w:hAnsi="Arial" w:cs="Arial"/>
          <w:sz w:val="22"/>
          <w:szCs w:val="22"/>
        </w:rPr>
      </w:pPr>
      <w:bookmarkStart w:id="112" w:name="_Toc184101956"/>
      <w:bookmarkStart w:id="113" w:name="_Toc381027992"/>
      <w:bookmarkStart w:id="114" w:name="_Toc11394704"/>
      <w:r w:rsidRPr="00CB093C">
        <w:rPr>
          <w:rFonts w:ascii="Arial" w:hAnsi="Arial" w:cs="Arial"/>
          <w:sz w:val="22"/>
          <w:szCs w:val="22"/>
        </w:rPr>
        <w:lastRenderedPageBreak/>
        <w:t>Seagrass reproductive effort</w:t>
      </w:r>
      <w:bookmarkEnd w:id="112"/>
      <w:bookmarkEnd w:id="113"/>
      <w:bookmarkEnd w:id="114"/>
    </w:p>
    <w:p w14:paraId="6E80B2DB" w14:textId="69D44584" w:rsidR="003D1F7F" w:rsidRPr="00CB093C" w:rsidRDefault="00D90BED" w:rsidP="003D1F7F">
      <w:pPr>
        <w:rPr>
          <w:rFonts w:ascii="Arial" w:hAnsi="Arial" w:cs="Arial"/>
          <w:szCs w:val="22"/>
        </w:rPr>
      </w:pPr>
      <w:r w:rsidRPr="00CB093C">
        <w:rPr>
          <w:rFonts w:ascii="Arial" w:hAnsi="Arial" w:cs="Arial"/>
          <w:color w:val="000000"/>
          <w:szCs w:val="22"/>
        </w:rPr>
        <w:t>As m</w:t>
      </w:r>
      <w:r w:rsidR="005A3EF5" w:rsidRPr="00CB093C">
        <w:rPr>
          <w:rFonts w:ascii="Arial" w:hAnsi="Arial" w:cs="Arial"/>
          <w:szCs w:val="22"/>
        </w:rPr>
        <w:t xml:space="preserve">ost seagrass species of the </w:t>
      </w:r>
      <w:r w:rsidR="00F206BF" w:rsidRPr="00CB093C">
        <w:rPr>
          <w:rFonts w:ascii="Arial" w:hAnsi="Arial" w:cs="Arial"/>
          <w:szCs w:val="22"/>
        </w:rPr>
        <w:t>Reef</w:t>
      </w:r>
      <w:r w:rsidR="005A3EF5" w:rsidRPr="00CB093C">
        <w:rPr>
          <w:rFonts w:ascii="Arial" w:hAnsi="Arial" w:cs="Arial"/>
          <w:szCs w:val="22"/>
        </w:rPr>
        <w:t xml:space="preserve"> flower in the late dry</w:t>
      </w:r>
      <w:r w:rsidR="007F36FB" w:rsidRPr="00CB093C">
        <w:rPr>
          <w:rFonts w:ascii="Arial" w:hAnsi="Arial" w:cs="Arial"/>
          <w:szCs w:val="22"/>
        </w:rPr>
        <w:t xml:space="preserve"> season</w:t>
      </w:r>
      <w:r w:rsidR="005A3EF5" w:rsidRPr="00CB093C">
        <w:rPr>
          <w:rFonts w:ascii="Arial" w:hAnsi="Arial" w:cs="Arial"/>
          <w:noProof/>
          <w:szCs w:val="22"/>
        </w:rPr>
        <w:t xml:space="preserve">, </w:t>
      </w:r>
      <w:r w:rsidR="00F64AA9" w:rsidRPr="00CB093C">
        <w:rPr>
          <w:rFonts w:ascii="Arial" w:hAnsi="Arial" w:cs="Arial"/>
          <w:noProof/>
          <w:szCs w:val="22"/>
        </w:rPr>
        <w:t>reproductive effort is sampled during the late dry season</w:t>
      </w:r>
      <w:r w:rsidR="00E03E9F" w:rsidRPr="00CB093C">
        <w:rPr>
          <w:rFonts w:ascii="Arial" w:hAnsi="Arial" w:cs="Arial"/>
          <w:noProof/>
          <w:szCs w:val="22"/>
        </w:rPr>
        <w:t xml:space="preserve"> to capture the sexual reproductive peak</w:t>
      </w:r>
      <w:r w:rsidR="005730C0" w:rsidRPr="00CB093C">
        <w:rPr>
          <w:rFonts w:ascii="Arial" w:hAnsi="Arial" w:cs="Arial"/>
          <w:noProof/>
          <w:szCs w:val="22"/>
        </w:rPr>
        <w:t>.</w:t>
      </w:r>
    </w:p>
    <w:p w14:paraId="6B2970A3" w14:textId="013A2BFA" w:rsidR="00D348B0" w:rsidRPr="00CB093C" w:rsidRDefault="005730C0" w:rsidP="005730C0">
      <w:pPr>
        <w:spacing w:before="0"/>
        <w:rPr>
          <w:rFonts w:ascii="Arial" w:hAnsi="Arial" w:cs="Arial"/>
          <w:szCs w:val="22"/>
        </w:rPr>
      </w:pPr>
      <w:r w:rsidRPr="00CB093C">
        <w:rPr>
          <w:rFonts w:ascii="Arial" w:hAnsi="Arial" w:cs="Arial"/>
          <w:szCs w:val="22"/>
        </w:rPr>
        <w:t xml:space="preserve">During the current monitoring period, the total number of reproductive structures per core </w:t>
      </w:r>
      <w:r w:rsidR="00DC2C09" w:rsidRPr="00CB093C">
        <w:rPr>
          <w:rFonts w:ascii="Arial" w:hAnsi="Arial" w:cs="Arial"/>
          <w:color w:val="000000"/>
          <w:szCs w:val="22"/>
        </w:rPr>
        <w:t>(inflorescence, fruit, spathe, seed)</w:t>
      </w:r>
      <w:r w:rsidR="000E742F" w:rsidRPr="00CB093C">
        <w:rPr>
          <w:rFonts w:ascii="Arial" w:hAnsi="Arial" w:cs="Arial"/>
          <w:color w:val="000000"/>
          <w:szCs w:val="22"/>
        </w:rPr>
        <w:t xml:space="preserve"> </w:t>
      </w:r>
      <w:r w:rsidRPr="00CB093C">
        <w:rPr>
          <w:rFonts w:ascii="Arial" w:hAnsi="Arial" w:cs="Arial"/>
          <w:szCs w:val="22"/>
        </w:rPr>
        <w:t>was measured at each site in the late dry season (Sept</w:t>
      </w:r>
      <w:r w:rsidR="00DC2C09" w:rsidRPr="00CB093C">
        <w:rPr>
          <w:rFonts w:ascii="Arial" w:hAnsi="Arial" w:cs="Arial"/>
          <w:szCs w:val="22"/>
        </w:rPr>
        <w:t>ember</w:t>
      </w:r>
      <w:r w:rsidRPr="00CB093C">
        <w:rPr>
          <w:rFonts w:ascii="Arial" w:hAnsi="Arial" w:cs="Arial"/>
          <w:szCs w:val="22"/>
        </w:rPr>
        <w:t>/October 2017), and a</w:t>
      </w:r>
      <w:r w:rsidR="00D90BED" w:rsidRPr="00CB093C">
        <w:rPr>
          <w:rFonts w:ascii="Arial" w:hAnsi="Arial" w:cs="Arial"/>
          <w:szCs w:val="22"/>
        </w:rPr>
        <w:t xml:space="preserve"> grade score determined </w:t>
      </w:r>
      <w:r w:rsidRPr="00CB093C">
        <w:rPr>
          <w:rFonts w:ascii="Arial" w:hAnsi="Arial" w:cs="Arial"/>
          <w:szCs w:val="22"/>
        </w:rPr>
        <w:t>after normalising</w:t>
      </w:r>
      <w:r w:rsidR="00D90BED" w:rsidRPr="00CB093C">
        <w:rPr>
          <w:rFonts w:ascii="Arial" w:hAnsi="Arial" w:cs="Arial"/>
          <w:szCs w:val="22"/>
        </w:rPr>
        <w:t xml:space="preserve"> </w:t>
      </w:r>
      <w:r w:rsidRPr="00CB093C">
        <w:rPr>
          <w:rFonts w:ascii="Arial" w:hAnsi="Arial" w:cs="Arial"/>
          <w:szCs w:val="22"/>
        </w:rPr>
        <w:t xml:space="preserve">against the </w:t>
      </w:r>
      <w:r w:rsidR="00DC2C09" w:rsidRPr="00CB093C">
        <w:rPr>
          <w:rFonts w:ascii="Arial" w:hAnsi="Arial" w:cs="Arial"/>
          <w:szCs w:val="22"/>
        </w:rPr>
        <w:t xml:space="preserve">Reef </w:t>
      </w:r>
      <w:r w:rsidRPr="00CB093C">
        <w:rPr>
          <w:rFonts w:ascii="Arial" w:hAnsi="Arial" w:cs="Arial"/>
          <w:szCs w:val="22"/>
        </w:rPr>
        <w:t xml:space="preserve">habitat baseline (see </w:t>
      </w:r>
      <w:r w:rsidRPr="00CB093C">
        <w:rPr>
          <w:rFonts w:ascii="Arial" w:hAnsi="Arial" w:cs="Arial"/>
          <w:szCs w:val="22"/>
        </w:rPr>
        <w:fldChar w:fldCharType="begin"/>
      </w:r>
      <w:r w:rsidRPr="00CB093C">
        <w:rPr>
          <w:rFonts w:ascii="Arial" w:hAnsi="Arial" w:cs="Arial"/>
          <w:szCs w:val="22"/>
        </w:rPr>
        <w:instrText xml:space="preserve"> REF _Ref511380752 \r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Pr>
          <w:rFonts w:ascii="Arial" w:hAnsi="Arial" w:cs="Arial"/>
          <w:szCs w:val="22"/>
        </w:rPr>
        <w:t>Appendix 2</w:t>
      </w:r>
      <w:r w:rsidRPr="00CB093C">
        <w:rPr>
          <w:rFonts w:ascii="Arial" w:hAnsi="Arial" w:cs="Arial"/>
          <w:szCs w:val="22"/>
        </w:rPr>
        <w:fldChar w:fldCharType="end"/>
      </w:r>
      <w:r w:rsidRPr="00CB093C">
        <w:rPr>
          <w:rFonts w:ascii="Arial" w:hAnsi="Arial" w:cs="Arial"/>
          <w:szCs w:val="22"/>
        </w:rPr>
        <w:t>) and using the ratio to rank the score</w:t>
      </w:r>
      <w:r w:rsidR="00D348B0" w:rsidRPr="00CB093C">
        <w:rPr>
          <w:rFonts w:ascii="Arial" w:hAnsi="Arial" w:cs="Arial"/>
          <w:szCs w:val="22"/>
        </w:rPr>
        <w:t xml:space="preserve"> from very good to very poor (</w:t>
      </w:r>
      <w:r w:rsidRPr="00CB093C">
        <w:rPr>
          <w:rFonts w:ascii="Arial" w:hAnsi="Arial" w:cs="Arial"/>
          <w:szCs w:val="22"/>
        </w:rPr>
        <w:fldChar w:fldCharType="begin"/>
      </w:r>
      <w:r w:rsidRPr="00CB093C">
        <w:rPr>
          <w:rFonts w:ascii="Arial" w:hAnsi="Arial" w:cs="Arial"/>
          <w:szCs w:val="22"/>
        </w:rPr>
        <w:instrText xml:space="preserve"> REF _Ref271192830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5</w:t>
      </w:r>
      <w:r w:rsidRPr="00CB093C">
        <w:rPr>
          <w:rFonts w:ascii="Arial" w:hAnsi="Arial" w:cs="Arial"/>
          <w:szCs w:val="22"/>
        </w:rPr>
        <w:fldChar w:fldCharType="end"/>
      </w:r>
      <w:r w:rsidR="00D348B0" w:rsidRPr="00CB093C">
        <w:rPr>
          <w:rFonts w:ascii="Arial" w:hAnsi="Arial" w:cs="Arial"/>
          <w:szCs w:val="22"/>
        </w:rPr>
        <w:t>).</w:t>
      </w:r>
    </w:p>
    <w:p w14:paraId="5A7BEE7B" w14:textId="4EA7F63F" w:rsidR="003D1F7F" w:rsidRPr="00CB093C" w:rsidRDefault="003D1F7F" w:rsidP="003D1F7F">
      <w:pPr>
        <w:keepNext/>
        <w:jc w:val="center"/>
        <w:rPr>
          <w:rFonts w:ascii="Arial" w:hAnsi="Arial" w:cs="Arial"/>
          <w:color w:val="000000"/>
          <w:szCs w:val="22"/>
        </w:rPr>
      </w:pPr>
      <w:bookmarkStart w:id="115" w:name="_Ref271192830"/>
      <w:bookmarkStart w:id="116" w:name="_Toc5616033"/>
      <w:r w:rsidRPr="00CB093C">
        <w:rPr>
          <w:rFonts w:ascii="Arial" w:hAnsi="Arial" w:cs="Arial"/>
          <w:color w:val="000000"/>
          <w:szCs w:val="22"/>
        </w:rPr>
        <w:t xml:space="preserve">Table </w:t>
      </w:r>
      <w:r w:rsidRPr="00CB093C">
        <w:rPr>
          <w:rFonts w:ascii="Arial" w:hAnsi="Arial" w:cs="Arial"/>
          <w:color w:val="000000"/>
          <w:szCs w:val="22"/>
        </w:rPr>
        <w:fldChar w:fldCharType="begin"/>
      </w:r>
      <w:r w:rsidRPr="00CB093C">
        <w:rPr>
          <w:rFonts w:ascii="Arial" w:hAnsi="Arial" w:cs="Arial"/>
          <w:color w:val="000000"/>
          <w:szCs w:val="22"/>
        </w:rPr>
        <w:instrText xml:space="preserve"> SEQ Table \* ARABIC </w:instrText>
      </w:r>
      <w:r w:rsidRPr="00CB093C">
        <w:rPr>
          <w:rFonts w:ascii="Arial" w:hAnsi="Arial" w:cs="Arial"/>
          <w:color w:val="000000"/>
          <w:szCs w:val="22"/>
        </w:rPr>
        <w:fldChar w:fldCharType="separate"/>
      </w:r>
      <w:r w:rsidR="005F00D4">
        <w:rPr>
          <w:rFonts w:ascii="Arial" w:hAnsi="Arial" w:cs="Arial"/>
          <w:noProof/>
          <w:color w:val="000000"/>
          <w:szCs w:val="22"/>
        </w:rPr>
        <w:t>5</w:t>
      </w:r>
      <w:r w:rsidRPr="00CB093C">
        <w:rPr>
          <w:rFonts w:ascii="Arial" w:hAnsi="Arial" w:cs="Arial"/>
          <w:color w:val="000000"/>
          <w:szCs w:val="22"/>
        </w:rPr>
        <w:fldChar w:fldCharType="end"/>
      </w:r>
      <w:bookmarkEnd w:id="115"/>
      <w:r w:rsidRPr="00CB093C">
        <w:rPr>
          <w:rFonts w:ascii="Arial" w:hAnsi="Arial" w:cs="Arial"/>
          <w:color w:val="000000"/>
          <w:szCs w:val="22"/>
        </w:rPr>
        <w:t xml:space="preserve">. </w:t>
      </w:r>
      <w:r w:rsidRPr="00CB093C">
        <w:rPr>
          <w:rFonts w:ascii="Arial" w:hAnsi="Arial" w:cs="Arial"/>
          <w:i/>
          <w:color w:val="000000"/>
          <w:szCs w:val="22"/>
        </w:rPr>
        <w:t xml:space="preserve">Scores for </w:t>
      </w:r>
      <w:r w:rsidRPr="00CB093C">
        <w:rPr>
          <w:rFonts w:ascii="Arial" w:hAnsi="Arial" w:cs="Arial"/>
          <w:i/>
          <w:iCs/>
          <w:color w:val="000000"/>
          <w:szCs w:val="22"/>
          <w:lang w:eastAsia="en-AU"/>
        </w:rPr>
        <w:t xml:space="preserve">late dry </w:t>
      </w:r>
      <w:r w:rsidRPr="00CB093C">
        <w:rPr>
          <w:rFonts w:ascii="Arial" w:hAnsi="Arial" w:cs="Arial"/>
          <w:i/>
          <w:color w:val="000000"/>
          <w:szCs w:val="22"/>
        </w:rPr>
        <w:t xml:space="preserve">monitoring period reproductive effort average against </w:t>
      </w:r>
      <w:r w:rsidR="00F206BF" w:rsidRPr="00CB093C">
        <w:rPr>
          <w:rFonts w:ascii="Arial" w:hAnsi="Arial" w:cs="Arial"/>
          <w:i/>
          <w:color w:val="000000"/>
          <w:szCs w:val="22"/>
        </w:rPr>
        <w:t>Reef</w:t>
      </w:r>
      <w:r w:rsidRPr="00CB093C">
        <w:rPr>
          <w:rFonts w:ascii="Arial" w:hAnsi="Arial" w:cs="Arial"/>
          <w:i/>
          <w:color w:val="000000"/>
          <w:szCs w:val="22"/>
        </w:rPr>
        <w:t xml:space="preserve"> habitat </w:t>
      </w:r>
      <w:r w:rsidR="005730C0" w:rsidRPr="00CB093C">
        <w:rPr>
          <w:rFonts w:ascii="Arial" w:hAnsi="Arial" w:cs="Arial"/>
          <w:i/>
          <w:color w:val="000000"/>
          <w:szCs w:val="22"/>
        </w:rPr>
        <w:t>baseline</w:t>
      </w:r>
      <w:r w:rsidRPr="00CB093C">
        <w:rPr>
          <w:rFonts w:ascii="Arial" w:hAnsi="Arial" w:cs="Arial"/>
          <w:i/>
          <w:color w:val="000000"/>
          <w:szCs w:val="22"/>
        </w:rPr>
        <w:t>. NB: scores are unitless.</w:t>
      </w:r>
      <w:bookmarkEnd w:id="116"/>
    </w:p>
    <w:tbl>
      <w:tblPr>
        <w:tblW w:w="8279" w:type="dxa"/>
        <w:jc w:val="center"/>
        <w:tblLook w:val="0000" w:firstRow="0" w:lastRow="0" w:firstColumn="0" w:lastColumn="0" w:noHBand="0" w:noVBand="0"/>
      </w:tblPr>
      <w:tblGrid>
        <w:gridCol w:w="1337"/>
        <w:gridCol w:w="2953"/>
        <w:gridCol w:w="766"/>
        <w:gridCol w:w="805"/>
        <w:gridCol w:w="1368"/>
        <w:gridCol w:w="1050"/>
      </w:tblGrid>
      <w:tr w:rsidR="003D1F7F" w:rsidRPr="00CB093C" w14:paraId="37E7BDF2" w14:textId="77777777" w:rsidTr="001368E7">
        <w:trPr>
          <w:trHeight w:val="290"/>
          <w:jc w:val="center"/>
        </w:trPr>
        <w:tc>
          <w:tcPr>
            <w:tcW w:w="1337" w:type="dxa"/>
            <w:tcBorders>
              <w:top w:val="single" w:sz="4" w:space="0" w:color="auto"/>
              <w:left w:val="nil"/>
              <w:bottom w:val="single" w:sz="4" w:space="0" w:color="auto"/>
              <w:right w:val="nil"/>
            </w:tcBorders>
            <w:vAlign w:val="center"/>
          </w:tcPr>
          <w:p w14:paraId="5F78D753" w14:textId="2255A928" w:rsidR="003D1F7F" w:rsidRPr="00CB093C" w:rsidRDefault="002F7814" w:rsidP="001368E7">
            <w:pPr>
              <w:keepNext/>
              <w:spacing w:before="0" w:after="0"/>
              <w:jc w:val="center"/>
              <w:rPr>
                <w:rFonts w:ascii="Arial" w:hAnsi="Arial" w:cs="Arial"/>
                <w:b/>
                <w:i/>
                <w:iCs/>
                <w:color w:val="000000"/>
                <w:szCs w:val="22"/>
                <w:lang w:val="en-US"/>
              </w:rPr>
            </w:pPr>
            <w:r w:rsidRPr="00CB093C">
              <w:rPr>
                <w:rFonts w:ascii="Arial" w:hAnsi="Arial" w:cs="Arial"/>
                <w:b/>
                <w:color w:val="000000"/>
                <w:szCs w:val="22"/>
                <w:lang w:val="en-US"/>
              </w:rPr>
              <w:t>grade</w:t>
            </w:r>
          </w:p>
        </w:tc>
        <w:tc>
          <w:tcPr>
            <w:tcW w:w="2953" w:type="dxa"/>
            <w:tcBorders>
              <w:top w:val="single" w:sz="4" w:space="0" w:color="auto"/>
              <w:left w:val="nil"/>
              <w:bottom w:val="single" w:sz="4" w:space="0" w:color="auto"/>
              <w:right w:val="nil"/>
            </w:tcBorders>
            <w:noWrap/>
            <w:vAlign w:val="center"/>
          </w:tcPr>
          <w:p w14:paraId="39E9618C" w14:textId="77777777" w:rsidR="003D1F7F" w:rsidRPr="00CB093C" w:rsidRDefault="003D1F7F" w:rsidP="001368E7">
            <w:pPr>
              <w:keepNext/>
              <w:spacing w:before="0" w:after="0"/>
              <w:jc w:val="center"/>
              <w:rPr>
                <w:rFonts w:ascii="Arial" w:hAnsi="Arial" w:cs="Arial"/>
                <w:b/>
                <w:i/>
                <w:iCs/>
                <w:color w:val="000000"/>
                <w:szCs w:val="22"/>
                <w:lang w:val="en-US"/>
              </w:rPr>
            </w:pPr>
            <w:r w:rsidRPr="00CB093C">
              <w:rPr>
                <w:rFonts w:ascii="Arial" w:hAnsi="Arial" w:cs="Arial"/>
                <w:b/>
                <w:i/>
                <w:iCs/>
                <w:color w:val="000000"/>
                <w:szCs w:val="22"/>
                <w:lang w:val="en-US"/>
              </w:rPr>
              <w:t>Reproductive Effort</w:t>
            </w:r>
          </w:p>
          <w:p w14:paraId="494FFBE5" w14:textId="0206949A" w:rsidR="003D1F7F" w:rsidRPr="00CB093C" w:rsidRDefault="005730C0" w:rsidP="005730C0">
            <w:pPr>
              <w:keepNext/>
              <w:spacing w:before="0" w:after="0"/>
              <w:jc w:val="center"/>
              <w:rPr>
                <w:rFonts w:ascii="Arial" w:hAnsi="Arial" w:cs="Arial"/>
                <w:i/>
                <w:iCs/>
                <w:color w:val="000000"/>
                <w:szCs w:val="22"/>
                <w:lang w:val="en-US"/>
              </w:rPr>
            </w:pPr>
            <w:r w:rsidRPr="00CB093C">
              <w:rPr>
                <w:rFonts w:ascii="Arial" w:hAnsi="Arial" w:cs="Arial"/>
                <w:i/>
                <w:iCs/>
                <w:color w:val="000000"/>
                <w:szCs w:val="22"/>
                <w:lang w:val="en-US"/>
              </w:rPr>
              <w:t>(</w:t>
            </w:r>
            <w:r w:rsidR="003D1F7F" w:rsidRPr="00CB093C">
              <w:rPr>
                <w:rFonts w:ascii="Arial" w:hAnsi="Arial" w:cs="Arial"/>
                <w:i/>
                <w:iCs/>
                <w:color w:val="000000"/>
                <w:szCs w:val="22"/>
                <w:lang w:val="en-US"/>
              </w:rPr>
              <w:t xml:space="preserve">monitoring period / </w:t>
            </w:r>
            <w:r w:rsidRPr="00CB093C">
              <w:rPr>
                <w:rFonts w:ascii="Arial" w:hAnsi="Arial" w:cs="Arial"/>
                <w:i/>
                <w:iCs/>
                <w:color w:val="000000"/>
                <w:szCs w:val="22"/>
                <w:lang w:val="en-US"/>
              </w:rPr>
              <w:t>baseline)</w:t>
            </w:r>
          </w:p>
        </w:tc>
        <w:tc>
          <w:tcPr>
            <w:tcW w:w="766" w:type="dxa"/>
            <w:tcBorders>
              <w:top w:val="single" w:sz="4" w:space="0" w:color="auto"/>
              <w:left w:val="nil"/>
              <w:bottom w:val="single" w:sz="4" w:space="0" w:color="auto"/>
              <w:right w:val="nil"/>
            </w:tcBorders>
            <w:vAlign w:val="center"/>
          </w:tcPr>
          <w:p w14:paraId="1C7F5756" w14:textId="77777777" w:rsidR="003D1F7F" w:rsidRPr="00CB093C" w:rsidRDefault="003D1F7F" w:rsidP="001368E7">
            <w:pPr>
              <w:keepNext/>
              <w:spacing w:before="0" w:after="0"/>
              <w:jc w:val="center"/>
              <w:rPr>
                <w:rFonts w:ascii="Arial" w:hAnsi="Arial" w:cs="Arial"/>
                <w:b/>
                <w:i/>
                <w:iCs/>
                <w:color w:val="000000"/>
                <w:szCs w:val="22"/>
                <w:lang w:val="en-US"/>
              </w:rPr>
            </w:pPr>
            <w:r w:rsidRPr="00CB093C">
              <w:rPr>
                <w:rFonts w:ascii="Arial" w:hAnsi="Arial" w:cs="Arial"/>
                <w:b/>
                <w:i/>
                <w:iCs/>
                <w:color w:val="000000"/>
                <w:szCs w:val="22"/>
                <w:lang w:val="en-US"/>
              </w:rPr>
              <w:t>ratio</w:t>
            </w:r>
          </w:p>
        </w:tc>
        <w:tc>
          <w:tcPr>
            <w:tcW w:w="805" w:type="dxa"/>
            <w:tcBorders>
              <w:top w:val="single" w:sz="4" w:space="0" w:color="auto"/>
              <w:left w:val="nil"/>
              <w:bottom w:val="single" w:sz="4" w:space="0" w:color="auto"/>
              <w:right w:val="nil"/>
            </w:tcBorders>
            <w:noWrap/>
            <w:vAlign w:val="center"/>
          </w:tcPr>
          <w:p w14:paraId="5C463B3B" w14:textId="77777777" w:rsidR="003D1F7F" w:rsidRPr="00CB093C" w:rsidRDefault="003D1F7F" w:rsidP="001368E7">
            <w:pPr>
              <w:keepNext/>
              <w:spacing w:before="0" w:after="0"/>
              <w:jc w:val="center"/>
              <w:rPr>
                <w:rFonts w:ascii="Arial" w:hAnsi="Arial" w:cs="Arial"/>
                <w:b/>
                <w:i/>
                <w:iCs/>
                <w:color w:val="000000"/>
                <w:szCs w:val="22"/>
                <w:lang w:val="en-US"/>
              </w:rPr>
            </w:pPr>
            <w:r w:rsidRPr="00CB093C">
              <w:rPr>
                <w:rFonts w:ascii="Arial" w:hAnsi="Arial" w:cs="Arial"/>
                <w:b/>
                <w:i/>
                <w:iCs/>
                <w:color w:val="000000"/>
                <w:szCs w:val="22"/>
                <w:lang w:val="en-US"/>
              </w:rPr>
              <w:t>score</w:t>
            </w:r>
          </w:p>
        </w:tc>
        <w:tc>
          <w:tcPr>
            <w:tcW w:w="1368" w:type="dxa"/>
            <w:tcBorders>
              <w:top w:val="single" w:sz="4" w:space="0" w:color="auto"/>
              <w:left w:val="nil"/>
              <w:bottom w:val="single" w:sz="4" w:space="0" w:color="auto"/>
              <w:right w:val="nil"/>
            </w:tcBorders>
            <w:noWrap/>
            <w:vAlign w:val="center"/>
          </w:tcPr>
          <w:p w14:paraId="0D5B4118" w14:textId="77777777" w:rsidR="003D1F7F" w:rsidRPr="00CB093C" w:rsidRDefault="003D1F7F" w:rsidP="001368E7">
            <w:pPr>
              <w:keepNext/>
              <w:spacing w:before="0" w:after="0"/>
              <w:jc w:val="center"/>
              <w:rPr>
                <w:rFonts w:ascii="Arial" w:hAnsi="Arial" w:cs="Arial"/>
                <w:b/>
                <w:i/>
                <w:iCs/>
                <w:color w:val="000000"/>
                <w:szCs w:val="22"/>
                <w:lang w:val="en-US"/>
              </w:rPr>
            </w:pPr>
            <w:r w:rsidRPr="00CB093C">
              <w:rPr>
                <w:rFonts w:ascii="Arial" w:hAnsi="Arial" w:cs="Arial"/>
                <w:b/>
                <w:i/>
                <w:iCs/>
                <w:color w:val="000000"/>
                <w:szCs w:val="22"/>
                <w:lang w:val="en-US"/>
              </w:rPr>
              <w:t>0-100 score</w:t>
            </w:r>
          </w:p>
        </w:tc>
        <w:tc>
          <w:tcPr>
            <w:tcW w:w="1050" w:type="dxa"/>
            <w:tcBorders>
              <w:top w:val="single" w:sz="4" w:space="0" w:color="auto"/>
              <w:left w:val="nil"/>
              <w:bottom w:val="single" w:sz="4" w:space="0" w:color="auto"/>
              <w:right w:val="nil"/>
            </w:tcBorders>
            <w:noWrap/>
            <w:vAlign w:val="center"/>
          </w:tcPr>
          <w:p w14:paraId="00DCF676" w14:textId="77777777" w:rsidR="003D1F7F" w:rsidRPr="00CB093C" w:rsidRDefault="003D1F7F" w:rsidP="001368E7">
            <w:pPr>
              <w:keepNext/>
              <w:spacing w:before="0" w:after="0"/>
              <w:jc w:val="center"/>
              <w:rPr>
                <w:rFonts w:ascii="Arial" w:hAnsi="Arial" w:cs="Arial"/>
                <w:b/>
                <w:i/>
                <w:iCs/>
                <w:color w:val="000000"/>
                <w:szCs w:val="22"/>
                <w:lang w:val="en-US"/>
              </w:rPr>
            </w:pPr>
            <w:r w:rsidRPr="00CB093C">
              <w:rPr>
                <w:rFonts w:ascii="Arial" w:hAnsi="Arial" w:cs="Arial"/>
                <w:b/>
                <w:i/>
                <w:iCs/>
                <w:color w:val="000000"/>
                <w:szCs w:val="22"/>
                <w:lang w:val="en-US"/>
              </w:rPr>
              <w:t>status</w:t>
            </w:r>
          </w:p>
        </w:tc>
      </w:tr>
      <w:tr w:rsidR="003D1F7F" w:rsidRPr="00CB093C" w14:paraId="1B767BC6" w14:textId="77777777" w:rsidTr="001368E7">
        <w:trPr>
          <w:trHeight w:val="290"/>
          <w:jc w:val="center"/>
        </w:trPr>
        <w:tc>
          <w:tcPr>
            <w:tcW w:w="1337" w:type="dxa"/>
            <w:tcBorders>
              <w:top w:val="nil"/>
              <w:left w:val="nil"/>
              <w:bottom w:val="nil"/>
              <w:right w:val="nil"/>
            </w:tcBorders>
            <w:vAlign w:val="bottom"/>
          </w:tcPr>
          <w:p w14:paraId="506EC5C8"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very good</w:t>
            </w:r>
          </w:p>
        </w:tc>
        <w:tc>
          <w:tcPr>
            <w:tcW w:w="2953" w:type="dxa"/>
            <w:tcBorders>
              <w:top w:val="nil"/>
              <w:left w:val="nil"/>
              <w:bottom w:val="nil"/>
              <w:right w:val="nil"/>
            </w:tcBorders>
            <w:noWrap/>
            <w:vAlign w:val="bottom"/>
          </w:tcPr>
          <w:p w14:paraId="44A658EE"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≥4</w:t>
            </w:r>
          </w:p>
        </w:tc>
        <w:tc>
          <w:tcPr>
            <w:tcW w:w="766" w:type="dxa"/>
            <w:tcBorders>
              <w:top w:val="nil"/>
              <w:left w:val="nil"/>
              <w:bottom w:val="nil"/>
              <w:right w:val="nil"/>
            </w:tcBorders>
            <w:vAlign w:val="bottom"/>
          </w:tcPr>
          <w:p w14:paraId="3CAE830B"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4.0</w:t>
            </w:r>
          </w:p>
        </w:tc>
        <w:tc>
          <w:tcPr>
            <w:tcW w:w="805" w:type="dxa"/>
            <w:tcBorders>
              <w:top w:val="nil"/>
              <w:left w:val="nil"/>
              <w:bottom w:val="nil"/>
              <w:right w:val="nil"/>
            </w:tcBorders>
            <w:noWrap/>
            <w:vAlign w:val="bottom"/>
          </w:tcPr>
          <w:p w14:paraId="0DE61C02"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4</w:t>
            </w:r>
          </w:p>
        </w:tc>
        <w:tc>
          <w:tcPr>
            <w:tcW w:w="1368" w:type="dxa"/>
            <w:tcBorders>
              <w:top w:val="nil"/>
              <w:left w:val="nil"/>
              <w:bottom w:val="nil"/>
              <w:right w:val="nil"/>
            </w:tcBorders>
            <w:noWrap/>
            <w:vAlign w:val="bottom"/>
          </w:tcPr>
          <w:p w14:paraId="4FCD387D"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100</w:t>
            </w:r>
          </w:p>
        </w:tc>
        <w:tc>
          <w:tcPr>
            <w:tcW w:w="1050" w:type="dxa"/>
            <w:tcBorders>
              <w:top w:val="nil"/>
              <w:left w:val="nil"/>
              <w:bottom w:val="nil"/>
              <w:right w:val="nil"/>
            </w:tcBorders>
            <w:shd w:val="clear" w:color="auto" w:fill="008000"/>
            <w:noWrap/>
            <w:vAlign w:val="bottom"/>
          </w:tcPr>
          <w:p w14:paraId="0EFD035B" w14:textId="77777777" w:rsidR="003D1F7F" w:rsidRPr="00CB093C" w:rsidRDefault="002605DA"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81</w:t>
            </w:r>
            <w:r w:rsidR="003D1F7F" w:rsidRPr="00CB093C">
              <w:rPr>
                <w:rFonts w:ascii="Arial" w:hAnsi="Arial" w:cs="Arial"/>
                <w:color w:val="000000"/>
                <w:szCs w:val="22"/>
                <w:lang w:eastAsia="en-AU"/>
              </w:rPr>
              <w:t xml:space="preserve"> - 100</w:t>
            </w:r>
          </w:p>
        </w:tc>
      </w:tr>
      <w:tr w:rsidR="003D1F7F" w:rsidRPr="00CB093C" w14:paraId="1196C809" w14:textId="77777777" w:rsidTr="001368E7">
        <w:trPr>
          <w:trHeight w:val="290"/>
          <w:jc w:val="center"/>
        </w:trPr>
        <w:tc>
          <w:tcPr>
            <w:tcW w:w="1337" w:type="dxa"/>
            <w:tcBorders>
              <w:top w:val="nil"/>
              <w:left w:val="nil"/>
              <w:bottom w:val="nil"/>
              <w:right w:val="nil"/>
            </w:tcBorders>
            <w:vAlign w:val="bottom"/>
          </w:tcPr>
          <w:p w14:paraId="2B7719DF"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good</w:t>
            </w:r>
          </w:p>
        </w:tc>
        <w:tc>
          <w:tcPr>
            <w:tcW w:w="2953" w:type="dxa"/>
            <w:tcBorders>
              <w:top w:val="nil"/>
              <w:left w:val="nil"/>
              <w:bottom w:val="nil"/>
              <w:right w:val="nil"/>
            </w:tcBorders>
            <w:noWrap/>
            <w:vAlign w:val="bottom"/>
          </w:tcPr>
          <w:p w14:paraId="132849AB"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2 to &lt;4</w:t>
            </w:r>
          </w:p>
        </w:tc>
        <w:tc>
          <w:tcPr>
            <w:tcW w:w="766" w:type="dxa"/>
            <w:tcBorders>
              <w:top w:val="nil"/>
              <w:left w:val="nil"/>
              <w:bottom w:val="nil"/>
              <w:right w:val="nil"/>
            </w:tcBorders>
            <w:vAlign w:val="bottom"/>
          </w:tcPr>
          <w:p w14:paraId="0B9EEDCE"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2.0</w:t>
            </w:r>
          </w:p>
        </w:tc>
        <w:tc>
          <w:tcPr>
            <w:tcW w:w="805" w:type="dxa"/>
            <w:tcBorders>
              <w:top w:val="nil"/>
              <w:left w:val="nil"/>
              <w:bottom w:val="nil"/>
              <w:right w:val="nil"/>
            </w:tcBorders>
            <w:noWrap/>
            <w:vAlign w:val="bottom"/>
          </w:tcPr>
          <w:p w14:paraId="6B15B2A7"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3</w:t>
            </w:r>
          </w:p>
        </w:tc>
        <w:tc>
          <w:tcPr>
            <w:tcW w:w="1368" w:type="dxa"/>
            <w:tcBorders>
              <w:top w:val="nil"/>
              <w:left w:val="nil"/>
              <w:bottom w:val="nil"/>
              <w:right w:val="nil"/>
            </w:tcBorders>
            <w:noWrap/>
            <w:vAlign w:val="bottom"/>
          </w:tcPr>
          <w:p w14:paraId="3A73A110"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75</w:t>
            </w:r>
          </w:p>
        </w:tc>
        <w:tc>
          <w:tcPr>
            <w:tcW w:w="1050" w:type="dxa"/>
            <w:tcBorders>
              <w:top w:val="nil"/>
              <w:left w:val="nil"/>
              <w:bottom w:val="nil"/>
              <w:right w:val="nil"/>
            </w:tcBorders>
            <w:shd w:val="clear" w:color="auto" w:fill="92D050"/>
            <w:noWrap/>
            <w:vAlign w:val="bottom"/>
          </w:tcPr>
          <w:p w14:paraId="00F6A7FA" w14:textId="77777777" w:rsidR="003D1F7F" w:rsidRPr="00CB093C" w:rsidRDefault="003D1F7F"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6</w:t>
            </w:r>
            <w:r w:rsidR="002605DA" w:rsidRPr="00CB093C">
              <w:rPr>
                <w:rFonts w:ascii="Arial" w:hAnsi="Arial" w:cs="Arial"/>
                <w:color w:val="000000"/>
                <w:szCs w:val="22"/>
                <w:lang w:eastAsia="en-AU"/>
              </w:rPr>
              <w:t xml:space="preserve">1 - </w:t>
            </w:r>
            <w:r w:rsidRPr="00CB093C">
              <w:rPr>
                <w:rFonts w:ascii="Arial" w:hAnsi="Arial" w:cs="Arial"/>
                <w:color w:val="000000"/>
                <w:szCs w:val="22"/>
                <w:lang w:eastAsia="en-AU"/>
              </w:rPr>
              <w:t>80</w:t>
            </w:r>
          </w:p>
        </w:tc>
      </w:tr>
      <w:tr w:rsidR="003D1F7F" w:rsidRPr="00CB093C" w14:paraId="294C43B5" w14:textId="77777777" w:rsidTr="001368E7">
        <w:trPr>
          <w:trHeight w:val="290"/>
          <w:jc w:val="center"/>
        </w:trPr>
        <w:tc>
          <w:tcPr>
            <w:tcW w:w="1337" w:type="dxa"/>
            <w:tcBorders>
              <w:top w:val="nil"/>
              <w:left w:val="nil"/>
              <w:bottom w:val="nil"/>
              <w:right w:val="nil"/>
            </w:tcBorders>
            <w:vAlign w:val="bottom"/>
          </w:tcPr>
          <w:p w14:paraId="6084CD2C"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moderate</w:t>
            </w:r>
          </w:p>
        </w:tc>
        <w:tc>
          <w:tcPr>
            <w:tcW w:w="2953" w:type="dxa"/>
            <w:tcBorders>
              <w:top w:val="nil"/>
              <w:left w:val="nil"/>
              <w:bottom w:val="nil"/>
              <w:right w:val="nil"/>
            </w:tcBorders>
            <w:noWrap/>
            <w:vAlign w:val="bottom"/>
          </w:tcPr>
          <w:p w14:paraId="61BFF666"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1 to &lt;2</w:t>
            </w:r>
          </w:p>
        </w:tc>
        <w:tc>
          <w:tcPr>
            <w:tcW w:w="766" w:type="dxa"/>
            <w:tcBorders>
              <w:top w:val="nil"/>
              <w:left w:val="nil"/>
              <w:bottom w:val="nil"/>
              <w:right w:val="nil"/>
            </w:tcBorders>
            <w:vAlign w:val="bottom"/>
          </w:tcPr>
          <w:p w14:paraId="1C5C8E4F"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1.0</w:t>
            </w:r>
          </w:p>
        </w:tc>
        <w:tc>
          <w:tcPr>
            <w:tcW w:w="805" w:type="dxa"/>
            <w:tcBorders>
              <w:top w:val="nil"/>
              <w:left w:val="nil"/>
              <w:bottom w:val="nil"/>
              <w:right w:val="nil"/>
            </w:tcBorders>
            <w:noWrap/>
            <w:vAlign w:val="bottom"/>
          </w:tcPr>
          <w:p w14:paraId="25CC2BB7"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2</w:t>
            </w:r>
          </w:p>
        </w:tc>
        <w:tc>
          <w:tcPr>
            <w:tcW w:w="1368" w:type="dxa"/>
            <w:tcBorders>
              <w:top w:val="nil"/>
              <w:left w:val="nil"/>
              <w:bottom w:val="nil"/>
              <w:right w:val="nil"/>
            </w:tcBorders>
            <w:noWrap/>
            <w:vAlign w:val="bottom"/>
          </w:tcPr>
          <w:p w14:paraId="24B5DC1B"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50</w:t>
            </w:r>
          </w:p>
        </w:tc>
        <w:tc>
          <w:tcPr>
            <w:tcW w:w="1050" w:type="dxa"/>
            <w:tcBorders>
              <w:top w:val="nil"/>
              <w:left w:val="nil"/>
              <w:bottom w:val="nil"/>
              <w:right w:val="nil"/>
            </w:tcBorders>
            <w:shd w:val="clear" w:color="auto" w:fill="FFFF00"/>
            <w:noWrap/>
            <w:vAlign w:val="bottom"/>
          </w:tcPr>
          <w:p w14:paraId="6FC9BC5E" w14:textId="77777777" w:rsidR="003D1F7F" w:rsidRPr="00CB093C" w:rsidRDefault="002605DA"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41</w:t>
            </w:r>
            <w:r w:rsidR="003D1F7F" w:rsidRPr="00CB093C">
              <w:rPr>
                <w:rFonts w:ascii="Arial" w:hAnsi="Arial" w:cs="Arial"/>
                <w:color w:val="000000"/>
                <w:szCs w:val="22"/>
                <w:lang w:eastAsia="en-AU"/>
              </w:rPr>
              <w:t xml:space="preserve"> - 60</w:t>
            </w:r>
          </w:p>
        </w:tc>
      </w:tr>
      <w:tr w:rsidR="003D1F7F" w:rsidRPr="00CB093C" w14:paraId="7DF0CE27" w14:textId="77777777" w:rsidTr="001368E7">
        <w:trPr>
          <w:trHeight w:val="290"/>
          <w:jc w:val="center"/>
        </w:trPr>
        <w:tc>
          <w:tcPr>
            <w:tcW w:w="1337" w:type="dxa"/>
            <w:tcBorders>
              <w:top w:val="nil"/>
              <w:left w:val="nil"/>
              <w:right w:val="nil"/>
            </w:tcBorders>
            <w:vAlign w:val="bottom"/>
          </w:tcPr>
          <w:p w14:paraId="6DCE3D69"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poor</w:t>
            </w:r>
          </w:p>
        </w:tc>
        <w:tc>
          <w:tcPr>
            <w:tcW w:w="2953" w:type="dxa"/>
            <w:tcBorders>
              <w:top w:val="nil"/>
              <w:left w:val="nil"/>
              <w:right w:val="nil"/>
            </w:tcBorders>
            <w:noWrap/>
            <w:vAlign w:val="bottom"/>
          </w:tcPr>
          <w:p w14:paraId="1C16CA00"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0.5 to &lt;1</w:t>
            </w:r>
          </w:p>
        </w:tc>
        <w:tc>
          <w:tcPr>
            <w:tcW w:w="766" w:type="dxa"/>
            <w:tcBorders>
              <w:top w:val="nil"/>
              <w:left w:val="nil"/>
              <w:right w:val="nil"/>
            </w:tcBorders>
            <w:vAlign w:val="bottom"/>
          </w:tcPr>
          <w:p w14:paraId="3150285C"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0.5</w:t>
            </w:r>
          </w:p>
        </w:tc>
        <w:tc>
          <w:tcPr>
            <w:tcW w:w="805" w:type="dxa"/>
            <w:tcBorders>
              <w:top w:val="nil"/>
              <w:left w:val="nil"/>
              <w:right w:val="nil"/>
            </w:tcBorders>
            <w:noWrap/>
            <w:vAlign w:val="bottom"/>
          </w:tcPr>
          <w:p w14:paraId="6B291A66"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1</w:t>
            </w:r>
          </w:p>
        </w:tc>
        <w:tc>
          <w:tcPr>
            <w:tcW w:w="1368" w:type="dxa"/>
            <w:tcBorders>
              <w:top w:val="nil"/>
              <w:left w:val="nil"/>
              <w:right w:val="nil"/>
            </w:tcBorders>
            <w:noWrap/>
            <w:vAlign w:val="bottom"/>
          </w:tcPr>
          <w:p w14:paraId="22E6B81D"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25</w:t>
            </w:r>
          </w:p>
        </w:tc>
        <w:tc>
          <w:tcPr>
            <w:tcW w:w="1050" w:type="dxa"/>
            <w:tcBorders>
              <w:top w:val="nil"/>
              <w:left w:val="nil"/>
              <w:right w:val="nil"/>
            </w:tcBorders>
            <w:shd w:val="clear" w:color="auto" w:fill="FFC000"/>
            <w:noWrap/>
            <w:vAlign w:val="bottom"/>
          </w:tcPr>
          <w:p w14:paraId="0831EA29" w14:textId="77777777" w:rsidR="003D1F7F" w:rsidRPr="00CB093C" w:rsidRDefault="002605DA"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21</w:t>
            </w:r>
            <w:r w:rsidR="003D1F7F" w:rsidRPr="00CB093C">
              <w:rPr>
                <w:rFonts w:ascii="Arial" w:hAnsi="Arial" w:cs="Arial"/>
                <w:color w:val="000000"/>
                <w:szCs w:val="22"/>
                <w:lang w:eastAsia="en-AU"/>
              </w:rPr>
              <w:t xml:space="preserve"> - 40</w:t>
            </w:r>
          </w:p>
        </w:tc>
      </w:tr>
      <w:tr w:rsidR="003D1F7F" w:rsidRPr="00CB093C" w14:paraId="660090A3" w14:textId="77777777" w:rsidTr="001368E7">
        <w:trPr>
          <w:trHeight w:val="290"/>
          <w:jc w:val="center"/>
        </w:trPr>
        <w:tc>
          <w:tcPr>
            <w:tcW w:w="1337" w:type="dxa"/>
            <w:tcBorders>
              <w:top w:val="nil"/>
              <w:left w:val="nil"/>
              <w:bottom w:val="single" w:sz="4" w:space="0" w:color="auto"/>
              <w:right w:val="nil"/>
            </w:tcBorders>
            <w:vAlign w:val="bottom"/>
          </w:tcPr>
          <w:p w14:paraId="1A21B544" w14:textId="77777777" w:rsidR="003D1F7F" w:rsidRPr="00CB093C" w:rsidRDefault="003D1F7F" w:rsidP="001368E7">
            <w:pPr>
              <w:spacing w:before="0" w:after="0"/>
              <w:rPr>
                <w:rFonts w:ascii="Arial" w:hAnsi="Arial" w:cs="Arial"/>
                <w:i/>
                <w:iCs/>
                <w:color w:val="000000"/>
                <w:szCs w:val="22"/>
                <w:lang w:eastAsia="en-AU"/>
              </w:rPr>
            </w:pPr>
            <w:r w:rsidRPr="00CB093C">
              <w:rPr>
                <w:rFonts w:ascii="Arial" w:hAnsi="Arial" w:cs="Arial"/>
                <w:i/>
                <w:iCs/>
                <w:color w:val="000000"/>
                <w:szCs w:val="22"/>
                <w:lang w:eastAsia="en-AU"/>
              </w:rPr>
              <w:t>very poor</w:t>
            </w:r>
          </w:p>
        </w:tc>
        <w:tc>
          <w:tcPr>
            <w:tcW w:w="2953" w:type="dxa"/>
            <w:tcBorders>
              <w:top w:val="nil"/>
              <w:left w:val="nil"/>
              <w:bottom w:val="single" w:sz="4" w:space="0" w:color="auto"/>
              <w:right w:val="nil"/>
            </w:tcBorders>
            <w:noWrap/>
            <w:vAlign w:val="bottom"/>
          </w:tcPr>
          <w:p w14:paraId="1A33B85D"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&lt;0.5</w:t>
            </w:r>
          </w:p>
        </w:tc>
        <w:tc>
          <w:tcPr>
            <w:tcW w:w="766" w:type="dxa"/>
            <w:tcBorders>
              <w:top w:val="nil"/>
              <w:left w:val="nil"/>
              <w:bottom w:val="single" w:sz="4" w:space="0" w:color="auto"/>
              <w:right w:val="nil"/>
            </w:tcBorders>
            <w:vAlign w:val="bottom"/>
          </w:tcPr>
          <w:p w14:paraId="4D348646"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0.0</w:t>
            </w:r>
          </w:p>
        </w:tc>
        <w:tc>
          <w:tcPr>
            <w:tcW w:w="805" w:type="dxa"/>
            <w:tcBorders>
              <w:top w:val="nil"/>
              <w:left w:val="nil"/>
              <w:bottom w:val="single" w:sz="4" w:space="0" w:color="auto"/>
              <w:right w:val="nil"/>
            </w:tcBorders>
            <w:noWrap/>
            <w:vAlign w:val="bottom"/>
          </w:tcPr>
          <w:p w14:paraId="731017FF"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0</w:t>
            </w:r>
          </w:p>
        </w:tc>
        <w:tc>
          <w:tcPr>
            <w:tcW w:w="1368" w:type="dxa"/>
            <w:tcBorders>
              <w:top w:val="nil"/>
              <w:left w:val="nil"/>
              <w:bottom w:val="single" w:sz="4" w:space="0" w:color="auto"/>
              <w:right w:val="nil"/>
            </w:tcBorders>
            <w:noWrap/>
            <w:vAlign w:val="bottom"/>
          </w:tcPr>
          <w:p w14:paraId="4B759968" w14:textId="77777777" w:rsidR="003D1F7F" w:rsidRPr="00CB093C" w:rsidRDefault="003D1F7F"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0</w:t>
            </w:r>
          </w:p>
        </w:tc>
        <w:tc>
          <w:tcPr>
            <w:tcW w:w="1050" w:type="dxa"/>
            <w:tcBorders>
              <w:top w:val="nil"/>
              <w:left w:val="nil"/>
              <w:bottom w:val="single" w:sz="4" w:space="0" w:color="auto"/>
              <w:right w:val="nil"/>
            </w:tcBorders>
            <w:shd w:val="clear" w:color="auto" w:fill="FF0000"/>
            <w:noWrap/>
            <w:vAlign w:val="bottom"/>
          </w:tcPr>
          <w:p w14:paraId="798B09B6" w14:textId="77777777" w:rsidR="003D1F7F" w:rsidRPr="00CB093C" w:rsidRDefault="002605DA"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 xml:space="preserve">0 - </w:t>
            </w:r>
            <w:r w:rsidR="003D1F7F" w:rsidRPr="00CB093C">
              <w:rPr>
                <w:rFonts w:ascii="Arial" w:hAnsi="Arial" w:cs="Arial"/>
                <w:color w:val="000000"/>
                <w:szCs w:val="22"/>
                <w:lang w:eastAsia="en-AU"/>
              </w:rPr>
              <w:t>20</w:t>
            </w:r>
          </w:p>
        </w:tc>
      </w:tr>
    </w:tbl>
    <w:p w14:paraId="45519BC7" w14:textId="77777777" w:rsidR="000E742F" w:rsidRPr="00CB093C" w:rsidRDefault="000E742F" w:rsidP="000E742F">
      <w:pPr>
        <w:rPr>
          <w:rFonts w:ascii="Arial" w:hAnsi="Arial" w:cs="Arial"/>
          <w:szCs w:val="22"/>
        </w:rPr>
      </w:pPr>
      <w:bookmarkStart w:id="117" w:name="_Toc184101957"/>
      <w:bookmarkStart w:id="118" w:name="_Toc381027993"/>
    </w:p>
    <w:p w14:paraId="3EB9B16E" w14:textId="77777777" w:rsidR="003D1F7F" w:rsidRPr="00CB093C" w:rsidRDefault="003D1F7F" w:rsidP="00AD06D4">
      <w:pPr>
        <w:pStyle w:val="Heading3"/>
        <w:numPr>
          <w:ilvl w:val="2"/>
          <w:numId w:val="4"/>
        </w:numPr>
        <w:rPr>
          <w:rFonts w:ascii="Arial" w:hAnsi="Arial" w:cs="Arial"/>
          <w:sz w:val="22"/>
          <w:szCs w:val="22"/>
        </w:rPr>
      </w:pPr>
      <w:bookmarkStart w:id="119" w:name="_Toc11394705"/>
      <w:r w:rsidRPr="00CB093C">
        <w:rPr>
          <w:rFonts w:ascii="Arial" w:hAnsi="Arial" w:cs="Arial"/>
          <w:sz w:val="22"/>
          <w:szCs w:val="22"/>
        </w:rPr>
        <w:t>Seagrass nutrient status.</w:t>
      </w:r>
      <w:bookmarkEnd w:id="117"/>
      <w:bookmarkEnd w:id="118"/>
      <w:bookmarkEnd w:id="119"/>
    </w:p>
    <w:p w14:paraId="436E104A" w14:textId="2FB5C69A" w:rsidR="003F2B07" w:rsidRPr="00CB093C" w:rsidRDefault="00861826" w:rsidP="0064459D">
      <w:pPr>
        <w:rPr>
          <w:rFonts w:ascii="Arial" w:hAnsi="Arial" w:cs="Arial"/>
          <w:szCs w:val="22"/>
        </w:rPr>
      </w:pPr>
      <w:r w:rsidRPr="00CB093C">
        <w:rPr>
          <w:rFonts w:ascii="Arial" w:hAnsi="Arial" w:cs="Arial"/>
          <w:szCs w:val="22"/>
        </w:rPr>
        <w:t xml:space="preserve">Tissue nutrient content </w:t>
      </w:r>
      <w:r w:rsidR="00BC4AFB" w:rsidRPr="00CB093C">
        <w:rPr>
          <w:rFonts w:ascii="Arial" w:hAnsi="Arial" w:cs="Arial"/>
          <w:szCs w:val="22"/>
        </w:rPr>
        <w:t xml:space="preserve">of seagrass leaves </w:t>
      </w:r>
      <w:r w:rsidRPr="00CB093C">
        <w:rPr>
          <w:rFonts w:ascii="Arial" w:hAnsi="Arial" w:cs="Arial"/>
          <w:szCs w:val="22"/>
        </w:rPr>
        <w:t xml:space="preserve">including carbon (C), nitrogen (N) and phosphorus (P) </w:t>
      </w:r>
      <w:r w:rsidR="00BC4AFB" w:rsidRPr="00CB093C">
        <w:rPr>
          <w:rFonts w:ascii="Arial" w:hAnsi="Arial" w:cs="Arial"/>
          <w:szCs w:val="22"/>
        </w:rPr>
        <w:t xml:space="preserve">were measured </w:t>
      </w:r>
      <w:r w:rsidR="009E0200" w:rsidRPr="00CB093C">
        <w:rPr>
          <w:rFonts w:ascii="Arial" w:hAnsi="Arial" w:cs="Arial"/>
          <w:szCs w:val="22"/>
        </w:rPr>
        <w:t>annually</w:t>
      </w:r>
      <w:r w:rsidR="00BC4AFB" w:rsidRPr="00CB093C">
        <w:rPr>
          <w:rFonts w:ascii="Arial" w:hAnsi="Arial" w:cs="Arial"/>
          <w:szCs w:val="22"/>
        </w:rPr>
        <w:t xml:space="preserve">. </w:t>
      </w:r>
      <w:r w:rsidRPr="00CB093C">
        <w:rPr>
          <w:rFonts w:ascii="Arial" w:hAnsi="Arial" w:cs="Arial"/>
          <w:szCs w:val="22"/>
        </w:rPr>
        <w:t xml:space="preserve">The absolute tissue nutrient concentrations (%C, %N </w:t>
      </w:r>
      <w:r w:rsidR="00E03E9F" w:rsidRPr="00CB093C">
        <w:rPr>
          <w:rFonts w:ascii="Arial" w:hAnsi="Arial" w:cs="Arial"/>
          <w:szCs w:val="22"/>
        </w:rPr>
        <w:t>and</w:t>
      </w:r>
      <w:r w:rsidRPr="00CB093C">
        <w:rPr>
          <w:rFonts w:ascii="Arial" w:hAnsi="Arial" w:cs="Arial"/>
          <w:szCs w:val="22"/>
        </w:rPr>
        <w:t xml:space="preserve"> %P) are used to calculate </w:t>
      </w:r>
      <w:r w:rsidR="00BC4AFB" w:rsidRPr="00CB093C">
        <w:rPr>
          <w:rFonts w:ascii="Arial" w:hAnsi="Arial" w:cs="Arial"/>
          <w:szCs w:val="22"/>
        </w:rPr>
        <w:t>the atomic ratio</w:t>
      </w:r>
      <w:r w:rsidRPr="00CB093C">
        <w:rPr>
          <w:rFonts w:ascii="Arial" w:hAnsi="Arial" w:cs="Arial"/>
          <w:szCs w:val="22"/>
        </w:rPr>
        <w:t xml:space="preserve"> of nutrients in seagrass leaves</w:t>
      </w:r>
      <w:r w:rsidR="003E508F" w:rsidRPr="00CB093C">
        <w:rPr>
          <w:rFonts w:ascii="Arial" w:hAnsi="Arial" w:cs="Arial"/>
          <w:szCs w:val="22"/>
        </w:rPr>
        <w:t xml:space="preserve"> (see </w:t>
      </w:r>
      <w:r w:rsidR="003E508F" w:rsidRPr="00CB093C">
        <w:rPr>
          <w:rFonts w:ascii="Arial" w:hAnsi="Arial" w:cs="Arial"/>
          <w:szCs w:val="22"/>
        </w:rPr>
        <w:fldChar w:fldCharType="begin"/>
      </w:r>
      <w:r w:rsidR="003E508F" w:rsidRPr="00CB093C">
        <w:rPr>
          <w:rFonts w:ascii="Arial" w:hAnsi="Arial" w:cs="Arial"/>
          <w:szCs w:val="22"/>
        </w:rPr>
        <w:instrText xml:space="preserve"> REF _Ref511380752 \r \h </w:instrText>
      </w:r>
      <w:r w:rsidR="00CB093C" w:rsidRPr="00CB093C">
        <w:rPr>
          <w:rFonts w:ascii="Arial" w:hAnsi="Arial" w:cs="Arial"/>
          <w:szCs w:val="22"/>
        </w:rPr>
        <w:instrText xml:space="preserve"> \* MERGEFORMAT </w:instrText>
      </w:r>
      <w:r w:rsidR="003E508F" w:rsidRPr="00CB093C">
        <w:rPr>
          <w:rFonts w:ascii="Arial" w:hAnsi="Arial" w:cs="Arial"/>
          <w:szCs w:val="22"/>
        </w:rPr>
      </w:r>
      <w:r w:rsidR="003E508F" w:rsidRPr="00CB093C">
        <w:rPr>
          <w:rFonts w:ascii="Arial" w:hAnsi="Arial" w:cs="Arial"/>
          <w:szCs w:val="22"/>
        </w:rPr>
        <w:fldChar w:fldCharType="separate"/>
      </w:r>
      <w:r w:rsidR="005F00D4">
        <w:rPr>
          <w:rFonts w:ascii="Arial" w:hAnsi="Arial" w:cs="Arial"/>
          <w:szCs w:val="22"/>
        </w:rPr>
        <w:t>Appendix 2</w:t>
      </w:r>
      <w:r w:rsidR="003E508F" w:rsidRPr="00CB093C">
        <w:rPr>
          <w:rFonts w:ascii="Arial" w:hAnsi="Arial" w:cs="Arial"/>
          <w:szCs w:val="22"/>
        </w:rPr>
        <w:fldChar w:fldCharType="end"/>
      </w:r>
      <w:r w:rsidR="003E508F" w:rsidRPr="00CB093C">
        <w:rPr>
          <w:rFonts w:ascii="Arial" w:hAnsi="Arial" w:cs="Arial"/>
          <w:szCs w:val="22"/>
        </w:rPr>
        <w:t>)</w:t>
      </w:r>
      <w:r w:rsidRPr="00CB093C">
        <w:rPr>
          <w:rFonts w:ascii="Arial" w:hAnsi="Arial" w:cs="Arial"/>
          <w:szCs w:val="22"/>
        </w:rPr>
        <w:t xml:space="preserve">. </w:t>
      </w:r>
    </w:p>
    <w:p w14:paraId="2436A510" w14:textId="7B3343F3" w:rsidR="003F2B07" w:rsidRPr="00CB093C" w:rsidRDefault="00861826" w:rsidP="0064459D">
      <w:pPr>
        <w:rPr>
          <w:rFonts w:ascii="Arial" w:hAnsi="Arial" w:cs="Arial"/>
          <w:szCs w:val="22"/>
        </w:rPr>
      </w:pPr>
      <w:r w:rsidRPr="00CB093C">
        <w:rPr>
          <w:rFonts w:ascii="Arial" w:hAnsi="Arial" w:cs="Arial"/>
          <w:szCs w:val="22"/>
        </w:rPr>
        <w:t>The C:N ratio</w:t>
      </w:r>
      <w:r w:rsidR="00BC4AFB" w:rsidRPr="00CB093C">
        <w:rPr>
          <w:rFonts w:ascii="Arial" w:hAnsi="Arial" w:cs="Arial"/>
          <w:szCs w:val="22"/>
        </w:rPr>
        <w:t xml:space="preserve"> was cho</w:t>
      </w:r>
      <w:r w:rsidRPr="00CB093C">
        <w:rPr>
          <w:rFonts w:ascii="Arial" w:hAnsi="Arial" w:cs="Arial"/>
          <w:szCs w:val="22"/>
        </w:rPr>
        <w:t xml:space="preserve">sen for the purpose of the report card </w:t>
      </w:r>
      <w:r w:rsidR="00BC4AFB" w:rsidRPr="00CB093C">
        <w:rPr>
          <w:rFonts w:ascii="Arial" w:hAnsi="Arial" w:cs="Arial"/>
          <w:szCs w:val="22"/>
        </w:rPr>
        <w:t xml:space="preserve">score </w:t>
      </w:r>
      <w:r w:rsidRPr="00CB093C">
        <w:rPr>
          <w:rFonts w:ascii="Arial" w:hAnsi="Arial" w:cs="Arial"/>
          <w:szCs w:val="22"/>
        </w:rPr>
        <w:t xml:space="preserve">as it is the ratio </w:t>
      </w:r>
      <w:r w:rsidR="00CD3DA9" w:rsidRPr="00CB093C">
        <w:rPr>
          <w:rFonts w:ascii="Arial" w:hAnsi="Arial" w:cs="Arial"/>
          <w:szCs w:val="22"/>
        </w:rPr>
        <w:t>that</w:t>
      </w:r>
      <w:r w:rsidR="00CA6696" w:rsidRPr="00CB093C">
        <w:rPr>
          <w:rFonts w:ascii="Arial" w:hAnsi="Arial" w:cs="Arial"/>
          <w:szCs w:val="22"/>
        </w:rPr>
        <w:t xml:space="preserve"> indicates </w:t>
      </w:r>
      <w:r w:rsidRPr="00CB093C">
        <w:rPr>
          <w:rFonts w:ascii="Arial" w:hAnsi="Arial" w:cs="Arial"/>
          <w:szCs w:val="22"/>
        </w:rPr>
        <w:t xml:space="preserve">a change in either light or nitrogen availability at the meadow scale. C:N ratios were compared to a </w:t>
      </w:r>
      <w:r w:rsidR="00BC4AFB" w:rsidRPr="00CB093C">
        <w:rPr>
          <w:rFonts w:ascii="Arial" w:hAnsi="Arial" w:cs="Arial"/>
          <w:szCs w:val="22"/>
        </w:rPr>
        <w:t>global average</w:t>
      </w:r>
      <w:r w:rsidRPr="00CB093C">
        <w:rPr>
          <w:rFonts w:ascii="Arial" w:hAnsi="Arial" w:cs="Arial"/>
          <w:szCs w:val="22"/>
        </w:rPr>
        <w:t xml:space="preserve"> value of 20:1 (</w:t>
      </w:r>
      <w:r w:rsidRPr="00CB093C">
        <w:rPr>
          <w:rFonts w:ascii="Arial" w:hAnsi="Arial" w:cs="Arial"/>
          <w:szCs w:val="22"/>
        </w:rPr>
        <w:fldChar w:fldCharType="begin"/>
      </w:r>
      <w:r w:rsidR="00B63A1C" w:rsidRPr="00CB093C">
        <w:rPr>
          <w:rFonts w:ascii="Arial" w:hAnsi="Arial" w:cs="Arial"/>
          <w:szCs w:val="22"/>
        </w:rPr>
        <w:instrText xml:space="preserve"> ADDIN EN.CITE &lt;EndNote&gt;&lt;Cite&gt;&lt;Author&gt;Fourqurean&lt;/Author&gt;&lt;Year&gt;1992&lt;/Year&gt;&lt;RecNum&gt;9493&lt;/RecNum&gt;&lt;DisplayText&gt;Atkinson and Smith 1983; Fourqurean&lt;style face="italic"&gt; et al.&lt;/style&gt; 1992&lt;/DisplayText&gt;&lt;record&gt;&lt;rec-number&gt;9493&lt;/rec-number&gt;&lt;foreign-keys&gt;&lt;key app="EN" db-id="0eve55x9y5vfd6e9dacxtew4eatve2dzds9a" timestamp="1375843048"&gt;9493&lt;/key&gt;&lt;/foreign-keys&gt;&lt;ref-type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Pr="00CB093C">
        <w:rPr>
          <w:rFonts w:ascii="Arial" w:hAnsi="Arial" w:cs="Arial"/>
          <w:szCs w:val="22"/>
        </w:rPr>
        <w:fldChar w:fldCharType="separate"/>
      </w:r>
      <w:hyperlink w:anchor="_ENREF_6" w:tooltip="Atkinson, 1983 #6292" w:history="1">
        <w:r w:rsidR="00513C39" w:rsidRPr="00CB093C">
          <w:rPr>
            <w:rFonts w:ascii="Arial" w:hAnsi="Arial" w:cs="Arial"/>
            <w:noProof/>
            <w:szCs w:val="22"/>
          </w:rPr>
          <w:t>Atkinson and Smith 1983</w:t>
        </w:r>
      </w:hyperlink>
      <w:r w:rsidR="00B63A1C" w:rsidRPr="00CB093C">
        <w:rPr>
          <w:rFonts w:ascii="Arial" w:hAnsi="Arial" w:cs="Arial"/>
          <w:noProof/>
          <w:szCs w:val="22"/>
        </w:rPr>
        <w:t xml:space="preserve">; </w:t>
      </w:r>
      <w:hyperlink w:anchor="_ENREF_56" w:tooltip="Fourqurean, 1992 #9493" w:history="1">
        <w:r w:rsidR="00513C39" w:rsidRPr="00CB093C">
          <w:rPr>
            <w:rFonts w:ascii="Arial" w:hAnsi="Arial" w:cs="Arial"/>
            <w:noProof/>
            <w:szCs w:val="22"/>
          </w:rPr>
          <w:t>Fourqurean</w:t>
        </w:r>
        <w:r w:rsidR="00513C39" w:rsidRPr="00CB093C">
          <w:rPr>
            <w:rFonts w:ascii="Arial" w:hAnsi="Arial" w:cs="Arial"/>
            <w:i/>
            <w:noProof/>
            <w:szCs w:val="22"/>
          </w:rPr>
          <w:t xml:space="preserve"> et al.</w:t>
        </w:r>
        <w:r w:rsidR="00513C39" w:rsidRPr="00CB093C">
          <w:rPr>
            <w:rFonts w:ascii="Arial" w:hAnsi="Arial" w:cs="Arial"/>
            <w:noProof/>
            <w:szCs w:val="22"/>
          </w:rPr>
          <w:t xml:space="preserve"> 1992</w:t>
        </w:r>
      </w:hyperlink>
      <w:r w:rsidRPr="00CB093C">
        <w:rPr>
          <w:rFonts w:ascii="Arial" w:hAnsi="Arial" w:cs="Arial"/>
          <w:szCs w:val="22"/>
        </w:rPr>
        <w:fldChar w:fldCharType="end"/>
      </w:r>
      <w:r w:rsidRPr="00CB093C">
        <w:rPr>
          <w:rFonts w:ascii="Arial" w:hAnsi="Arial" w:cs="Arial"/>
          <w:szCs w:val="22"/>
        </w:rPr>
        <w:t>), with values less than 20:1 indicating either reduced light or excess N is available to the seagrass. Values higher than 20:1 suggest light saturation and low nitrogen availabi</w:t>
      </w:r>
      <w:r w:rsidR="00F26FBD" w:rsidRPr="00CB093C">
        <w:rPr>
          <w:rFonts w:ascii="Arial" w:hAnsi="Arial" w:cs="Arial"/>
          <w:szCs w:val="22"/>
        </w:rPr>
        <w:t>li</w:t>
      </w:r>
      <w:r w:rsidRPr="00CB093C">
        <w:rPr>
          <w:rFonts w:ascii="Arial" w:hAnsi="Arial" w:cs="Arial"/>
          <w:szCs w:val="22"/>
        </w:rPr>
        <w:t>ty (</w:t>
      </w:r>
      <w:hyperlink w:anchor="_ENREF_1" w:tooltip="Abal, 1994 #7405"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 timestamp="0"&gt;7405&lt;/key&gt;&lt;/foreign-keys&gt;&lt;ref-type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Abal</w:t>
        </w:r>
        <w:r w:rsidR="00513C39" w:rsidRPr="00CB093C">
          <w:rPr>
            <w:rFonts w:ascii="Arial" w:hAnsi="Arial" w:cs="Arial"/>
            <w:i/>
            <w:noProof/>
            <w:szCs w:val="22"/>
          </w:rPr>
          <w:t xml:space="preserve"> et al.</w:t>
        </w:r>
        <w:r w:rsidR="00513C39" w:rsidRPr="00CB093C">
          <w:rPr>
            <w:rFonts w:ascii="Arial" w:hAnsi="Arial" w:cs="Arial"/>
            <w:noProof/>
            <w:szCs w:val="22"/>
          </w:rPr>
          <w:t xml:space="preserve"> 1994</w:t>
        </w:r>
        <w:r w:rsidR="00513C39" w:rsidRPr="00CB093C">
          <w:rPr>
            <w:rFonts w:ascii="Arial" w:hAnsi="Arial" w:cs="Arial"/>
            <w:szCs w:val="22"/>
          </w:rPr>
          <w:fldChar w:fldCharType="end"/>
        </w:r>
      </w:hyperlink>
      <w:r w:rsidRPr="00CB093C">
        <w:rPr>
          <w:rFonts w:ascii="Arial" w:hAnsi="Arial" w:cs="Arial"/>
          <w:szCs w:val="22"/>
        </w:rPr>
        <w:t xml:space="preserve">; </w:t>
      </w:r>
      <w:hyperlink w:anchor="_ENREF_101" w:tooltip="Grice, 1996 #1346" w:history="1">
        <w:r w:rsidRPr="00CB093C">
          <w:rPr>
            <w:rFonts w:ascii="Arial" w:hAnsi="Arial" w:cs="Arial"/>
            <w:noProof/>
            <w:szCs w:val="22"/>
          </w:rPr>
          <w:t>AM Grice</w:t>
        </w:r>
        <w:r w:rsidRPr="00CB093C">
          <w:rPr>
            <w:rFonts w:ascii="Arial" w:hAnsi="Arial" w:cs="Arial"/>
            <w:i/>
            <w:noProof/>
            <w:szCs w:val="22"/>
          </w:rPr>
          <w:t>, et al.</w:t>
        </w:r>
        <w:r w:rsidRPr="00CB093C">
          <w:rPr>
            <w:rFonts w:ascii="Arial" w:hAnsi="Arial" w:cs="Arial"/>
            <w:noProof/>
            <w:szCs w:val="22"/>
          </w:rPr>
          <w:t>, 1996</w:t>
        </w:r>
      </w:hyperlink>
      <w:r w:rsidRPr="00CB093C">
        <w:rPr>
          <w:rFonts w:ascii="Arial" w:hAnsi="Arial" w:cs="Arial"/>
          <w:noProof/>
          <w:szCs w:val="22"/>
        </w:rPr>
        <w:t>; Udy &amp; Dennison 1997</w:t>
      </w:r>
      <w:r w:rsidRPr="00CB093C">
        <w:rPr>
          <w:rFonts w:ascii="Arial" w:hAnsi="Arial" w:cs="Arial"/>
          <w:szCs w:val="22"/>
        </w:rPr>
        <w:t xml:space="preserve">). </w:t>
      </w:r>
    </w:p>
    <w:p w14:paraId="6E18BF07" w14:textId="2AF9DCFC" w:rsidR="00861826" w:rsidRPr="00CB093C" w:rsidRDefault="00861826" w:rsidP="0064459D">
      <w:pPr>
        <w:rPr>
          <w:rFonts w:ascii="Arial" w:hAnsi="Arial" w:cs="Arial"/>
          <w:szCs w:val="22"/>
        </w:rPr>
      </w:pPr>
      <w:r w:rsidRPr="00CB093C">
        <w:rPr>
          <w:rFonts w:ascii="Arial" w:hAnsi="Arial" w:cs="Arial"/>
          <w:szCs w:val="22"/>
        </w:rPr>
        <w:t xml:space="preserve">C:N ratios from the late dry </w:t>
      </w:r>
      <w:r w:rsidR="003E508F" w:rsidRPr="00CB093C">
        <w:rPr>
          <w:rFonts w:ascii="Arial" w:hAnsi="Arial" w:cs="Arial"/>
          <w:szCs w:val="22"/>
        </w:rPr>
        <w:t>season</w:t>
      </w:r>
      <w:r w:rsidRPr="00CB093C">
        <w:rPr>
          <w:rFonts w:ascii="Arial" w:hAnsi="Arial" w:cs="Arial"/>
          <w:szCs w:val="22"/>
        </w:rPr>
        <w:t xml:space="preserve"> (Sept</w:t>
      </w:r>
      <w:r w:rsidR="003F2B07" w:rsidRPr="00CB093C">
        <w:rPr>
          <w:rFonts w:ascii="Arial" w:hAnsi="Arial" w:cs="Arial"/>
          <w:szCs w:val="22"/>
        </w:rPr>
        <w:t>ember</w:t>
      </w:r>
      <w:r w:rsidRPr="00CB093C">
        <w:rPr>
          <w:rFonts w:ascii="Arial" w:hAnsi="Arial" w:cs="Arial"/>
          <w:szCs w:val="22"/>
        </w:rPr>
        <w:t>/Oct</w:t>
      </w:r>
      <w:r w:rsidR="003F2B07" w:rsidRPr="00CB093C">
        <w:rPr>
          <w:rFonts w:ascii="Arial" w:hAnsi="Arial" w:cs="Arial"/>
          <w:szCs w:val="22"/>
        </w:rPr>
        <w:t>ober</w:t>
      </w:r>
      <w:r w:rsidRPr="00CB093C">
        <w:rPr>
          <w:rFonts w:ascii="Arial" w:hAnsi="Arial" w:cs="Arial"/>
          <w:szCs w:val="22"/>
        </w:rPr>
        <w:t xml:space="preserve"> 201</w:t>
      </w:r>
      <w:r w:rsidR="003E508F" w:rsidRPr="00CB093C">
        <w:rPr>
          <w:rFonts w:ascii="Arial" w:hAnsi="Arial" w:cs="Arial"/>
          <w:szCs w:val="22"/>
        </w:rPr>
        <w:t>7</w:t>
      </w:r>
      <w:r w:rsidRPr="00CB093C">
        <w:rPr>
          <w:rFonts w:ascii="Arial" w:hAnsi="Arial" w:cs="Arial"/>
          <w:szCs w:val="22"/>
        </w:rPr>
        <w:t>) were categorised on their departure from the guideline and transformed to a score</w:t>
      </w:r>
      <w:r w:rsidR="00F26FBD" w:rsidRPr="00CB093C">
        <w:rPr>
          <w:rFonts w:ascii="Arial" w:hAnsi="Arial" w:cs="Arial"/>
          <w:szCs w:val="22"/>
        </w:rPr>
        <w:t xml:space="preserve"> </w:t>
      </w:r>
      <w:r w:rsidR="003E508F" w:rsidRPr="00CB093C">
        <w:rPr>
          <w:rFonts w:ascii="Arial" w:hAnsi="Arial" w:cs="Arial"/>
          <w:szCs w:val="22"/>
        </w:rPr>
        <w:t xml:space="preserve">(see </w:t>
      </w:r>
      <w:r w:rsidR="003E508F" w:rsidRPr="00CB093C">
        <w:rPr>
          <w:rFonts w:ascii="Arial" w:hAnsi="Arial" w:cs="Arial"/>
          <w:szCs w:val="22"/>
        </w:rPr>
        <w:fldChar w:fldCharType="begin"/>
      </w:r>
      <w:r w:rsidR="003E508F" w:rsidRPr="00CB093C">
        <w:rPr>
          <w:rFonts w:ascii="Arial" w:hAnsi="Arial" w:cs="Arial"/>
          <w:szCs w:val="22"/>
        </w:rPr>
        <w:instrText xml:space="preserve"> REF _Ref511380752 \r \h </w:instrText>
      </w:r>
      <w:r w:rsidR="00CB093C" w:rsidRPr="00CB093C">
        <w:rPr>
          <w:rFonts w:ascii="Arial" w:hAnsi="Arial" w:cs="Arial"/>
          <w:szCs w:val="22"/>
        </w:rPr>
        <w:instrText xml:space="preserve"> \* MERGEFORMAT </w:instrText>
      </w:r>
      <w:r w:rsidR="003E508F" w:rsidRPr="00CB093C">
        <w:rPr>
          <w:rFonts w:ascii="Arial" w:hAnsi="Arial" w:cs="Arial"/>
          <w:szCs w:val="22"/>
        </w:rPr>
      </w:r>
      <w:r w:rsidR="003E508F" w:rsidRPr="00CB093C">
        <w:rPr>
          <w:rFonts w:ascii="Arial" w:hAnsi="Arial" w:cs="Arial"/>
          <w:szCs w:val="22"/>
        </w:rPr>
        <w:fldChar w:fldCharType="separate"/>
      </w:r>
      <w:r w:rsidR="005F00D4">
        <w:rPr>
          <w:rFonts w:ascii="Arial" w:hAnsi="Arial" w:cs="Arial"/>
          <w:szCs w:val="22"/>
        </w:rPr>
        <w:t>Appendix 2</w:t>
      </w:r>
      <w:r w:rsidR="003E508F" w:rsidRPr="00CB093C">
        <w:rPr>
          <w:rFonts w:ascii="Arial" w:hAnsi="Arial" w:cs="Arial"/>
          <w:szCs w:val="22"/>
        </w:rPr>
        <w:fldChar w:fldCharType="end"/>
      </w:r>
      <w:r w:rsidR="003E508F" w:rsidRPr="00CB093C">
        <w:rPr>
          <w:rFonts w:ascii="Arial" w:hAnsi="Arial" w:cs="Arial"/>
          <w:szCs w:val="22"/>
        </w:rPr>
        <w:t>) which was then graded from very good to very poor (</w:t>
      </w:r>
      <w:r w:rsidR="003E508F" w:rsidRPr="00CB093C">
        <w:rPr>
          <w:rFonts w:ascii="Arial" w:hAnsi="Arial" w:cs="Arial"/>
          <w:szCs w:val="22"/>
        </w:rPr>
        <w:fldChar w:fldCharType="begin"/>
      </w:r>
      <w:r w:rsidR="003E508F" w:rsidRPr="00CB093C">
        <w:rPr>
          <w:rFonts w:ascii="Arial" w:hAnsi="Arial" w:cs="Arial"/>
          <w:szCs w:val="22"/>
        </w:rPr>
        <w:instrText xml:space="preserve"> REF _Ref273446285 \h </w:instrText>
      </w:r>
      <w:r w:rsidR="00CB093C" w:rsidRPr="00CB093C">
        <w:rPr>
          <w:rFonts w:ascii="Arial" w:hAnsi="Arial" w:cs="Arial"/>
          <w:szCs w:val="22"/>
        </w:rPr>
        <w:instrText xml:space="preserve"> \* MERGEFORMAT </w:instrText>
      </w:r>
      <w:r w:rsidR="003E508F" w:rsidRPr="00CB093C">
        <w:rPr>
          <w:rFonts w:ascii="Arial" w:hAnsi="Arial" w:cs="Arial"/>
          <w:szCs w:val="22"/>
        </w:rPr>
      </w:r>
      <w:r w:rsidR="003E508F" w:rsidRPr="00CB093C">
        <w:rPr>
          <w:rFonts w:ascii="Arial" w:hAnsi="Arial" w:cs="Arial"/>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6</w:t>
      </w:r>
      <w:r w:rsidR="003E508F" w:rsidRPr="00CB093C">
        <w:rPr>
          <w:rFonts w:ascii="Arial" w:hAnsi="Arial" w:cs="Arial"/>
          <w:szCs w:val="22"/>
        </w:rPr>
        <w:fldChar w:fldCharType="end"/>
      </w:r>
      <w:r w:rsidR="003E508F" w:rsidRPr="00CB093C">
        <w:rPr>
          <w:rFonts w:ascii="Arial" w:hAnsi="Arial" w:cs="Arial"/>
          <w:szCs w:val="22"/>
        </w:rPr>
        <w:t>)</w:t>
      </w:r>
      <w:r w:rsidRPr="00CB093C">
        <w:rPr>
          <w:rFonts w:ascii="Arial" w:hAnsi="Arial" w:cs="Arial"/>
          <w:szCs w:val="22"/>
        </w:rPr>
        <w:t>.</w:t>
      </w:r>
    </w:p>
    <w:p w14:paraId="34551661" w14:textId="2FF58718" w:rsidR="003D1F7F" w:rsidRPr="00CB093C" w:rsidRDefault="003D1F7F" w:rsidP="0089405C">
      <w:pPr>
        <w:keepNext/>
        <w:jc w:val="center"/>
        <w:rPr>
          <w:rFonts w:ascii="Arial" w:hAnsi="Arial" w:cs="Arial"/>
          <w:i/>
          <w:color w:val="000000"/>
          <w:szCs w:val="22"/>
        </w:rPr>
      </w:pPr>
      <w:bookmarkStart w:id="120" w:name="_Ref273446285"/>
      <w:bookmarkStart w:id="121" w:name="_Toc5616034"/>
      <w:r w:rsidRPr="00CB093C">
        <w:rPr>
          <w:rFonts w:ascii="Arial" w:hAnsi="Arial" w:cs="Arial"/>
          <w:color w:val="000000"/>
          <w:szCs w:val="22"/>
        </w:rPr>
        <w:lastRenderedPageBreak/>
        <w:t xml:space="preserve">Table </w:t>
      </w:r>
      <w:r w:rsidRPr="00CB093C">
        <w:rPr>
          <w:rFonts w:ascii="Arial" w:hAnsi="Arial" w:cs="Arial"/>
          <w:color w:val="000000"/>
          <w:szCs w:val="22"/>
        </w:rPr>
        <w:fldChar w:fldCharType="begin"/>
      </w:r>
      <w:r w:rsidRPr="00CB093C">
        <w:rPr>
          <w:rFonts w:ascii="Arial" w:hAnsi="Arial" w:cs="Arial"/>
          <w:color w:val="000000"/>
          <w:szCs w:val="22"/>
        </w:rPr>
        <w:instrText xml:space="preserve"> SEQ Table \* ARABIC </w:instrText>
      </w:r>
      <w:r w:rsidRPr="00CB093C">
        <w:rPr>
          <w:rFonts w:ascii="Arial" w:hAnsi="Arial" w:cs="Arial"/>
          <w:color w:val="000000"/>
          <w:szCs w:val="22"/>
        </w:rPr>
        <w:fldChar w:fldCharType="separate"/>
      </w:r>
      <w:r w:rsidR="005F00D4">
        <w:rPr>
          <w:rFonts w:ascii="Arial" w:hAnsi="Arial" w:cs="Arial"/>
          <w:noProof/>
          <w:color w:val="000000"/>
          <w:szCs w:val="22"/>
        </w:rPr>
        <w:t>6</w:t>
      </w:r>
      <w:r w:rsidRPr="00CB093C">
        <w:rPr>
          <w:rFonts w:ascii="Arial" w:hAnsi="Arial" w:cs="Arial"/>
          <w:color w:val="000000"/>
          <w:szCs w:val="22"/>
        </w:rPr>
        <w:fldChar w:fldCharType="end"/>
      </w:r>
      <w:bookmarkEnd w:id="120"/>
      <w:r w:rsidRPr="00CB093C">
        <w:rPr>
          <w:rFonts w:ascii="Arial" w:hAnsi="Arial" w:cs="Arial"/>
          <w:color w:val="000000"/>
          <w:szCs w:val="22"/>
        </w:rPr>
        <w:t xml:space="preserve">. </w:t>
      </w:r>
      <w:r w:rsidRPr="00CB093C">
        <w:rPr>
          <w:rFonts w:ascii="Arial" w:hAnsi="Arial" w:cs="Arial"/>
          <w:i/>
          <w:color w:val="000000"/>
          <w:szCs w:val="22"/>
        </w:rPr>
        <w:t>Scores for leaf tissue C:N against guideline to determine light and nutrient availability. NB: scores are unitless.</w:t>
      </w:r>
      <w:bookmarkEnd w:id="121"/>
    </w:p>
    <w:tbl>
      <w:tblPr>
        <w:tblW w:w="5518" w:type="dxa"/>
        <w:jc w:val="center"/>
        <w:tblLook w:val="0000" w:firstRow="0" w:lastRow="0" w:firstColumn="0" w:lastColumn="0" w:noHBand="0" w:noVBand="0"/>
      </w:tblPr>
      <w:tblGrid>
        <w:gridCol w:w="1543"/>
        <w:gridCol w:w="2127"/>
        <w:gridCol w:w="1848"/>
      </w:tblGrid>
      <w:tr w:rsidR="00280130" w:rsidRPr="00CB093C" w14:paraId="763C8FC9" w14:textId="77777777" w:rsidTr="00280130">
        <w:trPr>
          <w:trHeight w:val="290"/>
          <w:jc w:val="center"/>
        </w:trPr>
        <w:tc>
          <w:tcPr>
            <w:tcW w:w="1543" w:type="dxa"/>
            <w:tcBorders>
              <w:top w:val="single" w:sz="4" w:space="0" w:color="auto"/>
              <w:left w:val="nil"/>
              <w:bottom w:val="single" w:sz="4" w:space="0" w:color="auto"/>
              <w:right w:val="nil"/>
            </w:tcBorders>
            <w:vAlign w:val="center"/>
          </w:tcPr>
          <w:p w14:paraId="3F486653" w14:textId="41C6C670" w:rsidR="00280130" w:rsidRPr="00CB093C" w:rsidRDefault="002F7814" w:rsidP="001368E7">
            <w:pPr>
              <w:spacing w:before="0" w:after="0"/>
              <w:jc w:val="center"/>
              <w:rPr>
                <w:rFonts w:ascii="Arial" w:hAnsi="Arial" w:cs="Arial"/>
                <w:b/>
                <w:color w:val="000000"/>
                <w:szCs w:val="22"/>
                <w:lang w:val="en-US"/>
              </w:rPr>
            </w:pPr>
            <w:r w:rsidRPr="00CB093C">
              <w:rPr>
                <w:rFonts w:ascii="Arial" w:hAnsi="Arial" w:cs="Arial"/>
                <w:b/>
                <w:color w:val="000000"/>
                <w:szCs w:val="22"/>
                <w:lang w:val="en-US"/>
              </w:rPr>
              <w:t>grade</w:t>
            </w:r>
          </w:p>
        </w:tc>
        <w:tc>
          <w:tcPr>
            <w:tcW w:w="2127" w:type="dxa"/>
            <w:tcBorders>
              <w:top w:val="single" w:sz="4" w:space="0" w:color="auto"/>
              <w:left w:val="nil"/>
              <w:bottom w:val="single" w:sz="4" w:space="0" w:color="auto"/>
              <w:right w:val="nil"/>
            </w:tcBorders>
            <w:noWrap/>
            <w:vAlign w:val="center"/>
          </w:tcPr>
          <w:p w14:paraId="578A44E2" w14:textId="77777777" w:rsidR="00280130" w:rsidRPr="00CB093C" w:rsidRDefault="00280130" w:rsidP="008263B0">
            <w:pPr>
              <w:spacing w:before="0" w:after="0"/>
              <w:jc w:val="center"/>
              <w:rPr>
                <w:rFonts w:ascii="Arial" w:hAnsi="Arial" w:cs="Arial"/>
                <w:b/>
                <w:color w:val="000000"/>
                <w:szCs w:val="22"/>
                <w:lang w:val="en-US"/>
              </w:rPr>
            </w:pPr>
            <w:r w:rsidRPr="00CB093C">
              <w:rPr>
                <w:rFonts w:ascii="Arial" w:hAnsi="Arial" w:cs="Arial"/>
                <w:b/>
                <w:color w:val="000000"/>
                <w:szCs w:val="22"/>
                <w:lang w:val="en-US"/>
              </w:rPr>
              <w:t>C:N ratio range</w:t>
            </w:r>
          </w:p>
        </w:tc>
        <w:tc>
          <w:tcPr>
            <w:tcW w:w="1848" w:type="dxa"/>
            <w:tcBorders>
              <w:top w:val="single" w:sz="4" w:space="0" w:color="auto"/>
              <w:left w:val="nil"/>
              <w:bottom w:val="single" w:sz="4" w:space="0" w:color="auto"/>
              <w:right w:val="nil"/>
            </w:tcBorders>
            <w:noWrap/>
            <w:vAlign w:val="center"/>
          </w:tcPr>
          <w:p w14:paraId="45F58001" w14:textId="05793837" w:rsidR="00280130" w:rsidRPr="00CB093C" w:rsidRDefault="00280130" w:rsidP="001368E7">
            <w:pPr>
              <w:spacing w:before="0" w:after="0"/>
              <w:jc w:val="center"/>
              <w:rPr>
                <w:rFonts w:ascii="Arial" w:hAnsi="Arial" w:cs="Arial"/>
                <w:b/>
                <w:color w:val="000000"/>
                <w:szCs w:val="22"/>
                <w:lang w:val="en-US"/>
              </w:rPr>
            </w:pPr>
            <w:r w:rsidRPr="00CB093C">
              <w:rPr>
                <w:rFonts w:ascii="Arial" w:hAnsi="Arial" w:cs="Arial"/>
                <w:b/>
                <w:color w:val="000000"/>
                <w:szCs w:val="22"/>
                <w:lang w:val="en-US"/>
              </w:rPr>
              <w:t xml:space="preserve">Score </w:t>
            </w:r>
            <w:r w:rsidRPr="00CB093C">
              <w:rPr>
                <w:rFonts w:ascii="Arial" w:hAnsi="Arial" w:cs="Arial"/>
                <w:color w:val="000000"/>
                <w:szCs w:val="22"/>
                <w:lang w:val="en-US"/>
              </w:rPr>
              <w:t>(</w:t>
            </w:r>
            <w:r w:rsidRPr="00CB093C">
              <w:rPr>
                <w:rFonts w:ascii="Arial" w:hAnsi="Arial" w:cs="Arial"/>
                <w:noProof/>
                <w:color w:val="000000"/>
                <w:position w:val="-10"/>
                <w:szCs w:val="22"/>
                <w:lang w:val="en-US"/>
              </w:rPr>
              <w:drawing>
                <wp:inline distT="0" distB="0" distL="0" distR="0" wp14:anchorId="70C0577B" wp14:editId="1DE90877">
                  <wp:extent cx="178435" cy="229870"/>
                  <wp:effectExtent l="0" t="0" r="0" b="0"/>
                  <wp:docPr id="288" name="Picture 1" descr="R 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78435" cy="229870"/>
                          </a:xfrm>
                          <a:prstGeom prst="rect">
                            <a:avLst/>
                          </a:prstGeom>
                          <a:noFill/>
                          <a:ln>
                            <a:noFill/>
                          </a:ln>
                        </pic:spPr>
                      </pic:pic>
                    </a:graphicData>
                  </a:graphic>
                </wp:inline>
              </w:drawing>
            </w:r>
            <w:r w:rsidRPr="00CB093C">
              <w:rPr>
                <w:rFonts w:ascii="Arial" w:hAnsi="Arial" w:cs="Arial"/>
                <w:color w:val="000000"/>
                <w:szCs w:val="22"/>
              </w:rPr>
              <w:t xml:space="preserve">) </w:t>
            </w:r>
            <w:r w:rsidR="00CA1E88" w:rsidRPr="00CB093C">
              <w:rPr>
                <w:rFonts w:ascii="Arial" w:hAnsi="Arial" w:cs="Arial"/>
                <w:b/>
                <w:color w:val="000000"/>
                <w:szCs w:val="22"/>
              </w:rPr>
              <w:t xml:space="preserve">range and </w:t>
            </w:r>
            <w:r w:rsidRPr="00CB093C">
              <w:rPr>
                <w:rFonts w:ascii="Arial" w:hAnsi="Arial" w:cs="Arial"/>
                <w:b/>
                <w:color w:val="000000"/>
                <w:szCs w:val="22"/>
                <w:lang w:val="en-US"/>
              </w:rPr>
              <w:t>status</w:t>
            </w:r>
          </w:p>
        </w:tc>
      </w:tr>
      <w:tr w:rsidR="00280130" w:rsidRPr="00CB093C" w14:paraId="79079C30" w14:textId="77777777" w:rsidTr="00280130">
        <w:trPr>
          <w:trHeight w:val="290"/>
          <w:jc w:val="center"/>
        </w:trPr>
        <w:tc>
          <w:tcPr>
            <w:tcW w:w="1543" w:type="dxa"/>
            <w:tcBorders>
              <w:top w:val="nil"/>
              <w:left w:val="nil"/>
              <w:bottom w:val="nil"/>
              <w:right w:val="nil"/>
            </w:tcBorders>
            <w:vAlign w:val="bottom"/>
          </w:tcPr>
          <w:p w14:paraId="0C6501AB" w14:textId="77777777" w:rsidR="00280130" w:rsidRPr="00CB093C" w:rsidRDefault="00280130" w:rsidP="001368E7">
            <w:pPr>
              <w:spacing w:before="0" w:after="0"/>
              <w:rPr>
                <w:rFonts w:ascii="Arial" w:hAnsi="Arial" w:cs="Arial"/>
                <w:i/>
                <w:color w:val="000000"/>
                <w:szCs w:val="22"/>
                <w:lang w:eastAsia="en-AU"/>
              </w:rPr>
            </w:pPr>
            <w:r w:rsidRPr="00CB093C">
              <w:rPr>
                <w:rFonts w:ascii="Arial" w:hAnsi="Arial" w:cs="Arial"/>
                <w:i/>
                <w:color w:val="000000"/>
                <w:szCs w:val="22"/>
                <w:lang w:eastAsia="en-AU"/>
              </w:rPr>
              <w:t>very good</w:t>
            </w:r>
          </w:p>
        </w:tc>
        <w:tc>
          <w:tcPr>
            <w:tcW w:w="2127" w:type="dxa"/>
            <w:tcBorders>
              <w:top w:val="nil"/>
              <w:left w:val="nil"/>
              <w:bottom w:val="nil"/>
              <w:right w:val="nil"/>
            </w:tcBorders>
            <w:noWrap/>
            <w:vAlign w:val="bottom"/>
          </w:tcPr>
          <w:p w14:paraId="19FDA31D" w14:textId="77777777" w:rsidR="00280130" w:rsidRPr="00CB093C" w:rsidRDefault="00280130" w:rsidP="008263B0">
            <w:pPr>
              <w:spacing w:before="0" w:after="0"/>
              <w:jc w:val="center"/>
              <w:rPr>
                <w:rFonts w:ascii="Arial" w:hAnsi="Arial" w:cs="Arial"/>
                <w:color w:val="000000"/>
                <w:szCs w:val="22"/>
                <w:lang w:val="en-US"/>
              </w:rPr>
            </w:pPr>
            <w:bookmarkStart w:id="122" w:name="_Hlk304381412"/>
            <w:r w:rsidRPr="00CB093C">
              <w:rPr>
                <w:rFonts w:ascii="Arial" w:hAnsi="Arial" w:cs="Arial"/>
                <w:color w:val="000000"/>
                <w:szCs w:val="22"/>
                <w:lang w:val="en-US"/>
              </w:rPr>
              <w:t>C:N ratio &gt;30*</w:t>
            </w:r>
          </w:p>
        </w:tc>
        <w:tc>
          <w:tcPr>
            <w:tcW w:w="1848" w:type="dxa"/>
            <w:tcBorders>
              <w:top w:val="nil"/>
              <w:left w:val="nil"/>
              <w:bottom w:val="nil"/>
              <w:right w:val="nil"/>
            </w:tcBorders>
            <w:shd w:val="clear" w:color="auto" w:fill="008000"/>
            <w:noWrap/>
            <w:vAlign w:val="bottom"/>
          </w:tcPr>
          <w:p w14:paraId="728BD216" w14:textId="77777777" w:rsidR="00280130" w:rsidRPr="00CB093C" w:rsidRDefault="00280130"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81 - 100</w:t>
            </w:r>
          </w:p>
        </w:tc>
      </w:tr>
      <w:tr w:rsidR="00280130" w:rsidRPr="00CB093C" w14:paraId="29A34D8B" w14:textId="77777777" w:rsidTr="00280130">
        <w:trPr>
          <w:trHeight w:val="290"/>
          <w:jc w:val="center"/>
        </w:trPr>
        <w:tc>
          <w:tcPr>
            <w:tcW w:w="1543" w:type="dxa"/>
            <w:tcBorders>
              <w:top w:val="nil"/>
              <w:left w:val="nil"/>
              <w:bottom w:val="nil"/>
              <w:right w:val="nil"/>
            </w:tcBorders>
            <w:vAlign w:val="bottom"/>
          </w:tcPr>
          <w:p w14:paraId="33FFC391" w14:textId="77777777" w:rsidR="00280130" w:rsidRPr="00CB093C" w:rsidRDefault="00280130" w:rsidP="001368E7">
            <w:pPr>
              <w:spacing w:before="0" w:after="0"/>
              <w:rPr>
                <w:rFonts w:ascii="Arial" w:hAnsi="Arial" w:cs="Arial"/>
                <w:i/>
                <w:color w:val="000000"/>
                <w:szCs w:val="22"/>
                <w:lang w:eastAsia="en-AU"/>
              </w:rPr>
            </w:pPr>
            <w:r w:rsidRPr="00CB093C">
              <w:rPr>
                <w:rFonts w:ascii="Arial" w:hAnsi="Arial" w:cs="Arial"/>
                <w:i/>
                <w:color w:val="000000"/>
                <w:szCs w:val="22"/>
                <w:lang w:eastAsia="en-AU"/>
              </w:rPr>
              <w:t>good</w:t>
            </w:r>
          </w:p>
        </w:tc>
        <w:tc>
          <w:tcPr>
            <w:tcW w:w="2127" w:type="dxa"/>
            <w:tcBorders>
              <w:top w:val="nil"/>
              <w:left w:val="nil"/>
              <w:bottom w:val="nil"/>
              <w:right w:val="nil"/>
            </w:tcBorders>
            <w:noWrap/>
            <w:vAlign w:val="bottom"/>
          </w:tcPr>
          <w:p w14:paraId="75FE5B54" w14:textId="77777777" w:rsidR="00280130" w:rsidRPr="00CB093C" w:rsidRDefault="00280130" w:rsidP="008263B0">
            <w:pPr>
              <w:spacing w:before="0" w:after="0"/>
              <w:jc w:val="center"/>
              <w:rPr>
                <w:rFonts w:ascii="Arial" w:hAnsi="Arial" w:cs="Arial"/>
                <w:color w:val="000000"/>
                <w:szCs w:val="22"/>
                <w:lang w:val="en-US"/>
              </w:rPr>
            </w:pPr>
            <w:r w:rsidRPr="00CB093C">
              <w:rPr>
                <w:rFonts w:ascii="Arial" w:hAnsi="Arial" w:cs="Arial"/>
                <w:color w:val="000000"/>
                <w:szCs w:val="22"/>
                <w:lang w:val="en-US"/>
              </w:rPr>
              <w:t>C:N ratio 25-30</w:t>
            </w:r>
          </w:p>
        </w:tc>
        <w:tc>
          <w:tcPr>
            <w:tcW w:w="1848" w:type="dxa"/>
            <w:tcBorders>
              <w:top w:val="nil"/>
              <w:left w:val="nil"/>
              <w:bottom w:val="nil"/>
              <w:right w:val="nil"/>
            </w:tcBorders>
            <w:shd w:val="clear" w:color="auto" w:fill="92D050"/>
            <w:noWrap/>
            <w:vAlign w:val="bottom"/>
          </w:tcPr>
          <w:p w14:paraId="6D92891F" w14:textId="77777777" w:rsidR="00280130" w:rsidRPr="00CB093C" w:rsidRDefault="00280130"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61 - 80</w:t>
            </w:r>
          </w:p>
        </w:tc>
      </w:tr>
      <w:tr w:rsidR="00280130" w:rsidRPr="00CB093C" w14:paraId="5A38A527" w14:textId="77777777" w:rsidTr="00280130">
        <w:trPr>
          <w:trHeight w:val="300"/>
          <w:jc w:val="center"/>
        </w:trPr>
        <w:tc>
          <w:tcPr>
            <w:tcW w:w="1543" w:type="dxa"/>
            <w:tcBorders>
              <w:top w:val="nil"/>
              <w:left w:val="nil"/>
              <w:bottom w:val="nil"/>
              <w:right w:val="nil"/>
            </w:tcBorders>
            <w:vAlign w:val="bottom"/>
          </w:tcPr>
          <w:p w14:paraId="78E29AE5" w14:textId="77777777" w:rsidR="00280130" w:rsidRPr="00CB093C" w:rsidRDefault="00280130" w:rsidP="001368E7">
            <w:pPr>
              <w:spacing w:before="0" w:after="0"/>
              <w:rPr>
                <w:rFonts w:ascii="Arial" w:hAnsi="Arial" w:cs="Arial"/>
                <w:i/>
                <w:color w:val="000000"/>
                <w:szCs w:val="22"/>
                <w:lang w:eastAsia="en-AU"/>
              </w:rPr>
            </w:pPr>
            <w:r w:rsidRPr="00CB093C">
              <w:rPr>
                <w:rFonts w:ascii="Arial" w:hAnsi="Arial" w:cs="Arial"/>
                <w:i/>
                <w:color w:val="000000"/>
                <w:szCs w:val="22"/>
                <w:lang w:eastAsia="en-AU"/>
              </w:rPr>
              <w:t>moderate</w:t>
            </w:r>
          </w:p>
        </w:tc>
        <w:tc>
          <w:tcPr>
            <w:tcW w:w="2127" w:type="dxa"/>
            <w:tcBorders>
              <w:top w:val="nil"/>
              <w:left w:val="nil"/>
              <w:bottom w:val="nil"/>
              <w:right w:val="nil"/>
            </w:tcBorders>
            <w:noWrap/>
            <w:vAlign w:val="bottom"/>
          </w:tcPr>
          <w:p w14:paraId="285D3562" w14:textId="1CCF33FF" w:rsidR="00280130" w:rsidRPr="00CB093C" w:rsidRDefault="00280130" w:rsidP="008263B0">
            <w:pPr>
              <w:spacing w:before="0" w:after="0"/>
              <w:jc w:val="center"/>
              <w:rPr>
                <w:rFonts w:ascii="Arial" w:hAnsi="Arial" w:cs="Arial"/>
                <w:color w:val="000000"/>
                <w:szCs w:val="22"/>
                <w:lang w:val="en-US"/>
              </w:rPr>
            </w:pPr>
            <w:r w:rsidRPr="00CB093C">
              <w:rPr>
                <w:rFonts w:ascii="Arial" w:hAnsi="Arial" w:cs="Arial"/>
                <w:color w:val="000000"/>
                <w:szCs w:val="22"/>
                <w:lang w:val="en-US"/>
              </w:rPr>
              <w:t>C:N ratio 20-25</w:t>
            </w:r>
          </w:p>
        </w:tc>
        <w:tc>
          <w:tcPr>
            <w:tcW w:w="1848" w:type="dxa"/>
            <w:tcBorders>
              <w:top w:val="nil"/>
              <w:left w:val="nil"/>
              <w:bottom w:val="nil"/>
              <w:right w:val="nil"/>
            </w:tcBorders>
            <w:shd w:val="clear" w:color="auto" w:fill="FFFF00"/>
            <w:noWrap/>
            <w:vAlign w:val="bottom"/>
          </w:tcPr>
          <w:p w14:paraId="5C26DEA7" w14:textId="77777777" w:rsidR="00280130" w:rsidRPr="00CB093C" w:rsidRDefault="00280130"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41 - 60</w:t>
            </w:r>
          </w:p>
        </w:tc>
      </w:tr>
      <w:tr w:rsidR="00280130" w:rsidRPr="00CB093C" w14:paraId="749C13DF" w14:textId="77777777" w:rsidTr="00280130">
        <w:trPr>
          <w:trHeight w:val="290"/>
          <w:jc w:val="center"/>
        </w:trPr>
        <w:tc>
          <w:tcPr>
            <w:tcW w:w="1543" w:type="dxa"/>
            <w:tcBorders>
              <w:top w:val="nil"/>
              <w:left w:val="nil"/>
              <w:right w:val="nil"/>
            </w:tcBorders>
            <w:vAlign w:val="bottom"/>
          </w:tcPr>
          <w:p w14:paraId="4A24A601" w14:textId="77777777" w:rsidR="00280130" w:rsidRPr="00CB093C" w:rsidRDefault="00280130" w:rsidP="001368E7">
            <w:pPr>
              <w:spacing w:before="0" w:after="0"/>
              <w:rPr>
                <w:rFonts w:ascii="Arial" w:hAnsi="Arial" w:cs="Arial"/>
                <w:i/>
                <w:color w:val="000000"/>
                <w:szCs w:val="22"/>
                <w:lang w:eastAsia="en-AU"/>
              </w:rPr>
            </w:pPr>
            <w:r w:rsidRPr="00CB093C">
              <w:rPr>
                <w:rFonts w:ascii="Arial" w:hAnsi="Arial" w:cs="Arial"/>
                <w:i/>
                <w:color w:val="000000"/>
                <w:szCs w:val="22"/>
                <w:lang w:eastAsia="en-AU"/>
              </w:rPr>
              <w:t>poor</w:t>
            </w:r>
          </w:p>
        </w:tc>
        <w:tc>
          <w:tcPr>
            <w:tcW w:w="2127" w:type="dxa"/>
            <w:tcBorders>
              <w:top w:val="nil"/>
              <w:left w:val="nil"/>
              <w:right w:val="nil"/>
            </w:tcBorders>
            <w:noWrap/>
            <w:vAlign w:val="bottom"/>
          </w:tcPr>
          <w:p w14:paraId="7B015039" w14:textId="77777777" w:rsidR="00280130" w:rsidRPr="00CB093C" w:rsidRDefault="00280130" w:rsidP="008263B0">
            <w:pPr>
              <w:spacing w:before="0" w:after="0"/>
              <w:jc w:val="center"/>
              <w:rPr>
                <w:rFonts w:ascii="Arial" w:hAnsi="Arial" w:cs="Arial"/>
                <w:color w:val="000000"/>
                <w:szCs w:val="22"/>
                <w:lang w:val="en-US"/>
              </w:rPr>
            </w:pPr>
            <w:r w:rsidRPr="00CB093C">
              <w:rPr>
                <w:rFonts w:ascii="Arial" w:hAnsi="Arial" w:cs="Arial"/>
                <w:color w:val="000000"/>
                <w:szCs w:val="22"/>
                <w:lang w:val="en-US"/>
              </w:rPr>
              <w:t>C:N ratio 15-20</w:t>
            </w:r>
          </w:p>
        </w:tc>
        <w:tc>
          <w:tcPr>
            <w:tcW w:w="1848" w:type="dxa"/>
            <w:tcBorders>
              <w:top w:val="nil"/>
              <w:left w:val="nil"/>
              <w:right w:val="nil"/>
            </w:tcBorders>
            <w:shd w:val="clear" w:color="auto" w:fill="FFC000"/>
            <w:noWrap/>
            <w:vAlign w:val="bottom"/>
          </w:tcPr>
          <w:p w14:paraId="0037B80A" w14:textId="77777777" w:rsidR="00280130" w:rsidRPr="00CB093C" w:rsidRDefault="00280130" w:rsidP="002605DA">
            <w:pPr>
              <w:spacing w:before="0" w:after="0"/>
              <w:jc w:val="center"/>
              <w:rPr>
                <w:rFonts w:ascii="Arial" w:hAnsi="Arial" w:cs="Arial"/>
                <w:color w:val="000000"/>
                <w:szCs w:val="22"/>
                <w:lang w:eastAsia="en-AU"/>
              </w:rPr>
            </w:pPr>
            <w:r w:rsidRPr="00CB093C">
              <w:rPr>
                <w:rFonts w:ascii="Arial" w:hAnsi="Arial" w:cs="Arial"/>
                <w:color w:val="000000"/>
                <w:szCs w:val="22"/>
                <w:lang w:eastAsia="en-AU"/>
              </w:rPr>
              <w:t>21 - 40</w:t>
            </w:r>
          </w:p>
        </w:tc>
      </w:tr>
      <w:tr w:rsidR="00280130" w:rsidRPr="00CB093C" w14:paraId="2D612546" w14:textId="77777777" w:rsidTr="00280130">
        <w:trPr>
          <w:trHeight w:val="290"/>
          <w:jc w:val="center"/>
        </w:trPr>
        <w:tc>
          <w:tcPr>
            <w:tcW w:w="1543" w:type="dxa"/>
            <w:tcBorders>
              <w:top w:val="nil"/>
              <w:left w:val="nil"/>
              <w:bottom w:val="single" w:sz="4" w:space="0" w:color="auto"/>
              <w:right w:val="nil"/>
            </w:tcBorders>
            <w:vAlign w:val="bottom"/>
          </w:tcPr>
          <w:p w14:paraId="22B353B7" w14:textId="77777777" w:rsidR="00280130" w:rsidRPr="00CB093C" w:rsidRDefault="00280130" w:rsidP="001368E7">
            <w:pPr>
              <w:spacing w:before="0" w:after="0"/>
              <w:rPr>
                <w:rFonts w:ascii="Arial" w:hAnsi="Arial" w:cs="Arial"/>
                <w:i/>
                <w:color w:val="000000"/>
                <w:szCs w:val="22"/>
                <w:lang w:eastAsia="en-AU"/>
              </w:rPr>
            </w:pPr>
            <w:r w:rsidRPr="00CB093C">
              <w:rPr>
                <w:rFonts w:ascii="Arial" w:hAnsi="Arial" w:cs="Arial"/>
                <w:i/>
                <w:color w:val="000000"/>
                <w:szCs w:val="22"/>
                <w:lang w:eastAsia="en-AU"/>
              </w:rPr>
              <w:t>very poor</w:t>
            </w:r>
          </w:p>
        </w:tc>
        <w:tc>
          <w:tcPr>
            <w:tcW w:w="2127" w:type="dxa"/>
            <w:tcBorders>
              <w:top w:val="nil"/>
              <w:left w:val="nil"/>
              <w:bottom w:val="single" w:sz="4" w:space="0" w:color="auto"/>
              <w:right w:val="nil"/>
            </w:tcBorders>
            <w:noWrap/>
            <w:vAlign w:val="bottom"/>
          </w:tcPr>
          <w:p w14:paraId="549F6587" w14:textId="77777777" w:rsidR="00280130" w:rsidRPr="00CB093C" w:rsidRDefault="00280130" w:rsidP="008263B0">
            <w:pPr>
              <w:spacing w:before="0" w:after="0"/>
              <w:jc w:val="center"/>
              <w:rPr>
                <w:rFonts w:ascii="Arial" w:hAnsi="Arial" w:cs="Arial"/>
                <w:color w:val="000000"/>
                <w:szCs w:val="22"/>
                <w:lang w:val="en-US"/>
              </w:rPr>
            </w:pPr>
            <w:r w:rsidRPr="00CB093C">
              <w:rPr>
                <w:rFonts w:ascii="Arial" w:hAnsi="Arial" w:cs="Arial"/>
                <w:color w:val="000000"/>
                <w:szCs w:val="22"/>
                <w:lang w:val="en-US"/>
              </w:rPr>
              <w:t>C:N ratio &lt;15*</w:t>
            </w:r>
          </w:p>
        </w:tc>
        <w:tc>
          <w:tcPr>
            <w:tcW w:w="1848" w:type="dxa"/>
            <w:tcBorders>
              <w:top w:val="nil"/>
              <w:left w:val="nil"/>
              <w:bottom w:val="single" w:sz="4" w:space="0" w:color="auto"/>
              <w:right w:val="nil"/>
            </w:tcBorders>
            <w:shd w:val="clear" w:color="auto" w:fill="FF0000"/>
            <w:noWrap/>
            <w:vAlign w:val="bottom"/>
          </w:tcPr>
          <w:p w14:paraId="2647D91E" w14:textId="77777777" w:rsidR="00280130" w:rsidRPr="00CB093C" w:rsidRDefault="00280130" w:rsidP="001368E7">
            <w:pPr>
              <w:spacing w:before="0" w:after="0"/>
              <w:jc w:val="center"/>
              <w:rPr>
                <w:rFonts w:ascii="Arial" w:hAnsi="Arial" w:cs="Arial"/>
                <w:color w:val="000000"/>
                <w:szCs w:val="22"/>
                <w:lang w:eastAsia="en-AU"/>
              </w:rPr>
            </w:pPr>
            <w:r w:rsidRPr="00CB093C">
              <w:rPr>
                <w:rFonts w:ascii="Arial" w:hAnsi="Arial" w:cs="Arial"/>
                <w:color w:val="000000"/>
                <w:szCs w:val="22"/>
                <w:lang w:eastAsia="en-AU"/>
              </w:rPr>
              <w:t>0 - 20</w:t>
            </w:r>
          </w:p>
        </w:tc>
      </w:tr>
    </w:tbl>
    <w:p w14:paraId="7730D7B3" w14:textId="77777777" w:rsidR="000E742F" w:rsidRPr="00CB093C" w:rsidRDefault="000E742F" w:rsidP="000E742F">
      <w:pPr>
        <w:rPr>
          <w:rFonts w:ascii="Arial" w:hAnsi="Arial" w:cs="Arial"/>
          <w:szCs w:val="22"/>
        </w:rPr>
      </w:pPr>
      <w:bookmarkStart w:id="123" w:name="_Ref534355168"/>
      <w:bookmarkStart w:id="124" w:name="_Toc184101958"/>
      <w:bookmarkStart w:id="125" w:name="_Toc381027994"/>
      <w:bookmarkEnd w:id="122"/>
    </w:p>
    <w:p w14:paraId="16C80E44" w14:textId="77777777" w:rsidR="000E742F" w:rsidRPr="00CB093C" w:rsidRDefault="000E742F" w:rsidP="000E742F">
      <w:pPr>
        <w:rPr>
          <w:rFonts w:ascii="Arial" w:hAnsi="Arial" w:cs="Arial"/>
          <w:szCs w:val="22"/>
        </w:rPr>
      </w:pPr>
    </w:p>
    <w:p w14:paraId="670353E3" w14:textId="2499021C" w:rsidR="00306220" w:rsidRPr="00CB093C" w:rsidRDefault="00306220" w:rsidP="00AD06D4">
      <w:pPr>
        <w:pStyle w:val="Heading3"/>
        <w:numPr>
          <w:ilvl w:val="2"/>
          <w:numId w:val="4"/>
        </w:numPr>
        <w:rPr>
          <w:rFonts w:ascii="Arial" w:hAnsi="Arial" w:cs="Arial"/>
          <w:sz w:val="22"/>
          <w:szCs w:val="22"/>
        </w:rPr>
      </w:pPr>
      <w:bookmarkStart w:id="126" w:name="_Toc11394706"/>
      <w:r w:rsidRPr="00CB093C">
        <w:rPr>
          <w:rFonts w:ascii="Arial" w:hAnsi="Arial" w:cs="Arial"/>
          <w:sz w:val="22"/>
          <w:szCs w:val="22"/>
        </w:rPr>
        <w:t xml:space="preserve">Seagrass </w:t>
      </w:r>
      <w:r w:rsidR="003E508F" w:rsidRPr="00CB093C">
        <w:rPr>
          <w:rFonts w:ascii="Arial" w:hAnsi="Arial" w:cs="Arial"/>
          <w:sz w:val="22"/>
          <w:szCs w:val="22"/>
        </w:rPr>
        <w:t xml:space="preserve">condition </w:t>
      </w:r>
      <w:r w:rsidRPr="00CB093C">
        <w:rPr>
          <w:rFonts w:ascii="Arial" w:hAnsi="Arial" w:cs="Arial"/>
          <w:sz w:val="22"/>
          <w:szCs w:val="22"/>
        </w:rPr>
        <w:t>index</w:t>
      </w:r>
      <w:bookmarkEnd w:id="123"/>
      <w:bookmarkEnd w:id="126"/>
    </w:p>
    <w:bookmarkEnd w:id="124"/>
    <w:bookmarkEnd w:id="125"/>
    <w:p w14:paraId="047C9D98" w14:textId="5DCE9089" w:rsidR="006B3DD7" w:rsidRPr="00CB093C" w:rsidRDefault="003D1F7F" w:rsidP="00170DD9">
      <w:pPr>
        <w:rPr>
          <w:rFonts w:ascii="Arial" w:hAnsi="Arial" w:cs="Arial"/>
          <w:szCs w:val="22"/>
        </w:rPr>
      </w:pPr>
      <w:r w:rsidRPr="00CB093C">
        <w:rPr>
          <w:rFonts w:ascii="Arial" w:hAnsi="Arial" w:cs="Arial"/>
          <w:szCs w:val="22"/>
        </w:rPr>
        <w:t xml:space="preserve">The seagrass </w:t>
      </w:r>
      <w:r w:rsidR="003E508F" w:rsidRPr="00CB093C">
        <w:rPr>
          <w:rFonts w:ascii="Arial" w:hAnsi="Arial" w:cs="Arial"/>
          <w:szCs w:val="22"/>
        </w:rPr>
        <w:t xml:space="preserve">condition </w:t>
      </w:r>
      <w:r w:rsidRPr="00CB093C">
        <w:rPr>
          <w:rFonts w:ascii="Arial" w:hAnsi="Arial" w:cs="Arial"/>
          <w:szCs w:val="22"/>
        </w:rPr>
        <w:t xml:space="preserve">index is </w:t>
      </w:r>
      <w:r w:rsidR="00F16C11" w:rsidRPr="00CB093C">
        <w:rPr>
          <w:rFonts w:ascii="Arial" w:hAnsi="Arial" w:cs="Arial"/>
          <w:szCs w:val="22"/>
        </w:rPr>
        <w:t xml:space="preserve">an </w:t>
      </w:r>
      <w:r w:rsidRPr="00CB093C">
        <w:rPr>
          <w:rFonts w:ascii="Arial" w:hAnsi="Arial" w:cs="Arial"/>
          <w:szCs w:val="22"/>
        </w:rPr>
        <w:t>average score (0</w:t>
      </w:r>
      <w:r w:rsidR="003F2B07" w:rsidRPr="00CB093C">
        <w:rPr>
          <w:rFonts w:ascii="Arial" w:hAnsi="Arial" w:cs="Arial"/>
          <w:szCs w:val="22"/>
        </w:rPr>
        <w:t>–</w:t>
      </w:r>
      <w:r w:rsidRPr="00CB093C">
        <w:rPr>
          <w:rFonts w:ascii="Arial" w:hAnsi="Arial" w:cs="Arial"/>
          <w:szCs w:val="22"/>
        </w:rPr>
        <w:t xml:space="preserve">100) of the three seagrass </w:t>
      </w:r>
      <w:r w:rsidR="003E508F" w:rsidRPr="00CB093C">
        <w:rPr>
          <w:rFonts w:ascii="Arial" w:hAnsi="Arial" w:cs="Arial"/>
          <w:szCs w:val="22"/>
        </w:rPr>
        <w:t>condition</w:t>
      </w:r>
      <w:r w:rsidRPr="00CB093C">
        <w:rPr>
          <w:rFonts w:ascii="Arial" w:hAnsi="Arial" w:cs="Arial"/>
          <w:szCs w:val="22"/>
        </w:rPr>
        <w:t xml:space="preserve"> indicators</w:t>
      </w:r>
      <w:r w:rsidR="006B3DD7" w:rsidRPr="00CB093C">
        <w:rPr>
          <w:rFonts w:ascii="Arial" w:hAnsi="Arial" w:cs="Arial"/>
          <w:szCs w:val="22"/>
        </w:rPr>
        <w:t>:</w:t>
      </w:r>
    </w:p>
    <w:p w14:paraId="6188909F" w14:textId="62C6A592" w:rsidR="006B3DD7" w:rsidRPr="00CB093C" w:rsidRDefault="006B3DD7" w:rsidP="00AD06D4">
      <w:pPr>
        <w:pStyle w:val="ListParagraph"/>
        <w:numPr>
          <w:ilvl w:val="0"/>
          <w:numId w:val="15"/>
        </w:numPr>
        <w:tabs>
          <w:tab w:val="left" w:pos="6804"/>
        </w:tabs>
        <w:rPr>
          <w:rFonts w:ascii="Arial" w:hAnsi="Arial" w:cs="Arial"/>
          <w:color w:val="000000" w:themeColor="text1"/>
          <w:szCs w:val="22"/>
        </w:rPr>
      </w:pPr>
      <w:r w:rsidRPr="00CB093C">
        <w:rPr>
          <w:rFonts w:ascii="Arial" w:hAnsi="Arial" w:cs="Arial"/>
          <w:color w:val="000000" w:themeColor="text1"/>
          <w:szCs w:val="22"/>
        </w:rPr>
        <w:t>seagrass abundance (</w:t>
      </w:r>
      <w:r w:rsidR="00882B72" w:rsidRPr="00CB093C">
        <w:rPr>
          <w:rFonts w:ascii="Arial" w:hAnsi="Arial" w:cs="Arial"/>
          <w:color w:val="000000" w:themeColor="text1"/>
          <w:szCs w:val="22"/>
        </w:rPr>
        <w:t>%</w:t>
      </w:r>
      <w:r w:rsidRPr="00CB093C">
        <w:rPr>
          <w:rFonts w:ascii="Arial" w:hAnsi="Arial" w:cs="Arial"/>
          <w:color w:val="000000" w:themeColor="text1"/>
          <w:szCs w:val="22"/>
        </w:rPr>
        <w:t xml:space="preserve"> cover)</w:t>
      </w:r>
    </w:p>
    <w:p w14:paraId="4F2116B3" w14:textId="77777777" w:rsidR="006B3DD7" w:rsidRPr="00CB093C" w:rsidRDefault="006B3DD7" w:rsidP="00AD06D4">
      <w:pPr>
        <w:pStyle w:val="ListParagraph"/>
        <w:numPr>
          <w:ilvl w:val="0"/>
          <w:numId w:val="15"/>
        </w:numPr>
        <w:tabs>
          <w:tab w:val="left" w:pos="6804"/>
        </w:tabs>
        <w:rPr>
          <w:rFonts w:ascii="Arial" w:hAnsi="Arial" w:cs="Arial"/>
          <w:color w:val="000000" w:themeColor="text1"/>
          <w:szCs w:val="22"/>
        </w:rPr>
      </w:pPr>
      <w:r w:rsidRPr="00CB093C">
        <w:rPr>
          <w:rFonts w:ascii="Arial" w:hAnsi="Arial" w:cs="Arial"/>
          <w:color w:val="000000" w:themeColor="text1"/>
          <w:szCs w:val="22"/>
        </w:rPr>
        <w:t>reproductive effort</w:t>
      </w:r>
    </w:p>
    <w:p w14:paraId="3D426007" w14:textId="588BC670" w:rsidR="006B3DD7" w:rsidRPr="00CB093C" w:rsidRDefault="006B3DD7" w:rsidP="00AD06D4">
      <w:pPr>
        <w:pStyle w:val="ListParagraph"/>
        <w:numPr>
          <w:ilvl w:val="0"/>
          <w:numId w:val="15"/>
        </w:numPr>
        <w:rPr>
          <w:rFonts w:ascii="Arial" w:hAnsi="Arial" w:cs="Arial"/>
          <w:szCs w:val="22"/>
        </w:rPr>
      </w:pPr>
      <w:r w:rsidRPr="00CB093C">
        <w:rPr>
          <w:rFonts w:ascii="Arial" w:hAnsi="Arial" w:cs="Arial"/>
          <w:szCs w:val="22"/>
        </w:rPr>
        <w:t>leaf tissue nutrients.</w:t>
      </w:r>
    </w:p>
    <w:p w14:paraId="1066EB40" w14:textId="676BD584" w:rsidR="006B3DD7" w:rsidRPr="00CB093C" w:rsidRDefault="00267DD0" w:rsidP="006B3DD7">
      <w:pPr>
        <w:rPr>
          <w:rFonts w:ascii="Arial" w:hAnsi="Arial" w:cs="Arial"/>
          <w:szCs w:val="22"/>
          <w:lang w:val="en-GB"/>
        </w:rPr>
      </w:pPr>
      <w:r w:rsidRPr="00CB093C">
        <w:rPr>
          <w:rFonts w:ascii="Arial" w:hAnsi="Arial" w:cs="Arial"/>
          <w:szCs w:val="22"/>
        </w:rPr>
        <w:t xml:space="preserve">Each indicator is equally weighted, in accordance with </w:t>
      </w:r>
      <w:r w:rsidRPr="00CB093C">
        <w:rPr>
          <w:rFonts w:ascii="Arial" w:hAnsi="Arial" w:cs="Arial"/>
          <w:szCs w:val="22"/>
          <w:lang w:val="en-US"/>
        </w:rPr>
        <w:t xml:space="preserve">the Paddock to Reef Integration Team’s original </w:t>
      </w:r>
      <w:r w:rsidR="009E0200" w:rsidRPr="00CB093C">
        <w:rPr>
          <w:rFonts w:ascii="Arial" w:hAnsi="Arial" w:cs="Arial"/>
          <w:szCs w:val="22"/>
        </w:rPr>
        <w:t>recommendations</w:t>
      </w:r>
      <w:r w:rsidRPr="00CB093C">
        <w:rPr>
          <w:rFonts w:ascii="Arial" w:hAnsi="Arial" w:cs="Arial"/>
          <w:szCs w:val="22"/>
          <w:lang w:val="en-GB"/>
        </w:rPr>
        <w:t xml:space="preserve">. </w:t>
      </w:r>
    </w:p>
    <w:p w14:paraId="42675ABC" w14:textId="05489B65" w:rsidR="006B3DD7" w:rsidRPr="00CB093C" w:rsidRDefault="00267DD0" w:rsidP="006B3DD7">
      <w:pPr>
        <w:rPr>
          <w:rFonts w:ascii="Arial" w:hAnsi="Arial" w:cs="Arial"/>
          <w:szCs w:val="22"/>
          <w:lang w:val="en-GB"/>
        </w:rPr>
      </w:pPr>
      <w:r w:rsidRPr="00CB093C">
        <w:rPr>
          <w:rFonts w:ascii="Arial" w:hAnsi="Arial" w:cs="Arial"/>
          <w:szCs w:val="22"/>
          <w:lang w:val="en-GB"/>
        </w:rPr>
        <w:t xml:space="preserve">Until the </w:t>
      </w:r>
      <w:r w:rsidR="00303B49" w:rsidRPr="00CB093C">
        <w:rPr>
          <w:rFonts w:ascii="Arial" w:hAnsi="Arial" w:cs="Arial"/>
          <w:szCs w:val="22"/>
          <w:lang w:val="en-US"/>
        </w:rPr>
        <w:t xml:space="preserve">Paddock to Reef </w:t>
      </w:r>
      <w:r w:rsidRPr="00CB093C">
        <w:rPr>
          <w:rFonts w:ascii="Arial" w:hAnsi="Arial" w:cs="Arial"/>
          <w:szCs w:val="22"/>
          <w:lang w:val="en-GB"/>
        </w:rPr>
        <w:t xml:space="preserve">Independent Science Panel </w:t>
      </w:r>
      <w:r w:rsidR="00170DD9" w:rsidRPr="00CB093C">
        <w:rPr>
          <w:rFonts w:ascii="Arial" w:hAnsi="Arial" w:cs="Arial"/>
          <w:szCs w:val="22"/>
          <w:lang w:val="en-GB"/>
        </w:rPr>
        <w:t>has reviewed</w:t>
      </w:r>
      <w:r w:rsidRPr="00CB093C">
        <w:rPr>
          <w:rFonts w:ascii="Arial" w:hAnsi="Arial" w:cs="Arial"/>
          <w:szCs w:val="22"/>
          <w:lang w:val="en-GB"/>
        </w:rPr>
        <w:t xml:space="preserve"> the findings and recommendations</w:t>
      </w:r>
      <w:r w:rsidR="00170DD9" w:rsidRPr="00CB093C">
        <w:rPr>
          <w:rFonts w:ascii="Arial" w:hAnsi="Arial" w:cs="Arial"/>
          <w:szCs w:val="22"/>
          <w:lang w:val="en-GB"/>
        </w:rPr>
        <w:t xml:space="preserve"> of the case study, the equal weighting previous</w:t>
      </w:r>
      <w:r w:rsidR="00B52DB6" w:rsidRPr="00CB093C">
        <w:rPr>
          <w:rFonts w:ascii="Arial" w:hAnsi="Arial" w:cs="Arial"/>
          <w:szCs w:val="22"/>
          <w:lang w:val="en-GB"/>
        </w:rPr>
        <w:t>ly</w:t>
      </w:r>
      <w:r w:rsidR="00170DD9" w:rsidRPr="00CB093C">
        <w:rPr>
          <w:rFonts w:ascii="Arial" w:hAnsi="Arial" w:cs="Arial"/>
          <w:szCs w:val="22"/>
          <w:lang w:val="en-GB"/>
        </w:rPr>
        <w:t xml:space="preserve"> used will remain. </w:t>
      </w:r>
    </w:p>
    <w:p w14:paraId="59D4419F" w14:textId="0796CC23" w:rsidR="003D1F7F" w:rsidRPr="00CB093C" w:rsidRDefault="003D1F7F" w:rsidP="006B3DD7">
      <w:pPr>
        <w:rPr>
          <w:rFonts w:ascii="Arial" w:hAnsi="Arial" w:cs="Arial"/>
          <w:szCs w:val="22"/>
        </w:rPr>
      </w:pPr>
      <w:r w:rsidRPr="00CB093C">
        <w:rPr>
          <w:rFonts w:ascii="Arial" w:hAnsi="Arial" w:cs="Arial"/>
          <w:szCs w:val="22"/>
        </w:rPr>
        <w:t xml:space="preserve">To calculate the overall score for seagrass of the </w:t>
      </w:r>
      <w:r w:rsidR="006B3DD7" w:rsidRPr="00CB093C">
        <w:rPr>
          <w:rFonts w:ascii="Arial" w:hAnsi="Arial" w:cs="Arial"/>
          <w:szCs w:val="22"/>
        </w:rPr>
        <w:t>Reef</w:t>
      </w:r>
      <w:r w:rsidRPr="00CB093C">
        <w:rPr>
          <w:rFonts w:ascii="Arial" w:hAnsi="Arial" w:cs="Arial"/>
          <w:szCs w:val="22"/>
        </w:rPr>
        <w:t xml:space="preserve">, the regional scores were weighted on the percentage of </w:t>
      </w:r>
      <w:r w:rsidR="006B3DD7" w:rsidRPr="00CB093C">
        <w:rPr>
          <w:rFonts w:ascii="Arial" w:hAnsi="Arial" w:cs="Arial"/>
          <w:szCs w:val="22"/>
        </w:rPr>
        <w:t xml:space="preserve">World Heritage Area </w:t>
      </w:r>
      <w:r w:rsidRPr="00CB093C">
        <w:rPr>
          <w:rFonts w:ascii="Arial" w:hAnsi="Arial" w:cs="Arial"/>
          <w:szCs w:val="22"/>
        </w:rPr>
        <w:t>seagrass (shallower than 15</w:t>
      </w:r>
      <w:r w:rsidR="006B3DD7" w:rsidRPr="00CB093C">
        <w:rPr>
          <w:rFonts w:ascii="Arial" w:hAnsi="Arial" w:cs="Arial"/>
          <w:szCs w:val="22"/>
        </w:rPr>
        <w:t xml:space="preserve"> </w:t>
      </w:r>
      <w:r w:rsidRPr="00CB093C">
        <w:rPr>
          <w:rFonts w:ascii="Arial" w:hAnsi="Arial" w:cs="Arial"/>
          <w:szCs w:val="22"/>
        </w:rPr>
        <w:t>m) within that region (</w:t>
      </w:r>
      <w:r w:rsidR="00F16C11" w:rsidRPr="00CB093C">
        <w:rPr>
          <w:rFonts w:ascii="Arial" w:hAnsi="Arial" w:cs="Arial"/>
          <w:szCs w:val="22"/>
        </w:rPr>
        <w:fldChar w:fldCharType="begin"/>
      </w:r>
      <w:r w:rsidR="00F16C11" w:rsidRPr="00CB093C">
        <w:rPr>
          <w:rFonts w:ascii="Arial" w:hAnsi="Arial" w:cs="Arial"/>
          <w:szCs w:val="22"/>
        </w:rPr>
        <w:instrText xml:space="preserve"> REF _Ref442523609 \h </w:instrText>
      </w:r>
      <w:r w:rsidR="00DA741D" w:rsidRPr="00CB093C">
        <w:rPr>
          <w:rFonts w:ascii="Arial" w:hAnsi="Arial" w:cs="Arial"/>
          <w:szCs w:val="22"/>
        </w:rPr>
        <w:instrText xml:space="preserve"> \* MERGEFORMAT </w:instrText>
      </w:r>
      <w:r w:rsidR="00F16C11" w:rsidRPr="00CB093C">
        <w:rPr>
          <w:rFonts w:ascii="Arial" w:hAnsi="Arial" w:cs="Arial"/>
          <w:szCs w:val="22"/>
        </w:rPr>
      </w:r>
      <w:r w:rsidR="00F16C11" w:rsidRPr="00CB093C">
        <w:rPr>
          <w:rFonts w:ascii="Arial" w:hAnsi="Arial" w:cs="Arial"/>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7</w:t>
      </w:r>
      <w:r w:rsidR="00F16C11" w:rsidRPr="00CB093C">
        <w:rPr>
          <w:rFonts w:ascii="Arial" w:hAnsi="Arial" w:cs="Arial"/>
          <w:szCs w:val="22"/>
        </w:rPr>
        <w:fldChar w:fldCharType="end"/>
      </w:r>
      <w:r w:rsidRPr="00CB093C">
        <w:rPr>
          <w:rFonts w:ascii="Arial" w:hAnsi="Arial" w:cs="Arial"/>
          <w:szCs w:val="22"/>
        </w:rPr>
        <w:t xml:space="preserve">). </w:t>
      </w:r>
      <w:r w:rsidRPr="00CB093C">
        <w:rPr>
          <w:rFonts w:ascii="Arial" w:hAnsi="Arial" w:cs="Arial"/>
          <w:i/>
          <w:szCs w:val="22"/>
        </w:rPr>
        <w:t>Please note: Cape York omitted from the score in reporting prior to 2012 due to poor representation of inshore monitoring sites</w:t>
      </w:r>
      <w:r w:rsidRPr="00CB093C">
        <w:rPr>
          <w:rFonts w:ascii="Arial" w:hAnsi="Arial" w:cs="Arial"/>
          <w:szCs w:val="22"/>
        </w:rPr>
        <w:t>.</w:t>
      </w:r>
    </w:p>
    <w:p w14:paraId="039AFAD0" w14:textId="77777777" w:rsidR="00F26FBD" w:rsidRPr="00CB093C" w:rsidRDefault="00F26FBD" w:rsidP="00E742E9">
      <w:pPr>
        <w:spacing w:before="240"/>
        <w:rPr>
          <w:rFonts w:ascii="Arial" w:hAnsi="Arial" w:cs="Arial"/>
          <w:szCs w:val="22"/>
        </w:rPr>
      </w:pPr>
    </w:p>
    <w:p w14:paraId="23C1604D" w14:textId="0598F86C" w:rsidR="0067177B" w:rsidRPr="00CB093C" w:rsidRDefault="003D1F7F" w:rsidP="0067177B">
      <w:pPr>
        <w:jc w:val="center"/>
        <w:rPr>
          <w:rFonts w:ascii="Arial" w:hAnsi="Arial" w:cs="Arial"/>
          <w:i/>
          <w:vanish/>
          <w:color w:val="000000"/>
          <w:szCs w:val="22"/>
          <w:specVanish/>
        </w:rPr>
      </w:pPr>
      <w:bookmarkStart w:id="127" w:name="_Ref442523609"/>
      <w:bookmarkStart w:id="128" w:name="_Toc5616035"/>
      <w:r w:rsidRPr="00CB093C">
        <w:rPr>
          <w:rFonts w:ascii="Arial" w:hAnsi="Arial" w:cs="Arial"/>
          <w:color w:val="000000"/>
          <w:szCs w:val="22"/>
        </w:rPr>
        <w:t xml:space="preserve">Table </w:t>
      </w:r>
      <w:r w:rsidRPr="00CB093C">
        <w:rPr>
          <w:rFonts w:ascii="Arial" w:hAnsi="Arial" w:cs="Arial"/>
          <w:color w:val="000000"/>
          <w:szCs w:val="22"/>
        </w:rPr>
        <w:fldChar w:fldCharType="begin"/>
      </w:r>
      <w:r w:rsidRPr="00CB093C">
        <w:rPr>
          <w:rFonts w:ascii="Arial" w:hAnsi="Arial" w:cs="Arial"/>
          <w:color w:val="000000"/>
          <w:szCs w:val="22"/>
        </w:rPr>
        <w:instrText xml:space="preserve"> SEQ Table \* ARABIC </w:instrText>
      </w:r>
      <w:r w:rsidRPr="00CB093C">
        <w:rPr>
          <w:rFonts w:ascii="Arial" w:hAnsi="Arial" w:cs="Arial"/>
          <w:color w:val="000000"/>
          <w:szCs w:val="22"/>
        </w:rPr>
        <w:fldChar w:fldCharType="separate"/>
      </w:r>
      <w:r w:rsidR="005F00D4">
        <w:rPr>
          <w:rFonts w:ascii="Arial" w:hAnsi="Arial" w:cs="Arial"/>
          <w:noProof/>
          <w:color w:val="000000"/>
          <w:szCs w:val="22"/>
        </w:rPr>
        <w:t>7</w:t>
      </w:r>
      <w:r w:rsidRPr="00CB093C">
        <w:rPr>
          <w:rFonts w:ascii="Arial" w:hAnsi="Arial" w:cs="Arial"/>
          <w:color w:val="000000"/>
          <w:szCs w:val="22"/>
        </w:rPr>
        <w:fldChar w:fldCharType="end"/>
      </w:r>
      <w:bookmarkEnd w:id="127"/>
      <w:r w:rsidRPr="00CB093C">
        <w:rPr>
          <w:rFonts w:ascii="Arial" w:hAnsi="Arial" w:cs="Arial"/>
          <w:color w:val="000000"/>
          <w:szCs w:val="22"/>
        </w:rPr>
        <w:t xml:space="preserve">. </w:t>
      </w:r>
      <w:r w:rsidR="002868F2" w:rsidRPr="00CB093C">
        <w:rPr>
          <w:rFonts w:ascii="Arial" w:hAnsi="Arial" w:cs="Arial"/>
          <w:i/>
          <w:color w:val="000000"/>
          <w:szCs w:val="22"/>
        </w:rPr>
        <w:t>Area of seagrass shallower than 15</w:t>
      </w:r>
      <w:r w:rsidR="00303B49" w:rsidRPr="00CB093C">
        <w:rPr>
          <w:rFonts w:ascii="Arial" w:hAnsi="Arial" w:cs="Arial"/>
          <w:i/>
          <w:color w:val="000000"/>
          <w:szCs w:val="22"/>
        </w:rPr>
        <w:t xml:space="preserve"> </w:t>
      </w:r>
      <w:r w:rsidR="002868F2" w:rsidRPr="00CB093C">
        <w:rPr>
          <w:rFonts w:ascii="Arial" w:hAnsi="Arial" w:cs="Arial"/>
          <w:i/>
          <w:color w:val="000000"/>
          <w:szCs w:val="22"/>
        </w:rPr>
        <w:t xml:space="preserve">m in each region </w:t>
      </w:r>
      <w:r w:rsidR="0067177B" w:rsidRPr="00CB093C">
        <w:rPr>
          <w:rFonts w:ascii="Arial" w:hAnsi="Arial" w:cs="Arial"/>
          <w:i/>
          <w:color w:val="000000"/>
          <w:szCs w:val="22"/>
        </w:rPr>
        <w:t>within the boundaries of the World Heritage Area.</w:t>
      </w:r>
      <w:bookmarkEnd w:id="128"/>
    </w:p>
    <w:p w14:paraId="3EE66162" w14:textId="65E1108E" w:rsidR="003D1F7F" w:rsidRPr="00CB093C" w:rsidRDefault="002868F2" w:rsidP="0067177B">
      <w:pPr>
        <w:ind w:left="360"/>
        <w:jc w:val="center"/>
        <w:rPr>
          <w:rFonts w:ascii="Arial" w:hAnsi="Arial" w:cs="Arial"/>
          <w:i/>
          <w:color w:val="000000"/>
          <w:szCs w:val="22"/>
        </w:rPr>
      </w:pPr>
      <w:r w:rsidRPr="00CB093C">
        <w:rPr>
          <w:rFonts w:ascii="Arial" w:hAnsi="Arial" w:cs="Arial"/>
          <w:i/>
          <w:color w:val="000000"/>
          <w:szCs w:val="22"/>
        </w:rPr>
        <w:t>(from</w:t>
      </w:r>
      <w:r w:rsidR="0078520E" w:rsidRPr="00CB093C">
        <w:rPr>
          <w:rFonts w:ascii="Arial" w:hAnsi="Arial" w:cs="Arial"/>
          <w:i/>
          <w:color w:val="000000"/>
          <w:szCs w:val="22"/>
        </w:rPr>
        <w:t xml:space="preserve"> </w:t>
      </w:r>
      <w:r w:rsidRPr="00CB093C">
        <w:rPr>
          <w:rFonts w:ascii="Arial" w:hAnsi="Arial" w:cs="Arial"/>
          <w:i/>
          <w:color w:val="000000"/>
          <w:szCs w:val="22"/>
        </w:rPr>
        <w:fldChar w:fldCharType="begin">
          <w:fldData xml:space="preserve">PEVuZE5vdGU+PENpdGU+PEF1dGhvcj5NY0tlbnppZTwvQXV0aG9yPjxZZWFyPjIwMTQ8L1llYXI+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</w:fldData>
        </w:fldChar>
      </w:r>
      <w:r w:rsidR="00B63A1C" w:rsidRPr="00CB093C">
        <w:rPr>
          <w:rFonts w:ascii="Arial" w:hAnsi="Arial" w:cs="Arial"/>
          <w:i/>
          <w:color w:val="000000"/>
          <w:szCs w:val="22"/>
        </w:rPr>
        <w:instrText xml:space="preserve"> ADDIN EN.CITE </w:instrText>
      </w:r>
      <w:r w:rsidR="00B63A1C" w:rsidRPr="00CB093C">
        <w:rPr>
          <w:rFonts w:ascii="Arial" w:hAnsi="Arial" w:cs="Arial"/>
          <w:i/>
          <w:color w:val="000000"/>
          <w:szCs w:val="22"/>
        </w:rPr>
        <w:fldChar w:fldCharType="begin">
          <w:fldData xml:space="preserve">PEVuZE5vdGU+PENpdGU+PEF1dGhvcj5NY0tlbnppZTwvQXV0aG9yPjxZZWFyPjIwMTQ8L1llYXI+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</w:fldData>
        </w:fldChar>
      </w:r>
      <w:r w:rsidR="00B63A1C" w:rsidRPr="00CB093C">
        <w:rPr>
          <w:rFonts w:ascii="Arial" w:hAnsi="Arial" w:cs="Arial"/>
          <w:i/>
          <w:color w:val="000000"/>
          <w:szCs w:val="22"/>
        </w:rPr>
        <w:instrText xml:space="preserve"> ADDIN EN.CITE.DATA </w:instrText>
      </w:r>
      <w:r w:rsidR="00B63A1C" w:rsidRPr="00CB093C">
        <w:rPr>
          <w:rFonts w:ascii="Arial" w:hAnsi="Arial" w:cs="Arial"/>
          <w:i/>
          <w:color w:val="000000"/>
          <w:szCs w:val="22"/>
        </w:rPr>
      </w:r>
      <w:r w:rsidR="00B63A1C" w:rsidRPr="00CB093C">
        <w:rPr>
          <w:rFonts w:ascii="Arial" w:hAnsi="Arial" w:cs="Arial"/>
          <w:i/>
          <w:color w:val="000000"/>
          <w:szCs w:val="22"/>
        </w:rPr>
        <w:fldChar w:fldCharType="end"/>
      </w:r>
      <w:r w:rsidRPr="00CB093C">
        <w:rPr>
          <w:rFonts w:ascii="Arial" w:hAnsi="Arial" w:cs="Arial"/>
          <w:i/>
          <w:color w:val="000000"/>
          <w:szCs w:val="22"/>
        </w:rPr>
      </w:r>
      <w:r w:rsidRPr="00CB093C">
        <w:rPr>
          <w:rFonts w:ascii="Arial" w:hAnsi="Arial" w:cs="Arial"/>
          <w:i/>
          <w:color w:val="000000"/>
          <w:szCs w:val="22"/>
        </w:rPr>
        <w:fldChar w:fldCharType="separate"/>
      </w:r>
      <w:hyperlink w:anchor="_ENREF_109" w:tooltip="McKenzie, 2014 #9838" w:history="1">
        <w:r w:rsidR="00513C39" w:rsidRPr="00CB093C">
          <w:rPr>
            <w:rFonts w:ascii="Arial" w:hAnsi="Arial" w:cs="Arial"/>
            <w:i/>
            <w:noProof/>
            <w:color w:val="000000"/>
            <w:szCs w:val="22"/>
          </w:rPr>
          <w:t>McKenzie et al. 2014b</w:t>
        </w:r>
      </w:hyperlink>
      <w:r w:rsidR="00B63A1C" w:rsidRPr="00CB093C">
        <w:rPr>
          <w:rFonts w:ascii="Arial" w:hAnsi="Arial" w:cs="Arial"/>
          <w:i/>
          <w:noProof/>
          <w:color w:val="000000"/>
          <w:szCs w:val="22"/>
        </w:rPr>
        <w:t xml:space="preserve">; </w:t>
      </w:r>
      <w:hyperlink w:anchor="_ENREF_110" w:tooltip="McKenzie, 2014 #9961" w:history="1">
        <w:r w:rsidR="00513C39" w:rsidRPr="00CB093C">
          <w:rPr>
            <w:rFonts w:ascii="Arial" w:hAnsi="Arial" w:cs="Arial"/>
            <w:i/>
            <w:noProof/>
            <w:color w:val="000000"/>
            <w:szCs w:val="22"/>
          </w:rPr>
          <w:t>McKenzie et al. 2014c</w:t>
        </w:r>
      </w:hyperlink>
      <w:r w:rsidR="00B63A1C" w:rsidRPr="00CB093C">
        <w:rPr>
          <w:rFonts w:ascii="Arial" w:hAnsi="Arial" w:cs="Arial"/>
          <w:i/>
          <w:noProof/>
          <w:color w:val="000000"/>
          <w:szCs w:val="22"/>
        </w:rPr>
        <w:t xml:space="preserve">; </w:t>
      </w:r>
      <w:hyperlink w:anchor="_ENREF_22" w:tooltip="Carter, 2016 #10578" w:history="1">
        <w:r w:rsidR="00513C39" w:rsidRPr="00CB093C">
          <w:rPr>
            <w:rFonts w:ascii="Arial" w:hAnsi="Arial" w:cs="Arial"/>
            <w:i/>
            <w:noProof/>
            <w:color w:val="000000"/>
            <w:szCs w:val="22"/>
          </w:rPr>
          <w:t>Carter et al. 2016</w:t>
        </w:r>
      </w:hyperlink>
      <w:r w:rsidR="00B63A1C" w:rsidRPr="00CB093C">
        <w:rPr>
          <w:rFonts w:ascii="Arial" w:hAnsi="Arial" w:cs="Arial"/>
          <w:i/>
          <w:noProof/>
          <w:color w:val="000000"/>
          <w:szCs w:val="22"/>
        </w:rPr>
        <w:t xml:space="preserve">; </w:t>
      </w:r>
      <w:hyperlink w:anchor="_ENREF_148" w:tooltip="Waterhouse, 2016 #10665" w:history="1">
        <w:r w:rsidR="00513C39" w:rsidRPr="00CB093C">
          <w:rPr>
            <w:rFonts w:ascii="Arial" w:hAnsi="Arial" w:cs="Arial"/>
            <w:i/>
            <w:noProof/>
            <w:color w:val="000000"/>
            <w:szCs w:val="22"/>
          </w:rPr>
          <w:t>Waterhouse et al. 2016</w:t>
        </w:r>
      </w:hyperlink>
      <w:r w:rsidRPr="00CB093C">
        <w:rPr>
          <w:rFonts w:ascii="Arial" w:hAnsi="Arial" w:cs="Arial"/>
          <w:i/>
          <w:color w:val="000000"/>
          <w:szCs w:val="22"/>
        </w:rPr>
        <w:fldChar w:fldCharType="end"/>
      </w:r>
      <w:r w:rsidRPr="00CB093C">
        <w:rPr>
          <w:rFonts w:ascii="Arial" w:hAnsi="Arial" w:cs="Arial"/>
          <w:i/>
          <w:color w:val="000000"/>
          <w:szCs w:val="22"/>
        </w:rPr>
        <w:t>).</w:t>
      </w:r>
    </w:p>
    <w:tbl>
      <w:tblPr>
        <w:tblW w:w="7362" w:type="dxa"/>
        <w:jc w:val="center"/>
        <w:tblLook w:val="04A0" w:firstRow="1" w:lastRow="0" w:firstColumn="1" w:lastColumn="0" w:noHBand="0" w:noVBand="1"/>
      </w:tblPr>
      <w:tblGrid>
        <w:gridCol w:w="2660"/>
        <w:gridCol w:w="2360"/>
        <w:gridCol w:w="2342"/>
      </w:tblGrid>
      <w:tr w:rsidR="0070343A" w:rsidRPr="00CB093C" w14:paraId="34683CF3" w14:textId="77777777" w:rsidTr="00C26801">
        <w:trPr>
          <w:trHeight w:val="290"/>
          <w:jc w:val="center"/>
        </w:trPr>
        <w:tc>
          <w:tcPr>
            <w:tcW w:w="2660" w:type="dxa"/>
            <w:tcBorders>
              <w:top w:val="single" w:sz="4" w:space="0" w:color="auto"/>
              <w:left w:val="nil"/>
              <w:bottom w:val="single" w:sz="4" w:space="0" w:color="auto"/>
              <w:right w:val="nil"/>
            </w:tcBorders>
            <w:shd w:val="clear" w:color="auto" w:fill="BBE0E3"/>
            <w:noWrap/>
            <w:vAlign w:val="center"/>
            <w:hideMark/>
          </w:tcPr>
          <w:p w14:paraId="7C70BED0" w14:textId="77777777" w:rsidR="0070343A" w:rsidRPr="00CB093C" w:rsidRDefault="0070343A" w:rsidP="00C26801">
            <w:pPr>
              <w:spacing w:before="0" w:after="0"/>
              <w:jc w:val="center"/>
              <w:rPr>
                <w:rFonts w:ascii="Arial" w:hAnsi="Arial" w:cs="Arial"/>
                <w:b/>
                <w:color w:val="000000"/>
                <w:szCs w:val="22"/>
                <w:lang w:val="en-US"/>
              </w:rPr>
            </w:pPr>
            <w:r w:rsidRPr="00CB093C">
              <w:rPr>
                <w:rFonts w:ascii="Arial" w:hAnsi="Arial" w:cs="Arial"/>
                <w:b/>
                <w:color w:val="000000"/>
                <w:szCs w:val="22"/>
                <w:lang w:val="en-US"/>
              </w:rPr>
              <w:t>NRM</w:t>
            </w:r>
          </w:p>
        </w:tc>
        <w:tc>
          <w:tcPr>
            <w:tcW w:w="2360" w:type="dxa"/>
            <w:tcBorders>
              <w:top w:val="single" w:sz="4" w:space="0" w:color="auto"/>
              <w:left w:val="nil"/>
              <w:bottom w:val="single" w:sz="4" w:space="0" w:color="auto"/>
              <w:right w:val="nil"/>
            </w:tcBorders>
            <w:shd w:val="clear" w:color="auto" w:fill="BBE0E3"/>
            <w:noWrap/>
            <w:vAlign w:val="center"/>
            <w:hideMark/>
          </w:tcPr>
          <w:p w14:paraId="0C5530DF" w14:textId="77777777" w:rsidR="0070343A" w:rsidRPr="00CB093C" w:rsidRDefault="0070343A" w:rsidP="00C26801">
            <w:pPr>
              <w:spacing w:before="0" w:after="0"/>
              <w:jc w:val="center"/>
              <w:rPr>
                <w:rFonts w:ascii="Arial" w:hAnsi="Arial" w:cs="Arial"/>
                <w:b/>
                <w:color w:val="000000"/>
                <w:szCs w:val="22"/>
                <w:lang w:val="en-US"/>
              </w:rPr>
            </w:pPr>
            <w:r w:rsidRPr="00CB093C">
              <w:rPr>
                <w:rFonts w:ascii="Arial" w:hAnsi="Arial" w:cs="Arial"/>
                <w:b/>
                <w:color w:val="000000"/>
                <w:szCs w:val="22"/>
                <w:lang w:val="en-US"/>
              </w:rPr>
              <w:t xml:space="preserve">Area of seagrass </w:t>
            </w:r>
            <w:r w:rsidRPr="00CB093C">
              <w:rPr>
                <w:rFonts w:ascii="Arial" w:hAnsi="Arial" w:cs="Arial"/>
                <w:color w:val="000000"/>
                <w:szCs w:val="22"/>
                <w:lang w:val="en-US"/>
              </w:rPr>
              <w:t>(km</w:t>
            </w:r>
            <w:r w:rsidRPr="00CB093C">
              <w:rPr>
                <w:rFonts w:ascii="Arial" w:hAnsi="Arial" w:cs="Arial"/>
                <w:color w:val="000000"/>
                <w:szCs w:val="22"/>
                <w:vertAlign w:val="superscript"/>
                <w:lang w:val="en-US"/>
              </w:rPr>
              <w:t>2</w:t>
            </w:r>
            <w:r w:rsidRPr="00CB093C">
              <w:rPr>
                <w:rFonts w:ascii="Arial" w:hAnsi="Arial" w:cs="Arial"/>
                <w:color w:val="000000"/>
                <w:szCs w:val="22"/>
                <w:lang w:val="en-US"/>
              </w:rPr>
              <w:t>)</w:t>
            </w:r>
          </w:p>
        </w:tc>
        <w:tc>
          <w:tcPr>
            <w:tcW w:w="2342" w:type="dxa"/>
            <w:tcBorders>
              <w:top w:val="single" w:sz="4" w:space="0" w:color="auto"/>
              <w:left w:val="nil"/>
              <w:bottom w:val="single" w:sz="4" w:space="0" w:color="auto"/>
              <w:right w:val="nil"/>
            </w:tcBorders>
            <w:shd w:val="clear" w:color="auto" w:fill="BBE0E3"/>
            <w:noWrap/>
            <w:vAlign w:val="center"/>
            <w:hideMark/>
          </w:tcPr>
          <w:p w14:paraId="3B407F81" w14:textId="27316A5F" w:rsidR="0070343A" w:rsidRPr="00CB093C" w:rsidRDefault="00C26801" w:rsidP="00C26801">
            <w:pPr>
              <w:spacing w:before="0" w:after="0"/>
              <w:jc w:val="center"/>
              <w:rPr>
                <w:rFonts w:ascii="Arial" w:hAnsi="Arial" w:cs="Arial"/>
                <w:b/>
                <w:color w:val="000000"/>
                <w:szCs w:val="22"/>
                <w:lang w:val="en-US"/>
              </w:rPr>
            </w:pPr>
            <w:r w:rsidRPr="00CB093C">
              <w:rPr>
                <w:rFonts w:ascii="Arial" w:hAnsi="Arial" w:cs="Arial"/>
                <w:b/>
                <w:color w:val="000000"/>
                <w:szCs w:val="22"/>
                <w:lang w:val="en-US"/>
              </w:rPr>
              <w:t>Per cent</w:t>
            </w:r>
            <w:r w:rsidR="0070343A" w:rsidRPr="00CB093C">
              <w:rPr>
                <w:rFonts w:ascii="Arial" w:hAnsi="Arial" w:cs="Arial"/>
                <w:b/>
                <w:color w:val="000000"/>
                <w:szCs w:val="22"/>
                <w:lang w:val="en-US"/>
              </w:rPr>
              <w:t xml:space="preserve"> of </w:t>
            </w:r>
            <w:r w:rsidRPr="00CB093C">
              <w:rPr>
                <w:rFonts w:ascii="Arial" w:hAnsi="Arial" w:cs="Arial"/>
                <w:b/>
                <w:color w:val="000000"/>
                <w:szCs w:val="22"/>
                <w:lang w:val="en-US"/>
              </w:rPr>
              <w:t>World Heritage Area</w:t>
            </w:r>
          </w:p>
        </w:tc>
      </w:tr>
      <w:tr w:rsidR="0070343A" w:rsidRPr="00CB093C" w14:paraId="26D56571" w14:textId="77777777" w:rsidTr="0091359C">
        <w:trPr>
          <w:trHeight w:val="290"/>
          <w:jc w:val="center"/>
        </w:trPr>
        <w:tc>
          <w:tcPr>
            <w:tcW w:w="2660" w:type="dxa"/>
            <w:shd w:val="clear" w:color="auto" w:fill="F3F9FA"/>
            <w:noWrap/>
            <w:vAlign w:val="bottom"/>
            <w:hideMark/>
          </w:tcPr>
          <w:p w14:paraId="1DF6FBE3" w14:textId="77777777" w:rsidR="0070343A" w:rsidRPr="00CB093C" w:rsidRDefault="0070343A" w:rsidP="00E742E9">
            <w:pPr>
              <w:spacing w:before="0" w:after="0"/>
              <w:rPr>
                <w:rFonts w:ascii="Arial" w:hAnsi="Arial" w:cs="Arial"/>
                <w:szCs w:val="22"/>
                <w:lang w:eastAsia="en-AU"/>
              </w:rPr>
            </w:pPr>
            <w:r w:rsidRPr="00CB093C">
              <w:rPr>
                <w:rFonts w:ascii="Arial" w:hAnsi="Arial" w:cs="Arial"/>
                <w:szCs w:val="22"/>
                <w:lang w:eastAsia="en-AU"/>
              </w:rPr>
              <w:t xml:space="preserve">Cape York </w:t>
            </w:r>
          </w:p>
        </w:tc>
        <w:tc>
          <w:tcPr>
            <w:tcW w:w="2360" w:type="dxa"/>
            <w:shd w:val="clear" w:color="auto" w:fill="F3F9FA"/>
            <w:noWrap/>
            <w:vAlign w:val="bottom"/>
            <w:hideMark/>
          </w:tcPr>
          <w:p w14:paraId="272A037D"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2,078</w:t>
            </w:r>
          </w:p>
        </w:tc>
        <w:tc>
          <w:tcPr>
            <w:tcW w:w="2342" w:type="dxa"/>
            <w:shd w:val="clear" w:color="auto" w:fill="F3F9FA"/>
            <w:noWrap/>
            <w:vAlign w:val="bottom"/>
            <w:hideMark/>
          </w:tcPr>
          <w:p w14:paraId="11D4ABF4"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0.60</w:t>
            </w:r>
          </w:p>
        </w:tc>
      </w:tr>
      <w:tr w:rsidR="0070343A" w:rsidRPr="00CB093C" w14:paraId="3FA560A1" w14:textId="77777777" w:rsidTr="0091359C">
        <w:trPr>
          <w:trHeight w:val="290"/>
          <w:jc w:val="center"/>
        </w:trPr>
        <w:tc>
          <w:tcPr>
            <w:tcW w:w="2660" w:type="dxa"/>
            <w:shd w:val="clear" w:color="auto" w:fill="F3F9FA"/>
            <w:noWrap/>
            <w:vAlign w:val="bottom"/>
            <w:hideMark/>
          </w:tcPr>
          <w:p w14:paraId="63A1638F" w14:textId="77777777" w:rsidR="0070343A" w:rsidRPr="00CB093C" w:rsidRDefault="0070343A" w:rsidP="00E742E9">
            <w:pPr>
              <w:spacing w:before="0" w:after="0"/>
              <w:rPr>
                <w:rFonts w:ascii="Arial" w:hAnsi="Arial" w:cs="Arial"/>
                <w:szCs w:val="22"/>
                <w:lang w:eastAsia="en-AU"/>
              </w:rPr>
            </w:pPr>
            <w:r w:rsidRPr="00CB093C">
              <w:rPr>
                <w:rFonts w:ascii="Arial" w:hAnsi="Arial" w:cs="Arial"/>
                <w:szCs w:val="22"/>
                <w:lang w:eastAsia="en-AU"/>
              </w:rPr>
              <w:lastRenderedPageBreak/>
              <w:t xml:space="preserve">Wet Tropics </w:t>
            </w:r>
          </w:p>
        </w:tc>
        <w:tc>
          <w:tcPr>
            <w:tcW w:w="2360" w:type="dxa"/>
            <w:shd w:val="clear" w:color="auto" w:fill="F3F9FA"/>
            <w:noWrap/>
            <w:vAlign w:val="bottom"/>
            <w:hideMark/>
          </w:tcPr>
          <w:p w14:paraId="4175580A"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207</w:t>
            </w:r>
          </w:p>
        </w:tc>
        <w:tc>
          <w:tcPr>
            <w:tcW w:w="2342" w:type="dxa"/>
            <w:shd w:val="clear" w:color="auto" w:fill="F3F9FA"/>
            <w:noWrap/>
            <w:vAlign w:val="bottom"/>
            <w:hideMark/>
          </w:tcPr>
          <w:p w14:paraId="4DBF5179"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0.06</w:t>
            </w:r>
          </w:p>
        </w:tc>
      </w:tr>
      <w:tr w:rsidR="0070343A" w:rsidRPr="00CB093C" w14:paraId="708D3E06" w14:textId="77777777" w:rsidTr="0091359C">
        <w:trPr>
          <w:trHeight w:val="290"/>
          <w:jc w:val="center"/>
        </w:trPr>
        <w:tc>
          <w:tcPr>
            <w:tcW w:w="2660" w:type="dxa"/>
            <w:shd w:val="clear" w:color="auto" w:fill="F3F9FA"/>
            <w:noWrap/>
            <w:vAlign w:val="bottom"/>
            <w:hideMark/>
          </w:tcPr>
          <w:p w14:paraId="4678D9E1" w14:textId="77777777" w:rsidR="0070343A" w:rsidRPr="00CB093C" w:rsidRDefault="0070343A" w:rsidP="00E742E9">
            <w:pPr>
              <w:spacing w:before="0" w:after="0"/>
              <w:rPr>
                <w:rFonts w:ascii="Arial" w:hAnsi="Arial" w:cs="Arial"/>
                <w:szCs w:val="22"/>
                <w:lang w:eastAsia="en-AU"/>
              </w:rPr>
            </w:pPr>
            <w:r w:rsidRPr="00CB093C">
              <w:rPr>
                <w:rFonts w:ascii="Arial" w:hAnsi="Arial" w:cs="Arial"/>
                <w:szCs w:val="22"/>
                <w:lang w:eastAsia="en-AU"/>
              </w:rPr>
              <w:t xml:space="preserve">Burdekin </w:t>
            </w:r>
          </w:p>
        </w:tc>
        <w:tc>
          <w:tcPr>
            <w:tcW w:w="2360" w:type="dxa"/>
            <w:shd w:val="clear" w:color="auto" w:fill="F3F9FA"/>
            <w:noWrap/>
            <w:vAlign w:val="bottom"/>
            <w:hideMark/>
          </w:tcPr>
          <w:p w14:paraId="254B5AF7"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587</w:t>
            </w:r>
          </w:p>
        </w:tc>
        <w:tc>
          <w:tcPr>
            <w:tcW w:w="2342" w:type="dxa"/>
            <w:shd w:val="clear" w:color="auto" w:fill="F3F9FA"/>
            <w:noWrap/>
            <w:vAlign w:val="bottom"/>
            <w:hideMark/>
          </w:tcPr>
          <w:p w14:paraId="56ED817B"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0.17</w:t>
            </w:r>
          </w:p>
        </w:tc>
      </w:tr>
      <w:tr w:rsidR="0070343A" w:rsidRPr="00CB093C" w14:paraId="37253E85" w14:textId="77777777" w:rsidTr="0091359C">
        <w:trPr>
          <w:trHeight w:val="290"/>
          <w:jc w:val="center"/>
        </w:trPr>
        <w:tc>
          <w:tcPr>
            <w:tcW w:w="2660" w:type="dxa"/>
            <w:shd w:val="clear" w:color="auto" w:fill="F3F9FA"/>
            <w:noWrap/>
            <w:vAlign w:val="bottom"/>
            <w:hideMark/>
          </w:tcPr>
          <w:p w14:paraId="75914D0F" w14:textId="74102CD5" w:rsidR="0070343A" w:rsidRPr="00CB093C" w:rsidRDefault="00637325" w:rsidP="00E742E9">
            <w:pPr>
              <w:spacing w:before="0" w:after="0"/>
              <w:rPr>
                <w:rFonts w:ascii="Arial" w:hAnsi="Arial" w:cs="Arial"/>
                <w:szCs w:val="22"/>
                <w:lang w:eastAsia="en-AU"/>
              </w:rPr>
            </w:pPr>
            <w:r>
              <w:rPr>
                <w:rFonts w:ascii="Arial" w:hAnsi="Arial" w:cs="Arial"/>
                <w:szCs w:val="22"/>
                <w:lang w:eastAsia="en-AU"/>
              </w:rPr>
              <w:t>Mackay-Whitsunday</w:t>
            </w:r>
            <w:r w:rsidR="0070343A" w:rsidRPr="00CB093C">
              <w:rPr>
                <w:rFonts w:ascii="Arial" w:hAnsi="Arial" w:cs="Arial"/>
                <w:szCs w:val="22"/>
                <w:lang w:eastAsia="en-AU"/>
              </w:rPr>
              <w:t xml:space="preserve"> </w:t>
            </w:r>
          </w:p>
        </w:tc>
        <w:tc>
          <w:tcPr>
            <w:tcW w:w="2360" w:type="dxa"/>
            <w:shd w:val="clear" w:color="auto" w:fill="F3F9FA"/>
            <w:noWrap/>
            <w:vAlign w:val="bottom"/>
            <w:hideMark/>
          </w:tcPr>
          <w:p w14:paraId="62463368"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215</w:t>
            </w:r>
          </w:p>
        </w:tc>
        <w:tc>
          <w:tcPr>
            <w:tcW w:w="2342" w:type="dxa"/>
            <w:shd w:val="clear" w:color="auto" w:fill="F3F9FA"/>
            <w:noWrap/>
            <w:vAlign w:val="bottom"/>
            <w:hideMark/>
          </w:tcPr>
          <w:p w14:paraId="3A2EF978"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0.06</w:t>
            </w:r>
          </w:p>
        </w:tc>
      </w:tr>
      <w:tr w:rsidR="0070343A" w:rsidRPr="00CB093C" w14:paraId="7632F8A5" w14:textId="77777777" w:rsidTr="0091359C">
        <w:trPr>
          <w:trHeight w:val="290"/>
          <w:jc w:val="center"/>
        </w:trPr>
        <w:tc>
          <w:tcPr>
            <w:tcW w:w="2660" w:type="dxa"/>
            <w:shd w:val="clear" w:color="auto" w:fill="F3F9FA"/>
            <w:noWrap/>
            <w:vAlign w:val="bottom"/>
            <w:hideMark/>
          </w:tcPr>
          <w:p w14:paraId="2ADC4A8F" w14:textId="77777777" w:rsidR="0070343A" w:rsidRPr="00CB093C" w:rsidRDefault="0070343A" w:rsidP="00E742E9">
            <w:pPr>
              <w:spacing w:before="0" w:after="0"/>
              <w:rPr>
                <w:rFonts w:ascii="Arial" w:hAnsi="Arial" w:cs="Arial"/>
                <w:szCs w:val="22"/>
                <w:lang w:eastAsia="en-AU"/>
              </w:rPr>
            </w:pPr>
            <w:r w:rsidRPr="00CB093C">
              <w:rPr>
                <w:rFonts w:ascii="Arial" w:hAnsi="Arial" w:cs="Arial"/>
                <w:szCs w:val="22"/>
                <w:lang w:eastAsia="en-AU"/>
              </w:rPr>
              <w:t xml:space="preserve">Fitzroy </w:t>
            </w:r>
          </w:p>
        </w:tc>
        <w:tc>
          <w:tcPr>
            <w:tcW w:w="2360" w:type="dxa"/>
            <w:shd w:val="clear" w:color="auto" w:fill="F3F9FA"/>
            <w:noWrap/>
            <w:vAlign w:val="bottom"/>
            <w:hideMark/>
          </w:tcPr>
          <w:p w14:paraId="60252C69"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257</w:t>
            </w:r>
          </w:p>
        </w:tc>
        <w:tc>
          <w:tcPr>
            <w:tcW w:w="2342" w:type="dxa"/>
            <w:shd w:val="clear" w:color="auto" w:fill="F3F9FA"/>
            <w:noWrap/>
            <w:vAlign w:val="bottom"/>
            <w:hideMark/>
          </w:tcPr>
          <w:p w14:paraId="0D259788"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0.07</w:t>
            </w:r>
          </w:p>
        </w:tc>
      </w:tr>
      <w:tr w:rsidR="0070343A" w:rsidRPr="00CB093C" w14:paraId="3176EC45" w14:textId="77777777" w:rsidTr="0091359C">
        <w:trPr>
          <w:trHeight w:val="290"/>
          <w:jc w:val="center"/>
        </w:trPr>
        <w:tc>
          <w:tcPr>
            <w:tcW w:w="2660" w:type="dxa"/>
            <w:tcBorders>
              <w:top w:val="nil"/>
              <w:left w:val="nil"/>
              <w:bottom w:val="single" w:sz="4" w:space="0" w:color="auto"/>
              <w:right w:val="nil"/>
            </w:tcBorders>
            <w:shd w:val="clear" w:color="auto" w:fill="F3F9FA"/>
            <w:noWrap/>
            <w:vAlign w:val="bottom"/>
            <w:hideMark/>
          </w:tcPr>
          <w:p w14:paraId="1C79D3A5" w14:textId="77777777" w:rsidR="0070343A" w:rsidRPr="00CB093C" w:rsidRDefault="0070343A" w:rsidP="00E742E9">
            <w:pPr>
              <w:spacing w:before="0" w:after="0"/>
              <w:rPr>
                <w:rFonts w:ascii="Arial" w:hAnsi="Arial" w:cs="Arial"/>
                <w:szCs w:val="22"/>
                <w:lang w:eastAsia="en-AU"/>
              </w:rPr>
            </w:pPr>
            <w:r w:rsidRPr="00CB093C">
              <w:rPr>
                <w:rFonts w:ascii="Arial" w:hAnsi="Arial" w:cs="Arial"/>
                <w:szCs w:val="22"/>
                <w:lang w:eastAsia="en-AU"/>
              </w:rPr>
              <w:t xml:space="preserve">Burnett Mary </w:t>
            </w:r>
          </w:p>
        </w:tc>
        <w:tc>
          <w:tcPr>
            <w:tcW w:w="2360" w:type="dxa"/>
            <w:tcBorders>
              <w:top w:val="nil"/>
              <w:left w:val="nil"/>
              <w:bottom w:val="single" w:sz="4" w:space="0" w:color="auto"/>
              <w:right w:val="nil"/>
            </w:tcBorders>
            <w:shd w:val="clear" w:color="auto" w:fill="F3F9FA"/>
            <w:noWrap/>
            <w:vAlign w:val="bottom"/>
            <w:hideMark/>
          </w:tcPr>
          <w:p w14:paraId="08B9249B"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120</w:t>
            </w:r>
          </w:p>
        </w:tc>
        <w:tc>
          <w:tcPr>
            <w:tcW w:w="2342" w:type="dxa"/>
            <w:tcBorders>
              <w:top w:val="nil"/>
              <w:left w:val="nil"/>
              <w:bottom w:val="single" w:sz="4" w:space="0" w:color="auto"/>
              <w:right w:val="nil"/>
            </w:tcBorders>
            <w:shd w:val="clear" w:color="auto" w:fill="F3F9FA"/>
            <w:noWrap/>
            <w:vAlign w:val="bottom"/>
            <w:hideMark/>
          </w:tcPr>
          <w:p w14:paraId="41BE029C" w14:textId="77777777" w:rsidR="0070343A" w:rsidRPr="00CB093C" w:rsidRDefault="0070343A" w:rsidP="00E742E9">
            <w:pPr>
              <w:spacing w:before="0" w:after="0"/>
              <w:jc w:val="center"/>
              <w:rPr>
                <w:rFonts w:ascii="Arial" w:hAnsi="Arial" w:cs="Arial"/>
                <w:szCs w:val="22"/>
                <w:lang w:eastAsia="en-AU"/>
              </w:rPr>
            </w:pPr>
            <w:r w:rsidRPr="00CB093C">
              <w:rPr>
                <w:rFonts w:ascii="Arial" w:hAnsi="Arial" w:cs="Arial"/>
                <w:szCs w:val="22"/>
                <w:lang w:eastAsia="en-AU"/>
              </w:rPr>
              <w:t>0.03</w:t>
            </w:r>
          </w:p>
        </w:tc>
      </w:tr>
      <w:tr w:rsidR="0070343A" w:rsidRPr="00CB093C" w14:paraId="1F96180F" w14:textId="77777777" w:rsidTr="0091359C">
        <w:trPr>
          <w:trHeight w:val="290"/>
          <w:jc w:val="center"/>
        </w:trPr>
        <w:tc>
          <w:tcPr>
            <w:tcW w:w="2660" w:type="dxa"/>
            <w:tcBorders>
              <w:top w:val="single" w:sz="4" w:space="0" w:color="auto"/>
              <w:left w:val="nil"/>
              <w:bottom w:val="single" w:sz="4" w:space="0" w:color="auto"/>
              <w:right w:val="nil"/>
            </w:tcBorders>
            <w:shd w:val="clear" w:color="auto" w:fill="E7F3F4"/>
            <w:noWrap/>
            <w:vAlign w:val="bottom"/>
            <w:hideMark/>
          </w:tcPr>
          <w:p w14:paraId="3A52E57D" w14:textId="1FD4865D" w:rsidR="0070343A" w:rsidRPr="00CB093C" w:rsidRDefault="00C26801" w:rsidP="00E742E9">
            <w:pPr>
              <w:spacing w:before="0" w:after="0"/>
              <w:rPr>
                <w:rFonts w:ascii="Arial" w:hAnsi="Arial" w:cs="Arial"/>
                <w:b/>
                <w:szCs w:val="22"/>
                <w:lang w:eastAsia="en-AU"/>
              </w:rPr>
            </w:pPr>
            <w:r w:rsidRPr="00CB093C">
              <w:rPr>
                <w:rFonts w:ascii="Arial" w:hAnsi="Arial" w:cs="Arial"/>
                <w:b/>
                <w:szCs w:val="22"/>
                <w:lang w:eastAsia="en-AU"/>
              </w:rPr>
              <w:t>World Heritage Area</w:t>
            </w:r>
          </w:p>
        </w:tc>
        <w:tc>
          <w:tcPr>
            <w:tcW w:w="2360" w:type="dxa"/>
            <w:tcBorders>
              <w:top w:val="single" w:sz="4" w:space="0" w:color="auto"/>
              <w:left w:val="nil"/>
              <w:bottom w:val="single" w:sz="4" w:space="0" w:color="auto"/>
              <w:right w:val="nil"/>
            </w:tcBorders>
            <w:shd w:val="clear" w:color="auto" w:fill="E7F3F4"/>
            <w:noWrap/>
            <w:vAlign w:val="bottom"/>
            <w:hideMark/>
          </w:tcPr>
          <w:p w14:paraId="193ABEC2" w14:textId="77777777" w:rsidR="0070343A" w:rsidRPr="00CB093C" w:rsidRDefault="0070343A" w:rsidP="00E742E9">
            <w:pPr>
              <w:spacing w:before="0" w:after="0"/>
              <w:jc w:val="center"/>
              <w:rPr>
                <w:rFonts w:ascii="Arial" w:hAnsi="Arial" w:cs="Arial"/>
                <w:b/>
                <w:szCs w:val="22"/>
                <w:lang w:eastAsia="en-AU"/>
              </w:rPr>
            </w:pPr>
            <w:r w:rsidRPr="00CB093C">
              <w:rPr>
                <w:rFonts w:ascii="Arial" w:hAnsi="Arial" w:cs="Arial"/>
                <w:b/>
                <w:szCs w:val="22"/>
                <w:lang w:eastAsia="en-AU"/>
              </w:rPr>
              <w:t>3,464</w:t>
            </w:r>
          </w:p>
        </w:tc>
        <w:tc>
          <w:tcPr>
            <w:tcW w:w="2342" w:type="dxa"/>
            <w:tcBorders>
              <w:top w:val="single" w:sz="4" w:space="0" w:color="auto"/>
              <w:left w:val="nil"/>
              <w:bottom w:val="single" w:sz="4" w:space="0" w:color="auto"/>
              <w:right w:val="nil"/>
            </w:tcBorders>
            <w:shd w:val="clear" w:color="auto" w:fill="E7F3F4"/>
            <w:noWrap/>
            <w:vAlign w:val="bottom"/>
            <w:hideMark/>
          </w:tcPr>
          <w:p w14:paraId="7DB4E3DA" w14:textId="77777777" w:rsidR="0070343A" w:rsidRPr="00CB093C" w:rsidRDefault="0070343A" w:rsidP="00E742E9">
            <w:pPr>
              <w:spacing w:before="0" w:after="0"/>
              <w:jc w:val="center"/>
              <w:rPr>
                <w:rFonts w:ascii="Arial" w:hAnsi="Arial" w:cs="Arial"/>
                <w:b/>
                <w:szCs w:val="22"/>
                <w:lang w:eastAsia="en-AU"/>
              </w:rPr>
            </w:pPr>
            <w:r w:rsidRPr="00CB093C">
              <w:rPr>
                <w:rFonts w:ascii="Arial" w:hAnsi="Arial" w:cs="Arial"/>
                <w:b/>
                <w:szCs w:val="22"/>
                <w:lang w:eastAsia="en-AU"/>
              </w:rPr>
              <w:t>1.00</w:t>
            </w:r>
          </w:p>
        </w:tc>
      </w:tr>
    </w:tbl>
    <w:p w14:paraId="5EEABD6A" w14:textId="77777777" w:rsidR="003D1F7F" w:rsidRPr="00CB093C" w:rsidRDefault="003D1F7F" w:rsidP="00E742E9">
      <w:pPr>
        <w:spacing w:before="240"/>
        <w:rPr>
          <w:rFonts w:ascii="Arial" w:hAnsi="Arial" w:cs="Arial"/>
          <w:color w:val="000000"/>
          <w:szCs w:val="22"/>
        </w:rPr>
      </w:pPr>
    </w:p>
    <w:p w14:paraId="6E717647" w14:textId="70DB1E33" w:rsidR="000535CA" w:rsidRPr="00CB093C" w:rsidRDefault="00AC1C6D" w:rsidP="0015509E">
      <w:pPr>
        <w:pStyle w:val="Heading1"/>
      </w:pPr>
      <w:bookmarkStart w:id="129" w:name="_Toc11394707"/>
      <w:r w:rsidRPr="00CB093C">
        <w:lastRenderedPageBreak/>
        <w:t xml:space="preserve">Drivers and pressures influencing seagrass meadows in </w:t>
      </w:r>
      <w:r w:rsidR="008C0E45">
        <w:t>2017–18</w:t>
      </w:r>
      <w:bookmarkEnd w:id="35"/>
      <w:bookmarkEnd w:id="129"/>
    </w:p>
    <w:p w14:paraId="334B8C2A" w14:textId="0E8CFA2F" w:rsidR="00DC12FC" w:rsidRPr="00CB093C" w:rsidRDefault="00DC12FC" w:rsidP="00D2585E">
      <w:pPr>
        <w:rPr>
          <w:rFonts w:ascii="Arial" w:hAnsi="Arial" w:cs="Arial"/>
          <w:color w:val="000000" w:themeColor="text1"/>
          <w:szCs w:val="22"/>
        </w:rPr>
      </w:pPr>
      <w:bookmarkStart w:id="130" w:name="_Toc184101961"/>
      <w:bookmarkStart w:id="131" w:name="_Toc431493756"/>
      <w:bookmarkStart w:id="132" w:name="_Ref271279443"/>
      <w:bookmarkEnd w:id="36"/>
      <w:bookmarkEnd w:id="37"/>
      <w:bookmarkEnd w:id="38"/>
      <w:r w:rsidRPr="00CB093C">
        <w:rPr>
          <w:rFonts w:ascii="Arial" w:hAnsi="Arial" w:cs="Arial"/>
          <w:color w:val="000000" w:themeColor="text1"/>
          <w:szCs w:val="22"/>
        </w:rPr>
        <w:t>Th</w:t>
      </w:r>
      <w:r w:rsidR="00BB52BF" w:rsidRPr="00CB093C">
        <w:rPr>
          <w:rFonts w:ascii="Arial" w:hAnsi="Arial" w:cs="Arial"/>
          <w:color w:val="000000" w:themeColor="text1"/>
          <w:szCs w:val="22"/>
        </w:rPr>
        <w:t>e following</w:t>
      </w:r>
      <w:r w:rsidRPr="00CB093C">
        <w:rPr>
          <w:rFonts w:ascii="Arial" w:hAnsi="Arial" w:cs="Arial"/>
          <w:color w:val="000000" w:themeColor="text1"/>
          <w:szCs w:val="22"/>
        </w:rPr>
        <w:t xml:space="preserve"> section provides detail on </w:t>
      </w:r>
      <w:r w:rsidR="00BB52BF" w:rsidRPr="00CB093C">
        <w:rPr>
          <w:rFonts w:ascii="Arial" w:hAnsi="Arial" w:cs="Arial"/>
          <w:color w:val="000000" w:themeColor="text1"/>
          <w:szCs w:val="22"/>
        </w:rPr>
        <w:t xml:space="preserve">the </w:t>
      </w:r>
      <w:r w:rsidRPr="00CB093C">
        <w:rPr>
          <w:rFonts w:ascii="Arial" w:hAnsi="Arial" w:cs="Arial"/>
          <w:color w:val="000000" w:themeColor="text1"/>
          <w:szCs w:val="22"/>
        </w:rPr>
        <w:t>overall climate</w:t>
      </w:r>
      <w:r w:rsidR="00AC1C6D" w:rsidRPr="00CB093C">
        <w:rPr>
          <w:rFonts w:ascii="Arial" w:hAnsi="Arial" w:cs="Arial"/>
          <w:color w:val="000000" w:themeColor="text1"/>
          <w:szCs w:val="22"/>
        </w:rPr>
        <w:t xml:space="preserve"> and</w:t>
      </w:r>
      <w:r w:rsidRPr="00CB093C">
        <w:rPr>
          <w:rFonts w:ascii="Arial" w:hAnsi="Arial" w:cs="Arial"/>
          <w:color w:val="000000" w:themeColor="text1"/>
          <w:szCs w:val="22"/>
        </w:rPr>
        <w:t xml:space="preserve"> environmental pressures </w:t>
      </w:r>
      <w:r w:rsidR="00AC1C6D" w:rsidRPr="00CB093C">
        <w:rPr>
          <w:rFonts w:ascii="Arial" w:hAnsi="Arial" w:cs="Arial"/>
          <w:color w:val="000000" w:themeColor="text1"/>
          <w:szCs w:val="22"/>
        </w:rPr>
        <w:t>during</w:t>
      </w:r>
      <w:r w:rsidRPr="00CB093C">
        <w:rPr>
          <w:rFonts w:ascii="Arial" w:hAnsi="Arial" w:cs="Arial"/>
          <w:color w:val="000000" w:themeColor="text1"/>
          <w:szCs w:val="22"/>
        </w:rPr>
        <w:t xml:space="preserve"> the </w:t>
      </w:r>
      <w:r w:rsidR="003654C6">
        <w:rPr>
          <w:rFonts w:ascii="Arial" w:hAnsi="Arial" w:cs="Arial"/>
          <w:color w:val="000000" w:themeColor="text1"/>
          <w:szCs w:val="22"/>
        </w:rPr>
        <w:t>2017–18</w:t>
      </w:r>
      <w:r w:rsidR="00C81636" w:rsidRPr="00CB093C">
        <w:rPr>
          <w:rFonts w:ascii="Arial" w:hAnsi="Arial" w:cs="Arial"/>
          <w:color w:val="000000" w:themeColor="text1"/>
          <w:szCs w:val="22"/>
        </w:rPr>
        <w:t xml:space="preserve"> </w:t>
      </w:r>
      <w:r w:rsidR="00BB52BF" w:rsidRPr="00CB093C">
        <w:rPr>
          <w:rFonts w:ascii="Arial" w:hAnsi="Arial" w:cs="Arial"/>
          <w:color w:val="000000" w:themeColor="text1"/>
          <w:szCs w:val="22"/>
        </w:rPr>
        <w:t>monitoring period</w:t>
      </w:r>
      <w:r w:rsidRPr="00CB093C">
        <w:rPr>
          <w:rFonts w:ascii="Arial" w:hAnsi="Arial" w:cs="Arial"/>
          <w:color w:val="000000" w:themeColor="text1"/>
          <w:szCs w:val="22"/>
        </w:rPr>
        <w:t xml:space="preserve">, </w:t>
      </w:r>
      <w:r w:rsidR="00C41DCE" w:rsidRPr="00CB093C">
        <w:rPr>
          <w:rFonts w:ascii="Arial" w:hAnsi="Arial" w:cs="Arial"/>
          <w:color w:val="000000" w:themeColor="text1"/>
          <w:szCs w:val="22"/>
        </w:rPr>
        <w:t>at</w:t>
      </w:r>
      <w:r w:rsidR="00AC1C6D" w:rsidRPr="00CB093C">
        <w:rPr>
          <w:rFonts w:ascii="Arial" w:hAnsi="Arial" w:cs="Arial"/>
          <w:color w:val="000000" w:themeColor="text1"/>
          <w:szCs w:val="22"/>
        </w:rPr>
        <w:t xml:space="preserve"> a </w:t>
      </w:r>
      <w:r w:rsidR="00C41DCE" w:rsidRPr="00CB093C">
        <w:rPr>
          <w:rFonts w:ascii="Arial" w:hAnsi="Arial" w:cs="Arial"/>
          <w:color w:val="000000" w:themeColor="text1"/>
          <w:szCs w:val="22"/>
        </w:rPr>
        <w:t>relatively broad</w:t>
      </w:r>
      <w:r w:rsidR="00AC1C6D" w:rsidRPr="00CB093C">
        <w:rPr>
          <w:rFonts w:ascii="Arial" w:hAnsi="Arial" w:cs="Arial"/>
          <w:color w:val="000000" w:themeColor="text1"/>
          <w:szCs w:val="22"/>
        </w:rPr>
        <w:t xml:space="preserve"> </w:t>
      </w:r>
      <w:r w:rsidR="00765A99" w:rsidRPr="00CB093C">
        <w:rPr>
          <w:rFonts w:ascii="Arial" w:hAnsi="Arial" w:cs="Arial"/>
          <w:color w:val="000000" w:themeColor="text1"/>
          <w:szCs w:val="22"/>
        </w:rPr>
        <w:t>level</w:t>
      </w:r>
      <w:r w:rsidR="00C41DCE" w:rsidRPr="00CB093C">
        <w:rPr>
          <w:rFonts w:ascii="Arial" w:hAnsi="Arial" w:cs="Arial"/>
          <w:color w:val="000000" w:themeColor="text1"/>
          <w:szCs w:val="22"/>
        </w:rPr>
        <w:t xml:space="preserve"> as context for understanding trends in seagrass conditon. It includes:</w:t>
      </w:r>
    </w:p>
    <w:p w14:paraId="1F78FD7A" w14:textId="103F5781" w:rsidR="00DC12FC" w:rsidRPr="00CB093C" w:rsidRDefault="00A81F12"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climate</w:t>
      </w:r>
      <w:r w:rsidR="00DC12FC" w:rsidRPr="00CB093C">
        <w:rPr>
          <w:rFonts w:ascii="Arial" w:hAnsi="Arial" w:cs="Arial"/>
          <w:color w:val="000000" w:themeColor="text1"/>
          <w:szCs w:val="22"/>
        </w:rPr>
        <w:t>, river discharge and flood plume exposure</w:t>
      </w:r>
    </w:p>
    <w:p w14:paraId="7FA0FA39" w14:textId="690CAD3A" w:rsidR="00F16C11" w:rsidRPr="00CB093C" w:rsidRDefault="00A81F12"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within</w:t>
      </w:r>
      <w:r w:rsidR="00F16C11" w:rsidRPr="00CB093C">
        <w:rPr>
          <w:rFonts w:ascii="Arial" w:hAnsi="Arial" w:cs="Arial"/>
          <w:color w:val="000000" w:themeColor="text1"/>
          <w:szCs w:val="22"/>
        </w:rPr>
        <w:t>-canopy light</w:t>
      </w:r>
      <w:r w:rsidR="006131FB" w:rsidRPr="00CB093C">
        <w:rPr>
          <w:rFonts w:ascii="Arial" w:hAnsi="Arial" w:cs="Arial"/>
          <w:color w:val="000000" w:themeColor="text1"/>
          <w:szCs w:val="22"/>
        </w:rPr>
        <w:t xml:space="preserve"> </w:t>
      </w:r>
    </w:p>
    <w:p w14:paraId="5DAC52CB" w14:textId="265E8135" w:rsidR="00DC12FC" w:rsidRPr="00CB093C" w:rsidRDefault="00A81F12"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within</w:t>
      </w:r>
      <w:r w:rsidR="00DC12FC" w:rsidRPr="00CB093C">
        <w:rPr>
          <w:rFonts w:ascii="Arial" w:hAnsi="Arial" w:cs="Arial"/>
          <w:color w:val="000000" w:themeColor="text1"/>
          <w:szCs w:val="22"/>
        </w:rPr>
        <w:t>-canopy temperature</w:t>
      </w:r>
      <w:r w:rsidR="009C0054" w:rsidRPr="00CB093C">
        <w:rPr>
          <w:rFonts w:ascii="Arial" w:hAnsi="Arial" w:cs="Arial"/>
          <w:color w:val="000000" w:themeColor="text1"/>
          <w:szCs w:val="22"/>
        </w:rPr>
        <w:t xml:space="preserve"> and</w:t>
      </w:r>
      <w:r w:rsidR="006131FB" w:rsidRPr="00CB093C">
        <w:rPr>
          <w:rFonts w:ascii="Arial" w:hAnsi="Arial" w:cs="Arial"/>
          <w:color w:val="000000" w:themeColor="text1"/>
          <w:szCs w:val="22"/>
        </w:rPr>
        <w:t xml:space="preserve"> threshold exceedance</w:t>
      </w:r>
    </w:p>
    <w:p w14:paraId="69FB82E6" w14:textId="58AA11B8" w:rsidR="00F16C11" w:rsidRPr="00CB093C" w:rsidRDefault="00A81F12"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 xml:space="preserve">seagrass </w:t>
      </w:r>
      <w:r w:rsidR="00F16C11" w:rsidRPr="00CB093C">
        <w:rPr>
          <w:rFonts w:ascii="Arial" w:hAnsi="Arial" w:cs="Arial"/>
          <w:color w:val="000000" w:themeColor="text1"/>
          <w:szCs w:val="22"/>
        </w:rPr>
        <w:t>meadows sediment characteristics</w:t>
      </w:r>
      <w:r w:rsidRPr="00CB093C">
        <w:rPr>
          <w:rFonts w:ascii="Arial" w:hAnsi="Arial" w:cs="Arial"/>
          <w:color w:val="000000" w:themeColor="text1"/>
          <w:szCs w:val="22"/>
        </w:rPr>
        <w:t>.</w:t>
      </w:r>
    </w:p>
    <w:p w14:paraId="674C3643" w14:textId="26DA12A8" w:rsidR="00DC12FC" w:rsidRPr="00CB093C" w:rsidRDefault="00C41DCE" w:rsidP="00DC12FC">
      <w:pPr>
        <w:rPr>
          <w:rFonts w:ascii="Arial" w:hAnsi="Arial" w:cs="Arial"/>
          <w:color w:val="000000" w:themeColor="text1"/>
          <w:szCs w:val="22"/>
        </w:rPr>
      </w:pPr>
      <w:r w:rsidRPr="00CB093C">
        <w:rPr>
          <w:rFonts w:ascii="Arial" w:hAnsi="Arial" w:cs="Arial"/>
          <w:color w:val="000000" w:themeColor="text1"/>
          <w:szCs w:val="22"/>
        </w:rPr>
        <w:t>The ensuing section contains data on local environmental pressures and</w:t>
      </w:r>
      <w:r w:rsidR="001B5B41" w:rsidRPr="00CB093C">
        <w:rPr>
          <w:rFonts w:ascii="Arial" w:hAnsi="Arial" w:cs="Arial"/>
          <w:color w:val="000000" w:themeColor="text1"/>
          <w:szCs w:val="22"/>
        </w:rPr>
        <w:t xml:space="preserve"> s</w:t>
      </w:r>
      <w:r w:rsidR="00DC12FC" w:rsidRPr="00CB093C">
        <w:rPr>
          <w:rFonts w:ascii="Arial" w:hAnsi="Arial" w:cs="Arial"/>
          <w:color w:val="000000" w:themeColor="text1"/>
          <w:szCs w:val="22"/>
        </w:rPr>
        <w:t>upporting data</w:t>
      </w:r>
      <w:r w:rsidRPr="00CB093C">
        <w:rPr>
          <w:rFonts w:ascii="Arial" w:hAnsi="Arial" w:cs="Arial"/>
          <w:color w:val="000000" w:themeColor="text1"/>
          <w:szCs w:val="22"/>
        </w:rPr>
        <w:t xml:space="preserve"> </w:t>
      </w:r>
      <w:r w:rsidR="001B5B41" w:rsidRPr="00CB093C">
        <w:rPr>
          <w:rFonts w:ascii="Arial" w:hAnsi="Arial" w:cs="Arial"/>
          <w:color w:val="000000" w:themeColor="text1"/>
          <w:szCs w:val="22"/>
        </w:rPr>
        <w:t>is</w:t>
      </w:r>
      <w:r w:rsidR="00DC12FC" w:rsidRPr="00CB093C">
        <w:rPr>
          <w:rFonts w:ascii="Arial" w:hAnsi="Arial" w:cs="Arial"/>
          <w:color w:val="000000" w:themeColor="text1"/>
          <w:szCs w:val="22"/>
        </w:rPr>
        <w:t xml:space="preserve"> </w:t>
      </w:r>
      <w:r w:rsidR="001B5B41" w:rsidRPr="00CB093C">
        <w:rPr>
          <w:rFonts w:ascii="Arial" w:hAnsi="Arial" w:cs="Arial"/>
          <w:color w:val="000000" w:themeColor="text1"/>
          <w:szCs w:val="22"/>
        </w:rPr>
        <w:t>d</w:t>
      </w:r>
      <w:r w:rsidR="00DC12FC" w:rsidRPr="00CB093C">
        <w:rPr>
          <w:rFonts w:ascii="Arial" w:hAnsi="Arial" w:cs="Arial"/>
          <w:color w:val="000000" w:themeColor="text1"/>
          <w:szCs w:val="22"/>
        </w:rPr>
        <w:t>etail</w:t>
      </w:r>
      <w:r w:rsidR="001B5B41" w:rsidRPr="00CB093C">
        <w:rPr>
          <w:rFonts w:ascii="Arial" w:hAnsi="Arial" w:cs="Arial"/>
          <w:color w:val="000000" w:themeColor="text1"/>
          <w:szCs w:val="22"/>
        </w:rPr>
        <w:t>ed</w:t>
      </w:r>
      <w:r w:rsidR="00DC12FC" w:rsidRPr="00CB093C">
        <w:rPr>
          <w:rFonts w:ascii="Arial" w:hAnsi="Arial" w:cs="Arial"/>
          <w:color w:val="000000" w:themeColor="text1"/>
          <w:szCs w:val="22"/>
        </w:rPr>
        <w:t xml:space="preserve"> w</w:t>
      </w:r>
      <w:r w:rsidR="001B5B41" w:rsidRPr="00CB093C">
        <w:rPr>
          <w:rFonts w:ascii="Arial" w:hAnsi="Arial" w:cs="Arial"/>
          <w:color w:val="000000" w:themeColor="text1"/>
          <w:szCs w:val="22"/>
        </w:rPr>
        <w:t xml:space="preserve">ithin Appendix </w:t>
      </w:r>
      <w:r w:rsidR="004E6B49" w:rsidRPr="00CB093C">
        <w:rPr>
          <w:rFonts w:ascii="Arial" w:hAnsi="Arial" w:cs="Arial"/>
          <w:color w:val="000000" w:themeColor="text1"/>
          <w:szCs w:val="22"/>
        </w:rPr>
        <w:t xml:space="preserve">3 and </w:t>
      </w:r>
      <w:r w:rsidR="001B5B41" w:rsidRPr="00CB093C">
        <w:rPr>
          <w:rFonts w:ascii="Arial" w:hAnsi="Arial" w:cs="Arial"/>
          <w:color w:val="000000" w:themeColor="text1"/>
          <w:szCs w:val="22"/>
        </w:rPr>
        <w:t>4</w:t>
      </w:r>
      <w:r w:rsidR="00DC12FC" w:rsidRPr="00CB093C">
        <w:rPr>
          <w:rFonts w:ascii="Arial" w:hAnsi="Arial" w:cs="Arial"/>
          <w:color w:val="000000" w:themeColor="text1"/>
          <w:szCs w:val="22"/>
        </w:rPr>
        <w:t>:</w:t>
      </w:r>
    </w:p>
    <w:p w14:paraId="0E45A35E" w14:textId="79DED7AA" w:rsidR="00DC12FC" w:rsidRPr="00CB093C" w:rsidRDefault="00DC12FC" w:rsidP="0015509E">
      <w:pPr>
        <w:pStyle w:val="Heading2"/>
      </w:pPr>
      <w:bookmarkStart w:id="133" w:name="_Toc184101960"/>
      <w:bookmarkStart w:id="134" w:name="_Toc11394708"/>
      <w:r w:rsidRPr="00CB093C">
        <w:t>Summary</w:t>
      </w:r>
      <w:bookmarkEnd w:id="133"/>
      <w:bookmarkEnd w:id="134"/>
    </w:p>
    <w:p w14:paraId="042B76DD" w14:textId="74DB7428" w:rsidR="00C41DCE" w:rsidRPr="00CB093C" w:rsidRDefault="00765A99" w:rsidP="00D2585E">
      <w:pPr>
        <w:rPr>
          <w:rFonts w:ascii="Arial" w:hAnsi="Arial" w:cs="Arial"/>
          <w:szCs w:val="22"/>
        </w:rPr>
      </w:pPr>
      <w:bookmarkStart w:id="135" w:name="_Ref410474695"/>
      <w:r w:rsidRPr="00CB093C">
        <w:rPr>
          <w:rFonts w:ascii="Arial" w:hAnsi="Arial" w:cs="Arial"/>
          <w:szCs w:val="22"/>
        </w:rPr>
        <w:t xml:space="preserve">In summary, </w:t>
      </w:r>
      <w:r w:rsidR="00C41DCE" w:rsidRPr="00CB093C">
        <w:rPr>
          <w:rFonts w:ascii="Arial" w:hAnsi="Arial" w:cs="Arial"/>
          <w:szCs w:val="22"/>
        </w:rPr>
        <w:t>e</w:t>
      </w:r>
      <w:r w:rsidR="00CB15D6" w:rsidRPr="00CB093C">
        <w:rPr>
          <w:rFonts w:ascii="Arial" w:hAnsi="Arial" w:cs="Arial"/>
          <w:szCs w:val="22"/>
        </w:rPr>
        <w:t xml:space="preserve">nvironmental stressors from climate, river discharge, and water quality this year were relatively benign across the inshore </w:t>
      </w:r>
      <w:r w:rsidR="00F206BF" w:rsidRPr="00CB093C">
        <w:rPr>
          <w:rFonts w:ascii="Arial" w:hAnsi="Arial" w:cs="Arial"/>
          <w:szCs w:val="22"/>
        </w:rPr>
        <w:t>Reef</w:t>
      </w:r>
      <w:r w:rsidR="00CB15D6" w:rsidRPr="00CB093C">
        <w:rPr>
          <w:rFonts w:ascii="Arial" w:hAnsi="Arial" w:cs="Arial"/>
          <w:szCs w:val="22"/>
        </w:rPr>
        <w:t xml:space="preserve"> (</w:t>
      </w:r>
      <w:r w:rsidR="00CB15D6" w:rsidRPr="00CB093C">
        <w:rPr>
          <w:rFonts w:ascii="Arial" w:hAnsi="Arial" w:cs="Arial"/>
          <w:szCs w:val="22"/>
        </w:rPr>
        <w:fldChar w:fldCharType="begin"/>
      </w:r>
      <w:r w:rsidR="00CB15D6" w:rsidRPr="00CB093C">
        <w:rPr>
          <w:rFonts w:ascii="Arial" w:hAnsi="Arial" w:cs="Arial"/>
          <w:szCs w:val="22"/>
        </w:rPr>
        <w:instrText xml:space="preserve"> REF _Ref441775247 \h  \* MERGEFORMAT </w:instrText>
      </w:r>
      <w:r w:rsidR="00CB15D6" w:rsidRPr="00CB093C">
        <w:rPr>
          <w:rFonts w:ascii="Arial" w:hAnsi="Arial" w:cs="Arial"/>
          <w:szCs w:val="22"/>
        </w:rPr>
      </w:r>
      <w:r w:rsidR="00CB15D6" w:rsidRPr="00CB093C">
        <w:rPr>
          <w:rFonts w:ascii="Arial" w:hAnsi="Arial" w:cs="Arial"/>
          <w:szCs w:val="22"/>
        </w:rPr>
        <w:fldChar w:fldCharType="separate"/>
      </w:r>
      <w:r w:rsidR="005F00D4" w:rsidRPr="00CB093C">
        <w:rPr>
          <w:rFonts w:ascii="Arial" w:hAnsi="Arial" w:cs="Arial"/>
          <w:szCs w:val="22"/>
        </w:rPr>
        <w:t xml:space="preserve">Table </w:t>
      </w:r>
      <w:r w:rsidR="005F00D4">
        <w:rPr>
          <w:rFonts w:ascii="Arial" w:hAnsi="Arial" w:cs="Arial"/>
          <w:noProof/>
          <w:szCs w:val="22"/>
        </w:rPr>
        <w:t>8</w:t>
      </w:r>
      <w:r w:rsidR="00CB15D6" w:rsidRPr="00CB093C">
        <w:rPr>
          <w:rFonts w:ascii="Arial" w:hAnsi="Arial" w:cs="Arial"/>
          <w:szCs w:val="22"/>
        </w:rPr>
        <w:fldChar w:fldCharType="end"/>
      </w:r>
      <w:r w:rsidR="00CB15D6" w:rsidRPr="00CB093C">
        <w:rPr>
          <w:rFonts w:ascii="Arial" w:hAnsi="Arial" w:cs="Arial"/>
          <w:szCs w:val="22"/>
        </w:rPr>
        <w:t>)</w:t>
      </w:r>
      <w:r w:rsidR="00C41DCE" w:rsidRPr="00CB093C">
        <w:rPr>
          <w:rFonts w:ascii="Arial" w:hAnsi="Arial" w:cs="Arial"/>
          <w:szCs w:val="22"/>
        </w:rPr>
        <w:t xml:space="preserve">. </w:t>
      </w:r>
    </w:p>
    <w:p w14:paraId="58C2FEDA" w14:textId="3790CD75" w:rsidR="003D7FBF" w:rsidRPr="00CB093C" w:rsidRDefault="009C385A" w:rsidP="00D2585E">
      <w:pPr>
        <w:rPr>
          <w:rFonts w:ascii="Arial" w:hAnsi="Arial" w:cs="Arial"/>
          <w:color w:val="000000" w:themeColor="text1"/>
          <w:szCs w:val="22"/>
        </w:rPr>
      </w:pPr>
      <w:r w:rsidRPr="00CB093C">
        <w:rPr>
          <w:rFonts w:ascii="Arial" w:hAnsi="Arial" w:cs="Arial"/>
          <w:szCs w:val="22"/>
        </w:rPr>
        <w:t>T</w:t>
      </w:r>
      <w:r w:rsidR="00C01F17" w:rsidRPr="00CB093C">
        <w:rPr>
          <w:rFonts w:ascii="Arial" w:hAnsi="Arial" w:cs="Arial"/>
          <w:color w:val="000000" w:themeColor="text1"/>
          <w:szCs w:val="22"/>
          <w:lang w:val="en-GB"/>
        </w:rPr>
        <w:t xml:space="preserve">he frequency </w:t>
      </w:r>
      <w:r w:rsidR="00065435" w:rsidRPr="00CB093C">
        <w:rPr>
          <w:rFonts w:ascii="Arial" w:hAnsi="Arial" w:cs="Arial"/>
          <w:color w:val="000000" w:themeColor="text1"/>
          <w:szCs w:val="22"/>
          <w:lang w:val="en-GB"/>
        </w:rPr>
        <w:t>with which the seagrass sites w</w:t>
      </w:r>
      <w:r w:rsidR="002744E0" w:rsidRPr="00CB093C">
        <w:rPr>
          <w:rFonts w:ascii="Arial" w:hAnsi="Arial" w:cs="Arial"/>
          <w:color w:val="000000" w:themeColor="text1"/>
          <w:szCs w:val="22"/>
          <w:lang w:val="en-GB"/>
        </w:rPr>
        <w:t>ere exposed</w:t>
      </w:r>
      <w:r w:rsidR="00C01F17" w:rsidRPr="00CB093C">
        <w:rPr>
          <w:rFonts w:ascii="Arial" w:hAnsi="Arial" w:cs="Arial"/>
          <w:color w:val="000000" w:themeColor="text1"/>
          <w:szCs w:val="22"/>
          <w:lang w:val="en-GB"/>
        </w:rPr>
        <w:t xml:space="preserve"> to ‘brown’ sediment</w:t>
      </w:r>
      <w:r w:rsidR="00065435" w:rsidRPr="00CB093C">
        <w:rPr>
          <w:rFonts w:ascii="Arial" w:hAnsi="Arial" w:cs="Arial"/>
          <w:color w:val="000000" w:themeColor="text1"/>
          <w:szCs w:val="22"/>
          <w:lang w:val="en-GB"/>
        </w:rPr>
        <w:t>-</w:t>
      </w:r>
      <w:r w:rsidR="00C01F17" w:rsidRPr="00CB093C">
        <w:rPr>
          <w:rFonts w:ascii="Arial" w:hAnsi="Arial" w:cs="Arial"/>
          <w:color w:val="000000" w:themeColor="text1"/>
          <w:szCs w:val="22"/>
          <w:lang w:val="en-GB"/>
        </w:rPr>
        <w:t xml:space="preserve">laden </w:t>
      </w:r>
      <w:r w:rsidR="002744E0" w:rsidRPr="00CB093C">
        <w:rPr>
          <w:rFonts w:ascii="Arial" w:hAnsi="Arial" w:cs="Arial"/>
          <w:color w:val="000000" w:themeColor="text1"/>
          <w:szCs w:val="22"/>
          <w:lang w:val="en-GB"/>
        </w:rPr>
        <w:t xml:space="preserve">(1–4) </w:t>
      </w:r>
      <w:r w:rsidR="00C01F17" w:rsidRPr="00CB093C">
        <w:rPr>
          <w:rFonts w:ascii="Arial" w:hAnsi="Arial" w:cs="Arial"/>
          <w:color w:val="000000" w:themeColor="text1"/>
          <w:szCs w:val="22"/>
          <w:lang w:val="en-GB"/>
        </w:rPr>
        <w:t>and ‘green’ phytoplankton</w:t>
      </w:r>
      <w:r w:rsidR="00065435" w:rsidRPr="00CB093C">
        <w:rPr>
          <w:rFonts w:ascii="Arial" w:hAnsi="Arial" w:cs="Arial"/>
          <w:color w:val="000000" w:themeColor="text1"/>
          <w:szCs w:val="22"/>
          <w:lang w:val="en-GB"/>
        </w:rPr>
        <w:t>-</w:t>
      </w:r>
      <w:r w:rsidR="00C01F17" w:rsidRPr="00CB093C">
        <w:rPr>
          <w:rFonts w:ascii="Arial" w:hAnsi="Arial" w:cs="Arial"/>
          <w:color w:val="000000" w:themeColor="text1"/>
          <w:szCs w:val="22"/>
          <w:lang w:val="en-GB"/>
        </w:rPr>
        <w:t>rich waters</w:t>
      </w:r>
      <w:r w:rsidR="002744E0" w:rsidRPr="00CB093C">
        <w:rPr>
          <w:rFonts w:ascii="Arial" w:hAnsi="Arial" w:cs="Arial"/>
          <w:color w:val="000000" w:themeColor="text1"/>
          <w:szCs w:val="22"/>
          <w:lang w:val="en-GB"/>
        </w:rPr>
        <w:t xml:space="preserve"> (5) </w:t>
      </w:r>
      <w:r w:rsidR="00A723A2" w:rsidRPr="00CB093C">
        <w:rPr>
          <w:rFonts w:ascii="Arial" w:hAnsi="Arial" w:cs="Arial"/>
          <w:color w:val="000000" w:themeColor="text1"/>
          <w:szCs w:val="22"/>
          <w:lang w:val="en-GB"/>
        </w:rPr>
        <w:t xml:space="preserve">during the wet season </w:t>
      </w:r>
      <w:r w:rsidR="00C01F17" w:rsidRPr="00CB093C">
        <w:rPr>
          <w:rFonts w:ascii="Arial" w:hAnsi="Arial" w:cs="Arial"/>
          <w:color w:val="000000" w:themeColor="text1"/>
          <w:szCs w:val="22"/>
          <w:lang w:val="en-GB"/>
        </w:rPr>
        <w:t xml:space="preserve">was </w:t>
      </w:r>
      <w:r w:rsidRPr="00CB093C">
        <w:rPr>
          <w:rFonts w:ascii="Arial" w:hAnsi="Arial" w:cs="Arial"/>
          <w:color w:val="000000" w:themeColor="text1"/>
          <w:szCs w:val="22"/>
          <w:lang w:val="en-GB"/>
        </w:rPr>
        <w:t>similar to the long-term average across most regions</w:t>
      </w:r>
      <w:r w:rsidR="002744E0" w:rsidRPr="00CB093C">
        <w:rPr>
          <w:rFonts w:ascii="Arial" w:hAnsi="Arial" w:cs="Arial"/>
          <w:color w:val="000000" w:themeColor="text1"/>
          <w:szCs w:val="22"/>
          <w:lang w:val="en-GB"/>
        </w:rPr>
        <w:t xml:space="preserve"> and slightly elevated in the Wet Tropics and </w:t>
      </w:r>
      <w:r w:rsidR="00637325">
        <w:rPr>
          <w:rFonts w:ascii="Arial" w:hAnsi="Arial" w:cs="Arial"/>
          <w:color w:val="000000" w:themeColor="text1"/>
          <w:szCs w:val="22"/>
          <w:lang w:val="en-GB"/>
        </w:rPr>
        <w:t>Mackay-Whitsunday</w:t>
      </w:r>
      <w:r w:rsidRPr="00CB093C">
        <w:rPr>
          <w:rFonts w:ascii="Arial" w:hAnsi="Arial" w:cs="Arial"/>
          <w:color w:val="000000" w:themeColor="text1"/>
          <w:szCs w:val="22"/>
          <w:lang w:val="en-GB"/>
        </w:rPr>
        <w:t xml:space="preserve"> (</w:t>
      </w:r>
      <w:r w:rsidRPr="00CB093C">
        <w:rPr>
          <w:rFonts w:ascii="Arial" w:hAnsi="Arial" w:cs="Arial"/>
          <w:color w:val="000000" w:themeColor="text1"/>
          <w:szCs w:val="22"/>
          <w:lang w:val="en-GB"/>
        </w:rPr>
        <w:fldChar w:fldCharType="begin"/>
      </w:r>
      <w:r w:rsidRPr="00CB093C">
        <w:rPr>
          <w:rFonts w:ascii="Arial" w:hAnsi="Arial" w:cs="Arial"/>
          <w:color w:val="000000" w:themeColor="text1"/>
          <w:szCs w:val="22"/>
          <w:lang w:val="en-GB"/>
        </w:rPr>
        <w:instrText xml:space="preserve"> REF _Ref507596879 \h </w:instrText>
      </w:r>
      <w:r w:rsidR="002744E0" w:rsidRPr="00CB093C">
        <w:rPr>
          <w:rFonts w:ascii="Arial" w:hAnsi="Arial" w:cs="Arial"/>
          <w:color w:val="000000" w:themeColor="text1"/>
          <w:szCs w:val="22"/>
          <w:lang w:val="en-GB"/>
        </w:rPr>
        <w:instrText xml:space="preserve"> \* MERGEFORMAT </w:instrText>
      </w:r>
      <w:r w:rsidRPr="00CB093C">
        <w:rPr>
          <w:rFonts w:ascii="Arial" w:hAnsi="Arial" w:cs="Arial"/>
          <w:color w:val="000000" w:themeColor="text1"/>
          <w:szCs w:val="22"/>
          <w:lang w:val="en-GB"/>
        </w:rPr>
      </w:r>
      <w:r w:rsidRPr="00CB093C">
        <w:rPr>
          <w:rFonts w:ascii="Arial" w:hAnsi="Arial" w:cs="Arial"/>
          <w:color w:val="000000" w:themeColor="text1"/>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9</w:t>
      </w:r>
      <w:r w:rsidRPr="00CB093C">
        <w:rPr>
          <w:rFonts w:ascii="Arial" w:hAnsi="Arial" w:cs="Arial"/>
          <w:color w:val="000000" w:themeColor="text1"/>
          <w:szCs w:val="22"/>
          <w:lang w:val="en-GB"/>
        </w:rPr>
        <w:fldChar w:fldCharType="end"/>
      </w:r>
      <w:r w:rsidRPr="00CB093C">
        <w:rPr>
          <w:rFonts w:ascii="Arial" w:hAnsi="Arial" w:cs="Arial"/>
          <w:color w:val="000000" w:themeColor="text1"/>
          <w:szCs w:val="22"/>
          <w:lang w:val="en-GB"/>
        </w:rPr>
        <w:t>)</w:t>
      </w:r>
      <w:r w:rsidR="00C01F17" w:rsidRPr="00CB093C">
        <w:rPr>
          <w:rFonts w:ascii="Arial" w:hAnsi="Arial" w:cs="Arial"/>
          <w:szCs w:val="22"/>
        </w:rPr>
        <w:t xml:space="preserve">. </w:t>
      </w:r>
      <w:r w:rsidR="00065435" w:rsidRPr="00CB093C">
        <w:rPr>
          <w:rFonts w:ascii="Arial" w:hAnsi="Arial" w:cs="Arial"/>
          <w:szCs w:val="22"/>
        </w:rPr>
        <w:t>Th</w:t>
      </w:r>
      <w:r w:rsidRPr="00CB093C">
        <w:rPr>
          <w:rFonts w:ascii="Arial" w:hAnsi="Arial" w:cs="Arial"/>
          <w:szCs w:val="22"/>
        </w:rPr>
        <w:t xml:space="preserve">e presence of </w:t>
      </w:r>
      <w:r w:rsidR="002744E0" w:rsidRPr="00CB093C">
        <w:rPr>
          <w:rFonts w:ascii="Arial" w:hAnsi="Arial" w:cs="Arial"/>
          <w:szCs w:val="22"/>
        </w:rPr>
        <w:t xml:space="preserve">this coloured </w:t>
      </w:r>
      <w:r w:rsidRPr="00CB093C">
        <w:rPr>
          <w:rFonts w:ascii="Arial" w:hAnsi="Arial" w:cs="Arial"/>
          <w:szCs w:val="22"/>
        </w:rPr>
        <w:t>water</w:t>
      </w:r>
      <w:r w:rsidR="00065435" w:rsidRPr="00CB093C">
        <w:rPr>
          <w:rFonts w:ascii="Arial" w:hAnsi="Arial" w:cs="Arial"/>
          <w:szCs w:val="22"/>
        </w:rPr>
        <w:t xml:space="preserve"> </w:t>
      </w:r>
      <w:r w:rsidR="002744E0" w:rsidRPr="00CB093C">
        <w:rPr>
          <w:rFonts w:ascii="Arial" w:hAnsi="Arial" w:cs="Arial"/>
          <w:szCs w:val="22"/>
        </w:rPr>
        <w:t>could have been affected by</w:t>
      </w:r>
      <w:r w:rsidR="00C01F17" w:rsidRPr="00CB093C">
        <w:rPr>
          <w:rFonts w:ascii="Arial" w:hAnsi="Arial" w:cs="Arial"/>
          <w:szCs w:val="22"/>
        </w:rPr>
        <w:t xml:space="preserve"> resuspension</w:t>
      </w:r>
      <w:r w:rsidR="00065435" w:rsidRPr="00CB093C">
        <w:rPr>
          <w:rFonts w:ascii="Arial" w:hAnsi="Arial" w:cs="Arial"/>
          <w:szCs w:val="22"/>
        </w:rPr>
        <w:t>-</w:t>
      </w:r>
      <w:r w:rsidR="00C01F17" w:rsidRPr="00CB093C">
        <w:rPr>
          <w:rFonts w:ascii="Arial" w:hAnsi="Arial" w:cs="Arial"/>
          <w:szCs w:val="22"/>
        </w:rPr>
        <w:t xml:space="preserve">driven events from above-average winds (e.g. </w:t>
      </w:r>
      <w:r w:rsidR="00637325">
        <w:rPr>
          <w:rFonts w:ascii="Arial" w:hAnsi="Arial" w:cs="Arial"/>
          <w:szCs w:val="22"/>
        </w:rPr>
        <w:t>Mackay-Whitsunday</w:t>
      </w:r>
      <w:r w:rsidR="00C01F17" w:rsidRPr="00CB093C">
        <w:rPr>
          <w:rFonts w:ascii="Arial" w:hAnsi="Arial" w:cs="Arial"/>
          <w:szCs w:val="22"/>
        </w:rPr>
        <w:t>, and to a lesser extent in Burnett Mary and Burdekin), or subregional above-average wet season rainfall and discharge (e.g. southern Wet Tropics</w:t>
      </w:r>
      <w:r w:rsidR="00474831" w:rsidRPr="00CB093C">
        <w:rPr>
          <w:rFonts w:ascii="Arial" w:hAnsi="Arial" w:cs="Arial"/>
          <w:szCs w:val="22"/>
        </w:rPr>
        <w:t xml:space="preserve"> and Burnett Mary</w:t>
      </w:r>
      <w:r w:rsidR="00C01F17" w:rsidRPr="00CB093C">
        <w:rPr>
          <w:rFonts w:ascii="Arial" w:hAnsi="Arial" w:cs="Arial"/>
          <w:szCs w:val="22"/>
        </w:rPr>
        <w:t>).</w:t>
      </w:r>
      <w:r w:rsidR="00C01F17" w:rsidRPr="00CB093C">
        <w:rPr>
          <w:rFonts w:ascii="Arial" w:hAnsi="Arial" w:cs="Arial"/>
          <w:color w:val="000000" w:themeColor="text1"/>
          <w:szCs w:val="22"/>
        </w:rPr>
        <w:t xml:space="preserve"> </w:t>
      </w:r>
    </w:p>
    <w:p w14:paraId="66D8D893" w14:textId="0B4F0852" w:rsidR="00E50C95" w:rsidRPr="00CB093C" w:rsidRDefault="007B0A21" w:rsidP="00D2585E">
      <w:pPr>
        <w:rPr>
          <w:rFonts w:ascii="Arial" w:hAnsi="Arial" w:cs="Arial"/>
          <w:i/>
          <w:vanish/>
          <w:szCs w:val="22"/>
          <w:specVanish/>
        </w:rPr>
      </w:pPr>
      <w:bookmarkStart w:id="136" w:name="_Ref441775247"/>
      <w:bookmarkStart w:id="137" w:name="_Ref3984343"/>
      <w:bookmarkStart w:id="138" w:name="_Toc5616036"/>
      <w:bookmarkEnd w:id="135"/>
      <w:r w:rsidRPr="00CB093C">
        <w:rPr>
          <w:rFonts w:ascii="Arial" w:hAnsi="Arial" w:cs="Arial"/>
          <w:szCs w:val="22"/>
        </w:rPr>
        <w:t xml:space="preserve">Table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Table \* ARABIC </w:instrText>
      </w:r>
      <w:r w:rsidR="00C506C7" w:rsidRPr="00CB093C">
        <w:rPr>
          <w:rFonts w:ascii="Arial" w:hAnsi="Arial" w:cs="Arial"/>
          <w:noProof/>
          <w:szCs w:val="22"/>
        </w:rPr>
        <w:fldChar w:fldCharType="separate"/>
      </w:r>
      <w:r w:rsidR="005F00D4">
        <w:rPr>
          <w:rFonts w:ascii="Arial" w:hAnsi="Arial" w:cs="Arial"/>
          <w:noProof/>
          <w:szCs w:val="22"/>
        </w:rPr>
        <w:t>8</w:t>
      </w:r>
      <w:r w:rsidR="00C506C7" w:rsidRPr="00CB093C">
        <w:rPr>
          <w:rFonts w:ascii="Arial" w:hAnsi="Arial" w:cs="Arial"/>
          <w:noProof/>
          <w:szCs w:val="22"/>
        </w:rPr>
        <w:fldChar w:fldCharType="end"/>
      </w:r>
      <w:bookmarkEnd w:id="136"/>
      <w:r w:rsidRPr="00CB093C">
        <w:rPr>
          <w:rFonts w:ascii="Arial" w:hAnsi="Arial" w:cs="Arial"/>
          <w:szCs w:val="22"/>
        </w:rPr>
        <w:t xml:space="preserve">. </w:t>
      </w:r>
      <w:r w:rsidRPr="00CB093C">
        <w:rPr>
          <w:rFonts w:ascii="Arial" w:hAnsi="Arial" w:cs="Arial"/>
          <w:i/>
          <w:szCs w:val="22"/>
        </w:rPr>
        <w:t xml:space="preserve">Summary of environmental conditions at monitoring sites across the </w:t>
      </w:r>
      <w:r w:rsidR="00F206BF" w:rsidRPr="00CB093C">
        <w:rPr>
          <w:rFonts w:ascii="Arial" w:hAnsi="Arial" w:cs="Arial"/>
          <w:i/>
          <w:szCs w:val="22"/>
        </w:rPr>
        <w:t>Reef</w:t>
      </w:r>
      <w:r w:rsidRPr="00CB093C">
        <w:rPr>
          <w:rFonts w:ascii="Arial" w:hAnsi="Arial" w:cs="Arial"/>
          <w:i/>
          <w:szCs w:val="22"/>
        </w:rPr>
        <w:t xml:space="preserve"> in </w:t>
      </w:r>
      <w:r w:rsidR="006574F1" w:rsidRPr="00CB093C">
        <w:rPr>
          <w:rFonts w:ascii="Arial" w:hAnsi="Arial" w:cs="Arial"/>
          <w:i/>
          <w:szCs w:val="22"/>
        </w:rPr>
        <w:t>201</w:t>
      </w:r>
      <w:r w:rsidR="0095699D" w:rsidRPr="00CB093C">
        <w:rPr>
          <w:rFonts w:ascii="Arial" w:hAnsi="Arial" w:cs="Arial"/>
          <w:i/>
          <w:szCs w:val="22"/>
        </w:rPr>
        <w:t>7</w:t>
      </w:r>
      <w:r w:rsidR="00B3497B" w:rsidRPr="00CB093C">
        <w:rPr>
          <w:rFonts w:ascii="Arial" w:hAnsi="Arial" w:cs="Arial"/>
          <w:i/>
          <w:szCs w:val="22"/>
        </w:rPr>
        <w:softHyphen/>
      </w:r>
      <w:r w:rsidR="002F11C3" w:rsidRPr="00CB093C">
        <w:rPr>
          <w:rFonts w:ascii="Arial" w:hAnsi="Arial" w:cs="Arial"/>
          <w:i/>
          <w:szCs w:val="22"/>
        </w:rPr>
        <w:t>20</w:t>
      </w:r>
      <w:r w:rsidR="006574F1" w:rsidRPr="00CB093C">
        <w:rPr>
          <w:rFonts w:ascii="Arial" w:hAnsi="Arial" w:cs="Arial"/>
          <w:i/>
          <w:szCs w:val="22"/>
        </w:rPr>
        <w:t>1</w:t>
      </w:r>
      <w:r w:rsidR="0095699D" w:rsidRPr="00CB093C">
        <w:rPr>
          <w:rFonts w:ascii="Arial" w:hAnsi="Arial" w:cs="Arial"/>
          <w:i/>
          <w:szCs w:val="22"/>
        </w:rPr>
        <w:t>8</w:t>
      </w:r>
      <w:r w:rsidRPr="00CB093C">
        <w:rPr>
          <w:rFonts w:ascii="Arial" w:hAnsi="Arial" w:cs="Arial"/>
          <w:i/>
          <w:szCs w:val="22"/>
        </w:rPr>
        <w:t xml:space="preserve"> compared to the long-term average</w:t>
      </w:r>
      <w:bookmarkEnd w:id="137"/>
      <w:bookmarkEnd w:id="138"/>
    </w:p>
    <w:p w14:paraId="0498A22A" w14:textId="103155C0" w:rsidR="0095699D" w:rsidRPr="00CB093C" w:rsidRDefault="007B0A21" w:rsidP="0095699D">
      <w:pPr>
        <w:jc w:val="center"/>
        <w:rPr>
          <w:rFonts w:ascii="Arial" w:hAnsi="Arial" w:cs="Arial"/>
          <w:i/>
          <w:szCs w:val="22"/>
        </w:rPr>
      </w:pPr>
      <w:r w:rsidRPr="00CB093C">
        <w:rPr>
          <w:rFonts w:ascii="Arial" w:hAnsi="Arial" w:cs="Arial"/>
          <w:i/>
          <w:szCs w:val="22"/>
        </w:rPr>
        <w:t xml:space="preserve"> (range indicated for each data set). *intertidal only.</w:t>
      </w:r>
    </w:p>
    <w:tbl>
      <w:tblPr>
        <w:tblW w:w="0" w:type="auto"/>
        <w:jc w:val="center"/>
        <w:tblBorders>
          <w:bottom w:val="single" w:sz="4" w:space="0" w:color="auto"/>
        </w:tblBorders>
        <w:tblLook w:val="04A0" w:firstRow="1" w:lastRow="0" w:firstColumn="1" w:lastColumn="0" w:noHBand="0" w:noVBand="1"/>
      </w:tblPr>
      <w:tblGrid>
        <w:gridCol w:w="4705"/>
        <w:gridCol w:w="2037"/>
        <w:gridCol w:w="2126"/>
      </w:tblGrid>
      <w:tr w:rsidR="0095699D" w:rsidRPr="00CB093C" w14:paraId="31346C66" w14:textId="77777777" w:rsidTr="00CA1552">
        <w:trPr>
          <w:trHeight w:val="227"/>
          <w:jc w:val="center"/>
        </w:trPr>
        <w:tc>
          <w:tcPr>
            <w:tcW w:w="4705" w:type="dxa"/>
            <w:tcBorders>
              <w:top w:val="single" w:sz="4" w:space="0" w:color="auto"/>
              <w:bottom w:val="single" w:sz="4" w:space="0" w:color="auto"/>
            </w:tcBorders>
            <w:shd w:val="clear" w:color="auto" w:fill="BBE0E3"/>
            <w:vAlign w:val="center"/>
          </w:tcPr>
          <w:p w14:paraId="6E91D4AF" w14:textId="5D44C90C" w:rsidR="0095699D" w:rsidRPr="00CB093C" w:rsidRDefault="0095699D" w:rsidP="00B3497B">
            <w:pPr>
              <w:spacing w:before="0" w:after="0"/>
              <w:rPr>
                <w:rFonts w:ascii="Arial" w:hAnsi="Arial" w:cs="Arial"/>
                <w:b/>
                <w:szCs w:val="22"/>
              </w:rPr>
            </w:pPr>
            <w:r w:rsidRPr="00CB093C">
              <w:rPr>
                <w:rFonts w:ascii="Arial" w:hAnsi="Arial" w:cs="Arial"/>
                <w:b/>
                <w:szCs w:val="22"/>
              </w:rPr>
              <w:t xml:space="preserve">Environmental </w:t>
            </w:r>
            <w:r w:rsidR="00B3497B" w:rsidRPr="00CB093C">
              <w:rPr>
                <w:rFonts w:ascii="Arial" w:hAnsi="Arial" w:cs="Arial"/>
                <w:b/>
                <w:szCs w:val="22"/>
              </w:rPr>
              <w:t>pressure</w:t>
            </w:r>
          </w:p>
        </w:tc>
        <w:tc>
          <w:tcPr>
            <w:tcW w:w="2037" w:type="dxa"/>
            <w:tcBorders>
              <w:top w:val="single" w:sz="4" w:space="0" w:color="auto"/>
              <w:bottom w:val="single" w:sz="4" w:space="0" w:color="auto"/>
            </w:tcBorders>
            <w:shd w:val="clear" w:color="auto" w:fill="BBE0E3"/>
            <w:vAlign w:val="center"/>
          </w:tcPr>
          <w:p w14:paraId="6B993CF3" w14:textId="77777777" w:rsidR="0095699D" w:rsidRPr="00CB093C" w:rsidRDefault="0095699D" w:rsidP="00BE5D0E">
            <w:pPr>
              <w:spacing w:before="0" w:after="0"/>
              <w:jc w:val="center"/>
              <w:rPr>
                <w:rFonts w:ascii="Arial" w:hAnsi="Arial" w:cs="Arial"/>
                <w:b/>
                <w:szCs w:val="22"/>
              </w:rPr>
            </w:pPr>
            <w:r w:rsidRPr="00CB093C">
              <w:rPr>
                <w:rFonts w:ascii="Arial" w:hAnsi="Arial" w:cs="Arial"/>
                <w:b/>
                <w:szCs w:val="22"/>
              </w:rPr>
              <w:t>Long-term average</w:t>
            </w:r>
          </w:p>
        </w:tc>
        <w:tc>
          <w:tcPr>
            <w:tcW w:w="2126" w:type="dxa"/>
            <w:tcBorders>
              <w:top w:val="single" w:sz="4" w:space="0" w:color="auto"/>
              <w:bottom w:val="single" w:sz="4" w:space="0" w:color="auto"/>
            </w:tcBorders>
            <w:shd w:val="clear" w:color="auto" w:fill="BBE0E3"/>
            <w:vAlign w:val="center"/>
          </w:tcPr>
          <w:p w14:paraId="70C42E62" w14:textId="6917481F" w:rsidR="0095699D" w:rsidRPr="00CB093C" w:rsidRDefault="003654C6" w:rsidP="00BE5D0E">
            <w:pPr>
              <w:spacing w:before="0" w:after="0"/>
              <w:jc w:val="center"/>
              <w:rPr>
                <w:rFonts w:ascii="Arial" w:hAnsi="Arial" w:cs="Arial"/>
                <w:b/>
                <w:szCs w:val="22"/>
              </w:rPr>
            </w:pPr>
            <w:r>
              <w:rPr>
                <w:rFonts w:ascii="Arial" w:hAnsi="Arial" w:cs="Arial"/>
                <w:b/>
                <w:szCs w:val="22"/>
              </w:rPr>
              <w:t>2017–18</w:t>
            </w:r>
          </w:p>
        </w:tc>
      </w:tr>
      <w:tr w:rsidR="0095699D" w:rsidRPr="00CB093C" w14:paraId="1C67A68E" w14:textId="77777777" w:rsidTr="00CA1552">
        <w:trPr>
          <w:trHeight w:val="227"/>
          <w:jc w:val="center"/>
        </w:trPr>
        <w:tc>
          <w:tcPr>
            <w:tcW w:w="4705" w:type="dxa"/>
            <w:tcBorders>
              <w:top w:val="single" w:sz="4" w:space="0" w:color="auto"/>
            </w:tcBorders>
            <w:shd w:val="clear" w:color="auto" w:fill="E7F3F4"/>
            <w:vAlign w:val="center"/>
          </w:tcPr>
          <w:p w14:paraId="432F5634" w14:textId="77777777" w:rsidR="0095699D" w:rsidRPr="00CB093C" w:rsidRDefault="0095699D" w:rsidP="00BE5D0E">
            <w:pPr>
              <w:tabs>
                <w:tab w:val="left" w:pos="176"/>
              </w:tabs>
              <w:spacing w:before="0" w:after="0"/>
              <w:rPr>
                <w:rFonts w:ascii="Arial" w:hAnsi="Arial" w:cs="Arial"/>
                <w:i/>
                <w:szCs w:val="22"/>
              </w:rPr>
            </w:pPr>
            <w:r w:rsidRPr="00CB093C">
              <w:rPr>
                <w:rFonts w:ascii="Arial" w:hAnsi="Arial" w:cs="Arial"/>
                <w:i/>
                <w:szCs w:val="22"/>
              </w:rPr>
              <w:t>Climate</w:t>
            </w:r>
          </w:p>
        </w:tc>
        <w:tc>
          <w:tcPr>
            <w:tcW w:w="2037" w:type="dxa"/>
            <w:tcBorders>
              <w:top w:val="single" w:sz="4" w:space="0" w:color="auto"/>
            </w:tcBorders>
            <w:shd w:val="clear" w:color="auto" w:fill="E7F3F4"/>
            <w:vAlign w:val="center"/>
          </w:tcPr>
          <w:p w14:paraId="0A0AD7DE" w14:textId="77777777" w:rsidR="0095699D" w:rsidRPr="00CB093C" w:rsidRDefault="0095699D" w:rsidP="00BE5D0E">
            <w:pPr>
              <w:spacing w:before="0" w:after="0"/>
              <w:jc w:val="center"/>
              <w:rPr>
                <w:rFonts w:ascii="Arial" w:hAnsi="Arial" w:cs="Arial"/>
                <w:szCs w:val="22"/>
              </w:rPr>
            </w:pPr>
          </w:p>
        </w:tc>
        <w:tc>
          <w:tcPr>
            <w:tcW w:w="2126" w:type="dxa"/>
            <w:tcBorders>
              <w:top w:val="single" w:sz="4" w:space="0" w:color="auto"/>
            </w:tcBorders>
            <w:shd w:val="clear" w:color="auto" w:fill="E7F3F4"/>
            <w:vAlign w:val="center"/>
          </w:tcPr>
          <w:p w14:paraId="5D08245B" w14:textId="77777777" w:rsidR="0095699D" w:rsidRPr="00CB093C" w:rsidRDefault="0095699D" w:rsidP="00BE5D0E">
            <w:pPr>
              <w:spacing w:before="0" w:after="0"/>
              <w:jc w:val="center"/>
              <w:rPr>
                <w:rFonts w:ascii="Arial" w:hAnsi="Arial" w:cs="Arial"/>
                <w:szCs w:val="22"/>
              </w:rPr>
            </w:pPr>
          </w:p>
        </w:tc>
      </w:tr>
      <w:tr w:rsidR="0095699D" w:rsidRPr="00CB093C" w14:paraId="1781461D" w14:textId="77777777" w:rsidTr="00CA1552">
        <w:trPr>
          <w:trHeight w:val="227"/>
          <w:jc w:val="center"/>
        </w:trPr>
        <w:tc>
          <w:tcPr>
            <w:tcW w:w="4705" w:type="dxa"/>
            <w:shd w:val="clear" w:color="auto" w:fill="E7F3F4"/>
            <w:vAlign w:val="center"/>
          </w:tcPr>
          <w:p w14:paraId="4F6D53DA" w14:textId="41DE3303" w:rsidR="0095699D" w:rsidRPr="00CB093C" w:rsidRDefault="0095699D" w:rsidP="006875E3">
            <w:pPr>
              <w:tabs>
                <w:tab w:val="left" w:pos="176"/>
              </w:tabs>
              <w:spacing w:before="0" w:after="0"/>
              <w:rPr>
                <w:rFonts w:ascii="Arial" w:hAnsi="Arial" w:cs="Arial"/>
                <w:szCs w:val="22"/>
              </w:rPr>
            </w:pPr>
            <w:r w:rsidRPr="00CB093C">
              <w:rPr>
                <w:rFonts w:ascii="Arial" w:hAnsi="Arial" w:cs="Arial"/>
                <w:szCs w:val="22"/>
              </w:rPr>
              <w:tab/>
            </w:r>
            <w:r w:rsidR="006875E3" w:rsidRPr="00CB093C">
              <w:rPr>
                <w:rFonts w:ascii="Arial" w:hAnsi="Arial" w:cs="Arial"/>
                <w:szCs w:val="22"/>
              </w:rPr>
              <w:t>C</w:t>
            </w:r>
            <w:r w:rsidRPr="00CB093C">
              <w:rPr>
                <w:rFonts w:ascii="Arial" w:hAnsi="Arial" w:cs="Arial"/>
                <w:szCs w:val="22"/>
              </w:rPr>
              <w:t>yclones (1968</w:t>
            </w:r>
            <w:r w:rsidR="00F206BF" w:rsidRPr="00CB093C">
              <w:rPr>
                <w:rFonts w:ascii="Arial" w:hAnsi="Arial" w:cs="Arial"/>
                <w:szCs w:val="22"/>
              </w:rPr>
              <w:t>–</w:t>
            </w:r>
            <w:r w:rsidRPr="00CB093C">
              <w:rPr>
                <w:rFonts w:ascii="Arial" w:hAnsi="Arial" w:cs="Arial"/>
                <w:szCs w:val="22"/>
              </w:rPr>
              <w:t>201</w:t>
            </w:r>
            <w:r w:rsidR="00AF69A8" w:rsidRPr="00CB093C">
              <w:rPr>
                <w:rFonts w:ascii="Arial" w:hAnsi="Arial" w:cs="Arial"/>
                <w:szCs w:val="22"/>
              </w:rPr>
              <w:t>8</w:t>
            </w:r>
            <w:r w:rsidRPr="00CB093C">
              <w:rPr>
                <w:rFonts w:ascii="Arial" w:hAnsi="Arial" w:cs="Arial"/>
                <w:szCs w:val="22"/>
              </w:rPr>
              <w:t>)</w:t>
            </w:r>
          </w:p>
        </w:tc>
        <w:tc>
          <w:tcPr>
            <w:tcW w:w="2037" w:type="dxa"/>
            <w:shd w:val="clear" w:color="auto" w:fill="E7F3F4"/>
            <w:vAlign w:val="center"/>
          </w:tcPr>
          <w:p w14:paraId="3036A9DD" w14:textId="4015F01B" w:rsidR="0095699D" w:rsidRPr="00CB093C" w:rsidRDefault="00652C26" w:rsidP="00BE5D0E">
            <w:pPr>
              <w:spacing w:before="0" w:after="0"/>
              <w:jc w:val="center"/>
              <w:rPr>
                <w:rFonts w:ascii="Arial" w:hAnsi="Arial" w:cs="Arial"/>
                <w:szCs w:val="22"/>
              </w:rPr>
            </w:pPr>
            <w:r w:rsidRPr="00CB093C">
              <w:rPr>
                <w:rFonts w:ascii="Arial" w:hAnsi="Arial" w:cs="Arial"/>
                <w:szCs w:val="22"/>
              </w:rPr>
              <w:t>4</w:t>
            </w:r>
          </w:p>
        </w:tc>
        <w:tc>
          <w:tcPr>
            <w:tcW w:w="2126" w:type="dxa"/>
            <w:shd w:val="clear" w:color="auto" w:fill="E7F3F4"/>
            <w:vAlign w:val="center"/>
          </w:tcPr>
          <w:p w14:paraId="3C1F4AB1" w14:textId="28A82569" w:rsidR="0095699D" w:rsidRPr="00CB093C" w:rsidRDefault="00AF69A8" w:rsidP="00BE5D0E">
            <w:pPr>
              <w:spacing w:before="0" w:after="0"/>
              <w:jc w:val="center"/>
              <w:rPr>
                <w:rFonts w:ascii="Arial" w:hAnsi="Arial" w:cs="Arial"/>
                <w:szCs w:val="22"/>
              </w:rPr>
            </w:pPr>
            <w:r w:rsidRPr="00CB093C">
              <w:rPr>
                <w:rFonts w:ascii="Arial" w:hAnsi="Arial" w:cs="Arial"/>
                <w:szCs w:val="22"/>
              </w:rPr>
              <w:t>0</w:t>
            </w:r>
          </w:p>
        </w:tc>
      </w:tr>
      <w:tr w:rsidR="0095699D" w:rsidRPr="00CB093C" w14:paraId="684460A5" w14:textId="77777777" w:rsidTr="00CA1552">
        <w:trPr>
          <w:trHeight w:val="227"/>
          <w:jc w:val="center"/>
        </w:trPr>
        <w:tc>
          <w:tcPr>
            <w:tcW w:w="4705" w:type="dxa"/>
            <w:shd w:val="clear" w:color="auto" w:fill="E7F3F4"/>
            <w:vAlign w:val="center"/>
          </w:tcPr>
          <w:p w14:paraId="556B89E5" w14:textId="367DD3A7" w:rsidR="0095699D" w:rsidRPr="00CB093C" w:rsidRDefault="0095699D" w:rsidP="006875E3">
            <w:pPr>
              <w:tabs>
                <w:tab w:val="left" w:pos="176"/>
              </w:tabs>
              <w:spacing w:before="0" w:after="0"/>
              <w:rPr>
                <w:rFonts w:ascii="Arial" w:hAnsi="Arial" w:cs="Arial"/>
                <w:szCs w:val="22"/>
              </w:rPr>
            </w:pPr>
            <w:r w:rsidRPr="00CB093C">
              <w:rPr>
                <w:rFonts w:ascii="Arial" w:hAnsi="Arial" w:cs="Arial"/>
                <w:szCs w:val="22"/>
              </w:rPr>
              <w:tab/>
              <w:t xml:space="preserve">Daily </w:t>
            </w:r>
            <w:r w:rsidR="006875E3" w:rsidRPr="00CB093C">
              <w:rPr>
                <w:rFonts w:ascii="Arial" w:hAnsi="Arial" w:cs="Arial"/>
                <w:szCs w:val="22"/>
              </w:rPr>
              <w:t>r</w:t>
            </w:r>
            <w:r w:rsidRPr="00CB093C">
              <w:rPr>
                <w:rFonts w:ascii="Arial" w:hAnsi="Arial" w:cs="Arial"/>
                <w:szCs w:val="22"/>
              </w:rPr>
              <w:t>ainfall (1960</w:t>
            </w:r>
            <w:r w:rsidR="00F206BF" w:rsidRPr="00CB093C">
              <w:rPr>
                <w:rFonts w:ascii="Arial" w:hAnsi="Arial" w:cs="Arial"/>
                <w:szCs w:val="22"/>
              </w:rPr>
              <w:t>–</w:t>
            </w:r>
            <w:r w:rsidRPr="00CB093C">
              <w:rPr>
                <w:rFonts w:ascii="Arial" w:hAnsi="Arial" w:cs="Arial"/>
                <w:szCs w:val="22"/>
              </w:rPr>
              <w:t>1991)</w:t>
            </w:r>
          </w:p>
        </w:tc>
        <w:tc>
          <w:tcPr>
            <w:tcW w:w="2037" w:type="dxa"/>
            <w:shd w:val="clear" w:color="auto" w:fill="E7F3F4"/>
            <w:vAlign w:val="center"/>
          </w:tcPr>
          <w:p w14:paraId="1995FB59" w14:textId="546DF106" w:rsidR="0095699D" w:rsidRPr="00CB093C" w:rsidRDefault="00652C26" w:rsidP="00BE5D0E">
            <w:pPr>
              <w:spacing w:before="0" w:after="0"/>
              <w:jc w:val="center"/>
              <w:rPr>
                <w:rFonts w:ascii="Arial" w:hAnsi="Arial" w:cs="Arial"/>
                <w:szCs w:val="22"/>
              </w:rPr>
            </w:pPr>
            <w:r w:rsidRPr="00CB093C">
              <w:rPr>
                <w:rFonts w:ascii="Arial" w:hAnsi="Arial" w:cs="Arial"/>
                <w:szCs w:val="22"/>
              </w:rPr>
              <w:t>4.1</w:t>
            </w:r>
            <w:r w:rsidR="0095699D" w:rsidRPr="00CB093C">
              <w:rPr>
                <w:rFonts w:ascii="Arial" w:hAnsi="Arial" w:cs="Arial"/>
                <w:szCs w:val="22"/>
              </w:rPr>
              <w:t xml:space="preserve"> mm d</w:t>
            </w:r>
            <w:r w:rsidR="0095699D" w:rsidRPr="00CB093C">
              <w:rPr>
                <w:rFonts w:ascii="Arial" w:hAnsi="Arial" w:cs="Arial"/>
                <w:szCs w:val="22"/>
                <w:vertAlign w:val="superscript"/>
              </w:rPr>
              <w:t>-1</w:t>
            </w:r>
          </w:p>
        </w:tc>
        <w:tc>
          <w:tcPr>
            <w:tcW w:w="2126" w:type="dxa"/>
            <w:shd w:val="clear" w:color="auto" w:fill="E7F3F4"/>
            <w:vAlign w:val="center"/>
          </w:tcPr>
          <w:p w14:paraId="29D8410D" w14:textId="45C69F89" w:rsidR="0095699D" w:rsidRPr="00CB093C" w:rsidRDefault="00F432A9" w:rsidP="00BE5D0E">
            <w:pPr>
              <w:spacing w:before="0" w:after="0"/>
              <w:jc w:val="center"/>
              <w:rPr>
                <w:rFonts w:ascii="Arial" w:hAnsi="Arial" w:cs="Arial"/>
                <w:szCs w:val="22"/>
              </w:rPr>
            </w:pPr>
            <w:r w:rsidRPr="00CB093C">
              <w:rPr>
                <w:rFonts w:ascii="Arial" w:hAnsi="Arial" w:cs="Arial"/>
                <w:szCs w:val="22"/>
              </w:rPr>
              <w:t>3.5</w:t>
            </w:r>
            <w:r w:rsidR="0095699D" w:rsidRPr="00CB093C">
              <w:rPr>
                <w:rFonts w:ascii="Arial" w:hAnsi="Arial" w:cs="Arial"/>
                <w:szCs w:val="22"/>
              </w:rPr>
              <w:t xml:space="preserve"> mm d</w:t>
            </w:r>
            <w:r w:rsidR="0095699D" w:rsidRPr="00CB093C">
              <w:rPr>
                <w:rFonts w:ascii="Arial" w:hAnsi="Arial" w:cs="Arial"/>
                <w:szCs w:val="22"/>
                <w:vertAlign w:val="superscript"/>
              </w:rPr>
              <w:t>-1</w:t>
            </w:r>
          </w:p>
        </w:tc>
      </w:tr>
      <w:tr w:rsidR="0095699D" w:rsidRPr="00CB093C" w14:paraId="2BE3505A" w14:textId="77777777" w:rsidTr="00CA1552">
        <w:trPr>
          <w:trHeight w:val="227"/>
          <w:jc w:val="center"/>
        </w:trPr>
        <w:tc>
          <w:tcPr>
            <w:tcW w:w="4705" w:type="dxa"/>
            <w:shd w:val="clear" w:color="auto" w:fill="E7F3F4"/>
            <w:vAlign w:val="center"/>
          </w:tcPr>
          <w:p w14:paraId="223C7A60" w14:textId="6981AF0E" w:rsidR="0095699D" w:rsidRPr="00CB093C" w:rsidRDefault="0095699D" w:rsidP="00A30A14">
            <w:pPr>
              <w:tabs>
                <w:tab w:val="left" w:pos="176"/>
              </w:tabs>
              <w:spacing w:before="0" w:after="0"/>
              <w:rPr>
                <w:rFonts w:ascii="Arial" w:hAnsi="Arial" w:cs="Arial"/>
                <w:szCs w:val="22"/>
              </w:rPr>
            </w:pPr>
            <w:r w:rsidRPr="00CB093C">
              <w:rPr>
                <w:rFonts w:ascii="Arial" w:hAnsi="Arial" w:cs="Arial"/>
                <w:szCs w:val="22"/>
              </w:rPr>
              <w:tab/>
              <w:t>Riverine discharge (19</w:t>
            </w:r>
            <w:r w:rsidR="00A30A14" w:rsidRPr="00CB093C">
              <w:rPr>
                <w:rFonts w:ascii="Arial" w:hAnsi="Arial" w:cs="Arial"/>
                <w:szCs w:val="22"/>
              </w:rPr>
              <w:t>86</w:t>
            </w:r>
            <w:r w:rsidR="00F206BF" w:rsidRPr="00CB093C">
              <w:rPr>
                <w:rFonts w:ascii="Arial" w:hAnsi="Arial" w:cs="Arial"/>
                <w:szCs w:val="22"/>
              </w:rPr>
              <w:t>–</w:t>
            </w:r>
            <w:r w:rsidRPr="00CB093C">
              <w:rPr>
                <w:rFonts w:ascii="Arial" w:hAnsi="Arial" w:cs="Arial"/>
                <w:szCs w:val="22"/>
              </w:rPr>
              <w:t>201</w:t>
            </w:r>
            <w:r w:rsidR="00C97A63" w:rsidRPr="00CB093C">
              <w:rPr>
                <w:rFonts w:ascii="Arial" w:hAnsi="Arial" w:cs="Arial"/>
                <w:szCs w:val="22"/>
              </w:rPr>
              <w:t>8</w:t>
            </w:r>
            <w:r w:rsidRPr="00CB093C">
              <w:rPr>
                <w:rFonts w:ascii="Arial" w:hAnsi="Arial" w:cs="Arial"/>
                <w:szCs w:val="22"/>
              </w:rPr>
              <w:t>)</w:t>
            </w:r>
          </w:p>
        </w:tc>
        <w:tc>
          <w:tcPr>
            <w:tcW w:w="2037" w:type="dxa"/>
            <w:shd w:val="clear" w:color="auto" w:fill="E7F3F4"/>
            <w:vAlign w:val="center"/>
          </w:tcPr>
          <w:p w14:paraId="052F85F4" w14:textId="0785606C" w:rsidR="0095699D" w:rsidRPr="00CB093C" w:rsidRDefault="001E0395" w:rsidP="00BE5D0E">
            <w:pPr>
              <w:spacing w:before="0" w:after="0"/>
              <w:jc w:val="center"/>
              <w:rPr>
                <w:rFonts w:ascii="Arial" w:hAnsi="Arial" w:cs="Arial"/>
                <w:szCs w:val="22"/>
              </w:rPr>
            </w:pPr>
            <w:r w:rsidRPr="00CB093C">
              <w:rPr>
                <w:rFonts w:ascii="Arial" w:hAnsi="Arial" w:cs="Arial"/>
                <w:szCs w:val="22"/>
              </w:rPr>
              <w:t>50,442</w:t>
            </w:r>
            <w:r w:rsidR="00AA6857" w:rsidRPr="00CB093C">
              <w:rPr>
                <w:rFonts w:ascii="Arial" w:hAnsi="Arial" w:cs="Arial"/>
                <w:szCs w:val="22"/>
              </w:rPr>
              <w:t>,</w:t>
            </w:r>
            <w:r w:rsidRPr="00CB093C">
              <w:rPr>
                <w:rFonts w:ascii="Arial" w:hAnsi="Arial" w:cs="Arial"/>
                <w:szCs w:val="22"/>
              </w:rPr>
              <w:t>618</w:t>
            </w:r>
            <w:r w:rsidR="0095699D" w:rsidRPr="00CB093C">
              <w:rPr>
                <w:rFonts w:ascii="Arial" w:hAnsi="Arial" w:cs="Arial"/>
                <w:szCs w:val="22"/>
              </w:rPr>
              <w:t xml:space="preserve"> </w:t>
            </w:r>
            <w:r w:rsidR="00F43947" w:rsidRPr="00CB093C">
              <w:rPr>
                <w:rFonts w:ascii="Arial" w:hAnsi="Arial" w:cs="Arial"/>
                <w:szCs w:val="22"/>
              </w:rPr>
              <w:t>M</w:t>
            </w:r>
            <w:r w:rsidR="0095699D" w:rsidRPr="00CB093C">
              <w:rPr>
                <w:rFonts w:ascii="Arial" w:hAnsi="Arial" w:cs="Arial"/>
                <w:szCs w:val="22"/>
              </w:rPr>
              <w:t>L yr</w:t>
            </w:r>
            <w:r w:rsidR="0095699D" w:rsidRPr="00CB093C">
              <w:rPr>
                <w:rFonts w:ascii="Arial" w:hAnsi="Arial" w:cs="Arial"/>
                <w:szCs w:val="22"/>
                <w:vertAlign w:val="superscript"/>
              </w:rPr>
              <w:t>-1</w:t>
            </w:r>
          </w:p>
        </w:tc>
        <w:tc>
          <w:tcPr>
            <w:tcW w:w="2126" w:type="dxa"/>
            <w:shd w:val="clear" w:color="auto" w:fill="E7F3F4"/>
            <w:vAlign w:val="center"/>
          </w:tcPr>
          <w:p w14:paraId="0B328349" w14:textId="3B33D6C9" w:rsidR="0095699D" w:rsidRPr="00CB093C" w:rsidRDefault="000C22B5" w:rsidP="00BE5D0E">
            <w:pPr>
              <w:spacing w:before="0" w:after="0"/>
              <w:jc w:val="center"/>
              <w:rPr>
                <w:rFonts w:ascii="Arial" w:hAnsi="Arial" w:cs="Arial"/>
                <w:szCs w:val="22"/>
              </w:rPr>
            </w:pPr>
            <w:r w:rsidRPr="00CB093C">
              <w:rPr>
                <w:rFonts w:ascii="Arial" w:hAnsi="Arial" w:cs="Arial"/>
                <w:szCs w:val="22"/>
              </w:rPr>
              <w:t>60,906,383</w:t>
            </w:r>
            <w:r w:rsidR="0095699D" w:rsidRPr="00CB093C">
              <w:rPr>
                <w:rFonts w:ascii="Arial" w:hAnsi="Arial" w:cs="Arial"/>
                <w:szCs w:val="22"/>
              </w:rPr>
              <w:t xml:space="preserve"> </w:t>
            </w:r>
            <w:r w:rsidR="00F43947" w:rsidRPr="00CB093C">
              <w:rPr>
                <w:rFonts w:ascii="Arial" w:hAnsi="Arial" w:cs="Arial"/>
                <w:szCs w:val="22"/>
              </w:rPr>
              <w:t>M</w:t>
            </w:r>
            <w:r w:rsidR="0095699D" w:rsidRPr="00CB093C">
              <w:rPr>
                <w:rFonts w:ascii="Arial" w:hAnsi="Arial" w:cs="Arial"/>
                <w:szCs w:val="22"/>
              </w:rPr>
              <w:t>L yr</w:t>
            </w:r>
            <w:r w:rsidR="0095699D" w:rsidRPr="00CB093C">
              <w:rPr>
                <w:rFonts w:ascii="Arial" w:hAnsi="Arial" w:cs="Arial"/>
                <w:szCs w:val="22"/>
                <w:vertAlign w:val="superscript"/>
              </w:rPr>
              <w:t>-1</w:t>
            </w:r>
          </w:p>
        </w:tc>
      </w:tr>
      <w:tr w:rsidR="0095699D" w:rsidRPr="00CB093C" w14:paraId="0A03D60C" w14:textId="77777777" w:rsidTr="00CA1552">
        <w:trPr>
          <w:trHeight w:val="227"/>
          <w:jc w:val="center"/>
        </w:trPr>
        <w:tc>
          <w:tcPr>
            <w:tcW w:w="4705" w:type="dxa"/>
            <w:tcBorders>
              <w:bottom w:val="nil"/>
            </w:tcBorders>
            <w:shd w:val="clear" w:color="auto" w:fill="E7F3F4"/>
            <w:vAlign w:val="center"/>
          </w:tcPr>
          <w:p w14:paraId="4A8E5573" w14:textId="4D0C6629" w:rsidR="0095699D" w:rsidRPr="00CB093C" w:rsidRDefault="0095699D" w:rsidP="00C97A63">
            <w:pPr>
              <w:tabs>
                <w:tab w:val="left" w:pos="176"/>
              </w:tabs>
              <w:spacing w:before="0" w:after="0"/>
              <w:rPr>
                <w:rFonts w:ascii="Arial" w:hAnsi="Arial" w:cs="Arial"/>
                <w:szCs w:val="22"/>
              </w:rPr>
            </w:pPr>
            <w:r w:rsidRPr="00CB093C">
              <w:rPr>
                <w:rFonts w:ascii="Arial" w:hAnsi="Arial" w:cs="Arial"/>
                <w:szCs w:val="22"/>
              </w:rPr>
              <w:tab/>
              <w:t>Wet season turbid water exposure (2003</w:t>
            </w:r>
            <w:r w:rsidR="00F206BF" w:rsidRPr="00CB093C">
              <w:rPr>
                <w:rFonts w:ascii="Arial" w:hAnsi="Arial" w:cs="Arial"/>
                <w:szCs w:val="22"/>
              </w:rPr>
              <w:t>–</w:t>
            </w:r>
            <w:r w:rsidRPr="00CB093C">
              <w:rPr>
                <w:rFonts w:ascii="Arial" w:hAnsi="Arial" w:cs="Arial"/>
                <w:szCs w:val="22"/>
              </w:rPr>
              <w:t>201</w:t>
            </w:r>
            <w:r w:rsidR="00C97A63" w:rsidRPr="00CB093C">
              <w:rPr>
                <w:rFonts w:ascii="Arial" w:hAnsi="Arial" w:cs="Arial"/>
                <w:szCs w:val="22"/>
              </w:rPr>
              <w:t>8</w:t>
            </w:r>
            <w:r w:rsidRPr="00CB093C">
              <w:rPr>
                <w:rFonts w:ascii="Arial" w:hAnsi="Arial" w:cs="Arial"/>
                <w:szCs w:val="22"/>
              </w:rPr>
              <w:t>)</w:t>
            </w:r>
          </w:p>
        </w:tc>
        <w:tc>
          <w:tcPr>
            <w:tcW w:w="2037" w:type="dxa"/>
            <w:tcBorders>
              <w:bottom w:val="nil"/>
            </w:tcBorders>
            <w:shd w:val="clear" w:color="auto" w:fill="E7F3F4"/>
            <w:vAlign w:val="center"/>
          </w:tcPr>
          <w:p w14:paraId="517104ED" w14:textId="5573071B" w:rsidR="0095699D" w:rsidRPr="00CB093C" w:rsidRDefault="0095699D" w:rsidP="00BE5D0E">
            <w:pPr>
              <w:spacing w:before="0" w:after="0"/>
              <w:jc w:val="center"/>
              <w:rPr>
                <w:rFonts w:ascii="Arial" w:hAnsi="Arial" w:cs="Arial"/>
                <w:szCs w:val="22"/>
              </w:rPr>
            </w:pPr>
            <w:r w:rsidRPr="00CB093C">
              <w:rPr>
                <w:rFonts w:ascii="Arial" w:hAnsi="Arial" w:cs="Arial"/>
                <w:szCs w:val="22"/>
              </w:rPr>
              <w:t xml:space="preserve">90 </w:t>
            </w:r>
            <w:r w:rsidR="00882B72" w:rsidRPr="00CB093C">
              <w:rPr>
                <w:rFonts w:ascii="Arial" w:hAnsi="Arial" w:cs="Arial"/>
                <w:szCs w:val="22"/>
              </w:rPr>
              <w:t>%</w:t>
            </w:r>
          </w:p>
        </w:tc>
        <w:tc>
          <w:tcPr>
            <w:tcW w:w="2126" w:type="dxa"/>
            <w:tcBorders>
              <w:bottom w:val="nil"/>
            </w:tcBorders>
            <w:shd w:val="clear" w:color="auto" w:fill="E7F3F4"/>
            <w:vAlign w:val="center"/>
          </w:tcPr>
          <w:p w14:paraId="77D6E45E" w14:textId="305D6F7C" w:rsidR="0095699D" w:rsidRPr="00CB093C" w:rsidRDefault="0095699D" w:rsidP="00BE5D0E">
            <w:pPr>
              <w:spacing w:before="0" w:after="0"/>
              <w:jc w:val="center"/>
              <w:rPr>
                <w:rFonts w:ascii="Arial" w:hAnsi="Arial" w:cs="Arial"/>
                <w:szCs w:val="22"/>
              </w:rPr>
            </w:pPr>
            <w:r w:rsidRPr="00CB093C">
              <w:rPr>
                <w:rFonts w:ascii="Arial" w:hAnsi="Arial" w:cs="Arial"/>
                <w:szCs w:val="22"/>
              </w:rPr>
              <w:t xml:space="preserve">90 </w:t>
            </w:r>
            <w:r w:rsidR="00882B72" w:rsidRPr="00CB093C">
              <w:rPr>
                <w:rFonts w:ascii="Arial" w:hAnsi="Arial" w:cs="Arial"/>
                <w:szCs w:val="22"/>
              </w:rPr>
              <w:t>%</w:t>
            </w:r>
          </w:p>
        </w:tc>
      </w:tr>
      <w:tr w:rsidR="00066A55" w:rsidRPr="00CB093C" w14:paraId="4C56843F" w14:textId="77777777" w:rsidTr="00CA1552">
        <w:trPr>
          <w:trHeight w:val="227"/>
          <w:jc w:val="center"/>
        </w:trPr>
        <w:tc>
          <w:tcPr>
            <w:tcW w:w="4705" w:type="dxa"/>
            <w:tcBorders>
              <w:bottom w:val="nil"/>
            </w:tcBorders>
            <w:shd w:val="clear" w:color="auto" w:fill="E7F3F4"/>
            <w:vAlign w:val="center"/>
          </w:tcPr>
          <w:p w14:paraId="6BDEFC54" w14:textId="4A893D82" w:rsidR="00066A55" w:rsidRPr="00CB093C" w:rsidRDefault="00066A55" w:rsidP="00066A55">
            <w:pPr>
              <w:tabs>
                <w:tab w:val="left" w:pos="176"/>
              </w:tabs>
              <w:spacing w:before="0" w:after="0"/>
              <w:rPr>
                <w:rFonts w:ascii="Arial" w:hAnsi="Arial" w:cs="Arial"/>
                <w:szCs w:val="22"/>
              </w:rPr>
            </w:pPr>
            <w:r w:rsidRPr="00CB093C">
              <w:rPr>
                <w:rFonts w:ascii="Arial" w:hAnsi="Arial" w:cs="Arial"/>
                <w:szCs w:val="22"/>
              </w:rPr>
              <w:tab/>
              <w:t xml:space="preserve">Wind </w:t>
            </w:r>
            <w:r w:rsidRPr="00CB093C">
              <w:rPr>
                <w:rFonts w:ascii="Arial" w:hAnsi="Arial" w:cs="Arial"/>
                <w:szCs w:val="22"/>
                <w:lang w:eastAsia="en-AU"/>
              </w:rPr>
              <w:t>&gt;25</w:t>
            </w:r>
            <w:r w:rsidR="00C215FC" w:rsidRPr="00CB093C">
              <w:rPr>
                <w:rFonts w:ascii="Arial" w:hAnsi="Arial" w:cs="Arial"/>
                <w:szCs w:val="22"/>
                <w:lang w:eastAsia="en-AU"/>
              </w:rPr>
              <w:t xml:space="preserve"> </w:t>
            </w:r>
            <w:r w:rsidRPr="00CB093C">
              <w:rPr>
                <w:rFonts w:ascii="Arial" w:hAnsi="Arial" w:cs="Arial"/>
                <w:szCs w:val="22"/>
                <w:lang w:eastAsia="en-AU"/>
              </w:rPr>
              <w:t>km hr</w:t>
            </w:r>
            <w:r w:rsidRPr="00CB093C">
              <w:rPr>
                <w:rFonts w:ascii="Cambria Math" w:hAnsi="Cambria Math" w:cs="Cambria Math"/>
                <w:szCs w:val="22"/>
                <w:vertAlign w:val="superscript"/>
                <w:lang w:eastAsia="en-AU"/>
              </w:rPr>
              <w:t>‐</w:t>
            </w:r>
            <w:r w:rsidRPr="00CB093C">
              <w:rPr>
                <w:rFonts w:ascii="Arial" w:hAnsi="Arial" w:cs="Arial"/>
                <w:szCs w:val="22"/>
                <w:vertAlign w:val="superscript"/>
                <w:lang w:eastAsia="en-AU"/>
              </w:rPr>
              <w:t>1</w:t>
            </w:r>
            <w:r w:rsidRPr="00CB093C">
              <w:rPr>
                <w:rFonts w:ascii="Arial" w:hAnsi="Arial" w:cs="Arial"/>
                <w:szCs w:val="22"/>
              </w:rPr>
              <w:t xml:space="preserve"> (2002</w:t>
            </w:r>
            <w:r w:rsidR="00F206BF" w:rsidRPr="00CB093C">
              <w:rPr>
                <w:rFonts w:ascii="Arial" w:hAnsi="Arial" w:cs="Arial"/>
                <w:szCs w:val="22"/>
              </w:rPr>
              <w:t>–</w:t>
            </w:r>
            <w:r w:rsidRPr="00CB093C">
              <w:rPr>
                <w:rFonts w:ascii="Arial" w:hAnsi="Arial" w:cs="Arial"/>
                <w:szCs w:val="22"/>
              </w:rPr>
              <w:t>201</w:t>
            </w:r>
            <w:r w:rsidR="009A4346" w:rsidRPr="00CB093C">
              <w:rPr>
                <w:rFonts w:ascii="Arial" w:hAnsi="Arial" w:cs="Arial"/>
                <w:szCs w:val="22"/>
              </w:rPr>
              <w:t>8</w:t>
            </w:r>
            <w:r w:rsidRPr="00CB093C">
              <w:rPr>
                <w:rFonts w:ascii="Arial" w:hAnsi="Arial" w:cs="Arial"/>
                <w:szCs w:val="22"/>
              </w:rPr>
              <w:t>)</w:t>
            </w:r>
          </w:p>
        </w:tc>
        <w:tc>
          <w:tcPr>
            <w:tcW w:w="2037" w:type="dxa"/>
            <w:tcBorders>
              <w:bottom w:val="nil"/>
            </w:tcBorders>
            <w:shd w:val="clear" w:color="auto" w:fill="E7F3F4"/>
            <w:vAlign w:val="center"/>
          </w:tcPr>
          <w:p w14:paraId="64830D5D" w14:textId="2E265735" w:rsidR="00066A55" w:rsidRPr="00CB093C" w:rsidRDefault="00066A55" w:rsidP="00FB0F32">
            <w:pPr>
              <w:spacing w:before="0" w:after="0"/>
              <w:jc w:val="center"/>
              <w:rPr>
                <w:rFonts w:ascii="Arial" w:hAnsi="Arial" w:cs="Arial"/>
                <w:szCs w:val="22"/>
              </w:rPr>
            </w:pPr>
            <w:r w:rsidRPr="00CB093C">
              <w:rPr>
                <w:rFonts w:ascii="Arial" w:hAnsi="Arial" w:cs="Arial"/>
                <w:szCs w:val="22"/>
              </w:rPr>
              <w:t>108 d yr</w:t>
            </w:r>
            <w:r w:rsidRPr="00CB093C">
              <w:rPr>
                <w:rFonts w:ascii="Arial" w:hAnsi="Arial" w:cs="Arial"/>
                <w:szCs w:val="22"/>
                <w:vertAlign w:val="superscript"/>
              </w:rPr>
              <w:t>-1</w:t>
            </w:r>
          </w:p>
        </w:tc>
        <w:tc>
          <w:tcPr>
            <w:tcW w:w="2126" w:type="dxa"/>
            <w:tcBorders>
              <w:bottom w:val="nil"/>
            </w:tcBorders>
            <w:shd w:val="clear" w:color="auto" w:fill="E7F3F4"/>
            <w:vAlign w:val="center"/>
          </w:tcPr>
          <w:p w14:paraId="12A48387" w14:textId="571C9DCB" w:rsidR="00066A55" w:rsidRPr="00CB093C" w:rsidRDefault="00066A55" w:rsidP="009A4346">
            <w:pPr>
              <w:spacing w:before="0" w:after="0"/>
              <w:jc w:val="center"/>
              <w:rPr>
                <w:rFonts w:ascii="Arial" w:hAnsi="Arial" w:cs="Arial"/>
                <w:szCs w:val="22"/>
              </w:rPr>
            </w:pPr>
            <w:r w:rsidRPr="00CB093C">
              <w:rPr>
                <w:rFonts w:ascii="Arial" w:hAnsi="Arial" w:cs="Arial"/>
                <w:szCs w:val="22"/>
              </w:rPr>
              <w:t>1</w:t>
            </w:r>
            <w:r w:rsidR="009A4346" w:rsidRPr="00CB093C">
              <w:rPr>
                <w:rFonts w:ascii="Arial" w:hAnsi="Arial" w:cs="Arial"/>
                <w:szCs w:val="22"/>
              </w:rPr>
              <w:t>13</w:t>
            </w:r>
            <w:r w:rsidRPr="00CB093C">
              <w:rPr>
                <w:rFonts w:ascii="Arial" w:hAnsi="Arial" w:cs="Arial"/>
                <w:szCs w:val="22"/>
              </w:rPr>
              <w:t xml:space="preserve"> d yr</w:t>
            </w:r>
            <w:r w:rsidRPr="00CB093C">
              <w:rPr>
                <w:rFonts w:ascii="Arial" w:hAnsi="Arial" w:cs="Arial"/>
                <w:szCs w:val="22"/>
                <w:vertAlign w:val="superscript"/>
              </w:rPr>
              <w:t>-1</w:t>
            </w:r>
          </w:p>
        </w:tc>
      </w:tr>
      <w:tr w:rsidR="0095699D" w:rsidRPr="00CB093C" w14:paraId="44CCDB40" w14:textId="77777777" w:rsidTr="00CA1552">
        <w:trPr>
          <w:trHeight w:val="227"/>
          <w:jc w:val="center"/>
        </w:trPr>
        <w:tc>
          <w:tcPr>
            <w:tcW w:w="4705" w:type="dxa"/>
            <w:tcBorders>
              <w:top w:val="single" w:sz="4" w:space="0" w:color="auto"/>
            </w:tcBorders>
            <w:shd w:val="clear" w:color="auto" w:fill="F3F9FA"/>
            <w:vAlign w:val="center"/>
          </w:tcPr>
          <w:p w14:paraId="5037536A" w14:textId="77777777" w:rsidR="0095699D" w:rsidRPr="00CB093C" w:rsidRDefault="0095699D" w:rsidP="006875E3">
            <w:pPr>
              <w:tabs>
                <w:tab w:val="left" w:pos="176"/>
                <w:tab w:val="left" w:pos="1127"/>
              </w:tabs>
              <w:spacing w:before="0" w:after="0"/>
              <w:rPr>
                <w:rFonts w:ascii="Arial" w:hAnsi="Arial" w:cs="Arial"/>
                <w:i/>
                <w:szCs w:val="22"/>
              </w:rPr>
            </w:pPr>
            <w:r w:rsidRPr="00CB093C">
              <w:rPr>
                <w:rFonts w:ascii="Arial" w:hAnsi="Arial" w:cs="Arial"/>
                <w:i/>
                <w:szCs w:val="22"/>
              </w:rPr>
              <w:t>Within seagrass canopy</w:t>
            </w:r>
          </w:p>
        </w:tc>
        <w:tc>
          <w:tcPr>
            <w:tcW w:w="2037" w:type="dxa"/>
            <w:tcBorders>
              <w:top w:val="single" w:sz="4" w:space="0" w:color="auto"/>
            </w:tcBorders>
            <w:shd w:val="clear" w:color="auto" w:fill="F3F9FA"/>
            <w:vAlign w:val="center"/>
          </w:tcPr>
          <w:p w14:paraId="7587E72A" w14:textId="77777777" w:rsidR="0095699D" w:rsidRPr="00CB093C" w:rsidRDefault="0095699D" w:rsidP="00BE5D0E">
            <w:pPr>
              <w:spacing w:before="0" w:after="0"/>
              <w:jc w:val="center"/>
              <w:rPr>
                <w:rFonts w:ascii="Arial" w:hAnsi="Arial" w:cs="Arial"/>
                <w:szCs w:val="22"/>
              </w:rPr>
            </w:pPr>
          </w:p>
        </w:tc>
        <w:tc>
          <w:tcPr>
            <w:tcW w:w="2126" w:type="dxa"/>
            <w:tcBorders>
              <w:top w:val="single" w:sz="4" w:space="0" w:color="auto"/>
            </w:tcBorders>
            <w:shd w:val="clear" w:color="auto" w:fill="F3F9FA"/>
            <w:vAlign w:val="center"/>
          </w:tcPr>
          <w:p w14:paraId="79BC3868" w14:textId="77777777" w:rsidR="0095699D" w:rsidRPr="00CB093C" w:rsidRDefault="0095699D" w:rsidP="00BE5D0E">
            <w:pPr>
              <w:spacing w:before="0" w:after="0"/>
              <w:jc w:val="center"/>
              <w:rPr>
                <w:rFonts w:ascii="Arial" w:hAnsi="Arial" w:cs="Arial"/>
                <w:szCs w:val="22"/>
              </w:rPr>
            </w:pPr>
          </w:p>
        </w:tc>
      </w:tr>
      <w:tr w:rsidR="0095699D" w:rsidRPr="00CB093C" w14:paraId="271D1264" w14:textId="77777777" w:rsidTr="00CA1552">
        <w:trPr>
          <w:trHeight w:val="227"/>
          <w:jc w:val="center"/>
        </w:trPr>
        <w:tc>
          <w:tcPr>
            <w:tcW w:w="4705" w:type="dxa"/>
            <w:shd w:val="clear" w:color="auto" w:fill="F3F9FA"/>
            <w:vAlign w:val="center"/>
          </w:tcPr>
          <w:p w14:paraId="02040EA1" w14:textId="3E44A6C9" w:rsidR="0095699D" w:rsidRPr="00CB093C" w:rsidRDefault="0095699D" w:rsidP="006875E3">
            <w:pPr>
              <w:tabs>
                <w:tab w:val="left" w:pos="176"/>
                <w:tab w:val="left" w:pos="1127"/>
              </w:tabs>
              <w:spacing w:before="0" w:after="0"/>
              <w:rPr>
                <w:rFonts w:ascii="Arial" w:hAnsi="Arial" w:cs="Arial"/>
                <w:szCs w:val="22"/>
              </w:rPr>
            </w:pPr>
            <w:r w:rsidRPr="00CB093C">
              <w:rPr>
                <w:rFonts w:ascii="Arial" w:hAnsi="Arial" w:cs="Arial"/>
                <w:szCs w:val="22"/>
              </w:rPr>
              <w:lastRenderedPageBreak/>
              <w:tab/>
              <w:t>Within canopy temperature (±)</w:t>
            </w:r>
            <w:r w:rsidR="00CA1552" w:rsidRPr="00CB093C">
              <w:rPr>
                <w:rFonts w:ascii="Arial" w:hAnsi="Arial" w:cs="Arial"/>
                <w:szCs w:val="22"/>
              </w:rPr>
              <w:t xml:space="preserve"> (max)</w:t>
            </w:r>
            <w:r w:rsidRPr="00CB093C">
              <w:rPr>
                <w:rFonts w:ascii="Arial" w:hAnsi="Arial" w:cs="Arial"/>
                <w:szCs w:val="22"/>
              </w:rPr>
              <w:t xml:space="preserve"> (2003</w:t>
            </w:r>
            <w:r w:rsidR="00F206BF" w:rsidRPr="00CB093C">
              <w:rPr>
                <w:rFonts w:ascii="Arial" w:hAnsi="Arial" w:cs="Arial"/>
                <w:szCs w:val="22"/>
              </w:rPr>
              <w:t>–</w:t>
            </w:r>
            <w:r w:rsidRPr="00CB093C">
              <w:rPr>
                <w:rFonts w:ascii="Arial" w:hAnsi="Arial" w:cs="Arial"/>
                <w:szCs w:val="22"/>
              </w:rPr>
              <w:t>201</w:t>
            </w:r>
            <w:r w:rsidR="00AF69A8" w:rsidRPr="00CB093C">
              <w:rPr>
                <w:rFonts w:ascii="Arial" w:hAnsi="Arial" w:cs="Arial"/>
                <w:szCs w:val="22"/>
              </w:rPr>
              <w:t>8</w:t>
            </w:r>
            <w:r w:rsidRPr="00CB093C">
              <w:rPr>
                <w:rFonts w:ascii="Arial" w:hAnsi="Arial" w:cs="Arial"/>
                <w:szCs w:val="22"/>
              </w:rPr>
              <w:t>)*</w:t>
            </w:r>
          </w:p>
        </w:tc>
        <w:tc>
          <w:tcPr>
            <w:tcW w:w="2037" w:type="dxa"/>
            <w:shd w:val="clear" w:color="auto" w:fill="F3F9FA"/>
            <w:vAlign w:val="center"/>
          </w:tcPr>
          <w:p w14:paraId="70B1EAEF" w14:textId="3C1186DA" w:rsidR="0095699D" w:rsidRPr="00CB093C" w:rsidRDefault="0095699D" w:rsidP="004B4DBE">
            <w:pPr>
              <w:spacing w:before="0" w:after="0"/>
              <w:jc w:val="center"/>
              <w:rPr>
                <w:rFonts w:ascii="Arial" w:hAnsi="Arial" w:cs="Arial"/>
                <w:szCs w:val="22"/>
              </w:rPr>
            </w:pPr>
            <w:r w:rsidRPr="00CB093C">
              <w:rPr>
                <w:rFonts w:ascii="Arial" w:hAnsi="Arial" w:cs="Arial"/>
                <w:szCs w:val="22"/>
              </w:rPr>
              <w:t>2</w:t>
            </w:r>
            <w:r w:rsidR="004B4DBE" w:rsidRPr="00CB093C">
              <w:rPr>
                <w:rFonts w:ascii="Arial" w:hAnsi="Arial" w:cs="Arial"/>
                <w:szCs w:val="22"/>
              </w:rPr>
              <w:t>5.8</w:t>
            </w:r>
            <w:r w:rsidRPr="00CB093C">
              <w:rPr>
                <w:rFonts w:ascii="Arial" w:hAnsi="Arial" w:cs="Arial"/>
                <w:szCs w:val="22"/>
              </w:rPr>
              <w:t xml:space="preserve"> ±0.1°C (46.6°C)</w:t>
            </w:r>
          </w:p>
        </w:tc>
        <w:tc>
          <w:tcPr>
            <w:tcW w:w="2126" w:type="dxa"/>
            <w:shd w:val="clear" w:color="auto" w:fill="F3F9FA"/>
            <w:vAlign w:val="center"/>
          </w:tcPr>
          <w:p w14:paraId="748ED8B8" w14:textId="103DDA35" w:rsidR="0095699D" w:rsidRPr="00CB093C" w:rsidRDefault="0095699D" w:rsidP="004B4DBE">
            <w:pPr>
              <w:spacing w:before="0" w:after="0"/>
              <w:jc w:val="center"/>
              <w:rPr>
                <w:rFonts w:ascii="Arial" w:hAnsi="Arial" w:cs="Arial"/>
                <w:szCs w:val="22"/>
              </w:rPr>
            </w:pPr>
            <w:r w:rsidRPr="00CB093C">
              <w:rPr>
                <w:rFonts w:ascii="Arial" w:hAnsi="Arial" w:cs="Arial"/>
                <w:szCs w:val="22"/>
              </w:rPr>
              <w:t>2</w:t>
            </w:r>
            <w:r w:rsidR="004B4DBE" w:rsidRPr="00CB093C">
              <w:rPr>
                <w:rFonts w:ascii="Arial" w:hAnsi="Arial" w:cs="Arial"/>
                <w:szCs w:val="22"/>
              </w:rPr>
              <w:t>5.9</w:t>
            </w:r>
            <w:r w:rsidRPr="00CB093C">
              <w:rPr>
                <w:rFonts w:ascii="Arial" w:hAnsi="Arial" w:cs="Arial"/>
                <w:szCs w:val="22"/>
              </w:rPr>
              <w:t xml:space="preserve"> ±0.</w:t>
            </w:r>
            <w:r w:rsidR="009D3111" w:rsidRPr="00CB093C">
              <w:rPr>
                <w:rFonts w:ascii="Arial" w:hAnsi="Arial" w:cs="Arial"/>
                <w:szCs w:val="22"/>
              </w:rPr>
              <w:t>1</w:t>
            </w:r>
            <w:r w:rsidRPr="00CB093C">
              <w:rPr>
                <w:rFonts w:ascii="Arial" w:hAnsi="Arial" w:cs="Arial"/>
                <w:szCs w:val="22"/>
              </w:rPr>
              <w:t>°C (4</w:t>
            </w:r>
            <w:r w:rsidR="004B4DBE" w:rsidRPr="00CB093C">
              <w:rPr>
                <w:rFonts w:ascii="Arial" w:hAnsi="Arial" w:cs="Arial"/>
                <w:szCs w:val="22"/>
              </w:rPr>
              <w:t>1.6</w:t>
            </w:r>
            <w:r w:rsidRPr="00CB093C">
              <w:rPr>
                <w:rFonts w:ascii="Arial" w:hAnsi="Arial" w:cs="Arial"/>
                <w:szCs w:val="22"/>
              </w:rPr>
              <w:t>°C)</w:t>
            </w:r>
          </w:p>
        </w:tc>
      </w:tr>
      <w:tr w:rsidR="0095699D" w:rsidRPr="00CB093C" w14:paraId="52DAE9DC" w14:textId="77777777" w:rsidTr="00CA1552">
        <w:trPr>
          <w:trHeight w:val="227"/>
          <w:jc w:val="center"/>
        </w:trPr>
        <w:tc>
          <w:tcPr>
            <w:tcW w:w="4705" w:type="dxa"/>
            <w:shd w:val="clear" w:color="auto" w:fill="F3F9FA"/>
            <w:vAlign w:val="center"/>
          </w:tcPr>
          <w:p w14:paraId="54550BD3" w14:textId="06BA3B5C" w:rsidR="0095699D" w:rsidRPr="00CB093C" w:rsidRDefault="0095699D" w:rsidP="006875E3">
            <w:pPr>
              <w:tabs>
                <w:tab w:val="left" w:pos="176"/>
                <w:tab w:val="left" w:pos="1127"/>
              </w:tabs>
              <w:spacing w:before="0" w:after="0"/>
              <w:rPr>
                <w:rFonts w:ascii="Arial" w:hAnsi="Arial" w:cs="Arial"/>
                <w:szCs w:val="22"/>
              </w:rPr>
            </w:pPr>
            <w:r w:rsidRPr="00CB093C">
              <w:rPr>
                <w:rFonts w:ascii="Arial" w:hAnsi="Arial" w:cs="Arial"/>
                <w:szCs w:val="22"/>
              </w:rPr>
              <w:tab/>
              <w:t>Within canopy light (2008</w:t>
            </w:r>
            <w:r w:rsidR="00F206BF" w:rsidRPr="00CB093C">
              <w:rPr>
                <w:rFonts w:ascii="Arial" w:hAnsi="Arial" w:cs="Arial"/>
                <w:szCs w:val="22"/>
              </w:rPr>
              <w:t>–</w:t>
            </w:r>
            <w:r w:rsidRPr="00CB093C">
              <w:rPr>
                <w:rFonts w:ascii="Arial" w:hAnsi="Arial" w:cs="Arial"/>
                <w:szCs w:val="22"/>
              </w:rPr>
              <w:t>2018)</w:t>
            </w:r>
          </w:p>
          <w:p w14:paraId="2157506F" w14:textId="6BCBB6C7" w:rsidR="00D7472F" w:rsidRPr="00CB093C" w:rsidRDefault="006875E3" w:rsidP="006875E3">
            <w:pPr>
              <w:tabs>
                <w:tab w:val="left" w:pos="176"/>
                <w:tab w:val="left" w:pos="1127"/>
              </w:tabs>
              <w:spacing w:before="0" w:after="0"/>
              <w:rPr>
                <w:rFonts w:ascii="Arial" w:hAnsi="Arial" w:cs="Arial"/>
                <w:szCs w:val="22"/>
              </w:rPr>
            </w:pPr>
            <w:r w:rsidRPr="00CB093C">
              <w:rPr>
                <w:rFonts w:ascii="Arial" w:hAnsi="Arial" w:cs="Arial"/>
                <w:szCs w:val="22"/>
              </w:rPr>
              <w:tab/>
            </w:r>
            <w:r w:rsidRPr="00CB093C">
              <w:rPr>
                <w:rFonts w:ascii="Arial" w:hAnsi="Arial" w:cs="Arial"/>
                <w:szCs w:val="22"/>
              </w:rPr>
              <w:tab/>
            </w:r>
            <w:r w:rsidR="00D7472F" w:rsidRPr="00CB093C">
              <w:rPr>
                <w:rFonts w:ascii="Arial" w:hAnsi="Arial" w:cs="Arial"/>
                <w:szCs w:val="22"/>
              </w:rPr>
              <w:t>(min</w:t>
            </w:r>
            <w:r w:rsidR="00A838CF" w:rsidRPr="00CB093C">
              <w:rPr>
                <w:rFonts w:ascii="Arial" w:hAnsi="Arial" w:cs="Arial"/>
                <w:szCs w:val="22"/>
              </w:rPr>
              <w:t xml:space="preserve"> site</w:t>
            </w:r>
            <w:r w:rsidR="00272A6F" w:rsidRPr="00CB093C">
              <w:rPr>
                <w:rFonts w:ascii="Arial" w:hAnsi="Arial" w:cs="Arial"/>
                <w:szCs w:val="22"/>
              </w:rPr>
              <w:t>–</w:t>
            </w:r>
            <w:r w:rsidR="00D7472F" w:rsidRPr="00CB093C">
              <w:rPr>
                <w:rFonts w:ascii="Arial" w:hAnsi="Arial" w:cs="Arial"/>
                <w:szCs w:val="22"/>
              </w:rPr>
              <w:t>max</w:t>
            </w:r>
            <w:r w:rsidR="00A838CF" w:rsidRPr="00CB093C">
              <w:rPr>
                <w:rFonts w:ascii="Arial" w:hAnsi="Arial" w:cs="Arial"/>
                <w:szCs w:val="22"/>
              </w:rPr>
              <w:t xml:space="preserve"> site</w:t>
            </w:r>
            <w:r w:rsidR="00272A6F" w:rsidRPr="00CB093C">
              <w:rPr>
                <w:rFonts w:ascii="Arial" w:hAnsi="Arial" w:cs="Arial"/>
                <w:szCs w:val="22"/>
              </w:rPr>
              <w:t>, annual average</w:t>
            </w:r>
            <w:r w:rsidR="00D7472F" w:rsidRPr="00CB093C">
              <w:rPr>
                <w:rFonts w:ascii="Arial" w:hAnsi="Arial" w:cs="Arial"/>
                <w:szCs w:val="22"/>
              </w:rPr>
              <w:t>)</w:t>
            </w:r>
          </w:p>
        </w:tc>
        <w:tc>
          <w:tcPr>
            <w:tcW w:w="2037" w:type="dxa"/>
            <w:shd w:val="clear" w:color="auto" w:fill="F3F9FA"/>
            <w:vAlign w:val="center"/>
          </w:tcPr>
          <w:p w14:paraId="6B821624" w14:textId="77777777" w:rsidR="0095699D" w:rsidRPr="00CB093C" w:rsidRDefault="0095699D" w:rsidP="00BE5D0E">
            <w:pPr>
              <w:spacing w:before="0" w:after="0"/>
              <w:jc w:val="center"/>
              <w:rPr>
                <w:rFonts w:ascii="Arial" w:hAnsi="Arial" w:cs="Arial"/>
                <w:szCs w:val="22"/>
              </w:rPr>
            </w:pPr>
            <w:r w:rsidRPr="00CB093C">
              <w:rPr>
                <w:rFonts w:ascii="Arial" w:hAnsi="Arial" w:cs="Arial"/>
                <w:szCs w:val="22"/>
              </w:rPr>
              <w:t>12.7 mol m</w:t>
            </w:r>
            <w:r w:rsidRPr="00CB093C">
              <w:rPr>
                <w:rFonts w:ascii="Arial" w:hAnsi="Arial" w:cs="Arial"/>
                <w:szCs w:val="22"/>
                <w:vertAlign w:val="superscript"/>
              </w:rPr>
              <w:t>-2</w:t>
            </w:r>
            <w:r w:rsidRPr="00CB093C">
              <w:rPr>
                <w:rFonts w:ascii="Arial" w:hAnsi="Arial" w:cs="Arial"/>
                <w:szCs w:val="22"/>
              </w:rPr>
              <w:t xml:space="preserve"> d</w:t>
            </w:r>
            <w:r w:rsidRPr="00CB093C">
              <w:rPr>
                <w:rFonts w:ascii="Arial" w:hAnsi="Arial" w:cs="Arial"/>
                <w:szCs w:val="22"/>
                <w:vertAlign w:val="superscript"/>
              </w:rPr>
              <w:t>-1</w:t>
            </w:r>
          </w:p>
          <w:p w14:paraId="2DB57E74" w14:textId="00730F61" w:rsidR="00D7472F" w:rsidRPr="00CB093C" w:rsidRDefault="00D7472F" w:rsidP="00BE5D0E">
            <w:pPr>
              <w:spacing w:before="0" w:after="0"/>
              <w:jc w:val="center"/>
              <w:rPr>
                <w:rFonts w:ascii="Arial" w:hAnsi="Arial" w:cs="Arial"/>
                <w:szCs w:val="22"/>
              </w:rPr>
            </w:pPr>
            <w:r w:rsidRPr="00CB093C">
              <w:rPr>
                <w:rFonts w:ascii="Arial" w:hAnsi="Arial" w:cs="Arial"/>
                <w:szCs w:val="22"/>
              </w:rPr>
              <w:t>(5.8–19.9 mol m</w:t>
            </w:r>
            <w:r w:rsidRPr="00CB093C">
              <w:rPr>
                <w:rFonts w:ascii="Arial" w:hAnsi="Arial" w:cs="Arial"/>
                <w:szCs w:val="22"/>
                <w:vertAlign w:val="superscript"/>
              </w:rPr>
              <w:t>-2</w:t>
            </w:r>
            <w:r w:rsidRPr="00CB093C">
              <w:rPr>
                <w:rFonts w:ascii="Arial" w:hAnsi="Arial" w:cs="Arial"/>
                <w:szCs w:val="22"/>
              </w:rPr>
              <w:t xml:space="preserve"> d</w:t>
            </w:r>
            <w:r w:rsidRPr="00CB093C">
              <w:rPr>
                <w:rFonts w:ascii="Arial" w:hAnsi="Arial" w:cs="Arial"/>
                <w:szCs w:val="22"/>
                <w:vertAlign w:val="superscript"/>
              </w:rPr>
              <w:t>-1</w:t>
            </w:r>
            <w:r w:rsidRPr="00CB093C">
              <w:rPr>
                <w:rFonts w:ascii="Arial" w:hAnsi="Arial" w:cs="Arial"/>
                <w:szCs w:val="22"/>
              </w:rPr>
              <w:t>)</w:t>
            </w:r>
          </w:p>
        </w:tc>
        <w:tc>
          <w:tcPr>
            <w:tcW w:w="2126" w:type="dxa"/>
            <w:shd w:val="clear" w:color="auto" w:fill="F3F9FA"/>
            <w:vAlign w:val="center"/>
          </w:tcPr>
          <w:p w14:paraId="3FE75E90" w14:textId="77777777" w:rsidR="006B3C24" w:rsidRPr="00CB093C" w:rsidRDefault="0095699D" w:rsidP="00BE5D0E">
            <w:pPr>
              <w:spacing w:before="0" w:after="0"/>
              <w:jc w:val="center"/>
              <w:rPr>
                <w:rFonts w:ascii="Arial" w:hAnsi="Arial" w:cs="Arial"/>
                <w:szCs w:val="22"/>
              </w:rPr>
            </w:pPr>
            <w:r w:rsidRPr="00CB093C">
              <w:rPr>
                <w:rFonts w:ascii="Arial" w:hAnsi="Arial" w:cs="Arial"/>
                <w:szCs w:val="22"/>
              </w:rPr>
              <w:t>11.5 mol m</w:t>
            </w:r>
            <w:r w:rsidRPr="00CB093C">
              <w:rPr>
                <w:rFonts w:ascii="Arial" w:hAnsi="Arial" w:cs="Arial"/>
                <w:szCs w:val="22"/>
                <w:vertAlign w:val="superscript"/>
              </w:rPr>
              <w:t>-2</w:t>
            </w:r>
            <w:r w:rsidRPr="00CB093C">
              <w:rPr>
                <w:rFonts w:ascii="Arial" w:hAnsi="Arial" w:cs="Arial"/>
                <w:szCs w:val="22"/>
              </w:rPr>
              <w:t xml:space="preserve"> d</w:t>
            </w:r>
            <w:r w:rsidRPr="00CB093C">
              <w:rPr>
                <w:rFonts w:ascii="Arial" w:hAnsi="Arial" w:cs="Arial"/>
                <w:szCs w:val="22"/>
                <w:vertAlign w:val="superscript"/>
              </w:rPr>
              <w:t>-1</w:t>
            </w:r>
            <w:r w:rsidR="006B3C24" w:rsidRPr="00CB093C">
              <w:rPr>
                <w:rFonts w:ascii="Arial" w:hAnsi="Arial" w:cs="Arial"/>
                <w:szCs w:val="22"/>
              </w:rPr>
              <w:t xml:space="preserve"> </w:t>
            </w:r>
          </w:p>
          <w:p w14:paraId="26C0F099" w14:textId="4C1E426E" w:rsidR="0095699D" w:rsidRPr="00CB093C" w:rsidRDefault="006B3C24" w:rsidP="00BE5D0E">
            <w:pPr>
              <w:spacing w:before="0" w:after="0"/>
              <w:jc w:val="center"/>
              <w:rPr>
                <w:rFonts w:ascii="Arial" w:hAnsi="Arial" w:cs="Arial"/>
                <w:szCs w:val="22"/>
              </w:rPr>
            </w:pPr>
            <w:r w:rsidRPr="00CB093C">
              <w:rPr>
                <w:rFonts w:ascii="Arial" w:hAnsi="Arial" w:cs="Arial"/>
                <w:szCs w:val="22"/>
              </w:rPr>
              <w:t>(2.1–21.2 mol m</w:t>
            </w:r>
            <w:r w:rsidRPr="00CB093C">
              <w:rPr>
                <w:rFonts w:ascii="Arial" w:hAnsi="Arial" w:cs="Arial"/>
                <w:szCs w:val="22"/>
                <w:vertAlign w:val="superscript"/>
              </w:rPr>
              <w:t>-2</w:t>
            </w:r>
            <w:r w:rsidRPr="00CB093C">
              <w:rPr>
                <w:rFonts w:ascii="Arial" w:hAnsi="Arial" w:cs="Arial"/>
                <w:szCs w:val="22"/>
              </w:rPr>
              <w:t xml:space="preserve"> d</w:t>
            </w:r>
            <w:r w:rsidRPr="00CB093C">
              <w:rPr>
                <w:rFonts w:ascii="Arial" w:hAnsi="Arial" w:cs="Arial"/>
                <w:szCs w:val="22"/>
                <w:vertAlign w:val="superscript"/>
              </w:rPr>
              <w:t>-1</w:t>
            </w:r>
            <w:r w:rsidRPr="00CB093C">
              <w:rPr>
                <w:rFonts w:ascii="Arial" w:hAnsi="Arial" w:cs="Arial"/>
                <w:szCs w:val="22"/>
              </w:rPr>
              <w:t>)</w:t>
            </w:r>
          </w:p>
        </w:tc>
      </w:tr>
      <w:tr w:rsidR="0095699D" w:rsidRPr="00CB093C" w14:paraId="79BB3B38" w14:textId="77777777" w:rsidTr="00CA1552">
        <w:trPr>
          <w:trHeight w:val="227"/>
          <w:jc w:val="center"/>
        </w:trPr>
        <w:tc>
          <w:tcPr>
            <w:tcW w:w="4705" w:type="dxa"/>
            <w:shd w:val="clear" w:color="auto" w:fill="F3F9FA"/>
            <w:vAlign w:val="center"/>
          </w:tcPr>
          <w:p w14:paraId="012FD2C1" w14:textId="77777777" w:rsidR="006875E3" w:rsidRPr="00CB093C" w:rsidRDefault="0095699D" w:rsidP="006875E3">
            <w:pPr>
              <w:tabs>
                <w:tab w:val="left" w:pos="176"/>
                <w:tab w:val="left" w:pos="1127"/>
                <w:tab w:val="left" w:pos="1714"/>
              </w:tabs>
              <w:spacing w:before="0" w:after="0"/>
              <w:rPr>
                <w:rFonts w:ascii="Arial" w:hAnsi="Arial" w:cs="Arial"/>
                <w:szCs w:val="22"/>
              </w:rPr>
            </w:pPr>
            <w:r w:rsidRPr="00CB093C">
              <w:rPr>
                <w:rFonts w:ascii="Arial" w:hAnsi="Arial" w:cs="Arial"/>
                <w:szCs w:val="22"/>
              </w:rPr>
              <w:tab/>
              <w:t>Proportion mud</w:t>
            </w:r>
          </w:p>
          <w:p w14:paraId="334A7351" w14:textId="12FD1E72" w:rsidR="0095699D" w:rsidRPr="00CB093C" w:rsidRDefault="006875E3" w:rsidP="006875E3">
            <w:pPr>
              <w:tabs>
                <w:tab w:val="left" w:pos="176"/>
                <w:tab w:val="left" w:pos="1127"/>
                <w:tab w:val="left" w:pos="1714"/>
              </w:tabs>
              <w:spacing w:before="0" w:after="0"/>
              <w:rPr>
                <w:rFonts w:ascii="Arial" w:hAnsi="Arial" w:cs="Arial"/>
                <w:szCs w:val="22"/>
              </w:rPr>
            </w:pPr>
            <w:r w:rsidRPr="00CB093C">
              <w:rPr>
                <w:rFonts w:ascii="Arial" w:hAnsi="Arial" w:cs="Arial"/>
                <w:szCs w:val="22"/>
              </w:rPr>
              <w:tab/>
            </w:r>
            <w:r w:rsidRPr="00CB093C">
              <w:rPr>
                <w:rFonts w:ascii="Arial" w:hAnsi="Arial" w:cs="Arial"/>
                <w:szCs w:val="22"/>
              </w:rPr>
              <w:tab/>
            </w:r>
            <w:r w:rsidR="0095699D" w:rsidRPr="00CB093C">
              <w:rPr>
                <w:rFonts w:ascii="Arial" w:hAnsi="Arial" w:cs="Arial"/>
                <w:i/>
                <w:szCs w:val="22"/>
              </w:rPr>
              <w:t>estuary intertidal</w:t>
            </w:r>
            <w:r w:rsidR="0095699D" w:rsidRPr="00CB093C">
              <w:rPr>
                <w:rFonts w:ascii="Arial" w:hAnsi="Arial" w:cs="Arial"/>
                <w:szCs w:val="22"/>
              </w:rPr>
              <w:t xml:space="preserve"> (1999</w:t>
            </w:r>
            <w:r w:rsidR="00F206BF" w:rsidRPr="00CB093C">
              <w:rPr>
                <w:rFonts w:ascii="Arial" w:hAnsi="Arial" w:cs="Arial"/>
                <w:szCs w:val="22"/>
              </w:rPr>
              <w:t>–</w:t>
            </w:r>
            <w:r w:rsidR="0095699D" w:rsidRPr="00CB093C">
              <w:rPr>
                <w:rFonts w:ascii="Arial" w:hAnsi="Arial" w:cs="Arial"/>
                <w:szCs w:val="22"/>
              </w:rPr>
              <w:t>2018)</w:t>
            </w:r>
          </w:p>
          <w:p w14:paraId="4A36AE76" w14:textId="0E962951" w:rsidR="0095699D" w:rsidRPr="00CB093C" w:rsidRDefault="0095699D" w:rsidP="006875E3">
            <w:pPr>
              <w:tabs>
                <w:tab w:val="left" w:pos="176"/>
                <w:tab w:val="left" w:pos="1127"/>
                <w:tab w:val="left" w:pos="1714"/>
              </w:tabs>
              <w:spacing w:before="0" w:after="0"/>
              <w:rPr>
                <w:rFonts w:ascii="Arial" w:hAnsi="Arial" w:cs="Arial"/>
                <w:szCs w:val="22"/>
              </w:rPr>
            </w:pPr>
            <w:r w:rsidRPr="00CB093C">
              <w:rPr>
                <w:rFonts w:ascii="Arial" w:hAnsi="Arial" w:cs="Arial"/>
                <w:szCs w:val="22"/>
              </w:rPr>
              <w:tab/>
            </w:r>
            <w:r w:rsidRPr="00CB093C">
              <w:rPr>
                <w:rFonts w:ascii="Arial" w:hAnsi="Arial" w:cs="Arial"/>
                <w:szCs w:val="22"/>
              </w:rPr>
              <w:tab/>
            </w:r>
            <w:r w:rsidRPr="00CB093C">
              <w:rPr>
                <w:rFonts w:ascii="Arial" w:hAnsi="Arial" w:cs="Arial"/>
                <w:i/>
                <w:szCs w:val="22"/>
              </w:rPr>
              <w:t>coast intertidal</w:t>
            </w:r>
            <w:r w:rsidRPr="00CB093C">
              <w:rPr>
                <w:rFonts w:ascii="Arial" w:hAnsi="Arial" w:cs="Arial"/>
                <w:szCs w:val="22"/>
              </w:rPr>
              <w:t xml:space="preserve"> (1999</w:t>
            </w:r>
            <w:r w:rsidR="00F206BF" w:rsidRPr="00CB093C">
              <w:rPr>
                <w:rFonts w:ascii="Arial" w:hAnsi="Arial" w:cs="Arial"/>
                <w:szCs w:val="22"/>
              </w:rPr>
              <w:t>–</w:t>
            </w:r>
            <w:r w:rsidRPr="00CB093C">
              <w:rPr>
                <w:rFonts w:ascii="Arial" w:hAnsi="Arial" w:cs="Arial"/>
                <w:szCs w:val="22"/>
              </w:rPr>
              <w:t>2018)</w:t>
            </w:r>
          </w:p>
          <w:p w14:paraId="2ECFBC03" w14:textId="0C468605" w:rsidR="0095699D" w:rsidRPr="00CB093C" w:rsidRDefault="0095699D" w:rsidP="006875E3">
            <w:pPr>
              <w:tabs>
                <w:tab w:val="left" w:pos="176"/>
                <w:tab w:val="left" w:pos="1127"/>
                <w:tab w:val="left" w:pos="1714"/>
              </w:tabs>
              <w:spacing w:before="0" w:after="0"/>
              <w:rPr>
                <w:rFonts w:ascii="Arial" w:hAnsi="Arial" w:cs="Arial"/>
                <w:szCs w:val="22"/>
              </w:rPr>
            </w:pPr>
            <w:r w:rsidRPr="00CB093C">
              <w:rPr>
                <w:rFonts w:ascii="Arial" w:hAnsi="Arial" w:cs="Arial"/>
                <w:szCs w:val="22"/>
              </w:rPr>
              <w:tab/>
            </w:r>
            <w:r w:rsidRPr="00CB093C">
              <w:rPr>
                <w:rFonts w:ascii="Arial" w:hAnsi="Arial" w:cs="Arial"/>
                <w:szCs w:val="22"/>
              </w:rPr>
              <w:tab/>
            </w:r>
            <w:r w:rsidRPr="00CB093C">
              <w:rPr>
                <w:rFonts w:ascii="Arial" w:hAnsi="Arial" w:cs="Arial"/>
                <w:i/>
                <w:szCs w:val="22"/>
              </w:rPr>
              <w:t>coast subtidal</w:t>
            </w:r>
            <w:r w:rsidRPr="00CB093C">
              <w:rPr>
                <w:rFonts w:ascii="Arial" w:hAnsi="Arial" w:cs="Arial"/>
                <w:szCs w:val="22"/>
              </w:rPr>
              <w:t xml:space="preserve"> (2015</w:t>
            </w:r>
            <w:r w:rsidR="00F206BF" w:rsidRPr="00CB093C">
              <w:rPr>
                <w:rFonts w:ascii="Arial" w:hAnsi="Arial" w:cs="Arial"/>
                <w:szCs w:val="22"/>
              </w:rPr>
              <w:t>–</w:t>
            </w:r>
            <w:r w:rsidRPr="00CB093C">
              <w:rPr>
                <w:rFonts w:ascii="Arial" w:hAnsi="Arial" w:cs="Arial"/>
                <w:szCs w:val="22"/>
              </w:rPr>
              <w:t>2018)</w:t>
            </w:r>
          </w:p>
          <w:p w14:paraId="726C7C14" w14:textId="1FACE5A4" w:rsidR="0095699D" w:rsidRPr="00CB093C" w:rsidRDefault="0095699D" w:rsidP="006875E3">
            <w:pPr>
              <w:tabs>
                <w:tab w:val="left" w:pos="176"/>
                <w:tab w:val="left" w:pos="1127"/>
                <w:tab w:val="left" w:pos="1714"/>
              </w:tabs>
              <w:spacing w:before="0" w:after="0"/>
              <w:rPr>
                <w:rFonts w:ascii="Arial" w:hAnsi="Arial" w:cs="Arial"/>
                <w:szCs w:val="22"/>
              </w:rPr>
            </w:pPr>
            <w:r w:rsidRPr="00CB093C">
              <w:rPr>
                <w:rFonts w:ascii="Arial" w:hAnsi="Arial" w:cs="Arial"/>
                <w:szCs w:val="22"/>
              </w:rPr>
              <w:tab/>
            </w:r>
            <w:r w:rsidRPr="00CB093C">
              <w:rPr>
                <w:rFonts w:ascii="Arial" w:hAnsi="Arial" w:cs="Arial"/>
                <w:szCs w:val="22"/>
              </w:rPr>
              <w:tab/>
            </w:r>
            <w:r w:rsidRPr="00CB093C">
              <w:rPr>
                <w:rFonts w:ascii="Arial" w:hAnsi="Arial" w:cs="Arial"/>
                <w:i/>
                <w:szCs w:val="22"/>
              </w:rPr>
              <w:t>reef intertidal</w:t>
            </w:r>
            <w:r w:rsidRPr="00CB093C">
              <w:rPr>
                <w:rFonts w:ascii="Arial" w:hAnsi="Arial" w:cs="Arial"/>
                <w:szCs w:val="22"/>
              </w:rPr>
              <w:t xml:space="preserve"> (2001</w:t>
            </w:r>
            <w:r w:rsidR="00F206BF" w:rsidRPr="00CB093C">
              <w:rPr>
                <w:rFonts w:ascii="Arial" w:hAnsi="Arial" w:cs="Arial"/>
                <w:szCs w:val="22"/>
              </w:rPr>
              <w:t>–</w:t>
            </w:r>
            <w:r w:rsidRPr="00CB093C">
              <w:rPr>
                <w:rFonts w:ascii="Arial" w:hAnsi="Arial" w:cs="Arial"/>
                <w:szCs w:val="22"/>
              </w:rPr>
              <w:t>2018)</w:t>
            </w:r>
          </w:p>
          <w:p w14:paraId="46E105EC" w14:textId="600E3615" w:rsidR="0095699D" w:rsidRPr="00CB093C" w:rsidRDefault="0095699D" w:rsidP="006875E3">
            <w:pPr>
              <w:tabs>
                <w:tab w:val="left" w:pos="176"/>
                <w:tab w:val="left" w:pos="1127"/>
                <w:tab w:val="left" w:pos="1714"/>
              </w:tabs>
              <w:spacing w:before="0" w:after="0"/>
              <w:rPr>
                <w:rFonts w:ascii="Arial" w:hAnsi="Arial" w:cs="Arial"/>
                <w:szCs w:val="22"/>
              </w:rPr>
            </w:pPr>
            <w:r w:rsidRPr="00CB093C">
              <w:rPr>
                <w:rFonts w:ascii="Arial" w:hAnsi="Arial" w:cs="Arial"/>
                <w:szCs w:val="22"/>
              </w:rPr>
              <w:tab/>
            </w:r>
            <w:r w:rsidRPr="00CB093C">
              <w:rPr>
                <w:rFonts w:ascii="Arial" w:hAnsi="Arial" w:cs="Arial"/>
                <w:szCs w:val="22"/>
              </w:rPr>
              <w:tab/>
            </w:r>
            <w:r w:rsidRPr="00CB093C">
              <w:rPr>
                <w:rFonts w:ascii="Arial" w:hAnsi="Arial" w:cs="Arial"/>
                <w:i/>
                <w:szCs w:val="22"/>
              </w:rPr>
              <w:t>reef subtidal</w:t>
            </w:r>
            <w:r w:rsidRPr="00CB093C">
              <w:rPr>
                <w:rFonts w:ascii="Arial" w:hAnsi="Arial" w:cs="Arial"/>
                <w:szCs w:val="22"/>
              </w:rPr>
              <w:t xml:space="preserve"> (2008</w:t>
            </w:r>
            <w:r w:rsidR="00F206BF" w:rsidRPr="00CB093C">
              <w:rPr>
                <w:rFonts w:ascii="Arial" w:hAnsi="Arial" w:cs="Arial"/>
                <w:szCs w:val="22"/>
              </w:rPr>
              <w:t>–</w:t>
            </w:r>
            <w:r w:rsidRPr="00CB093C">
              <w:rPr>
                <w:rFonts w:ascii="Arial" w:hAnsi="Arial" w:cs="Arial"/>
                <w:szCs w:val="22"/>
              </w:rPr>
              <w:t>2018)</w:t>
            </w:r>
          </w:p>
        </w:tc>
        <w:tc>
          <w:tcPr>
            <w:tcW w:w="2037" w:type="dxa"/>
            <w:shd w:val="clear" w:color="auto" w:fill="F3F9FA"/>
            <w:vAlign w:val="center"/>
          </w:tcPr>
          <w:p w14:paraId="3BE1A4DE" w14:textId="77777777" w:rsidR="006875E3" w:rsidRPr="00CB093C" w:rsidRDefault="006875E3" w:rsidP="00BE5D0E">
            <w:pPr>
              <w:spacing w:before="0" w:after="0"/>
              <w:jc w:val="center"/>
              <w:rPr>
                <w:rFonts w:ascii="Arial" w:hAnsi="Arial" w:cs="Arial"/>
                <w:color w:val="000000" w:themeColor="text1"/>
                <w:szCs w:val="22"/>
                <w:lang w:val="en-US"/>
              </w:rPr>
            </w:pPr>
          </w:p>
          <w:p w14:paraId="41AD15E9" w14:textId="77777777" w:rsidR="0095699D" w:rsidRPr="00CB093C" w:rsidRDefault="0095699D" w:rsidP="00BE5D0E">
            <w:pPr>
              <w:spacing w:before="0" w:after="0"/>
              <w:jc w:val="center"/>
              <w:rPr>
                <w:rFonts w:ascii="Arial" w:hAnsi="Arial" w:cs="Arial"/>
                <w:szCs w:val="22"/>
              </w:rPr>
            </w:pPr>
            <w:r w:rsidRPr="00CB093C">
              <w:rPr>
                <w:rFonts w:ascii="Arial" w:hAnsi="Arial" w:cs="Arial"/>
                <w:color w:val="000000" w:themeColor="text1"/>
                <w:szCs w:val="22"/>
                <w:lang w:val="en-US"/>
              </w:rPr>
              <w:t>50.6 ±2.1</w:t>
            </w:r>
            <w:r w:rsidRPr="00CB093C">
              <w:rPr>
                <w:rFonts w:ascii="Arial" w:hAnsi="Arial" w:cs="Arial"/>
                <w:szCs w:val="22"/>
              </w:rPr>
              <w:t>%</w:t>
            </w:r>
          </w:p>
          <w:p w14:paraId="282E6A0E" w14:textId="77777777" w:rsidR="0095699D" w:rsidRPr="00CB093C" w:rsidRDefault="0095699D" w:rsidP="00BE5D0E">
            <w:pPr>
              <w:spacing w:before="0" w:after="0"/>
              <w:jc w:val="center"/>
              <w:rPr>
                <w:rFonts w:ascii="Arial" w:hAnsi="Arial" w:cs="Arial"/>
                <w:szCs w:val="22"/>
              </w:rPr>
            </w:pPr>
            <w:r w:rsidRPr="00CB093C">
              <w:rPr>
                <w:rFonts w:ascii="Arial" w:hAnsi="Arial" w:cs="Arial"/>
                <w:color w:val="000000" w:themeColor="text1"/>
                <w:szCs w:val="22"/>
                <w:lang w:val="en-US"/>
              </w:rPr>
              <w:t>28.5 ±2.1</w:t>
            </w:r>
            <w:r w:rsidRPr="00CB093C">
              <w:rPr>
                <w:rFonts w:ascii="Arial" w:hAnsi="Arial" w:cs="Arial"/>
                <w:szCs w:val="22"/>
              </w:rPr>
              <w:t>%</w:t>
            </w:r>
          </w:p>
          <w:p w14:paraId="17A76FD5" w14:textId="77777777" w:rsidR="0095699D" w:rsidRPr="00CB093C" w:rsidRDefault="0095699D" w:rsidP="00BE5D0E">
            <w:pPr>
              <w:spacing w:before="0" w:after="0"/>
              <w:jc w:val="center"/>
              <w:rPr>
                <w:rFonts w:ascii="Arial" w:hAnsi="Arial" w:cs="Arial"/>
                <w:szCs w:val="22"/>
              </w:rPr>
            </w:pPr>
            <w:r w:rsidRPr="00CB093C">
              <w:rPr>
                <w:rFonts w:ascii="Arial" w:hAnsi="Arial" w:cs="Arial"/>
                <w:color w:val="000000" w:themeColor="text1"/>
                <w:szCs w:val="22"/>
                <w:lang w:val="en-US"/>
              </w:rPr>
              <w:t>46.4 ±2.7</w:t>
            </w:r>
            <w:r w:rsidRPr="00CB093C">
              <w:rPr>
                <w:rFonts w:ascii="Arial" w:hAnsi="Arial" w:cs="Arial"/>
                <w:szCs w:val="22"/>
              </w:rPr>
              <w:t>%</w:t>
            </w:r>
          </w:p>
          <w:p w14:paraId="0D7A0291" w14:textId="77777777" w:rsidR="0095699D" w:rsidRPr="00CB093C" w:rsidRDefault="0095699D" w:rsidP="00BE5D0E">
            <w:pPr>
              <w:spacing w:before="0" w:after="0"/>
              <w:jc w:val="center"/>
              <w:rPr>
                <w:rFonts w:ascii="Arial" w:hAnsi="Arial" w:cs="Arial"/>
                <w:szCs w:val="22"/>
              </w:rPr>
            </w:pPr>
            <w:r w:rsidRPr="00CB093C">
              <w:rPr>
                <w:rFonts w:ascii="Arial" w:hAnsi="Arial" w:cs="Arial"/>
                <w:color w:val="000000" w:themeColor="text1"/>
                <w:szCs w:val="22"/>
                <w:lang w:val="en-US"/>
              </w:rPr>
              <w:t>4.9 ±1.2</w:t>
            </w:r>
            <w:r w:rsidRPr="00CB093C">
              <w:rPr>
                <w:rFonts w:ascii="Arial" w:hAnsi="Arial" w:cs="Arial"/>
                <w:szCs w:val="22"/>
              </w:rPr>
              <w:t>%</w:t>
            </w:r>
          </w:p>
          <w:p w14:paraId="1CC13365" w14:textId="77777777" w:rsidR="0095699D" w:rsidRPr="00CB093C" w:rsidRDefault="0095699D" w:rsidP="00BE5D0E">
            <w:pPr>
              <w:spacing w:before="0" w:after="0"/>
              <w:jc w:val="center"/>
              <w:rPr>
                <w:rFonts w:ascii="Arial" w:hAnsi="Arial" w:cs="Arial"/>
                <w:szCs w:val="22"/>
              </w:rPr>
            </w:pPr>
            <w:r w:rsidRPr="00CB093C">
              <w:rPr>
                <w:rFonts w:ascii="Arial" w:hAnsi="Arial" w:cs="Arial"/>
                <w:color w:val="000000" w:themeColor="text1"/>
                <w:szCs w:val="22"/>
                <w:lang w:val="en-US"/>
              </w:rPr>
              <w:t>6.9 ±0.5</w:t>
            </w:r>
            <w:r w:rsidRPr="00CB093C">
              <w:rPr>
                <w:rFonts w:ascii="Arial" w:hAnsi="Arial" w:cs="Arial"/>
                <w:szCs w:val="22"/>
              </w:rPr>
              <w:t>%</w:t>
            </w:r>
          </w:p>
        </w:tc>
        <w:tc>
          <w:tcPr>
            <w:tcW w:w="2126" w:type="dxa"/>
            <w:shd w:val="clear" w:color="auto" w:fill="F3F9FA"/>
            <w:vAlign w:val="center"/>
          </w:tcPr>
          <w:p w14:paraId="5A7E9E71" w14:textId="77777777" w:rsidR="006875E3" w:rsidRPr="00CB093C" w:rsidRDefault="006875E3" w:rsidP="00BE5D0E">
            <w:pPr>
              <w:spacing w:before="0" w:after="0"/>
              <w:jc w:val="center"/>
              <w:rPr>
                <w:rFonts w:ascii="Arial" w:hAnsi="Arial" w:cs="Arial"/>
                <w:szCs w:val="22"/>
              </w:rPr>
            </w:pPr>
          </w:p>
          <w:p w14:paraId="3ADD5E71" w14:textId="77777777" w:rsidR="0095699D" w:rsidRPr="00CB093C" w:rsidRDefault="0095699D" w:rsidP="00BE5D0E">
            <w:pPr>
              <w:spacing w:before="0" w:after="0"/>
              <w:jc w:val="center"/>
              <w:rPr>
                <w:rFonts w:ascii="Arial" w:hAnsi="Arial" w:cs="Arial"/>
                <w:szCs w:val="22"/>
              </w:rPr>
            </w:pPr>
            <w:r w:rsidRPr="00CB093C">
              <w:rPr>
                <w:rFonts w:ascii="Arial" w:hAnsi="Arial" w:cs="Arial"/>
                <w:szCs w:val="22"/>
              </w:rPr>
              <w:t>46.8 ±1.8 %</w:t>
            </w:r>
          </w:p>
          <w:p w14:paraId="597CEA18" w14:textId="77777777" w:rsidR="0095699D" w:rsidRPr="00CB093C" w:rsidRDefault="0095699D" w:rsidP="00BE5D0E">
            <w:pPr>
              <w:spacing w:before="0" w:after="0"/>
              <w:jc w:val="center"/>
              <w:rPr>
                <w:rFonts w:ascii="Arial" w:hAnsi="Arial" w:cs="Arial"/>
                <w:szCs w:val="22"/>
              </w:rPr>
            </w:pPr>
            <w:r w:rsidRPr="00CB093C">
              <w:rPr>
                <w:rFonts w:ascii="Arial" w:hAnsi="Arial" w:cs="Arial"/>
                <w:szCs w:val="22"/>
              </w:rPr>
              <w:t>26.9 ±1.8%</w:t>
            </w:r>
          </w:p>
          <w:p w14:paraId="282D7AC7" w14:textId="77777777" w:rsidR="0095699D" w:rsidRPr="00CB093C" w:rsidRDefault="0095699D" w:rsidP="00BE5D0E">
            <w:pPr>
              <w:spacing w:before="0" w:after="0"/>
              <w:jc w:val="center"/>
              <w:rPr>
                <w:rFonts w:ascii="Arial" w:hAnsi="Arial" w:cs="Arial"/>
                <w:szCs w:val="22"/>
              </w:rPr>
            </w:pPr>
            <w:r w:rsidRPr="00CB093C">
              <w:rPr>
                <w:rFonts w:ascii="Arial" w:hAnsi="Arial" w:cs="Arial"/>
                <w:szCs w:val="22"/>
              </w:rPr>
              <w:t>46.1 ±2.2%</w:t>
            </w:r>
          </w:p>
          <w:p w14:paraId="73CBF8E2" w14:textId="77777777" w:rsidR="0095699D" w:rsidRPr="00CB093C" w:rsidRDefault="0095699D" w:rsidP="00BE5D0E">
            <w:pPr>
              <w:spacing w:before="0" w:after="0"/>
              <w:jc w:val="center"/>
              <w:rPr>
                <w:rFonts w:ascii="Arial" w:hAnsi="Arial" w:cs="Arial"/>
                <w:szCs w:val="22"/>
              </w:rPr>
            </w:pPr>
            <w:r w:rsidRPr="00CB093C">
              <w:rPr>
                <w:rFonts w:ascii="Arial" w:hAnsi="Arial" w:cs="Arial"/>
                <w:szCs w:val="22"/>
              </w:rPr>
              <w:t>2.4 ±0.9%</w:t>
            </w:r>
          </w:p>
          <w:p w14:paraId="7317F913" w14:textId="77777777" w:rsidR="0095699D" w:rsidRPr="00CB093C" w:rsidRDefault="0095699D" w:rsidP="00BE5D0E">
            <w:pPr>
              <w:spacing w:before="0" w:after="0"/>
              <w:jc w:val="center"/>
              <w:rPr>
                <w:rFonts w:ascii="Arial" w:hAnsi="Arial" w:cs="Arial"/>
                <w:szCs w:val="22"/>
              </w:rPr>
            </w:pPr>
            <w:r w:rsidRPr="00CB093C">
              <w:rPr>
                <w:rFonts w:ascii="Arial" w:hAnsi="Arial" w:cs="Arial"/>
                <w:szCs w:val="22"/>
              </w:rPr>
              <w:t>18.2 ±0.7%</w:t>
            </w:r>
          </w:p>
        </w:tc>
      </w:tr>
    </w:tbl>
    <w:p w14:paraId="5BB7408E" w14:textId="77777777" w:rsidR="00C41DCE" w:rsidRPr="00CB093C" w:rsidRDefault="00C41DCE" w:rsidP="00C41DCE">
      <w:pPr>
        <w:autoSpaceDE w:val="0"/>
        <w:autoSpaceDN w:val="0"/>
        <w:adjustRightInd w:val="0"/>
        <w:rPr>
          <w:rFonts w:ascii="Arial" w:hAnsi="Arial" w:cs="Arial"/>
          <w:color w:val="000000" w:themeColor="text1"/>
          <w:szCs w:val="22"/>
        </w:rPr>
      </w:pPr>
    </w:p>
    <w:p w14:paraId="27201508" w14:textId="79081053" w:rsidR="00C41DCE" w:rsidRPr="00CB093C" w:rsidRDefault="00C41DCE" w:rsidP="00C41DCE">
      <w:pPr>
        <w:autoSpaceDE w:val="0"/>
        <w:autoSpaceDN w:val="0"/>
        <w:adjustRightInd w:val="0"/>
        <w:rPr>
          <w:rFonts w:ascii="Arial" w:hAnsi="Arial" w:cs="Arial"/>
          <w:szCs w:val="22"/>
        </w:rPr>
      </w:pPr>
      <w:r w:rsidRPr="00CB093C">
        <w:rPr>
          <w:rFonts w:ascii="Arial" w:hAnsi="Arial" w:cs="Arial"/>
          <w:color w:val="000000" w:themeColor="text1"/>
          <w:szCs w:val="22"/>
        </w:rPr>
        <w:t xml:space="preserve">Climatic and environmental pressures </w:t>
      </w:r>
      <w:r w:rsidR="00A838CF" w:rsidRPr="00CB093C">
        <w:rPr>
          <w:rFonts w:ascii="Arial" w:hAnsi="Arial" w:cs="Arial"/>
          <w:color w:val="000000" w:themeColor="text1"/>
          <w:szCs w:val="22"/>
        </w:rPr>
        <w:t>may have affected</w:t>
      </w:r>
      <w:r w:rsidRPr="00CB093C">
        <w:rPr>
          <w:rFonts w:ascii="Arial" w:hAnsi="Arial" w:cs="Arial"/>
          <w:color w:val="000000" w:themeColor="text1"/>
          <w:szCs w:val="22"/>
        </w:rPr>
        <w:t xml:space="preserve"> seagrass by reducing daily incident light </w:t>
      </w:r>
      <w:r w:rsidR="0032196F" w:rsidRPr="00CB093C">
        <w:rPr>
          <w:rFonts w:ascii="Arial" w:hAnsi="Arial" w:cs="Arial"/>
          <w:color w:val="000000" w:themeColor="text1"/>
          <w:szCs w:val="22"/>
        </w:rPr>
        <w:t xml:space="preserve">reaching the seagrass canopy in some regions and habitats. Light levels were lower than annual light requirements </w:t>
      </w:r>
      <w:r w:rsidR="006B3C24" w:rsidRPr="00CB093C">
        <w:rPr>
          <w:rFonts w:ascii="Arial" w:hAnsi="Arial" w:cs="Arial"/>
          <w:color w:val="000000" w:themeColor="text1"/>
          <w:szCs w:val="22"/>
        </w:rPr>
        <w:t>(10 mol m</w:t>
      </w:r>
      <w:r w:rsidR="006B3C24" w:rsidRPr="00CB093C">
        <w:rPr>
          <w:rFonts w:ascii="Arial" w:hAnsi="Arial" w:cs="Arial"/>
          <w:color w:val="000000" w:themeColor="text1"/>
          <w:szCs w:val="22"/>
          <w:vertAlign w:val="superscript"/>
        </w:rPr>
        <w:t>-2</w:t>
      </w:r>
      <w:r w:rsidR="006B3C24" w:rsidRPr="00CB093C">
        <w:rPr>
          <w:rFonts w:ascii="Arial" w:hAnsi="Arial" w:cs="Arial"/>
          <w:color w:val="000000" w:themeColor="text1"/>
          <w:szCs w:val="22"/>
        </w:rPr>
        <w:t xml:space="preserve"> d</w:t>
      </w:r>
      <w:r w:rsidR="006B3C24" w:rsidRPr="00CB093C">
        <w:rPr>
          <w:rFonts w:ascii="Arial" w:hAnsi="Arial" w:cs="Arial"/>
          <w:color w:val="000000" w:themeColor="text1"/>
          <w:szCs w:val="22"/>
          <w:vertAlign w:val="superscript"/>
        </w:rPr>
        <w:t>-1</w:t>
      </w:r>
      <w:r w:rsidR="006B3C24" w:rsidRPr="00CB093C">
        <w:rPr>
          <w:rFonts w:ascii="Arial" w:hAnsi="Arial" w:cs="Arial"/>
          <w:color w:val="000000" w:themeColor="text1"/>
          <w:szCs w:val="22"/>
        </w:rPr>
        <w:t xml:space="preserve">) </w:t>
      </w:r>
      <w:r w:rsidR="0032196F" w:rsidRPr="00CB093C">
        <w:rPr>
          <w:rFonts w:ascii="Arial" w:hAnsi="Arial" w:cs="Arial"/>
          <w:color w:val="000000" w:themeColor="text1"/>
          <w:szCs w:val="22"/>
        </w:rPr>
        <w:t>at 10 locations</w:t>
      </w:r>
      <w:r w:rsidRPr="00CB093C">
        <w:rPr>
          <w:rFonts w:ascii="Arial" w:hAnsi="Arial" w:cs="Arial"/>
          <w:color w:val="000000" w:themeColor="text1"/>
          <w:szCs w:val="22"/>
        </w:rPr>
        <w:t xml:space="preserve">. </w:t>
      </w:r>
      <w:r w:rsidR="006B3C24" w:rsidRPr="00CB093C">
        <w:rPr>
          <w:rFonts w:ascii="Arial" w:hAnsi="Arial" w:cs="Arial"/>
          <w:color w:val="000000" w:themeColor="text1"/>
          <w:szCs w:val="22"/>
        </w:rPr>
        <w:t xml:space="preserve">The greatest </w:t>
      </w:r>
      <w:r w:rsidR="006B3C24" w:rsidRPr="00CB093C">
        <w:rPr>
          <w:rFonts w:ascii="Arial" w:hAnsi="Arial" w:cs="Arial"/>
          <w:szCs w:val="22"/>
          <w:lang w:val="en-GB"/>
        </w:rPr>
        <w:t xml:space="preserve">deviation in benthic light </w:t>
      </w:r>
      <w:r w:rsidR="006B3C24" w:rsidRPr="00CB093C">
        <w:rPr>
          <w:rFonts w:ascii="Arial" w:hAnsi="Arial" w:cs="Arial"/>
          <w:color w:val="000000" w:themeColor="text1"/>
          <w:szCs w:val="22"/>
        </w:rPr>
        <w:t xml:space="preserve">from the long-term was in the </w:t>
      </w:r>
      <w:r w:rsidR="006B3C24" w:rsidRPr="00CB093C">
        <w:rPr>
          <w:rFonts w:ascii="Arial" w:hAnsi="Arial" w:cs="Arial"/>
          <w:szCs w:val="22"/>
          <w:lang w:val="en-GB"/>
        </w:rPr>
        <w:t>southern Wet Tropics</w:t>
      </w:r>
      <w:r w:rsidR="00A838CF" w:rsidRPr="00CB093C">
        <w:rPr>
          <w:rFonts w:ascii="Arial" w:hAnsi="Arial" w:cs="Arial"/>
          <w:szCs w:val="22"/>
          <w:lang w:val="en-GB"/>
        </w:rPr>
        <w:t xml:space="preserve"> (</w:t>
      </w:r>
      <w:r w:rsidR="00A838CF" w:rsidRPr="00CB093C">
        <w:rPr>
          <w:rFonts w:ascii="Arial" w:hAnsi="Arial" w:cs="Arial"/>
          <w:szCs w:val="22"/>
          <w:lang w:val="en-GB"/>
        </w:rPr>
        <w:fldChar w:fldCharType="begin"/>
      </w:r>
      <w:r w:rsidR="00A838CF" w:rsidRPr="00CB093C">
        <w:rPr>
          <w:rFonts w:ascii="Arial" w:hAnsi="Arial" w:cs="Arial"/>
          <w:szCs w:val="22"/>
          <w:lang w:val="en-GB"/>
        </w:rPr>
        <w:instrText xml:space="preserve"> REF _Ref442465513 \h </w:instrText>
      </w:r>
      <w:r w:rsidR="00CB093C" w:rsidRPr="00CB093C">
        <w:rPr>
          <w:rFonts w:ascii="Arial" w:hAnsi="Arial" w:cs="Arial"/>
          <w:szCs w:val="22"/>
          <w:lang w:val="en-GB"/>
        </w:rPr>
        <w:instrText xml:space="preserve"> \* MERGEFORMAT </w:instrText>
      </w:r>
      <w:r w:rsidR="00A838CF" w:rsidRPr="00CB093C">
        <w:rPr>
          <w:rFonts w:ascii="Arial" w:hAnsi="Arial" w:cs="Arial"/>
          <w:szCs w:val="22"/>
          <w:lang w:val="en-GB"/>
        </w:rPr>
      </w:r>
      <w:r w:rsidR="00A838CF"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w:t>
      </w:r>
      <w:r w:rsidR="00A838CF" w:rsidRPr="00CB093C">
        <w:rPr>
          <w:rFonts w:ascii="Arial" w:hAnsi="Arial" w:cs="Arial"/>
          <w:szCs w:val="22"/>
          <w:lang w:val="en-GB"/>
        </w:rPr>
        <w:fldChar w:fldCharType="end"/>
      </w:r>
      <w:r w:rsidR="00A838CF" w:rsidRPr="00CB093C">
        <w:rPr>
          <w:rFonts w:ascii="Arial" w:hAnsi="Arial" w:cs="Arial"/>
          <w:szCs w:val="22"/>
          <w:lang w:val="en-GB"/>
        </w:rPr>
        <w:t>)</w:t>
      </w:r>
      <w:r w:rsidR="006B3C24" w:rsidRPr="00CB093C">
        <w:rPr>
          <w:rFonts w:ascii="Arial" w:hAnsi="Arial" w:cs="Arial"/>
          <w:szCs w:val="22"/>
          <w:lang w:val="en-GB"/>
        </w:rPr>
        <w:t>.</w:t>
      </w:r>
      <w:r w:rsidRPr="00CB093C">
        <w:rPr>
          <w:rFonts w:ascii="Arial" w:hAnsi="Arial" w:cs="Arial"/>
          <w:color w:val="000000" w:themeColor="text1"/>
          <w:szCs w:val="22"/>
        </w:rPr>
        <w:t xml:space="preserve">The Fitzroy region was the only region with above-average light </w:t>
      </w:r>
      <w:r w:rsidR="00207B22" w:rsidRPr="00CB093C">
        <w:rPr>
          <w:rFonts w:ascii="Arial" w:hAnsi="Arial" w:cs="Arial"/>
          <w:color w:val="000000" w:themeColor="text1"/>
          <w:szCs w:val="22"/>
        </w:rPr>
        <w:t xml:space="preserve">levels </w:t>
      </w:r>
      <w:r w:rsidRPr="00CB093C">
        <w:rPr>
          <w:rFonts w:ascii="Arial" w:hAnsi="Arial" w:cs="Arial"/>
          <w:color w:val="000000" w:themeColor="text1"/>
          <w:szCs w:val="22"/>
        </w:rPr>
        <w:t xml:space="preserve">in </w:t>
      </w:r>
      <w:r w:rsidR="003654C6">
        <w:rPr>
          <w:rFonts w:ascii="Arial" w:hAnsi="Arial" w:cs="Arial"/>
          <w:color w:val="000000" w:themeColor="text1"/>
          <w:szCs w:val="22"/>
        </w:rPr>
        <w:t>2017–18</w:t>
      </w:r>
      <w:r w:rsidRPr="00CB093C">
        <w:rPr>
          <w:rFonts w:ascii="Arial" w:hAnsi="Arial" w:cs="Arial"/>
          <w:color w:val="000000" w:themeColor="text1"/>
          <w:szCs w:val="22"/>
        </w:rPr>
        <w:t xml:space="preserve">. </w:t>
      </w:r>
      <w:r w:rsidR="00F37B7F" w:rsidRPr="00CB093C">
        <w:rPr>
          <w:rFonts w:ascii="Arial" w:hAnsi="Arial" w:cs="Arial"/>
          <w:color w:val="000000" w:themeColor="text1"/>
          <w:szCs w:val="22"/>
        </w:rPr>
        <w:t xml:space="preserve">Although within canopy temperatures in </w:t>
      </w:r>
      <w:r w:rsidR="008C0E45">
        <w:rPr>
          <w:rFonts w:ascii="Arial" w:hAnsi="Arial" w:cs="Arial"/>
          <w:color w:val="000000" w:themeColor="text1"/>
          <w:szCs w:val="22"/>
        </w:rPr>
        <w:t>2017–18</w:t>
      </w:r>
      <w:r w:rsidR="00F37B7F" w:rsidRPr="00CB093C">
        <w:rPr>
          <w:rFonts w:ascii="Arial" w:hAnsi="Arial" w:cs="Arial"/>
          <w:color w:val="000000" w:themeColor="text1"/>
          <w:szCs w:val="22"/>
        </w:rPr>
        <w:t xml:space="preserve"> were </w:t>
      </w:r>
      <w:r w:rsidR="00F37B7F" w:rsidRPr="00CB093C">
        <w:rPr>
          <w:rFonts w:ascii="Arial" w:hAnsi="Arial" w:cs="Arial"/>
          <w:szCs w:val="22"/>
          <w:lang w:val="en-GB"/>
        </w:rPr>
        <w:t>cooler than the previous four reporting years</w:t>
      </w:r>
      <w:r w:rsidR="00F37B7F" w:rsidRPr="00CB093C">
        <w:rPr>
          <w:rFonts w:ascii="Arial" w:hAnsi="Arial" w:cs="Arial"/>
          <w:color w:val="000000" w:themeColor="text1"/>
          <w:szCs w:val="22"/>
        </w:rPr>
        <w:t xml:space="preserve">, being on average similar to the long-term, this was not consistent </w:t>
      </w:r>
      <w:r w:rsidR="009D3111" w:rsidRPr="00CB093C">
        <w:rPr>
          <w:rFonts w:ascii="Arial" w:hAnsi="Arial" w:cs="Arial"/>
          <w:color w:val="000000" w:themeColor="text1"/>
          <w:szCs w:val="22"/>
        </w:rPr>
        <w:t>throughout the entire Reef: t</w:t>
      </w:r>
      <w:r w:rsidR="0065321D" w:rsidRPr="00CB093C">
        <w:rPr>
          <w:rFonts w:ascii="Arial" w:hAnsi="Arial" w:cs="Arial"/>
          <w:color w:val="000000" w:themeColor="text1"/>
          <w:szCs w:val="22"/>
        </w:rPr>
        <w:t>he largest deviations</w:t>
      </w:r>
      <w:r w:rsidR="00207B22" w:rsidRPr="00CB093C">
        <w:rPr>
          <w:rFonts w:ascii="Arial" w:hAnsi="Arial" w:cs="Arial"/>
          <w:color w:val="000000" w:themeColor="text1"/>
          <w:szCs w:val="22"/>
        </w:rPr>
        <w:t xml:space="preserve"> occurred</w:t>
      </w:r>
      <w:r w:rsidR="0065321D" w:rsidRPr="00CB093C">
        <w:rPr>
          <w:rFonts w:ascii="Arial" w:hAnsi="Arial" w:cs="Arial"/>
          <w:color w:val="000000" w:themeColor="text1"/>
          <w:szCs w:val="22"/>
        </w:rPr>
        <w:t xml:space="preserve"> </w:t>
      </w:r>
      <w:r w:rsidR="00207B22" w:rsidRPr="00CB093C">
        <w:rPr>
          <w:rFonts w:ascii="Arial" w:hAnsi="Arial" w:cs="Arial"/>
          <w:color w:val="000000" w:themeColor="text1"/>
          <w:szCs w:val="22"/>
        </w:rPr>
        <w:t>in estuarine habitats</w:t>
      </w:r>
      <w:r w:rsidR="00E145D7" w:rsidRPr="00CB093C">
        <w:rPr>
          <w:rFonts w:ascii="Arial" w:hAnsi="Arial" w:cs="Arial"/>
          <w:color w:val="000000" w:themeColor="text1"/>
          <w:szCs w:val="22"/>
        </w:rPr>
        <w:t xml:space="preserve"> which are in the southern three regions</w:t>
      </w:r>
      <w:r w:rsidR="00207B22" w:rsidRPr="00CB093C">
        <w:rPr>
          <w:rFonts w:ascii="Arial" w:hAnsi="Arial" w:cs="Arial"/>
          <w:color w:val="000000" w:themeColor="text1"/>
          <w:szCs w:val="22"/>
        </w:rPr>
        <w:t xml:space="preserve">, where </w:t>
      </w:r>
      <w:r w:rsidR="009D3111" w:rsidRPr="00CB093C">
        <w:rPr>
          <w:rFonts w:ascii="Arial" w:hAnsi="Arial" w:cs="Arial"/>
          <w:color w:val="000000" w:themeColor="text1"/>
          <w:szCs w:val="22"/>
        </w:rPr>
        <w:t>weekly deviations were</w:t>
      </w:r>
      <w:r w:rsidR="00207B22" w:rsidRPr="00CB093C">
        <w:rPr>
          <w:rFonts w:ascii="Arial" w:hAnsi="Arial" w:cs="Arial"/>
          <w:color w:val="000000" w:themeColor="text1"/>
          <w:szCs w:val="22"/>
        </w:rPr>
        <w:t xml:space="preserve"> </w:t>
      </w:r>
      <w:r w:rsidR="000F0566" w:rsidRPr="00CB093C">
        <w:rPr>
          <w:rFonts w:ascii="Arial" w:hAnsi="Arial" w:cs="Arial"/>
          <w:color w:val="000000" w:themeColor="text1"/>
          <w:szCs w:val="22"/>
        </w:rPr>
        <w:t xml:space="preserve">often </w:t>
      </w:r>
      <w:r w:rsidR="00207B22" w:rsidRPr="00CB093C">
        <w:rPr>
          <w:rFonts w:ascii="Arial" w:hAnsi="Arial" w:cs="Arial"/>
          <w:color w:val="000000" w:themeColor="text1"/>
          <w:szCs w:val="22"/>
        </w:rPr>
        <w:t>0.5°C above average</w:t>
      </w:r>
      <w:r w:rsidR="0065321D" w:rsidRPr="00CB093C">
        <w:rPr>
          <w:rFonts w:ascii="Arial" w:hAnsi="Arial" w:cs="Arial"/>
          <w:color w:val="000000" w:themeColor="text1"/>
          <w:szCs w:val="22"/>
        </w:rPr>
        <w:t xml:space="preserve"> (</w:t>
      </w:r>
      <w:r w:rsidR="0065321D" w:rsidRPr="00CB093C">
        <w:rPr>
          <w:rFonts w:ascii="Arial" w:hAnsi="Arial" w:cs="Arial"/>
          <w:color w:val="000000" w:themeColor="text1"/>
          <w:szCs w:val="22"/>
        </w:rPr>
        <w:fldChar w:fldCharType="begin"/>
      </w:r>
      <w:r w:rsidR="0065321D" w:rsidRPr="00CB093C">
        <w:rPr>
          <w:rFonts w:ascii="Arial" w:hAnsi="Arial" w:cs="Arial"/>
          <w:color w:val="000000" w:themeColor="text1"/>
          <w:szCs w:val="22"/>
        </w:rPr>
        <w:instrText xml:space="preserve"> REF _Ref442465513 \h </w:instrText>
      </w:r>
      <w:r w:rsidR="00CB093C" w:rsidRPr="00CB093C">
        <w:rPr>
          <w:rFonts w:ascii="Arial" w:hAnsi="Arial" w:cs="Arial"/>
          <w:color w:val="000000" w:themeColor="text1"/>
          <w:szCs w:val="22"/>
        </w:rPr>
        <w:instrText xml:space="preserve"> \* MERGEFORMAT </w:instrText>
      </w:r>
      <w:r w:rsidR="0065321D" w:rsidRPr="00CB093C">
        <w:rPr>
          <w:rFonts w:ascii="Arial" w:hAnsi="Arial" w:cs="Arial"/>
          <w:color w:val="000000" w:themeColor="text1"/>
          <w:szCs w:val="22"/>
        </w:rPr>
      </w:r>
      <w:r w:rsidR="0065321D"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8</w:t>
      </w:r>
      <w:r w:rsidR="0065321D" w:rsidRPr="00CB093C">
        <w:rPr>
          <w:rFonts w:ascii="Arial" w:hAnsi="Arial" w:cs="Arial"/>
          <w:color w:val="000000" w:themeColor="text1"/>
          <w:szCs w:val="22"/>
        </w:rPr>
        <w:fldChar w:fldCharType="end"/>
      </w:r>
      <w:r w:rsidR="0065321D" w:rsidRPr="00CB093C">
        <w:rPr>
          <w:rFonts w:ascii="Arial" w:hAnsi="Arial" w:cs="Arial"/>
          <w:color w:val="000000" w:themeColor="text1"/>
          <w:szCs w:val="22"/>
        </w:rPr>
        <w:t>)</w:t>
      </w:r>
      <w:r w:rsidRPr="00CB093C">
        <w:rPr>
          <w:rFonts w:ascii="Arial" w:hAnsi="Arial" w:cs="Arial"/>
          <w:color w:val="000000" w:themeColor="text1"/>
          <w:szCs w:val="22"/>
        </w:rPr>
        <w:t>.</w:t>
      </w:r>
      <w:r w:rsidR="00F37B7F" w:rsidRPr="00CB093C">
        <w:rPr>
          <w:rFonts w:ascii="Arial" w:hAnsi="Arial" w:cs="Arial"/>
          <w:color w:val="000000" w:themeColor="text1"/>
          <w:szCs w:val="22"/>
        </w:rPr>
        <w:t xml:space="preserve"> T</w:t>
      </w:r>
      <w:r w:rsidR="00E145D7" w:rsidRPr="00CB093C">
        <w:rPr>
          <w:rFonts w:ascii="Arial" w:hAnsi="Arial" w:cs="Arial"/>
          <w:color w:val="000000" w:themeColor="text1"/>
          <w:szCs w:val="22"/>
        </w:rPr>
        <w:t>he number of extreme heat days</w:t>
      </w:r>
      <w:r w:rsidR="00F37B7F" w:rsidRPr="00CB093C">
        <w:rPr>
          <w:rFonts w:ascii="Arial" w:hAnsi="Arial" w:cs="Arial"/>
          <w:color w:val="000000" w:themeColor="text1"/>
          <w:szCs w:val="22"/>
        </w:rPr>
        <w:t>,</w:t>
      </w:r>
      <w:r w:rsidR="00E145D7" w:rsidRPr="00CB093C">
        <w:rPr>
          <w:rFonts w:ascii="Arial" w:hAnsi="Arial" w:cs="Arial"/>
          <w:color w:val="000000" w:themeColor="text1"/>
          <w:szCs w:val="22"/>
        </w:rPr>
        <w:t xml:space="preserve"> </w:t>
      </w:r>
      <w:r w:rsidR="00F37B7F" w:rsidRPr="00CB093C">
        <w:rPr>
          <w:rFonts w:ascii="Arial" w:hAnsi="Arial" w:cs="Arial"/>
          <w:color w:val="000000" w:themeColor="text1"/>
          <w:szCs w:val="22"/>
        </w:rPr>
        <w:t xml:space="preserve">however, </w:t>
      </w:r>
      <w:r w:rsidR="00E145D7" w:rsidRPr="00CB093C">
        <w:rPr>
          <w:rFonts w:ascii="Arial" w:hAnsi="Arial" w:cs="Arial"/>
          <w:color w:val="000000" w:themeColor="text1"/>
          <w:szCs w:val="22"/>
        </w:rPr>
        <w:t xml:space="preserve">was </w:t>
      </w:r>
      <w:r w:rsidR="007032F9" w:rsidRPr="00CB093C">
        <w:rPr>
          <w:rFonts w:ascii="Arial" w:hAnsi="Arial" w:cs="Arial"/>
          <w:color w:val="000000" w:themeColor="text1"/>
          <w:szCs w:val="22"/>
        </w:rPr>
        <w:t>similar to the long-term average</w:t>
      </w:r>
      <w:r w:rsidR="00E145D7" w:rsidRPr="00CB093C">
        <w:rPr>
          <w:rFonts w:ascii="Arial" w:hAnsi="Arial" w:cs="Arial"/>
          <w:color w:val="000000" w:themeColor="text1"/>
          <w:szCs w:val="22"/>
        </w:rPr>
        <w:t xml:space="preserve"> in all regions (</w:t>
      </w:r>
      <w:r w:rsidR="00E145D7" w:rsidRPr="00CB093C">
        <w:rPr>
          <w:rFonts w:ascii="Arial" w:hAnsi="Arial" w:cs="Arial"/>
          <w:color w:val="000000" w:themeColor="text1"/>
          <w:szCs w:val="22"/>
        </w:rPr>
        <w:fldChar w:fldCharType="begin"/>
      </w:r>
      <w:r w:rsidR="00E145D7" w:rsidRPr="00CB093C">
        <w:rPr>
          <w:rFonts w:ascii="Arial" w:hAnsi="Arial" w:cs="Arial"/>
          <w:color w:val="000000" w:themeColor="text1"/>
          <w:szCs w:val="22"/>
        </w:rPr>
        <w:instrText xml:space="preserve"> REF _Ref442454861 \h </w:instrText>
      </w:r>
      <w:r w:rsidR="00CB093C" w:rsidRPr="00CB093C">
        <w:rPr>
          <w:rFonts w:ascii="Arial" w:hAnsi="Arial" w:cs="Arial"/>
          <w:color w:val="000000" w:themeColor="text1"/>
          <w:szCs w:val="22"/>
        </w:rPr>
        <w:instrText xml:space="preserve"> \* MERGEFORMAT </w:instrText>
      </w:r>
      <w:r w:rsidR="00E145D7" w:rsidRPr="00CB093C">
        <w:rPr>
          <w:rFonts w:ascii="Arial" w:hAnsi="Arial" w:cs="Arial"/>
          <w:color w:val="000000" w:themeColor="text1"/>
          <w:szCs w:val="22"/>
        </w:rPr>
      </w:r>
      <w:r w:rsidR="00E145D7"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11</w:t>
      </w:r>
      <w:r w:rsidR="00E145D7" w:rsidRPr="00CB093C">
        <w:rPr>
          <w:rFonts w:ascii="Arial" w:hAnsi="Arial" w:cs="Arial"/>
          <w:color w:val="000000" w:themeColor="text1"/>
          <w:szCs w:val="22"/>
        </w:rPr>
        <w:fldChar w:fldCharType="end"/>
      </w:r>
      <w:r w:rsidR="00E145D7" w:rsidRPr="00CB093C">
        <w:rPr>
          <w:rFonts w:ascii="Arial" w:hAnsi="Arial" w:cs="Arial"/>
          <w:color w:val="000000" w:themeColor="text1"/>
          <w:szCs w:val="22"/>
        </w:rPr>
        <w:t>), and the maximum recorded temperature was also lower (</w:t>
      </w:r>
      <w:r w:rsidR="00E145D7" w:rsidRPr="00CB093C">
        <w:rPr>
          <w:rFonts w:ascii="Arial" w:hAnsi="Arial" w:cs="Arial"/>
          <w:color w:val="000000" w:themeColor="text1"/>
          <w:szCs w:val="22"/>
        </w:rPr>
        <w:fldChar w:fldCharType="begin"/>
      </w:r>
      <w:r w:rsidR="00E145D7" w:rsidRPr="00CB093C">
        <w:rPr>
          <w:rFonts w:ascii="Arial" w:hAnsi="Arial" w:cs="Arial"/>
          <w:color w:val="000000" w:themeColor="text1"/>
          <w:szCs w:val="22"/>
        </w:rPr>
        <w:instrText xml:space="preserve"> REF _Ref441775247 \h </w:instrText>
      </w:r>
      <w:r w:rsidR="00CB093C" w:rsidRPr="00CB093C">
        <w:rPr>
          <w:rFonts w:ascii="Arial" w:hAnsi="Arial" w:cs="Arial"/>
          <w:color w:val="000000" w:themeColor="text1"/>
          <w:szCs w:val="22"/>
        </w:rPr>
        <w:instrText xml:space="preserve"> \* MERGEFORMAT </w:instrText>
      </w:r>
      <w:r w:rsidR="00E145D7" w:rsidRPr="00CB093C">
        <w:rPr>
          <w:rFonts w:ascii="Arial" w:hAnsi="Arial" w:cs="Arial"/>
          <w:color w:val="000000" w:themeColor="text1"/>
          <w:szCs w:val="22"/>
        </w:rPr>
      </w:r>
      <w:r w:rsidR="00E145D7" w:rsidRPr="00CB093C">
        <w:rPr>
          <w:rFonts w:ascii="Arial" w:hAnsi="Arial" w:cs="Arial"/>
          <w:color w:val="000000" w:themeColor="text1"/>
          <w:szCs w:val="22"/>
        </w:rPr>
        <w:fldChar w:fldCharType="separate"/>
      </w:r>
      <w:r w:rsidR="005F00D4" w:rsidRPr="00CB093C">
        <w:rPr>
          <w:rFonts w:ascii="Arial" w:hAnsi="Arial" w:cs="Arial"/>
          <w:szCs w:val="22"/>
        </w:rPr>
        <w:t xml:space="preserve">Table </w:t>
      </w:r>
      <w:r w:rsidR="005F00D4">
        <w:rPr>
          <w:rFonts w:ascii="Arial" w:hAnsi="Arial" w:cs="Arial"/>
          <w:noProof/>
          <w:szCs w:val="22"/>
        </w:rPr>
        <w:t>8</w:t>
      </w:r>
      <w:r w:rsidR="00E145D7" w:rsidRPr="00CB093C">
        <w:rPr>
          <w:rFonts w:ascii="Arial" w:hAnsi="Arial" w:cs="Arial"/>
          <w:color w:val="000000" w:themeColor="text1"/>
          <w:szCs w:val="22"/>
        </w:rPr>
        <w:fldChar w:fldCharType="end"/>
      </w:r>
      <w:r w:rsidR="00E145D7" w:rsidRPr="00CB093C">
        <w:rPr>
          <w:rFonts w:ascii="Arial" w:hAnsi="Arial" w:cs="Arial"/>
          <w:color w:val="000000" w:themeColor="text1"/>
          <w:szCs w:val="22"/>
        </w:rPr>
        <w:t xml:space="preserve">). </w:t>
      </w:r>
      <w:r w:rsidRPr="00CB093C">
        <w:rPr>
          <w:rFonts w:ascii="Arial" w:hAnsi="Arial" w:cs="Arial"/>
          <w:color w:val="000000" w:themeColor="text1"/>
          <w:szCs w:val="22"/>
        </w:rPr>
        <w:t xml:space="preserve">The </w:t>
      </w:r>
      <w:r w:rsidRPr="00CB093C">
        <w:rPr>
          <w:rFonts w:ascii="Arial" w:hAnsi="Arial" w:cs="Arial"/>
          <w:szCs w:val="22"/>
        </w:rPr>
        <w:t xml:space="preserve">reduced light </w:t>
      </w:r>
      <w:r w:rsidR="00E145D7" w:rsidRPr="00CB093C">
        <w:rPr>
          <w:rFonts w:ascii="Arial" w:hAnsi="Arial" w:cs="Arial"/>
          <w:szCs w:val="22"/>
        </w:rPr>
        <w:t xml:space="preserve">in northern regions and </w:t>
      </w:r>
      <w:r w:rsidRPr="00CB093C">
        <w:rPr>
          <w:rFonts w:ascii="Arial" w:hAnsi="Arial" w:cs="Arial"/>
          <w:szCs w:val="22"/>
        </w:rPr>
        <w:t xml:space="preserve">warm temperatures </w:t>
      </w:r>
      <w:r w:rsidR="00E145D7" w:rsidRPr="00CB093C">
        <w:rPr>
          <w:rFonts w:ascii="Arial" w:hAnsi="Arial" w:cs="Arial"/>
          <w:szCs w:val="22"/>
        </w:rPr>
        <w:t xml:space="preserve">in southern regions </w:t>
      </w:r>
      <w:r w:rsidRPr="00CB093C">
        <w:rPr>
          <w:rFonts w:ascii="Arial" w:hAnsi="Arial" w:cs="Arial"/>
          <w:szCs w:val="22"/>
        </w:rPr>
        <w:t>likely exacerbated chronic stress conditions in the seagrass, further impacting growth and hampered recovery.</w:t>
      </w:r>
    </w:p>
    <w:p w14:paraId="7F84A596" w14:textId="4E71082D" w:rsidR="00CB15D6" w:rsidRPr="00CB093C" w:rsidRDefault="00CB15D6" w:rsidP="00D2585E">
      <w:pPr>
        <w:rPr>
          <w:rFonts w:ascii="Arial" w:hAnsi="Arial" w:cs="Arial"/>
          <w:noProof/>
          <w:szCs w:val="22"/>
          <w:lang w:eastAsia="en-AU"/>
        </w:rPr>
      </w:pPr>
    </w:p>
    <w:p w14:paraId="415A7E5D" w14:textId="77777777" w:rsidR="00CB15D6" w:rsidRPr="00CB093C" w:rsidRDefault="00CB15D6" w:rsidP="0015509E">
      <w:pPr>
        <w:pStyle w:val="Heading2"/>
      </w:pPr>
      <w:bookmarkStart w:id="139" w:name="_Toc11394709"/>
      <w:r w:rsidRPr="00CB093C">
        <w:t>Rainfall</w:t>
      </w:r>
      <w:bookmarkEnd w:id="139"/>
    </w:p>
    <w:p w14:paraId="47AE8E5A" w14:textId="73186C5F" w:rsidR="00CB15D6" w:rsidRPr="00CB093C" w:rsidRDefault="00591D4C" w:rsidP="00CB15D6">
      <w:pPr>
        <w:rPr>
          <w:rFonts w:ascii="Arial" w:hAnsi="Arial" w:cs="Arial"/>
          <w:szCs w:val="22"/>
        </w:rPr>
      </w:pPr>
      <w:r w:rsidRPr="00CB093C">
        <w:rPr>
          <w:rFonts w:ascii="Arial" w:hAnsi="Arial" w:cs="Arial"/>
          <w:szCs w:val="22"/>
        </w:rPr>
        <w:t>Rainfall</w:t>
      </w:r>
      <w:r w:rsidR="00CB15D6" w:rsidRPr="00CB093C">
        <w:rPr>
          <w:rFonts w:ascii="Arial" w:hAnsi="Arial" w:cs="Arial"/>
          <w:szCs w:val="22"/>
        </w:rPr>
        <w:t xml:space="preserve"> was slightly elevated above the long-term average in the Wet Tropics </w:t>
      </w:r>
      <w:r w:rsidR="00704752" w:rsidRPr="00CB093C">
        <w:rPr>
          <w:rFonts w:ascii="Arial" w:hAnsi="Arial" w:cs="Arial"/>
          <w:szCs w:val="22"/>
        </w:rPr>
        <w:t xml:space="preserve">and was below average through most of the remaining regions </w:t>
      </w:r>
      <w:r w:rsidR="00CB15D6" w:rsidRPr="00CB093C">
        <w:rPr>
          <w:rFonts w:ascii="Arial" w:hAnsi="Arial" w:cs="Arial"/>
          <w:szCs w:val="22"/>
        </w:rPr>
        <w:t>(</w:t>
      </w:r>
      <w:r w:rsidR="00CB15D6" w:rsidRPr="00CB093C">
        <w:rPr>
          <w:rFonts w:ascii="Arial" w:hAnsi="Arial" w:cs="Arial"/>
          <w:szCs w:val="22"/>
        </w:rPr>
        <w:fldChar w:fldCharType="begin"/>
      </w:r>
      <w:r w:rsidR="00CB15D6" w:rsidRPr="00CB093C">
        <w:rPr>
          <w:rFonts w:ascii="Arial" w:hAnsi="Arial" w:cs="Arial"/>
          <w:szCs w:val="22"/>
        </w:rPr>
        <w:instrText xml:space="preserve"> REF _Ref507510845 \h </w:instrText>
      </w:r>
      <w:r w:rsidR="00CB093C" w:rsidRPr="00CB093C">
        <w:rPr>
          <w:rFonts w:ascii="Arial" w:hAnsi="Arial" w:cs="Arial"/>
          <w:szCs w:val="22"/>
        </w:rPr>
        <w:instrText xml:space="preserve"> \* MERGEFORMAT </w:instrText>
      </w:r>
      <w:r w:rsidR="00CB15D6" w:rsidRPr="00CB093C">
        <w:rPr>
          <w:rFonts w:ascii="Arial" w:hAnsi="Arial" w:cs="Arial"/>
          <w:szCs w:val="22"/>
        </w:rPr>
      </w:r>
      <w:r w:rsidR="00CB15D6" w:rsidRPr="00CB093C">
        <w:rPr>
          <w:rFonts w:ascii="Arial" w:hAnsi="Arial" w:cs="Arial"/>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6</w:t>
      </w:r>
      <w:r w:rsidR="00CB15D6" w:rsidRPr="00CB093C">
        <w:rPr>
          <w:rFonts w:ascii="Arial" w:hAnsi="Arial" w:cs="Arial"/>
          <w:szCs w:val="22"/>
        </w:rPr>
        <w:fldChar w:fldCharType="end"/>
      </w:r>
      <w:r w:rsidR="00CB15D6" w:rsidRPr="00CB093C">
        <w:rPr>
          <w:rFonts w:ascii="Arial" w:hAnsi="Arial" w:cs="Arial"/>
          <w:szCs w:val="22"/>
        </w:rPr>
        <w:t>) (</w:t>
      </w:r>
      <w:r w:rsidR="00CB15D6" w:rsidRPr="00CB093C">
        <w:rPr>
          <w:rFonts w:ascii="Arial" w:hAnsi="Arial" w:cs="Arial"/>
          <w:szCs w:val="22"/>
        </w:rPr>
        <w:fldChar w:fldCharType="begin"/>
      </w:r>
      <w:r w:rsidR="00CB15D6" w:rsidRPr="00CB093C">
        <w:rPr>
          <w:rFonts w:ascii="Arial" w:hAnsi="Arial" w:cs="Arial"/>
          <w:szCs w:val="22"/>
        </w:rPr>
        <w:instrText xml:space="preserve"> REF _Ref534191398 \h </w:instrText>
      </w:r>
      <w:r w:rsidR="00CB093C" w:rsidRPr="00CB093C">
        <w:rPr>
          <w:rFonts w:ascii="Arial" w:hAnsi="Arial" w:cs="Arial"/>
          <w:szCs w:val="22"/>
        </w:rPr>
        <w:instrText xml:space="preserve"> \* MERGEFORMAT </w:instrText>
      </w:r>
      <w:r w:rsidR="00CB15D6" w:rsidRPr="00CB093C">
        <w:rPr>
          <w:rFonts w:ascii="Arial" w:hAnsi="Arial" w:cs="Arial"/>
          <w:szCs w:val="22"/>
        </w:rPr>
      </w:r>
      <w:r w:rsidR="00CB15D6"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7</w:t>
      </w:r>
      <w:r w:rsidR="00CB15D6" w:rsidRPr="00CB093C">
        <w:rPr>
          <w:rFonts w:ascii="Arial" w:hAnsi="Arial" w:cs="Arial"/>
          <w:szCs w:val="22"/>
        </w:rPr>
        <w:fldChar w:fldCharType="end"/>
      </w:r>
      <w:r w:rsidR="00CB15D6" w:rsidRPr="00CB093C">
        <w:rPr>
          <w:rFonts w:ascii="Arial" w:hAnsi="Arial" w:cs="Arial"/>
          <w:szCs w:val="22"/>
        </w:rPr>
        <w:t xml:space="preserve">). </w:t>
      </w:r>
      <w:r w:rsidR="00704752" w:rsidRPr="00CB093C">
        <w:rPr>
          <w:rFonts w:ascii="Arial" w:hAnsi="Arial" w:cs="Arial"/>
          <w:szCs w:val="22"/>
        </w:rPr>
        <w:t xml:space="preserve">The largest deviations from the long-term averages occurred in the </w:t>
      </w:r>
      <w:r w:rsidR="00637325">
        <w:rPr>
          <w:rFonts w:ascii="Arial" w:hAnsi="Arial" w:cs="Arial"/>
          <w:szCs w:val="22"/>
        </w:rPr>
        <w:t>Mackay-Whitsunday</w:t>
      </w:r>
      <w:r w:rsidR="00F37B7F" w:rsidRPr="00CB093C">
        <w:rPr>
          <w:rFonts w:ascii="Arial" w:hAnsi="Arial" w:cs="Arial"/>
          <w:szCs w:val="22"/>
        </w:rPr>
        <w:t xml:space="preserve"> region</w:t>
      </w:r>
      <w:r w:rsidR="00704752" w:rsidRPr="00CB093C">
        <w:rPr>
          <w:rFonts w:ascii="Arial" w:hAnsi="Arial" w:cs="Arial"/>
          <w:szCs w:val="22"/>
        </w:rPr>
        <w:t xml:space="preserve"> where it was drier than the long-term average. </w:t>
      </w:r>
    </w:p>
    <w:p w14:paraId="1ED163AE" w14:textId="77777777" w:rsidR="00CB15D6" w:rsidRPr="00CB093C" w:rsidRDefault="00CB15D6" w:rsidP="00D2585E">
      <w:pPr>
        <w:rPr>
          <w:rFonts w:ascii="Arial" w:hAnsi="Arial" w:cs="Arial"/>
          <w:noProof/>
          <w:szCs w:val="22"/>
          <w:lang w:eastAsia="en-AU"/>
        </w:rPr>
      </w:pPr>
    </w:p>
    <w:p w14:paraId="1E3EA33D" w14:textId="5757152D" w:rsidR="00771FD9" w:rsidRPr="00CB093C" w:rsidRDefault="00771FD9" w:rsidP="00686718">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3080BA1A" wp14:editId="18DA7FBF">
            <wp:extent cx="4245881" cy="2781300"/>
            <wp:effectExtent l="0" t="0" r="2540" b="0"/>
            <wp:docPr id="100" name="Picture 100" descr="Barchart showing annual average wet season rainfall (December 2017–April 2018) compared to the long-term wet season rainfall average (1961–1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rainfall_2017_diff_v2.jpg"/>
                    <pic:cNvPicPr/>
                  </pic:nvPicPr>
                  <pic:blipFill>
                    <a:blip r:embed="rId51"/>
                    <a:stretch>
                      <a:fillRect/>
                    </a:stretch>
                  </pic:blipFill>
                  <pic:spPr>
                    <a:xfrm>
                      <a:off x="0" y="0"/>
                      <a:ext cx="4280402" cy="2803913"/>
                    </a:xfrm>
                    <a:prstGeom prst="rect">
                      <a:avLst/>
                    </a:prstGeom>
                  </pic:spPr>
                </pic:pic>
              </a:graphicData>
            </a:graphic>
          </wp:inline>
        </w:drawing>
      </w:r>
    </w:p>
    <w:p w14:paraId="1AEEAE7F" w14:textId="07135A3C" w:rsidR="00264FE9" w:rsidRPr="00CB093C" w:rsidRDefault="00771FD9" w:rsidP="00264FE9">
      <w:pPr>
        <w:pStyle w:val="Figure"/>
        <w:rPr>
          <w:rFonts w:cs="Arial"/>
          <w:i/>
          <w:vanish/>
          <w:sz w:val="22"/>
          <w:szCs w:val="22"/>
          <w:specVanish/>
        </w:rPr>
      </w:pPr>
      <w:bookmarkStart w:id="140" w:name="_Ref507510845"/>
      <w:bookmarkStart w:id="141" w:name="_Ref507510817"/>
      <w:bookmarkStart w:id="142" w:name="_Toc6402771"/>
      <w:r w:rsidRPr="00CB093C">
        <w:rPr>
          <w:rFonts w:cs="Arial"/>
          <w:sz w:val="22"/>
          <w:szCs w:val="22"/>
        </w:rPr>
        <w:t xml:space="preserve">Figure </w:t>
      </w:r>
      <w:r w:rsidRPr="00CB093C">
        <w:rPr>
          <w:rFonts w:cs="Arial"/>
          <w:sz w:val="22"/>
          <w:szCs w:val="22"/>
        </w:rPr>
        <w:fldChar w:fldCharType="begin"/>
      </w:r>
      <w:r w:rsidRPr="00CB093C">
        <w:rPr>
          <w:rFonts w:cs="Arial"/>
          <w:sz w:val="22"/>
          <w:szCs w:val="22"/>
        </w:rPr>
        <w:instrText xml:space="preserve"> SEQ Figure \* ARABIC </w:instrText>
      </w:r>
      <w:r w:rsidRPr="00CB093C">
        <w:rPr>
          <w:rFonts w:cs="Arial"/>
          <w:sz w:val="22"/>
          <w:szCs w:val="22"/>
        </w:rPr>
        <w:fldChar w:fldCharType="separate"/>
      </w:r>
      <w:r w:rsidR="005F00D4">
        <w:rPr>
          <w:rFonts w:cs="Arial"/>
          <w:noProof/>
          <w:sz w:val="22"/>
          <w:szCs w:val="22"/>
        </w:rPr>
        <w:t>6</w:t>
      </w:r>
      <w:r w:rsidRPr="00CB093C">
        <w:rPr>
          <w:rFonts w:cs="Arial"/>
          <w:sz w:val="22"/>
          <w:szCs w:val="22"/>
        </w:rPr>
        <w:fldChar w:fldCharType="end"/>
      </w:r>
      <w:bookmarkEnd w:id="140"/>
      <w:r w:rsidRPr="00CB093C">
        <w:rPr>
          <w:rFonts w:cs="Arial"/>
          <w:sz w:val="22"/>
          <w:szCs w:val="22"/>
        </w:rPr>
        <w:t xml:space="preserve">. </w:t>
      </w:r>
      <w:r w:rsidR="005F2B68" w:rsidRPr="00CB093C">
        <w:rPr>
          <w:rFonts w:cs="Arial"/>
          <w:sz w:val="22"/>
          <w:szCs w:val="22"/>
        </w:rPr>
        <w:t xml:space="preserve">Difference between </w:t>
      </w:r>
      <w:r w:rsidR="005F2B68" w:rsidRPr="00CB093C">
        <w:rPr>
          <w:rFonts w:cs="Arial"/>
          <w:i/>
          <w:sz w:val="22"/>
          <w:szCs w:val="22"/>
        </w:rPr>
        <w:t>a</w:t>
      </w:r>
      <w:r w:rsidR="00264FE9" w:rsidRPr="00CB093C">
        <w:rPr>
          <w:rFonts w:cs="Arial"/>
          <w:i/>
          <w:sz w:val="22"/>
          <w:szCs w:val="22"/>
        </w:rPr>
        <w:t xml:space="preserve">nnual average </w:t>
      </w:r>
      <w:r w:rsidR="005F2B68" w:rsidRPr="00CB093C">
        <w:rPr>
          <w:rFonts w:cs="Arial"/>
          <w:i/>
          <w:sz w:val="22"/>
          <w:szCs w:val="22"/>
        </w:rPr>
        <w:t xml:space="preserve">daily </w:t>
      </w:r>
      <w:r w:rsidR="00264FE9" w:rsidRPr="00CB093C">
        <w:rPr>
          <w:rFonts w:cs="Arial"/>
          <w:i/>
          <w:sz w:val="22"/>
          <w:szCs w:val="22"/>
        </w:rPr>
        <w:t>wet season rainfall (December 201</w:t>
      </w:r>
      <w:r w:rsidR="002F044F" w:rsidRPr="00CB093C">
        <w:rPr>
          <w:rFonts w:cs="Arial"/>
          <w:i/>
          <w:sz w:val="22"/>
          <w:szCs w:val="22"/>
        </w:rPr>
        <w:t>7</w:t>
      </w:r>
      <w:r w:rsidR="00264FE9" w:rsidRPr="00CB093C">
        <w:rPr>
          <w:rFonts w:cs="Arial"/>
          <w:i/>
          <w:sz w:val="22"/>
          <w:szCs w:val="22"/>
        </w:rPr>
        <w:t>–April 201</w:t>
      </w:r>
      <w:r w:rsidR="005012FA" w:rsidRPr="00CB093C">
        <w:rPr>
          <w:rFonts w:cs="Arial"/>
          <w:i/>
          <w:sz w:val="22"/>
          <w:szCs w:val="22"/>
        </w:rPr>
        <w:t>8</w:t>
      </w:r>
      <w:r w:rsidR="00264FE9" w:rsidRPr="00CB093C">
        <w:rPr>
          <w:rFonts w:cs="Arial"/>
          <w:i/>
          <w:sz w:val="22"/>
          <w:szCs w:val="22"/>
        </w:rPr>
        <w:t xml:space="preserve">) </w:t>
      </w:r>
      <w:r w:rsidR="005F2B68" w:rsidRPr="00CB093C">
        <w:rPr>
          <w:rFonts w:cs="Arial"/>
          <w:i/>
          <w:sz w:val="22"/>
          <w:szCs w:val="22"/>
        </w:rPr>
        <w:t>and</w:t>
      </w:r>
      <w:r w:rsidR="00264FE9" w:rsidRPr="00CB093C">
        <w:rPr>
          <w:rFonts w:cs="Arial"/>
          <w:i/>
          <w:sz w:val="22"/>
          <w:szCs w:val="22"/>
        </w:rPr>
        <w:t xml:space="preserve"> the long-term average (1961–1990).</w:t>
      </w:r>
      <w:bookmarkEnd w:id="141"/>
      <w:bookmarkEnd w:id="142"/>
    </w:p>
    <w:p w14:paraId="64090E09" w14:textId="3586EB86" w:rsidR="00771FD9" w:rsidRPr="00CB093C" w:rsidRDefault="00264FE9" w:rsidP="00264FE9">
      <w:pPr>
        <w:pStyle w:val="Figure"/>
        <w:rPr>
          <w:rFonts w:cs="Arial"/>
          <w:i/>
          <w:sz w:val="22"/>
          <w:szCs w:val="22"/>
          <w:lang w:val="en-US"/>
        </w:rPr>
      </w:pPr>
      <w:r w:rsidRPr="00CB093C">
        <w:rPr>
          <w:rStyle w:val="IntenseReference"/>
          <w:rFonts w:eastAsiaTheme="majorEastAsia" w:cs="Arial"/>
          <w:i/>
          <w:color w:val="auto"/>
          <w:sz w:val="22"/>
          <w:szCs w:val="22"/>
        </w:rPr>
        <w:t xml:space="preserve"> Red and blue bars denote </w:t>
      </w:r>
      <w:r w:rsidR="006E13BB" w:rsidRPr="00CB093C">
        <w:rPr>
          <w:rStyle w:val="IntenseReference"/>
          <w:rFonts w:eastAsiaTheme="majorEastAsia" w:cs="Arial"/>
          <w:i/>
          <w:color w:val="auto"/>
          <w:sz w:val="22"/>
          <w:szCs w:val="22"/>
        </w:rPr>
        <w:t>basins</w:t>
      </w:r>
      <w:r w:rsidRPr="00CB093C">
        <w:rPr>
          <w:rStyle w:val="IntenseReference"/>
          <w:rFonts w:eastAsiaTheme="majorEastAsia" w:cs="Arial"/>
          <w:i/>
          <w:color w:val="auto"/>
          <w:sz w:val="22"/>
          <w:szCs w:val="22"/>
        </w:rPr>
        <w:t xml:space="preserve"> with rainfall below and above the long-term average, respectively. Note that the </w:t>
      </w:r>
      <w:r w:rsidR="006E13BB" w:rsidRPr="00CB093C">
        <w:rPr>
          <w:rStyle w:val="IntenseReference"/>
          <w:rFonts w:eastAsiaTheme="majorEastAsia" w:cs="Arial"/>
          <w:i/>
          <w:color w:val="auto"/>
          <w:sz w:val="22"/>
          <w:szCs w:val="22"/>
        </w:rPr>
        <w:t>basins</w:t>
      </w:r>
      <w:r w:rsidRPr="00CB093C">
        <w:rPr>
          <w:rStyle w:val="IntenseReference"/>
          <w:rFonts w:eastAsiaTheme="majorEastAsia" w:cs="Arial"/>
          <w:i/>
          <w:color w:val="auto"/>
          <w:sz w:val="22"/>
          <w:szCs w:val="22"/>
        </w:rPr>
        <w:t xml:space="preserve"> are ordered from north to south (left to right).</w:t>
      </w:r>
      <w:r w:rsidR="007D4BE7" w:rsidRPr="00CB093C">
        <w:rPr>
          <w:rStyle w:val="IntenseReference"/>
          <w:rFonts w:eastAsiaTheme="majorEastAsia" w:cs="Arial"/>
          <w:i/>
          <w:color w:val="auto"/>
          <w:sz w:val="22"/>
          <w:szCs w:val="22"/>
        </w:rPr>
        <w:t xml:space="preserve"> </w:t>
      </w:r>
      <w:r w:rsidR="00E66F63" w:rsidRPr="00CB093C">
        <w:rPr>
          <w:rFonts w:cs="Arial"/>
          <w:i/>
          <w:sz w:val="22"/>
          <w:szCs w:val="22"/>
        </w:rPr>
        <w:t xml:space="preserve">Compiled by </w:t>
      </w:r>
      <w:hyperlink w:anchor="_ENREF_65" w:tooltip="Gruber, 2019 #11860" w:history="1">
        <w:r w:rsidR="00513C39" w:rsidRPr="00CB093C">
          <w:rPr>
            <w:rFonts w:cs="Arial"/>
            <w:i/>
            <w:sz w:val="22"/>
            <w:szCs w:val="22"/>
          </w:rPr>
          <w:fldChar w:fldCharType="begin"/>
        </w:r>
        <w:r w:rsidR="00513C39" w:rsidRPr="00CB093C">
          <w:rPr>
            <w:rFonts w:cs="Arial"/>
            <w:i/>
            <w:sz w:val="22"/>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cs="Arial"/>
            <w:i/>
            <w:sz w:val="22"/>
            <w:szCs w:val="22"/>
          </w:rPr>
          <w:fldChar w:fldCharType="separate"/>
        </w:r>
        <w:r w:rsidR="00513C39" w:rsidRPr="00CB093C">
          <w:rPr>
            <w:rFonts w:cs="Arial"/>
            <w:i/>
            <w:noProof/>
            <w:sz w:val="22"/>
            <w:szCs w:val="22"/>
          </w:rPr>
          <w:t>Gruber et al. 2019</w:t>
        </w:r>
        <w:r w:rsidR="00513C39" w:rsidRPr="00CB093C">
          <w:rPr>
            <w:rFonts w:cs="Arial"/>
            <w:i/>
            <w:sz w:val="22"/>
            <w:szCs w:val="22"/>
          </w:rPr>
          <w:fldChar w:fldCharType="end"/>
        </w:r>
      </w:hyperlink>
      <w:r w:rsidR="00E66F63" w:rsidRPr="00CB093C">
        <w:rPr>
          <w:rFonts w:cs="Arial"/>
          <w:i/>
          <w:sz w:val="22"/>
          <w:szCs w:val="22"/>
        </w:rPr>
        <w:t>.</w:t>
      </w:r>
    </w:p>
    <w:p w14:paraId="594ACEF4" w14:textId="58020395" w:rsidR="00686718" w:rsidRPr="00CB093C" w:rsidRDefault="00686718" w:rsidP="00686718">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60505EF7" wp14:editId="346AFF23">
            <wp:extent cx="5727700" cy="4269105"/>
            <wp:effectExtent l="0" t="0" r="6350" b="0"/>
            <wp:docPr id="5" name="Picture 5" descr="Map triptage from Gruber et al. 2019, showing daily average wet season rainfall in the Reef catchment, with the left map showing long-term annual average (1961–1990), centre showing 2017–18 and and right showing the difference between the long-term annual average and 2017–18 rainfall patter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ainfall_2018_panel_v2.jpg"/>
                    <pic:cNvPicPr/>
                  </pic:nvPicPr>
                  <pic:blipFill>
                    <a:blip r:embed="rId52">
                      <a:extLst>
                        <a:ext uri="{28A0092B-C50C-407E-A947-70E740481C1C}">
                          <a14:useLocalDpi xmlns:a14="http://schemas.microsoft.com/office/drawing/2010/main" val="0"/>
                        </a:ext>
                      </a:extLst>
                    </a:blip>
                    <a:stretch>
                      <a:fillRect/>
                    </a:stretch>
                  </pic:blipFill>
                  <pic:spPr>
                    <a:xfrm>
                      <a:off x="0" y="0"/>
                      <a:ext cx="5727700" cy="4269105"/>
                    </a:xfrm>
                    <a:prstGeom prst="rect">
                      <a:avLst/>
                    </a:prstGeom>
                  </pic:spPr>
                </pic:pic>
              </a:graphicData>
            </a:graphic>
          </wp:inline>
        </w:drawing>
      </w:r>
    </w:p>
    <w:p w14:paraId="1A2E939F" w14:textId="308BCCF6" w:rsidR="00686718" w:rsidRPr="00CB093C" w:rsidRDefault="00686718" w:rsidP="00686718">
      <w:pPr>
        <w:pStyle w:val="Caption"/>
        <w:rPr>
          <w:rFonts w:ascii="Arial" w:hAnsi="Arial" w:cs="Arial"/>
          <w:i/>
          <w:szCs w:val="22"/>
        </w:rPr>
      </w:pPr>
      <w:bookmarkStart w:id="143" w:name="_Ref534191398"/>
      <w:bookmarkStart w:id="144" w:name="_Toc6402772"/>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7</w:t>
      </w:r>
      <w:r w:rsidRPr="00CB093C">
        <w:rPr>
          <w:rFonts w:ascii="Arial" w:hAnsi="Arial" w:cs="Arial"/>
          <w:szCs w:val="22"/>
        </w:rPr>
        <w:fldChar w:fldCharType="end"/>
      </w:r>
      <w:bookmarkEnd w:id="143"/>
      <w:r w:rsidRPr="00CB093C">
        <w:rPr>
          <w:rFonts w:ascii="Arial" w:hAnsi="Arial" w:cs="Arial"/>
          <w:szCs w:val="22"/>
        </w:rPr>
        <w:t xml:space="preserve">. </w:t>
      </w:r>
      <w:r w:rsidRPr="00CB093C">
        <w:rPr>
          <w:rFonts w:ascii="Arial" w:hAnsi="Arial" w:cs="Arial"/>
          <w:i/>
          <w:szCs w:val="22"/>
        </w:rPr>
        <w:t xml:space="preserve">Average daily rainfall (mm/day) in the </w:t>
      </w:r>
      <w:r w:rsidR="00F206BF" w:rsidRPr="00CB093C">
        <w:rPr>
          <w:rFonts w:ascii="Arial" w:hAnsi="Arial" w:cs="Arial"/>
          <w:i/>
          <w:szCs w:val="22"/>
        </w:rPr>
        <w:t>Reef</w:t>
      </w:r>
      <w:r w:rsidRPr="00CB093C">
        <w:rPr>
          <w:rFonts w:ascii="Arial" w:hAnsi="Arial" w:cs="Arial"/>
          <w:i/>
          <w:szCs w:val="22"/>
        </w:rPr>
        <w:t xml:space="preserve"> catchment: (left) long-term annual average (1961–1990; time period produced by BOM), (centre) 2017–18 and (right) the difference between the long-term annual average and 2017–18 rainfall patterns. From </w:t>
      </w:r>
      <w:hyperlink w:anchor="_ENREF_65" w:tooltip="Gruber, 2019 #1186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Gruber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2019</w:t>
        </w:r>
        <w:bookmarkEnd w:id="144"/>
        <w:r w:rsidR="00513C39" w:rsidRPr="00CB093C">
          <w:rPr>
            <w:rFonts w:ascii="Arial" w:hAnsi="Arial" w:cs="Arial"/>
            <w:szCs w:val="22"/>
          </w:rPr>
          <w:fldChar w:fldCharType="end"/>
        </w:r>
      </w:hyperlink>
    </w:p>
    <w:p w14:paraId="06232535" w14:textId="77777777" w:rsidR="00F039CC" w:rsidRPr="00CB093C" w:rsidRDefault="00F039CC">
      <w:pPr>
        <w:spacing w:before="0" w:after="0"/>
        <w:rPr>
          <w:rFonts w:ascii="Arial" w:hAnsi="Arial" w:cs="Arial"/>
          <w:szCs w:val="22"/>
          <w:lang w:val="en-US"/>
        </w:rPr>
      </w:pPr>
    </w:p>
    <w:p w14:paraId="4717158C" w14:textId="77777777" w:rsidR="00F039CC" w:rsidRPr="00CB093C" w:rsidRDefault="00F039CC" w:rsidP="0015509E">
      <w:pPr>
        <w:pStyle w:val="Heading2"/>
      </w:pPr>
      <w:bookmarkStart w:id="145" w:name="_Toc11394710"/>
      <w:r w:rsidRPr="00CB093C">
        <w:t>River discharge</w:t>
      </w:r>
      <w:bookmarkEnd w:id="145"/>
    </w:p>
    <w:p w14:paraId="4A4503E0" w14:textId="22FD6D53" w:rsidR="00F039CC" w:rsidRPr="00CB093C" w:rsidRDefault="00F039CC">
      <w:pPr>
        <w:spacing w:before="0" w:after="0"/>
        <w:rPr>
          <w:rFonts w:ascii="Arial" w:hAnsi="Arial" w:cs="Arial"/>
          <w:szCs w:val="22"/>
          <w:lang w:val="en-US"/>
        </w:rPr>
      </w:pPr>
      <w:r w:rsidRPr="00CB093C">
        <w:rPr>
          <w:rFonts w:ascii="Arial" w:hAnsi="Arial" w:cs="Arial"/>
          <w:szCs w:val="22"/>
          <w:lang w:val="en-US"/>
        </w:rPr>
        <w:t xml:space="preserve">Annual discharge for the 35 Reef catchment basins in </w:t>
      </w:r>
      <w:r w:rsidR="003654C6">
        <w:rPr>
          <w:rFonts w:ascii="Arial" w:hAnsi="Arial" w:cs="Arial"/>
          <w:szCs w:val="22"/>
          <w:lang w:val="en-US"/>
        </w:rPr>
        <w:t>2017–18</w:t>
      </w:r>
      <w:r w:rsidRPr="00CB093C">
        <w:rPr>
          <w:rFonts w:ascii="Arial" w:hAnsi="Arial" w:cs="Arial"/>
          <w:szCs w:val="22"/>
          <w:lang w:val="en-US"/>
        </w:rPr>
        <w:t xml:space="preserve"> is shown in </w:t>
      </w:r>
      <w:r w:rsidR="00E0529F" w:rsidRPr="00CB093C">
        <w:rPr>
          <w:rFonts w:ascii="Arial" w:hAnsi="Arial" w:cs="Arial"/>
          <w:szCs w:val="22"/>
          <w:lang w:val="en-US"/>
        </w:rPr>
        <w:fldChar w:fldCharType="begin"/>
      </w:r>
      <w:r w:rsidR="00E0529F" w:rsidRPr="00CB093C">
        <w:rPr>
          <w:rFonts w:ascii="Arial" w:hAnsi="Arial" w:cs="Arial"/>
          <w:szCs w:val="22"/>
          <w:lang w:val="en-US"/>
        </w:rPr>
        <w:instrText xml:space="preserve"> REF _Ref442465342 \h </w:instrText>
      </w:r>
      <w:r w:rsidR="00CB093C" w:rsidRPr="00CB093C">
        <w:rPr>
          <w:rFonts w:ascii="Arial" w:hAnsi="Arial" w:cs="Arial"/>
          <w:szCs w:val="22"/>
          <w:lang w:val="en-US"/>
        </w:rPr>
        <w:instrText xml:space="preserve"> \* MERGEFORMAT </w:instrText>
      </w:r>
      <w:r w:rsidR="00E0529F" w:rsidRPr="00CB093C">
        <w:rPr>
          <w:rFonts w:ascii="Arial" w:hAnsi="Arial" w:cs="Arial"/>
          <w:szCs w:val="22"/>
          <w:lang w:val="en-US"/>
        </w:rPr>
      </w:r>
      <w:r w:rsidR="00E0529F" w:rsidRPr="00CB093C">
        <w:rPr>
          <w:rFonts w:ascii="Arial" w:hAnsi="Arial" w:cs="Arial"/>
          <w:szCs w:val="22"/>
          <w:lang w:val="en-US"/>
        </w:rPr>
        <w:fldChar w:fldCharType="separate"/>
      </w:r>
      <w:r w:rsidR="005F00D4" w:rsidRPr="00CB093C">
        <w:rPr>
          <w:rFonts w:ascii="Arial" w:hAnsi="Arial" w:cs="Arial"/>
          <w:i/>
          <w:szCs w:val="22"/>
        </w:rPr>
        <w:t xml:space="preserve">Table </w:t>
      </w:r>
      <w:r w:rsidR="005F00D4">
        <w:rPr>
          <w:rFonts w:ascii="Arial" w:hAnsi="Arial" w:cs="Arial"/>
          <w:i/>
          <w:noProof/>
          <w:szCs w:val="22"/>
        </w:rPr>
        <w:t>9</w:t>
      </w:r>
      <w:r w:rsidR="00E0529F" w:rsidRPr="00CB093C">
        <w:rPr>
          <w:rFonts w:ascii="Arial" w:hAnsi="Arial" w:cs="Arial"/>
          <w:szCs w:val="22"/>
          <w:lang w:val="en-US"/>
        </w:rPr>
        <w:fldChar w:fldCharType="end"/>
      </w:r>
      <w:r w:rsidRPr="00CB093C">
        <w:rPr>
          <w:rFonts w:ascii="Arial" w:hAnsi="Arial" w:cs="Arial"/>
          <w:szCs w:val="22"/>
          <w:lang w:val="en-US"/>
        </w:rPr>
        <w:t xml:space="preserve"> and compared to long-term median annual flow for that basin.</w:t>
      </w:r>
      <w:r w:rsidR="00E0529F" w:rsidRPr="00CB093C">
        <w:rPr>
          <w:rFonts w:ascii="Arial" w:hAnsi="Arial" w:cs="Arial"/>
          <w:szCs w:val="22"/>
          <w:lang w:val="en-US"/>
        </w:rPr>
        <w:t xml:space="preserve"> River discharge was above the long-term average for the entire </w:t>
      </w:r>
      <w:r w:rsidR="009C3F45" w:rsidRPr="00CB093C">
        <w:rPr>
          <w:rFonts w:ascii="Arial" w:hAnsi="Arial" w:cs="Arial"/>
          <w:szCs w:val="22"/>
          <w:lang w:val="en-US"/>
        </w:rPr>
        <w:t>Reef</w:t>
      </w:r>
      <w:r w:rsidR="00E0529F" w:rsidRPr="00CB093C">
        <w:rPr>
          <w:rFonts w:ascii="Arial" w:hAnsi="Arial" w:cs="Arial"/>
          <w:szCs w:val="22"/>
          <w:lang w:val="en-US"/>
        </w:rPr>
        <w:t xml:space="preserve"> (</w:t>
      </w:r>
      <w:r w:rsidR="00E0529F" w:rsidRPr="00CB093C">
        <w:rPr>
          <w:rFonts w:ascii="Arial" w:hAnsi="Arial" w:cs="Arial"/>
          <w:szCs w:val="22"/>
          <w:lang w:val="en-US"/>
        </w:rPr>
        <w:fldChar w:fldCharType="begin"/>
      </w:r>
      <w:r w:rsidR="00E0529F" w:rsidRPr="00CB093C">
        <w:rPr>
          <w:rFonts w:ascii="Arial" w:hAnsi="Arial" w:cs="Arial"/>
          <w:szCs w:val="22"/>
          <w:lang w:val="en-US"/>
        </w:rPr>
        <w:instrText xml:space="preserve"> REF _Ref441775247 \h </w:instrText>
      </w:r>
      <w:r w:rsidR="00CB093C" w:rsidRPr="00CB093C">
        <w:rPr>
          <w:rFonts w:ascii="Arial" w:hAnsi="Arial" w:cs="Arial"/>
          <w:szCs w:val="22"/>
          <w:lang w:val="en-US"/>
        </w:rPr>
        <w:instrText xml:space="preserve"> \* MERGEFORMAT </w:instrText>
      </w:r>
      <w:r w:rsidR="00E0529F" w:rsidRPr="00CB093C">
        <w:rPr>
          <w:rFonts w:ascii="Arial" w:hAnsi="Arial" w:cs="Arial"/>
          <w:szCs w:val="22"/>
          <w:lang w:val="en-US"/>
        </w:rPr>
      </w:r>
      <w:r w:rsidR="00E0529F" w:rsidRPr="00CB093C">
        <w:rPr>
          <w:rFonts w:ascii="Arial" w:hAnsi="Arial" w:cs="Arial"/>
          <w:szCs w:val="22"/>
          <w:lang w:val="en-US"/>
        </w:rPr>
        <w:fldChar w:fldCharType="separate"/>
      </w:r>
      <w:r w:rsidR="005F00D4" w:rsidRPr="00CB093C">
        <w:rPr>
          <w:rFonts w:ascii="Arial" w:hAnsi="Arial" w:cs="Arial"/>
          <w:szCs w:val="22"/>
        </w:rPr>
        <w:t xml:space="preserve">Table </w:t>
      </w:r>
      <w:r w:rsidR="005F00D4">
        <w:rPr>
          <w:rFonts w:ascii="Arial" w:hAnsi="Arial" w:cs="Arial"/>
          <w:noProof/>
          <w:szCs w:val="22"/>
        </w:rPr>
        <w:t>8</w:t>
      </w:r>
      <w:r w:rsidR="00E0529F" w:rsidRPr="00CB093C">
        <w:rPr>
          <w:rFonts w:ascii="Arial" w:hAnsi="Arial" w:cs="Arial"/>
          <w:szCs w:val="22"/>
          <w:lang w:val="en-US"/>
        </w:rPr>
        <w:fldChar w:fldCharType="end"/>
      </w:r>
      <w:r w:rsidR="00E0529F" w:rsidRPr="00CB093C">
        <w:rPr>
          <w:rFonts w:ascii="Arial" w:hAnsi="Arial" w:cs="Arial"/>
          <w:szCs w:val="22"/>
          <w:lang w:val="en-US"/>
        </w:rPr>
        <w:t>)</w:t>
      </w:r>
      <w:r w:rsidR="00D567D3" w:rsidRPr="00CB093C">
        <w:rPr>
          <w:rFonts w:ascii="Arial" w:hAnsi="Arial" w:cs="Arial"/>
          <w:szCs w:val="22"/>
          <w:lang w:val="en-US"/>
        </w:rPr>
        <w:t>. T</w:t>
      </w:r>
      <w:r w:rsidR="00E0529F" w:rsidRPr="00CB093C">
        <w:rPr>
          <w:rFonts w:ascii="Arial" w:hAnsi="Arial" w:cs="Arial"/>
          <w:szCs w:val="22"/>
          <w:lang w:val="en-US"/>
        </w:rPr>
        <w:t xml:space="preserve">his was due to small increases </w:t>
      </w:r>
      <w:r w:rsidR="001A0665" w:rsidRPr="00CB093C">
        <w:rPr>
          <w:rFonts w:ascii="Arial" w:hAnsi="Arial" w:cs="Arial"/>
          <w:szCs w:val="22"/>
          <w:lang w:val="en-US"/>
        </w:rPr>
        <w:t xml:space="preserve">in discharge </w:t>
      </w:r>
      <w:r w:rsidR="00E0529F" w:rsidRPr="00CB093C">
        <w:rPr>
          <w:rFonts w:ascii="Arial" w:hAnsi="Arial" w:cs="Arial"/>
          <w:szCs w:val="22"/>
          <w:lang w:val="en-US"/>
        </w:rPr>
        <w:t xml:space="preserve">in most rivers </w:t>
      </w:r>
      <w:r w:rsidR="001A0665" w:rsidRPr="00CB093C">
        <w:rPr>
          <w:rFonts w:ascii="Arial" w:hAnsi="Arial" w:cs="Arial"/>
          <w:szCs w:val="22"/>
          <w:lang w:val="en-US"/>
        </w:rPr>
        <w:t xml:space="preserve">(except those in the </w:t>
      </w:r>
      <w:r w:rsidR="00637325">
        <w:rPr>
          <w:rFonts w:ascii="Arial" w:hAnsi="Arial" w:cs="Arial"/>
          <w:szCs w:val="22"/>
          <w:lang w:val="en-US"/>
        </w:rPr>
        <w:t>Mackay-Whitsunday</w:t>
      </w:r>
      <w:r w:rsidR="001A0665" w:rsidRPr="00CB093C">
        <w:rPr>
          <w:rFonts w:ascii="Arial" w:hAnsi="Arial" w:cs="Arial"/>
          <w:szCs w:val="22"/>
          <w:lang w:val="en-US"/>
        </w:rPr>
        <w:t xml:space="preserve">) </w:t>
      </w:r>
      <w:r w:rsidR="00D567D3" w:rsidRPr="00CB093C">
        <w:rPr>
          <w:rFonts w:ascii="Arial" w:hAnsi="Arial" w:cs="Arial"/>
          <w:szCs w:val="22"/>
          <w:lang w:val="en-US"/>
        </w:rPr>
        <w:t xml:space="preserve">and large increases of more than </w:t>
      </w:r>
      <w:r w:rsidR="00E0529F" w:rsidRPr="00CB093C">
        <w:rPr>
          <w:rFonts w:ascii="Arial" w:hAnsi="Arial" w:cs="Arial"/>
          <w:szCs w:val="22"/>
          <w:lang w:val="en-US"/>
        </w:rPr>
        <w:t xml:space="preserve">1.5 </w:t>
      </w:r>
      <w:r w:rsidR="00D567D3" w:rsidRPr="00CB093C">
        <w:rPr>
          <w:rFonts w:ascii="Arial" w:hAnsi="Arial" w:cs="Arial"/>
          <w:szCs w:val="22"/>
          <w:lang w:val="en-US"/>
        </w:rPr>
        <w:t>times</w:t>
      </w:r>
      <w:r w:rsidR="00E0529F" w:rsidRPr="00CB093C">
        <w:rPr>
          <w:rFonts w:ascii="Arial" w:hAnsi="Arial" w:cs="Arial"/>
          <w:szCs w:val="22"/>
          <w:lang w:val="en-US"/>
        </w:rPr>
        <w:t xml:space="preserve"> the long-term median in some of the rivers in the Wet Tropics and Burdekin regions, and all rivers in the Burnett Mary region</w:t>
      </w:r>
      <w:r w:rsidR="00D567D3" w:rsidRPr="00CB093C">
        <w:rPr>
          <w:rFonts w:ascii="Arial" w:hAnsi="Arial" w:cs="Arial"/>
          <w:szCs w:val="22"/>
          <w:lang w:val="en-US"/>
        </w:rPr>
        <w:t xml:space="preserve"> (</w:t>
      </w:r>
      <w:r w:rsidR="00D567D3" w:rsidRPr="00CB093C">
        <w:rPr>
          <w:rFonts w:ascii="Arial" w:hAnsi="Arial" w:cs="Arial"/>
          <w:szCs w:val="22"/>
          <w:lang w:val="en-US"/>
        </w:rPr>
        <w:fldChar w:fldCharType="begin"/>
      </w:r>
      <w:r w:rsidR="00D567D3" w:rsidRPr="00CB093C">
        <w:rPr>
          <w:rFonts w:ascii="Arial" w:hAnsi="Arial" w:cs="Arial"/>
          <w:szCs w:val="22"/>
          <w:lang w:val="en-US"/>
        </w:rPr>
        <w:instrText xml:space="preserve"> REF _Ref442465342 \h </w:instrText>
      </w:r>
      <w:r w:rsidR="00CB093C" w:rsidRPr="00CB093C">
        <w:rPr>
          <w:rFonts w:ascii="Arial" w:hAnsi="Arial" w:cs="Arial"/>
          <w:szCs w:val="22"/>
          <w:lang w:val="en-US"/>
        </w:rPr>
        <w:instrText xml:space="preserve"> \* MERGEFORMAT </w:instrText>
      </w:r>
      <w:r w:rsidR="00D567D3" w:rsidRPr="00CB093C">
        <w:rPr>
          <w:rFonts w:ascii="Arial" w:hAnsi="Arial" w:cs="Arial"/>
          <w:szCs w:val="22"/>
          <w:lang w:val="en-US"/>
        </w:rPr>
      </w:r>
      <w:r w:rsidR="00D567D3" w:rsidRPr="00CB093C">
        <w:rPr>
          <w:rFonts w:ascii="Arial" w:hAnsi="Arial" w:cs="Arial"/>
          <w:szCs w:val="22"/>
          <w:lang w:val="en-US"/>
        </w:rPr>
        <w:fldChar w:fldCharType="separate"/>
      </w:r>
      <w:r w:rsidR="005F00D4" w:rsidRPr="00CB093C">
        <w:rPr>
          <w:rFonts w:ascii="Arial" w:hAnsi="Arial" w:cs="Arial"/>
          <w:i/>
          <w:szCs w:val="22"/>
        </w:rPr>
        <w:t xml:space="preserve">Table </w:t>
      </w:r>
      <w:r w:rsidR="005F00D4">
        <w:rPr>
          <w:rFonts w:ascii="Arial" w:hAnsi="Arial" w:cs="Arial"/>
          <w:i/>
          <w:noProof/>
          <w:szCs w:val="22"/>
        </w:rPr>
        <w:t>9</w:t>
      </w:r>
      <w:r w:rsidR="00D567D3" w:rsidRPr="00CB093C">
        <w:rPr>
          <w:rFonts w:ascii="Arial" w:hAnsi="Arial" w:cs="Arial"/>
          <w:szCs w:val="22"/>
          <w:lang w:val="en-US"/>
        </w:rPr>
        <w:fldChar w:fldCharType="end"/>
      </w:r>
      <w:r w:rsidR="00D567D3" w:rsidRPr="00CB093C">
        <w:rPr>
          <w:rFonts w:ascii="Arial" w:hAnsi="Arial" w:cs="Arial"/>
          <w:szCs w:val="22"/>
          <w:lang w:val="en-US"/>
        </w:rPr>
        <w:t>)</w:t>
      </w:r>
      <w:r w:rsidR="00E0529F" w:rsidRPr="00CB093C">
        <w:rPr>
          <w:rFonts w:ascii="Arial" w:hAnsi="Arial" w:cs="Arial"/>
          <w:szCs w:val="22"/>
          <w:lang w:val="en-US"/>
        </w:rPr>
        <w:t xml:space="preserve">. </w:t>
      </w:r>
    </w:p>
    <w:p w14:paraId="6128B368" w14:textId="68A4059A" w:rsidR="00F039CC" w:rsidRPr="00CB093C" w:rsidRDefault="00F039CC">
      <w:pPr>
        <w:spacing w:before="0" w:after="0"/>
        <w:rPr>
          <w:rFonts w:ascii="Arial" w:hAnsi="Arial" w:cs="Arial"/>
          <w:szCs w:val="22"/>
          <w:lang w:val="en-US"/>
        </w:rPr>
      </w:pPr>
    </w:p>
    <w:p w14:paraId="303355E7" w14:textId="5BA26390" w:rsidR="00C97A63" w:rsidRPr="00CB093C" w:rsidRDefault="00C97A63">
      <w:pPr>
        <w:spacing w:before="0" w:after="0"/>
        <w:rPr>
          <w:rFonts w:ascii="Arial" w:hAnsi="Arial" w:cs="Arial"/>
          <w:szCs w:val="22"/>
          <w:lang w:val="en-US"/>
        </w:rPr>
      </w:pPr>
      <w:r w:rsidRPr="00CB093C">
        <w:rPr>
          <w:rFonts w:ascii="Arial" w:hAnsi="Arial" w:cs="Arial"/>
          <w:szCs w:val="22"/>
          <w:lang w:val="en-US"/>
        </w:rPr>
        <w:br w:type="page"/>
      </w:r>
    </w:p>
    <w:p w14:paraId="1BE9FFEA" w14:textId="77777777" w:rsidR="00C97A63" w:rsidRPr="00CB093C" w:rsidRDefault="00C97A63" w:rsidP="00686718">
      <w:pPr>
        <w:rPr>
          <w:rFonts w:ascii="Arial" w:hAnsi="Arial" w:cs="Arial"/>
          <w:szCs w:val="22"/>
          <w:lang w:val="en-US"/>
        </w:rPr>
      </w:pPr>
    </w:p>
    <w:p w14:paraId="4DF13848" w14:textId="4ED8C8EC" w:rsidR="007440F6" w:rsidRPr="00CB093C" w:rsidRDefault="00272652" w:rsidP="007440F6">
      <w:pPr>
        <w:pStyle w:val="Caption"/>
        <w:rPr>
          <w:rStyle w:val="FigureChar"/>
          <w:rFonts w:cs="Arial"/>
          <w:i/>
          <w:vanish/>
          <w:sz w:val="22"/>
          <w:szCs w:val="22"/>
          <w:specVanish/>
        </w:rPr>
      </w:pPr>
      <w:bookmarkStart w:id="146" w:name="_Ref442465342"/>
      <w:bookmarkStart w:id="147" w:name="_Ref509323229"/>
      <w:bookmarkStart w:id="148" w:name="_Toc5616037"/>
      <w:r w:rsidRPr="00CB093C">
        <w:rPr>
          <w:rFonts w:ascii="Arial" w:hAnsi="Arial" w:cs="Arial"/>
          <w:i/>
          <w:szCs w:val="22"/>
        </w:rPr>
        <w:t>T</w:t>
      </w:r>
      <w:r w:rsidR="00771FD9" w:rsidRPr="00CB093C">
        <w:rPr>
          <w:rFonts w:ascii="Arial" w:hAnsi="Arial" w:cs="Arial"/>
          <w:i/>
          <w:szCs w:val="22"/>
        </w:rPr>
        <w:t xml:space="preserve">able </w:t>
      </w:r>
      <w:r w:rsidR="00771FD9" w:rsidRPr="00CB093C">
        <w:rPr>
          <w:rFonts w:ascii="Arial" w:hAnsi="Arial" w:cs="Arial"/>
          <w:i/>
          <w:szCs w:val="22"/>
        </w:rPr>
        <w:fldChar w:fldCharType="begin"/>
      </w:r>
      <w:r w:rsidR="00771FD9" w:rsidRPr="00CB093C">
        <w:rPr>
          <w:rFonts w:ascii="Arial" w:hAnsi="Arial" w:cs="Arial"/>
          <w:i/>
          <w:szCs w:val="22"/>
        </w:rPr>
        <w:instrText xml:space="preserve"> SEQ Table \* ARABIC </w:instrText>
      </w:r>
      <w:r w:rsidR="00771FD9" w:rsidRPr="00CB093C">
        <w:rPr>
          <w:rFonts w:ascii="Arial" w:hAnsi="Arial" w:cs="Arial"/>
          <w:i/>
          <w:szCs w:val="22"/>
        </w:rPr>
        <w:fldChar w:fldCharType="separate"/>
      </w:r>
      <w:r w:rsidR="005F00D4">
        <w:rPr>
          <w:rFonts w:ascii="Arial" w:hAnsi="Arial" w:cs="Arial"/>
          <w:i/>
          <w:noProof/>
          <w:szCs w:val="22"/>
        </w:rPr>
        <w:t>9</w:t>
      </w:r>
      <w:r w:rsidR="00771FD9" w:rsidRPr="00CB093C">
        <w:rPr>
          <w:rFonts w:ascii="Arial" w:hAnsi="Arial" w:cs="Arial"/>
          <w:i/>
          <w:szCs w:val="22"/>
        </w:rPr>
        <w:fldChar w:fldCharType="end"/>
      </w:r>
      <w:bookmarkEnd w:id="146"/>
      <w:r w:rsidR="00771FD9" w:rsidRPr="00CB093C">
        <w:rPr>
          <w:rFonts w:ascii="Arial" w:hAnsi="Arial" w:cs="Arial"/>
          <w:i/>
          <w:szCs w:val="22"/>
        </w:rPr>
        <w:t>.</w:t>
      </w:r>
      <w:r w:rsidR="00771FD9" w:rsidRPr="00CB093C">
        <w:rPr>
          <w:rFonts w:ascii="Arial" w:hAnsi="Arial" w:cs="Arial"/>
          <w:szCs w:val="22"/>
        </w:rPr>
        <w:t xml:space="preserve"> </w:t>
      </w:r>
      <w:bookmarkStart w:id="149" w:name="_Toc531274941"/>
      <w:bookmarkStart w:id="150" w:name="_Toc434607185"/>
      <w:bookmarkEnd w:id="147"/>
      <w:r w:rsidR="007440F6" w:rsidRPr="00CB093C">
        <w:rPr>
          <w:rFonts w:ascii="Arial" w:hAnsi="Arial" w:cs="Arial"/>
          <w:i/>
          <w:szCs w:val="22"/>
        </w:rPr>
        <w:t>A</w:t>
      </w:r>
      <w:r w:rsidR="007440F6" w:rsidRPr="00CB093C">
        <w:rPr>
          <w:rStyle w:val="FigureChar"/>
          <w:rFonts w:cs="Arial"/>
          <w:i/>
          <w:sz w:val="22"/>
          <w:szCs w:val="22"/>
        </w:rPr>
        <w:t>nnual water year discharge (ML) of the main GBR rivers (1 October 2017 to 30 September 2018, inclusive) compared to the previous seven wet seasons and long-term (LT) median discharge (1986</w:t>
      </w:r>
      <w:r w:rsidR="007440F6" w:rsidRPr="00CB093C">
        <w:rPr>
          <w:rFonts w:ascii="Arial" w:hAnsi="Arial" w:cs="Arial"/>
          <w:i/>
          <w:szCs w:val="22"/>
        </w:rPr>
        <w:t>–</w:t>
      </w:r>
      <w:r w:rsidR="007440F6" w:rsidRPr="00CB093C">
        <w:rPr>
          <w:rStyle w:val="FigureChar"/>
          <w:rFonts w:cs="Arial"/>
          <w:i/>
          <w:sz w:val="22"/>
          <w:szCs w:val="22"/>
        </w:rPr>
        <w:t>87 to 2017</w:t>
      </w:r>
      <w:r w:rsidR="007440F6" w:rsidRPr="00CB093C">
        <w:rPr>
          <w:rFonts w:ascii="Arial" w:hAnsi="Arial" w:cs="Arial"/>
          <w:i/>
          <w:szCs w:val="22"/>
        </w:rPr>
        <w:t>–</w:t>
      </w:r>
      <w:r w:rsidR="007440F6" w:rsidRPr="00CB093C">
        <w:rPr>
          <w:rStyle w:val="FigureChar"/>
          <w:rFonts w:cs="Arial"/>
          <w:i/>
          <w:sz w:val="22"/>
          <w:szCs w:val="22"/>
        </w:rPr>
        <w:t>18).</w:t>
      </w:r>
      <w:bookmarkEnd w:id="148"/>
      <w:bookmarkEnd w:id="149"/>
    </w:p>
    <w:p w14:paraId="4D0C4465" w14:textId="01BEEFAE" w:rsidR="00771FD9" w:rsidRPr="00CB093C" w:rsidRDefault="007440F6" w:rsidP="007440F6">
      <w:pPr>
        <w:spacing w:before="0" w:after="0"/>
        <w:jc w:val="center"/>
        <w:rPr>
          <w:rFonts w:ascii="Arial" w:hAnsi="Arial" w:cs="Arial"/>
          <w:i/>
          <w:szCs w:val="22"/>
        </w:rPr>
      </w:pPr>
      <w:r w:rsidRPr="00CB093C">
        <w:rPr>
          <w:rStyle w:val="FigureChar"/>
          <w:rFonts w:eastAsiaTheme="majorEastAsia" w:cs="Arial"/>
          <w:i/>
          <w:sz w:val="22"/>
          <w:szCs w:val="22"/>
        </w:rPr>
        <w:t xml:space="preserve">Colours indicate levels above the long-term median: yellow for 1.5 to 2 times, orange for 2 to 3 times and red greater than 3 times. </w:t>
      </w:r>
      <w:bookmarkEnd w:id="150"/>
      <w:r w:rsidRPr="00CB093C">
        <w:rPr>
          <w:rStyle w:val="FigureChar"/>
          <w:rFonts w:eastAsiaTheme="majorEastAsia" w:cs="Arial"/>
          <w:i/>
          <w:sz w:val="22"/>
          <w:szCs w:val="22"/>
        </w:rPr>
        <w:t>(– = data not available)</w:t>
      </w:r>
      <w:r w:rsidRPr="00CB093C">
        <w:rPr>
          <w:rStyle w:val="IntenseReference"/>
          <w:rFonts w:eastAsiaTheme="majorEastAsia" w:cs="Arial"/>
          <w:i/>
          <w:sz w:val="22"/>
          <w:szCs w:val="22"/>
        </w:rPr>
        <w:t>.</w:t>
      </w:r>
      <w:r w:rsidRPr="00CB093C">
        <w:rPr>
          <w:rStyle w:val="IntenseReference"/>
          <w:rFonts w:eastAsiaTheme="majorEastAsia" w:cs="Arial"/>
          <w:sz w:val="22"/>
          <w:szCs w:val="22"/>
        </w:rPr>
        <w:t xml:space="preserve"> </w:t>
      </w:r>
      <w:r w:rsidR="00771FD9" w:rsidRPr="00CB093C">
        <w:rPr>
          <w:rFonts w:ascii="Arial" w:hAnsi="Arial" w:cs="Arial"/>
          <w:i/>
          <w:szCs w:val="22"/>
        </w:rPr>
        <w:t>Compiled by</w:t>
      </w:r>
      <w:r w:rsidR="009C3F45" w:rsidRPr="00CB093C">
        <w:rPr>
          <w:rFonts w:ascii="Arial" w:hAnsi="Arial" w:cs="Arial"/>
          <w:i/>
          <w:szCs w:val="22"/>
        </w:rPr>
        <w:t xml:space="preserve"> </w:t>
      </w:r>
      <w:hyperlink w:anchor="_ENREF_65" w:tooltip="Gruber, 2019 #11860" w:history="1">
        <w:r w:rsidR="00513C39" w:rsidRPr="00CB093C">
          <w:rPr>
            <w:rFonts w:ascii="Arial" w:hAnsi="Arial" w:cs="Arial"/>
            <w:i/>
            <w:szCs w:val="22"/>
          </w:rPr>
          <w:fldChar w:fldCharType="begin"/>
        </w:r>
        <w:r w:rsidR="00513C39" w:rsidRPr="00CB093C">
          <w:rPr>
            <w:rFonts w:ascii="Arial" w:hAnsi="Arial" w:cs="Arial"/>
            <w:i/>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i/>
            <w:szCs w:val="22"/>
          </w:rPr>
          <w:fldChar w:fldCharType="separate"/>
        </w:r>
        <w:r w:rsidR="00513C39" w:rsidRPr="00CB093C">
          <w:rPr>
            <w:rFonts w:ascii="Arial" w:hAnsi="Arial" w:cs="Arial"/>
            <w:i/>
            <w:noProof/>
            <w:szCs w:val="22"/>
          </w:rPr>
          <w:t>Gruber et al. 2019</w:t>
        </w:r>
        <w:r w:rsidR="00513C39" w:rsidRPr="00CB093C">
          <w:rPr>
            <w:rFonts w:ascii="Arial" w:hAnsi="Arial" w:cs="Arial"/>
            <w:i/>
            <w:szCs w:val="22"/>
          </w:rPr>
          <w:fldChar w:fldCharType="end"/>
        </w:r>
      </w:hyperlink>
      <w:r w:rsidR="00771FD9" w:rsidRPr="00CB093C">
        <w:rPr>
          <w:rFonts w:ascii="Arial" w:hAnsi="Arial" w:cs="Arial"/>
          <w:i/>
          <w:szCs w:val="22"/>
        </w:rPr>
        <w:t>.</w:t>
      </w:r>
    </w:p>
    <w:tbl>
      <w:tblPr>
        <w:tblW w:w="9280" w:type="dxa"/>
        <w:jc w:val="center"/>
        <w:tblLook w:val="04A0" w:firstRow="1" w:lastRow="0" w:firstColumn="1" w:lastColumn="0" w:noHBand="0" w:noVBand="1"/>
      </w:tblPr>
      <w:tblGrid>
        <w:gridCol w:w="540"/>
        <w:gridCol w:w="1720"/>
        <w:gridCol w:w="1017"/>
        <w:gridCol w:w="1117"/>
        <w:gridCol w:w="1117"/>
        <w:gridCol w:w="1017"/>
        <w:gridCol w:w="1017"/>
        <w:gridCol w:w="1017"/>
        <w:gridCol w:w="1017"/>
        <w:gridCol w:w="1017"/>
        <w:gridCol w:w="1017"/>
      </w:tblGrid>
      <w:tr w:rsidR="00DD078B" w:rsidRPr="00BA45B7" w14:paraId="4B815F6E" w14:textId="77777777" w:rsidTr="001F6A7C">
        <w:trPr>
          <w:trHeight w:val="450"/>
          <w:jc w:val="center"/>
        </w:trPr>
        <w:tc>
          <w:tcPr>
            <w:tcW w:w="540" w:type="dxa"/>
            <w:tcBorders>
              <w:top w:val="nil"/>
              <w:left w:val="nil"/>
              <w:bottom w:val="nil"/>
              <w:right w:val="nil"/>
            </w:tcBorders>
            <w:shd w:val="clear" w:color="auto" w:fill="auto"/>
            <w:noWrap/>
            <w:vAlign w:val="bottom"/>
            <w:hideMark/>
          </w:tcPr>
          <w:p w14:paraId="618A454F" w14:textId="77777777" w:rsidR="00DD078B" w:rsidRPr="00BA45B7" w:rsidRDefault="00DD078B" w:rsidP="00DD078B">
            <w:pPr>
              <w:spacing w:before="0" w:after="0"/>
              <w:rPr>
                <w:rFonts w:ascii="Arial" w:hAnsi="Arial" w:cs="Arial"/>
                <w:sz w:val="18"/>
                <w:szCs w:val="18"/>
              </w:rPr>
            </w:pPr>
          </w:p>
        </w:tc>
        <w:tc>
          <w:tcPr>
            <w:tcW w:w="1720" w:type="dxa"/>
            <w:tcBorders>
              <w:top w:val="single" w:sz="4" w:space="0" w:color="auto"/>
              <w:left w:val="nil"/>
              <w:bottom w:val="double" w:sz="6" w:space="0" w:color="auto"/>
              <w:right w:val="nil"/>
            </w:tcBorders>
            <w:shd w:val="clear" w:color="auto" w:fill="auto"/>
            <w:noWrap/>
            <w:vAlign w:val="center"/>
            <w:hideMark/>
          </w:tcPr>
          <w:p w14:paraId="1091C237" w14:textId="77777777"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Basin</w:t>
            </w:r>
          </w:p>
        </w:tc>
        <w:tc>
          <w:tcPr>
            <w:tcW w:w="780" w:type="dxa"/>
            <w:tcBorders>
              <w:top w:val="single" w:sz="4" w:space="0" w:color="auto"/>
              <w:left w:val="nil"/>
              <w:bottom w:val="double" w:sz="6" w:space="0" w:color="auto"/>
              <w:right w:val="nil"/>
            </w:tcBorders>
            <w:shd w:val="clear" w:color="auto" w:fill="auto"/>
            <w:noWrap/>
            <w:vAlign w:val="center"/>
            <w:hideMark/>
          </w:tcPr>
          <w:p w14:paraId="42D47BA4" w14:textId="77777777"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LT median</w:t>
            </w:r>
          </w:p>
        </w:tc>
        <w:tc>
          <w:tcPr>
            <w:tcW w:w="780" w:type="dxa"/>
            <w:tcBorders>
              <w:top w:val="single" w:sz="4" w:space="0" w:color="auto"/>
              <w:left w:val="nil"/>
              <w:bottom w:val="double" w:sz="6" w:space="0" w:color="auto"/>
              <w:right w:val="nil"/>
            </w:tcBorders>
            <w:shd w:val="clear" w:color="auto" w:fill="auto"/>
            <w:noWrap/>
            <w:vAlign w:val="center"/>
            <w:hideMark/>
          </w:tcPr>
          <w:p w14:paraId="6C981D3D" w14:textId="45D16B90"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2010</w:t>
            </w:r>
            <w:r w:rsidR="00FD625B" w:rsidRPr="00BA45B7">
              <w:rPr>
                <w:rFonts w:ascii="Arial" w:hAnsi="Arial" w:cs="Arial"/>
                <w:b/>
                <w:bCs/>
                <w:sz w:val="18"/>
                <w:szCs w:val="18"/>
              </w:rPr>
              <w:t>–</w:t>
            </w:r>
            <w:r w:rsidRPr="00BA45B7">
              <w:rPr>
                <w:rFonts w:ascii="Arial" w:hAnsi="Arial" w:cs="Arial"/>
                <w:b/>
                <w:bCs/>
                <w:sz w:val="18"/>
                <w:szCs w:val="18"/>
              </w:rPr>
              <w:t>11</w:t>
            </w:r>
          </w:p>
        </w:tc>
        <w:tc>
          <w:tcPr>
            <w:tcW w:w="780" w:type="dxa"/>
            <w:tcBorders>
              <w:top w:val="single" w:sz="4" w:space="0" w:color="auto"/>
              <w:left w:val="nil"/>
              <w:bottom w:val="double" w:sz="6" w:space="0" w:color="auto"/>
              <w:right w:val="nil"/>
            </w:tcBorders>
            <w:shd w:val="clear" w:color="auto" w:fill="auto"/>
            <w:noWrap/>
            <w:vAlign w:val="center"/>
            <w:hideMark/>
          </w:tcPr>
          <w:p w14:paraId="22A6A51F" w14:textId="2B1A4E3F"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2011</w:t>
            </w:r>
            <w:r w:rsidR="00FD625B" w:rsidRPr="00BA45B7">
              <w:rPr>
                <w:rFonts w:ascii="Arial" w:hAnsi="Arial" w:cs="Arial"/>
                <w:b/>
                <w:bCs/>
                <w:sz w:val="18"/>
                <w:szCs w:val="18"/>
              </w:rPr>
              <w:t>–</w:t>
            </w:r>
            <w:r w:rsidRPr="00BA45B7">
              <w:rPr>
                <w:rFonts w:ascii="Arial" w:hAnsi="Arial" w:cs="Arial"/>
                <w:b/>
                <w:bCs/>
                <w:sz w:val="18"/>
                <w:szCs w:val="18"/>
              </w:rPr>
              <w:t>12</w:t>
            </w:r>
          </w:p>
        </w:tc>
        <w:tc>
          <w:tcPr>
            <w:tcW w:w="780" w:type="dxa"/>
            <w:tcBorders>
              <w:top w:val="single" w:sz="4" w:space="0" w:color="auto"/>
              <w:left w:val="nil"/>
              <w:bottom w:val="double" w:sz="6" w:space="0" w:color="auto"/>
              <w:right w:val="nil"/>
            </w:tcBorders>
            <w:shd w:val="clear" w:color="auto" w:fill="auto"/>
            <w:noWrap/>
            <w:vAlign w:val="center"/>
            <w:hideMark/>
          </w:tcPr>
          <w:p w14:paraId="6E1968C1" w14:textId="660504BC"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2012</w:t>
            </w:r>
            <w:r w:rsidR="00FD625B" w:rsidRPr="00BA45B7">
              <w:rPr>
                <w:rFonts w:ascii="Arial" w:hAnsi="Arial" w:cs="Arial"/>
                <w:b/>
                <w:bCs/>
                <w:sz w:val="18"/>
                <w:szCs w:val="18"/>
              </w:rPr>
              <w:t>–</w:t>
            </w:r>
            <w:r w:rsidRPr="00BA45B7">
              <w:rPr>
                <w:rFonts w:ascii="Arial" w:hAnsi="Arial" w:cs="Arial"/>
                <w:b/>
                <w:bCs/>
                <w:sz w:val="18"/>
                <w:szCs w:val="18"/>
              </w:rPr>
              <w:t>13</w:t>
            </w:r>
          </w:p>
        </w:tc>
        <w:tc>
          <w:tcPr>
            <w:tcW w:w="780" w:type="dxa"/>
            <w:tcBorders>
              <w:top w:val="single" w:sz="4" w:space="0" w:color="auto"/>
              <w:left w:val="nil"/>
              <w:bottom w:val="double" w:sz="6" w:space="0" w:color="auto"/>
              <w:right w:val="nil"/>
            </w:tcBorders>
            <w:shd w:val="clear" w:color="auto" w:fill="auto"/>
            <w:noWrap/>
            <w:vAlign w:val="center"/>
            <w:hideMark/>
          </w:tcPr>
          <w:p w14:paraId="5FD4B3CA" w14:textId="31E63D20"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2013</w:t>
            </w:r>
            <w:r w:rsidR="00FD625B" w:rsidRPr="00BA45B7">
              <w:rPr>
                <w:rFonts w:ascii="Arial" w:hAnsi="Arial" w:cs="Arial"/>
                <w:b/>
                <w:bCs/>
                <w:sz w:val="18"/>
                <w:szCs w:val="18"/>
              </w:rPr>
              <w:t>–</w:t>
            </w:r>
            <w:r w:rsidRPr="00BA45B7">
              <w:rPr>
                <w:rFonts w:ascii="Arial" w:hAnsi="Arial" w:cs="Arial"/>
                <w:b/>
                <w:bCs/>
                <w:sz w:val="18"/>
                <w:szCs w:val="18"/>
              </w:rPr>
              <w:t>14</w:t>
            </w:r>
          </w:p>
        </w:tc>
        <w:tc>
          <w:tcPr>
            <w:tcW w:w="780" w:type="dxa"/>
            <w:tcBorders>
              <w:top w:val="single" w:sz="4" w:space="0" w:color="auto"/>
              <w:left w:val="nil"/>
              <w:bottom w:val="double" w:sz="6" w:space="0" w:color="auto"/>
              <w:right w:val="nil"/>
            </w:tcBorders>
            <w:shd w:val="clear" w:color="auto" w:fill="auto"/>
            <w:noWrap/>
            <w:vAlign w:val="center"/>
            <w:hideMark/>
          </w:tcPr>
          <w:p w14:paraId="7E023A00" w14:textId="3B882F94"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2014</w:t>
            </w:r>
            <w:r w:rsidR="00FD625B" w:rsidRPr="00BA45B7">
              <w:rPr>
                <w:rFonts w:ascii="Arial" w:hAnsi="Arial" w:cs="Arial"/>
                <w:b/>
                <w:bCs/>
                <w:sz w:val="18"/>
                <w:szCs w:val="18"/>
              </w:rPr>
              <w:t>–</w:t>
            </w:r>
            <w:r w:rsidRPr="00BA45B7">
              <w:rPr>
                <w:rFonts w:ascii="Arial" w:hAnsi="Arial" w:cs="Arial"/>
                <w:b/>
                <w:bCs/>
                <w:sz w:val="18"/>
                <w:szCs w:val="18"/>
              </w:rPr>
              <w:t>15</w:t>
            </w:r>
          </w:p>
        </w:tc>
        <w:tc>
          <w:tcPr>
            <w:tcW w:w="780" w:type="dxa"/>
            <w:tcBorders>
              <w:top w:val="single" w:sz="4" w:space="0" w:color="auto"/>
              <w:left w:val="nil"/>
              <w:bottom w:val="double" w:sz="6" w:space="0" w:color="auto"/>
              <w:right w:val="nil"/>
            </w:tcBorders>
            <w:shd w:val="clear" w:color="auto" w:fill="auto"/>
            <w:noWrap/>
            <w:vAlign w:val="center"/>
            <w:hideMark/>
          </w:tcPr>
          <w:p w14:paraId="3678083D" w14:textId="2E798FBB"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2015</w:t>
            </w:r>
            <w:r w:rsidR="00FD625B" w:rsidRPr="00BA45B7">
              <w:rPr>
                <w:rFonts w:ascii="Arial" w:hAnsi="Arial" w:cs="Arial"/>
                <w:b/>
                <w:bCs/>
                <w:sz w:val="18"/>
                <w:szCs w:val="18"/>
              </w:rPr>
              <w:t>–</w:t>
            </w:r>
            <w:r w:rsidRPr="00BA45B7">
              <w:rPr>
                <w:rFonts w:ascii="Arial" w:hAnsi="Arial" w:cs="Arial"/>
                <w:b/>
                <w:bCs/>
                <w:sz w:val="18"/>
                <w:szCs w:val="18"/>
              </w:rPr>
              <w:t>16</w:t>
            </w:r>
          </w:p>
        </w:tc>
        <w:tc>
          <w:tcPr>
            <w:tcW w:w="780" w:type="dxa"/>
            <w:tcBorders>
              <w:top w:val="single" w:sz="4" w:space="0" w:color="auto"/>
              <w:left w:val="nil"/>
              <w:bottom w:val="double" w:sz="6" w:space="0" w:color="auto"/>
              <w:right w:val="nil"/>
            </w:tcBorders>
            <w:shd w:val="clear" w:color="auto" w:fill="auto"/>
            <w:noWrap/>
            <w:vAlign w:val="center"/>
            <w:hideMark/>
          </w:tcPr>
          <w:p w14:paraId="35E0D7EA" w14:textId="4E2122CB"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2016</w:t>
            </w:r>
            <w:r w:rsidR="00FD625B" w:rsidRPr="00BA45B7">
              <w:rPr>
                <w:rFonts w:ascii="Arial" w:hAnsi="Arial" w:cs="Arial"/>
                <w:b/>
                <w:bCs/>
                <w:sz w:val="18"/>
                <w:szCs w:val="18"/>
              </w:rPr>
              <w:t>–</w:t>
            </w:r>
            <w:r w:rsidRPr="00BA45B7">
              <w:rPr>
                <w:rFonts w:ascii="Arial" w:hAnsi="Arial" w:cs="Arial"/>
                <w:b/>
                <w:bCs/>
                <w:sz w:val="18"/>
                <w:szCs w:val="18"/>
              </w:rPr>
              <w:t>17</w:t>
            </w:r>
          </w:p>
        </w:tc>
        <w:tc>
          <w:tcPr>
            <w:tcW w:w="780" w:type="dxa"/>
            <w:tcBorders>
              <w:top w:val="single" w:sz="4" w:space="0" w:color="auto"/>
              <w:left w:val="nil"/>
              <w:bottom w:val="double" w:sz="6" w:space="0" w:color="auto"/>
              <w:right w:val="nil"/>
            </w:tcBorders>
            <w:shd w:val="clear" w:color="auto" w:fill="auto"/>
            <w:noWrap/>
            <w:vAlign w:val="center"/>
            <w:hideMark/>
          </w:tcPr>
          <w:p w14:paraId="0DC7F7FD" w14:textId="522FD424" w:rsidR="00DD078B" w:rsidRPr="00BA45B7" w:rsidRDefault="00DD078B" w:rsidP="00DD078B">
            <w:pPr>
              <w:spacing w:before="0" w:after="0"/>
              <w:jc w:val="center"/>
              <w:rPr>
                <w:rFonts w:ascii="Arial" w:hAnsi="Arial" w:cs="Arial"/>
                <w:b/>
                <w:bCs/>
                <w:sz w:val="18"/>
                <w:szCs w:val="18"/>
              </w:rPr>
            </w:pPr>
            <w:r w:rsidRPr="00BA45B7">
              <w:rPr>
                <w:rFonts w:ascii="Arial" w:hAnsi="Arial" w:cs="Arial"/>
                <w:b/>
                <w:bCs/>
                <w:sz w:val="18"/>
                <w:szCs w:val="18"/>
              </w:rPr>
              <w:t>2017</w:t>
            </w:r>
            <w:r w:rsidR="00FD625B" w:rsidRPr="00BA45B7">
              <w:rPr>
                <w:rFonts w:ascii="Arial" w:hAnsi="Arial" w:cs="Arial"/>
                <w:b/>
                <w:bCs/>
                <w:sz w:val="18"/>
                <w:szCs w:val="18"/>
              </w:rPr>
              <w:t>–</w:t>
            </w:r>
            <w:r w:rsidRPr="00BA45B7">
              <w:rPr>
                <w:rFonts w:ascii="Arial" w:hAnsi="Arial" w:cs="Arial"/>
                <w:b/>
                <w:bCs/>
                <w:sz w:val="18"/>
                <w:szCs w:val="18"/>
              </w:rPr>
              <w:t>18</w:t>
            </w:r>
          </w:p>
        </w:tc>
      </w:tr>
      <w:tr w:rsidR="00DD078B" w:rsidRPr="00BA45B7" w14:paraId="5BE1F03A" w14:textId="77777777" w:rsidTr="001F6A7C">
        <w:trPr>
          <w:trHeight w:val="280"/>
          <w:jc w:val="center"/>
        </w:trPr>
        <w:tc>
          <w:tcPr>
            <w:tcW w:w="540" w:type="dxa"/>
            <w:vMerge w:val="restart"/>
            <w:tcBorders>
              <w:top w:val="nil"/>
              <w:left w:val="nil"/>
              <w:bottom w:val="nil"/>
              <w:right w:val="nil"/>
            </w:tcBorders>
            <w:shd w:val="clear" w:color="auto" w:fill="auto"/>
            <w:noWrap/>
            <w:textDirection w:val="btLr"/>
            <w:vAlign w:val="center"/>
            <w:hideMark/>
          </w:tcPr>
          <w:p w14:paraId="3D36D37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Cape York</w:t>
            </w:r>
          </w:p>
        </w:tc>
        <w:tc>
          <w:tcPr>
            <w:tcW w:w="1720" w:type="dxa"/>
            <w:tcBorders>
              <w:top w:val="nil"/>
              <w:left w:val="nil"/>
              <w:bottom w:val="nil"/>
              <w:right w:val="nil"/>
            </w:tcBorders>
            <w:shd w:val="clear" w:color="auto" w:fill="auto"/>
            <w:noWrap/>
            <w:vAlign w:val="center"/>
            <w:hideMark/>
          </w:tcPr>
          <w:p w14:paraId="7B5BEB5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Jacky Jacky Creek</w:t>
            </w:r>
          </w:p>
        </w:tc>
        <w:tc>
          <w:tcPr>
            <w:tcW w:w="780" w:type="dxa"/>
            <w:tcBorders>
              <w:top w:val="nil"/>
              <w:left w:val="nil"/>
              <w:bottom w:val="nil"/>
              <w:right w:val="nil"/>
            </w:tcBorders>
            <w:shd w:val="clear" w:color="auto" w:fill="auto"/>
            <w:noWrap/>
            <w:vAlign w:val="center"/>
            <w:hideMark/>
          </w:tcPr>
          <w:p w14:paraId="105FC09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2,192,118</w:t>
            </w:r>
          </w:p>
        </w:tc>
        <w:tc>
          <w:tcPr>
            <w:tcW w:w="780" w:type="dxa"/>
            <w:tcBorders>
              <w:top w:val="nil"/>
              <w:left w:val="nil"/>
              <w:bottom w:val="nil"/>
              <w:right w:val="nil"/>
            </w:tcBorders>
            <w:shd w:val="clear" w:color="000000" w:fill="FF9900"/>
            <w:noWrap/>
            <w:vAlign w:val="center"/>
            <w:hideMark/>
          </w:tcPr>
          <w:p w14:paraId="446C615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4,735,197</w:t>
            </w:r>
          </w:p>
        </w:tc>
        <w:tc>
          <w:tcPr>
            <w:tcW w:w="780" w:type="dxa"/>
            <w:tcBorders>
              <w:top w:val="nil"/>
              <w:left w:val="nil"/>
              <w:bottom w:val="nil"/>
              <w:right w:val="nil"/>
            </w:tcBorders>
            <w:shd w:val="clear" w:color="auto" w:fill="auto"/>
            <w:noWrap/>
            <w:vAlign w:val="center"/>
            <w:hideMark/>
          </w:tcPr>
          <w:p w14:paraId="0CDFCD9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1,820,422</w:t>
            </w:r>
          </w:p>
        </w:tc>
        <w:tc>
          <w:tcPr>
            <w:tcW w:w="780" w:type="dxa"/>
            <w:tcBorders>
              <w:top w:val="nil"/>
              <w:left w:val="nil"/>
              <w:bottom w:val="nil"/>
              <w:right w:val="nil"/>
            </w:tcBorders>
            <w:shd w:val="clear" w:color="auto" w:fill="auto"/>
            <w:noWrap/>
            <w:vAlign w:val="center"/>
            <w:hideMark/>
          </w:tcPr>
          <w:p w14:paraId="00DF7C3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1,986,825</w:t>
            </w:r>
          </w:p>
        </w:tc>
        <w:tc>
          <w:tcPr>
            <w:tcW w:w="780" w:type="dxa"/>
            <w:tcBorders>
              <w:top w:val="nil"/>
              <w:left w:val="nil"/>
              <w:bottom w:val="nil"/>
              <w:right w:val="nil"/>
            </w:tcBorders>
            <w:shd w:val="clear" w:color="000000" w:fill="FFFF00"/>
            <w:noWrap/>
            <w:vAlign w:val="center"/>
            <w:hideMark/>
          </w:tcPr>
          <w:p w14:paraId="18AD19B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3,790,832</w:t>
            </w:r>
          </w:p>
        </w:tc>
        <w:tc>
          <w:tcPr>
            <w:tcW w:w="780" w:type="dxa"/>
            <w:tcBorders>
              <w:top w:val="nil"/>
              <w:left w:val="nil"/>
              <w:bottom w:val="nil"/>
              <w:right w:val="nil"/>
            </w:tcBorders>
            <w:shd w:val="clear" w:color="auto" w:fill="auto"/>
            <w:noWrap/>
            <w:vAlign w:val="center"/>
            <w:hideMark/>
          </w:tcPr>
          <w:p w14:paraId="43BFF26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1,498,138</w:t>
            </w:r>
          </w:p>
        </w:tc>
        <w:tc>
          <w:tcPr>
            <w:tcW w:w="780" w:type="dxa"/>
            <w:tcBorders>
              <w:top w:val="nil"/>
              <w:left w:val="nil"/>
              <w:bottom w:val="nil"/>
              <w:right w:val="nil"/>
            </w:tcBorders>
            <w:shd w:val="clear" w:color="auto" w:fill="auto"/>
            <w:noWrap/>
            <w:vAlign w:val="center"/>
            <w:hideMark/>
          </w:tcPr>
          <w:p w14:paraId="35C3EB0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630,787</w:t>
            </w:r>
          </w:p>
        </w:tc>
        <w:tc>
          <w:tcPr>
            <w:tcW w:w="780" w:type="dxa"/>
            <w:tcBorders>
              <w:top w:val="nil"/>
              <w:left w:val="nil"/>
              <w:bottom w:val="nil"/>
              <w:right w:val="nil"/>
            </w:tcBorders>
            <w:shd w:val="clear" w:color="auto" w:fill="auto"/>
            <w:noWrap/>
            <w:vAlign w:val="bottom"/>
            <w:hideMark/>
          </w:tcPr>
          <w:p w14:paraId="381BEF7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2,383,057</w:t>
            </w:r>
          </w:p>
        </w:tc>
        <w:tc>
          <w:tcPr>
            <w:tcW w:w="780" w:type="dxa"/>
            <w:tcBorders>
              <w:top w:val="nil"/>
              <w:left w:val="nil"/>
              <w:bottom w:val="nil"/>
              <w:right w:val="nil"/>
            </w:tcBorders>
            <w:shd w:val="clear" w:color="auto" w:fill="auto"/>
            <w:noWrap/>
            <w:vAlign w:val="bottom"/>
            <w:hideMark/>
          </w:tcPr>
          <w:p w14:paraId="22BD869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2,739,677</w:t>
            </w:r>
          </w:p>
        </w:tc>
      </w:tr>
      <w:tr w:rsidR="00DD078B" w:rsidRPr="00BA45B7" w14:paraId="22ABC0B1" w14:textId="77777777" w:rsidTr="001F6A7C">
        <w:trPr>
          <w:trHeight w:val="260"/>
          <w:jc w:val="center"/>
        </w:trPr>
        <w:tc>
          <w:tcPr>
            <w:tcW w:w="540" w:type="dxa"/>
            <w:vMerge/>
            <w:tcBorders>
              <w:top w:val="nil"/>
              <w:left w:val="nil"/>
              <w:bottom w:val="nil"/>
              <w:right w:val="nil"/>
            </w:tcBorders>
            <w:vAlign w:val="center"/>
            <w:hideMark/>
          </w:tcPr>
          <w:p w14:paraId="05C9CDF2"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29EE6D7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Olive Pascoe River</w:t>
            </w:r>
          </w:p>
        </w:tc>
        <w:tc>
          <w:tcPr>
            <w:tcW w:w="780" w:type="dxa"/>
            <w:tcBorders>
              <w:top w:val="nil"/>
              <w:left w:val="nil"/>
              <w:bottom w:val="nil"/>
              <w:right w:val="nil"/>
            </w:tcBorders>
            <w:shd w:val="clear" w:color="auto" w:fill="auto"/>
            <w:noWrap/>
            <w:vAlign w:val="center"/>
            <w:hideMark/>
          </w:tcPr>
          <w:p w14:paraId="3AEA630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2,740,148</w:t>
            </w:r>
          </w:p>
        </w:tc>
        <w:tc>
          <w:tcPr>
            <w:tcW w:w="780" w:type="dxa"/>
            <w:tcBorders>
              <w:top w:val="nil"/>
              <w:left w:val="nil"/>
              <w:bottom w:val="nil"/>
              <w:right w:val="nil"/>
            </w:tcBorders>
            <w:shd w:val="clear" w:color="000000" w:fill="FF9900"/>
            <w:noWrap/>
            <w:vAlign w:val="center"/>
            <w:hideMark/>
          </w:tcPr>
          <w:p w14:paraId="4CE67DA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5,918,996</w:t>
            </w:r>
          </w:p>
        </w:tc>
        <w:tc>
          <w:tcPr>
            <w:tcW w:w="780" w:type="dxa"/>
            <w:tcBorders>
              <w:top w:val="nil"/>
              <w:left w:val="nil"/>
              <w:bottom w:val="nil"/>
              <w:right w:val="nil"/>
            </w:tcBorders>
            <w:shd w:val="clear" w:color="auto" w:fill="auto"/>
            <w:noWrap/>
            <w:vAlign w:val="center"/>
            <w:hideMark/>
          </w:tcPr>
          <w:p w14:paraId="416F55A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2,275,527</w:t>
            </w:r>
          </w:p>
        </w:tc>
        <w:tc>
          <w:tcPr>
            <w:tcW w:w="780" w:type="dxa"/>
            <w:tcBorders>
              <w:top w:val="nil"/>
              <w:left w:val="nil"/>
              <w:bottom w:val="nil"/>
              <w:right w:val="nil"/>
            </w:tcBorders>
            <w:shd w:val="clear" w:color="auto" w:fill="auto"/>
            <w:noWrap/>
            <w:vAlign w:val="center"/>
            <w:hideMark/>
          </w:tcPr>
          <w:p w14:paraId="67357CF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2,483,531</w:t>
            </w:r>
          </w:p>
        </w:tc>
        <w:tc>
          <w:tcPr>
            <w:tcW w:w="780" w:type="dxa"/>
            <w:tcBorders>
              <w:top w:val="nil"/>
              <w:left w:val="nil"/>
              <w:bottom w:val="nil"/>
              <w:right w:val="nil"/>
            </w:tcBorders>
            <w:shd w:val="clear" w:color="000000" w:fill="FFFF00"/>
            <w:noWrap/>
            <w:vAlign w:val="center"/>
            <w:hideMark/>
          </w:tcPr>
          <w:p w14:paraId="0A07403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4,738,541</w:t>
            </w:r>
          </w:p>
        </w:tc>
        <w:tc>
          <w:tcPr>
            <w:tcW w:w="780" w:type="dxa"/>
            <w:tcBorders>
              <w:top w:val="nil"/>
              <w:left w:val="nil"/>
              <w:bottom w:val="nil"/>
              <w:right w:val="nil"/>
            </w:tcBorders>
            <w:shd w:val="clear" w:color="000000" w:fill="FFFF00"/>
            <w:noWrap/>
            <w:vAlign w:val="center"/>
            <w:hideMark/>
          </w:tcPr>
          <w:p w14:paraId="5337FBF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3,931,758</w:t>
            </w:r>
          </w:p>
        </w:tc>
        <w:tc>
          <w:tcPr>
            <w:tcW w:w="780" w:type="dxa"/>
            <w:tcBorders>
              <w:top w:val="nil"/>
              <w:left w:val="nil"/>
              <w:bottom w:val="nil"/>
              <w:right w:val="nil"/>
            </w:tcBorders>
            <w:shd w:val="clear" w:color="auto" w:fill="auto"/>
            <w:noWrap/>
            <w:vAlign w:val="center"/>
            <w:hideMark/>
          </w:tcPr>
          <w:p w14:paraId="25CAE99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788,484</w:t>
            </w:r>
          </w:p>
        </w:tc>
        <w:tc>
          <w:tcPr>
            <w:tcW w:w="780" w:type="dxa"/>
            <w:tcBorders>
              <w:top w:val="nil"/>
              <w:left w:val="nil"/>
              <w:bottom w:val="nil"/>
              <w:right w:val="nil"/>
            </w:tcBorders>
            <w:shd w:val="clear" w:color="auto" w:fill="auto"/>
            <w:noWrap/>
            <w:vAlign w:val="bottom"/>
            <w:hideMark/>
          </w:tcPr>
          <w:p w14:paraId="7470D13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2,978,821</w:t>
            </w:r>
          </w:p>
        </w:tc>
        <w:tc>
          <w:tcPr>
            <w:tcW w:w="780" w:type="dxa"/>
            <w:tcBorders>
              <w:top w:val="nil"/>
              <w:left w:val="nil"/>
              <w:bottom w:val="nil"/>
              <w:right w:val="nil"/>
            </w:tcBorders>
            <w:shd w:val="clear" w:color="auto" w:fill="auto"/>
            <w:noWrap/>
            <w:vAlign w:val="bottom"/>
            <w:hideMark/>
          </w:tcPr>
          <w:p w14:paraId="27166EF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3,424,596</w:t>
            </w:r>
          </w:p>
        </w:tc>
      </w:tr>
      <w:tr w:rsidR="00DD078B" w:rsidRPr="00BA45B7" w14:paraId="59060BD8" w14:textId="77777777" w:rsidTr="001F6A7C">
        <w:trPr>
          <w:trHeight w:val="260"/>
          <w:jc w:val="center"/>
        </w:trPr>
        <w:tc>
          <w:tcPr>
            <w:tcW w:w="540" w:type="dxa"/>
            <w:vMerge/>
            <w:tcBorders>
              <w:top w:val="nil"/>
              <w:left w:val="nil"/>
              <w:bottom w:val="nil"/>
              <w:right w:val="nil"/>
            </w:tcBorders>
            <w:vAlign w:val="center"/>
            <w:hideMark/>
          </w:tcPr>
          <w:p w14:paraId="320BFA4D"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108E381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Lockhart River</w:t>
            </w:r>
          </w:p>
        </w:tc>
        <w:tc>
          <w:tcPr>
            <w:tcW w:w="780" w:type="dxa"/>
            <w:tcBorders>
              <w:top w:val="nil"/>
              <w:left w:val="nil"/>
              <w:bottom w:val="nil"/>
              <w:right w:val="nil"/>
            </w:tcBorders>
            <w:shd w:val="clear" w:color="auto" w:fill="auto"/>
            <w:noWrap/>
            <w:vAlign w:val="center"/>
            <w:hideMark/>
          </w:tcPr>
          <w:p w14:paraId="3B097A5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1,735,427</w:t>
            </w:r>
          </w:p>
        </w:tc>
        <w:tc>
          <w:tcPr>
            <w:tcW w:w="780" w:type="dxa"/>
            <w:tcBorders>
              <w:top w:val="nil"/>
              <w:left w:val="nil"/>
              <w:bottom w:val="nil"/>
              <w:right w:val="nil"/>
            </w:tcBorders>
            <w:shd w:val="clear" w:color="000000" w:fill="FF9900"/>
            <w:noWrap/>
            <w:vAlign w:val="center"/>
            <w:hideMark/>
          </w:tcPr>
          <w:p w14:paraId="75A7C5E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3,748,697</w:t>
            </w:r>
          </w:p>
        </w:tc>
        <w:tc>
          <w:tcPr>
            <w:tcW w:w="780" w:type="dxa"/>
            <w:tcBorders>
              <w:top w:val="nil"/>
              <w:left w:val="nil"/>
              <w:bottom w:val="nil"/>
              <w:right w:val="nil"/>
            </w:tcBorders>
            <w:shd w:val="clear" w:color="auto" w:fill="auto"/>
            <w:noWrap/>
            <w:vAlign w:val="center"/>
            <w:hideMark/>
          </w:tcPr>
          <w:p w14:paraId="40602EB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1,441,167</w:t>
            </w:r>
          </w:p>
        </w:tc>
        <w:tc>
          <w:tcPr>
            <w:tcW w:w="780" w:type="dxa"/>
            <w:tcBorders>
              <w:top w:val="nil"/>
              <w:left w:val="nil"/>
              <w:bottom w:val="nil"/>
              <w:right w:val="nil"/>
            </w:tcBorders>
            <w:shd w:val="clear" w:color="auto" w:fill="auto"/>
            <w:noWrap/>
            <w:vAlign w:val="center"/>
            <w:hideMark/>
          </w:tcPr>
          <w:p w14:paraId="44EE2AB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1,572,903</w:t>
            </w:r>
          </w:p>
        </w:tc>
        <w:tc>
          <w:tcPr>
            <w:tcW w:w="780" w:type="dxa"/>
            <w:tcBorders>
              <w:top w:val="nil"/>
              <w:left w:val="nil"/>
              <w:bottom w:val="nil"/>
              <w:right w:val="nil"/>
            </w:tcBorders>
            <w:shd w:val="clear" w:color="000000" w:fill="FFFF00"/>
            <w:noWrap/>
            <w:vAlign w:val="center"/>
            <w:hideMark/>
          </w:tcPr>
          <w:p w14:paraId="7FEA1D8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3,001,076</w:t>
            </w:r>
          </w:p>
        </w:tc>
        <w:tc>
          <w:tcPr>
            <w:tcW w:w="780" w:type="dxa"/>
            <w:tcBorders>
              <w:top w:val="nil"/>
              <w:left w:val="nil"/>
              <w:bottom w:val="nil"/>
              <w:right w:val="nil"/>
            </w:tcBorders>
            <w:shd w:val="clear" w:color="auto" w:fill="auto"/>
            <w:noWrap/>
            <w:vAlign w:val="center"/>
            <w:hideMark/>
          </w:tcPr>
          <w:p w14:paraId="537AA1F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1,186,026</w:t>
            </w:r>
          </w:p>
        </w:tc>
        <w:tc>
          <w:tcPr>
            <w:tcW w:w="780" w:type="dxa"/>
            <w:tcBorders>
              <w:top w:val="nil"/>
              <w:left w:val="nil"/>
              <w:bottom w:val="nil"/>
              <w:right w:val="nil"/>
            </w:tcBorders>
            <w:shd w:val="clear" w:color="auto" w:fill="auto"/>
            <w:noWrap/>
            <w:vAlign w:val="center"/>
            <w:hideMark/>
          </w:tcPr>
          <w:p w14:paraId="22A4ABA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499,373</w:t>
            </w:r>
          </w:p>
        </w:tc>
        <w:tc>
          <w:tcPr>
            <w:tcW w:w="780" w:type="dxa"/>
            <w:tcBorders>
              <w:top w:val="nil"/>
              <w:left w:val="nil"/>
              <w:bottom w:val="nil"/>
              <w:right w:val="nil"/>
            </w:tcBorders>
            <w:shd w:val="clear" w:color="auto" w:fill="auto"/>
            <w:noWrap/>
            <w:vAlign w:val="bottom"/>
            <w:hideMark/>
          </w:tcPr>
          <w:p w14:paraId="225998C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1,886,587</w:t>
            </w:r>
          </w:p>
        </w:tc>
        <w:tc>
          <w:tcPr>
            <w:tcW w:w="780" w:type="dxa"/>
            <w:tcBorders>
              <w:top w:val="nil"/>
              <w:left w:val="nil"/>
              <w:bottom w:val="nil"/>
              <w:right w:val="nil"/>
            </w:tcBorders>
            <w:shd w:val="clear" w:color="auto" w:fill="auto"/>
            <w:noWrap/>
            <w:vAlign w:val="bottom"/>
            <w:hideMark/>
          </w:tcPr>
          <w:p w14:paraId="6247013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2,168,911</w:t>
            </w:r>
          </w:p>
        </w:tc>
      </w:tr>
      <w:tr w:rsidR="00DD078B" w:rsidRPr="00BA45B7" w14:paraId="7AFB6EF8" w14:textId="77777777" w:rsidTr="001F6A7C">
        <w:trPr>
          <w:trHeight w:val="260"/>
          <w:jc w:val="center"/>
        </w:trPr>
        <w:tc>
          <w:tcPr>
            <w:tcW w:w="540" w:type="dxa"/>
            <w:vMerge/>
            <w:tcBorders>
              <w:top w:val="nil"/>
              <w:left w:val="nil"/>
              <w:bottom w:val="nil"/>
              <w:right w:val="nil"/>
            </w:tcBorders>
            <w:vAlign w:val="center"/>
            <w:hideMark/>
          </w:tcPr>
          <w:p w14:paraId="58014325"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4379CEF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Stewart River</w:t>
            </w:r>
          </w:p>
        </w:tc>
        <w:tc>
          <w:tcPr>
            <w:tcW w:w="780" w:type="dxa"/>
            <w:tcBorders>
              <w:top w:val="nil"/>
              <w:left w:val="nil"/>
              <w:bottom w:val="nil"/>
              <w:right w:val="nil"/>
            </w:tcBorders>
            <w:shd w:val="clear" w:color="auto" w:fill="auto"/>
            <w:noWrap/>
            <w:vAlign w:val="center"/>
            <w:hideMark/>
          </w:tcPr>
          <w:p w14:paraId="3304A7A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689,498</w:t>
            </w:r>
          </w:p>
        </w:tc>
        <w:tc>
          <w:tcPr>
            <w:tcW w:w="780" w:type="dxa"/>
            <w:tcBorders>
              <w:top w:val="nil"/>
              <w:left w:val="nil"/>
              <w:bottom w:val="nil"/>
              <w:right w:val="nil"/>
            </w:tcBorders>
            <w:shd w:val="clear" w:color="000000" w:fill="FF0000"/>
            <w:noWrap/>
            <w:vAlign w:val="center"/>
            <w:hideMark/>
          </w:tcPr>
          <w:p w14:paraId="549F882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2,180,850</w:t>
            </w:r>
          </w:p>
        </w:tc>
        <w:tc>
          <w:tcPr>
            <w:tcW w:w="780" w:type="dxa"/>
            <w:tcBorders>
              <w:top w:val="nil"/>
              <w:left w:val="nil"/>
              <w:bottom w:val="nil"/>
              <w:right w:val="nil"/>
            </w:tcBorders>
            <w:shd w:val="clear" w:color="auto" w:fill="auto"/>
            <w:noWrap/>
            <w:vAlign w:val="center"/>
            <w:hideMark/>
          </w:tcPr>
          <w:p w14:paraId="07382B8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616,070</w:t>
            </w:r>
          </w:p>
        </w:tc>
        <w:tc>
          <w:tcPr>
            <w:tcW w:w="780" w:type="dxa"/>
            <w:tcBorders>
              <w:top w:val="nil"/>
              <w:left w:val="nil"/>
              <w:bottom w:val="nil"/>
              <w:right w:val="nil"/>
            </w:tcBorders>
            <w:shd w:val="clear" w:color="auto" w:fill="auto"/>
            <w:noWrap/>
            <w:vAlign w:val="center"/>
            <w:hideMark/>
          </w:tcPr>
          <w:p w14:paraId="10E9785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523,353</w:t>
            </w:r>
          </w:p>
        </w:tc>
        <w:tc>
          <w:tcPr>
            <w:tcW w:w="780" w:type="dxa"/>
            <w:tcBorders>
              <w:top w:val="nil"/>
              <w:left w:val="nil"/>
              <w:bottom w:val="nil"/>
              <w:right w:val="nil"/>
            </w:tcBorders>
            <w:shd w:val="clear" w:color="000000" w:fill="FFFF00"/>
            <w:noWrap/>
            <w:vAlign w:val="center"/>
            <w:hideMark/>
          </w:tcPr>
          <w:p w14:paraId="67BB375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1,311,775</w:t>
            </w:r>
          </w:p>
        </w:tc>
        <w:tc>
          <w:tcPr>
            <w:tcW w:w="780" w:type="dxa"/>
            <w:tcBorders>
              <w:top w:val="nil"/>
              <w:left w:val="nil"/>
              <w:bottom w:val="nil"/>
              <w:right w:val="nil"/>
            </w:tcBorders>
            <w:shd w:val="clear" w:color="auto" w:fill="auto"/>
            <w:noWrap/>
            <w:vAlign w:val="center"/>
            <w:hideMark/>
          </w:tcPr>
          <w:p w14:paraId="1447D1B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298,816</w:t>
            </w:r>
          </w:p>
        </w:tc>
        <w:tc>
          <w:tcPr>
            <w:tcW w:w="780" w:type="dxa"/>
            <w:tcBorders>
              <w:top w:val="nil"/>
              <w:left w:val="nil"/>
              <w:bottom w:val="nil"/>
              <w:right w:val="nil"/>
            </w:tcBorders>
            <w:shd w:val="clear" w:color="auto" w:fill="auto"/>
            <w:noWrap/>
            <w:vAlign w:val="center"/>
            <w:hideMark/>
          </w:tcPr>
          <w:p w14:paraId="2246092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311,901</w:t>
            </w:r>
          </w:p>
        </w:tc>
        <w:tc>
          <w:tcPr>
            <w:tcW w:w="780" w:type="dxa"/>
            <w:tcBorders>
              <w:top w:val="nil"/>
              <w:left w:val="nil"/>
              <w:bottom w:val="nil"/>
              <w:right w:val="nil"/>
            </w:tcBorders>
            <w:shd w:val="clear" w:color="auto" w:fill="auto"/>
            <w:noWrap/>
            <w:vAlign w:val="bottom"/>
            <w:hideMark/>
          </w:tcPr>
          <w:p w14:paraId="73DA715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685,263</w:t>
            </w:r>
          </w:p>
        </w:tc>
        <w:tc>
          <w:tcPr>
            <w:tcW w:w="780" w:type="dxa"/>
            <w:tcBorders>
              <w:top w:val="nil"/>
              <w:left w:val="nil"/>
              <w:bottom w:val="nil"/>
              <w:right w:val="nil"/>
            </w:tcBorders>
            <w:shd w:val="clear" w:color="auto" w:fill="auto"/>
            <w:noWrap/>
            <w:vAlign w:val="bottom"/>
            <w:hideMark/>
          </w:tcPr>
          <w:p w14:paraId="1E3BE63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826,499</w:t>
            </w:r>
          </w:p>
        </w:tc>
      </w:tr>
      <w:tr w:rsidR="00DD078B" w:rsidRPr="00BA45B7" w14:paraId="448C1856" w14:textId="77777777" w:rsidTr="001F6A7C">
        <w:trPr>
          <w:trHeight w:val="260"/>
          <w:jc w:val="center"/>
        </w:trPr>
        <w:tc>
          <w:tcPr>
            <w:tcW w:w="540" w:type="dxa"/>
            <w:vMerge/>
            <w:tcBorders>
              <w:top w:val="nil"/>
              <w:left w:val="nil"/>
              <w:bottom w:val="nil"/>
              <w:right w:val="nil"/>
            </w:tcBorders>
            <w:vAlign w:val="center"/>
            <w:hideMark/>
          </w:tcPr>
          <w:p w14:paraId="1ADD19A1"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2F2D00F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Normanby River</w:t>
            </w:r>
          </w:p>
        </w:tc>
        <w:tc>
          <w:tcPr>
            <w:tcW w:w="780" w:type="dxa"/>
            <w:tcBorders>
              <w:top w:val="nil"/>
              <w:left w:val="nil"/>
              <w:bottom w:val="nil"/>
              <w:right w:val="nil"/>
            </w:tcBorders>
            <w:shd w:val="clear" w:color="auto" w:fill="auto"/>
            <w:noWrap/>
            <w:vAlign w:val="center"/>
            <w:hideMark/>
          </w:tcPr>
          <w:p w14:paraId="6C89F40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4,096,709</w:t>
            </w:r>
          </w:p>
        </w:tc>
        <w:tc>
          <w:tcPr>
            <w:tcW w:w="780" w:type="dxa"/>
            <w:tcBorders>
              <w:top w:val="nil"/>
              <w:left w:val="nil"/>
              <w:bottom w:val="nil"/>
              <w:right w:val="nil"/>
            </w:tcBorders>
            <w:shd w:val="clear" w:color="000000" w:fill="FF9900"/>
            <w:noWrap/>
            <w:vAlign w:val="center"/>
            <w:hideMark/>
          </w:tcPr>
          <w:p w14:paraId="03632ED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11,333,284</w:t>
            </w:r>
          </w:p>
        </w:tc>
        <w:tc>
          <w:tcPr>
            <w:tcW w:w="780" w:type="dxa"/>
            <w:tcBorders>
              <w:top w:val="nil"/>
              <w:left w:val="nil"/>
              <w:bottom w:val="nil"/>
              <w:right w:val="nil"/>
            </w:tcBorders>
            <w:shd w:val="clear" w:color="auto" w:fill="auto"/>
            <w:noWrap/>
            <w:vAlign w:val="center"/>
            <w:hideMark/>
          </w:tcPr>
          <w:p w14:paraId="0F08016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2,181,990</w:t>
            </w:r>
          </w:p>
        </w:tc>
        <w:tc>
          <w:tcPr>
            <w:tcW w:w="780" w:type="dxa"/>
            <w:tcBorders>
              <w:top w:val="nil"/>
              <w:left w:val="nil"/>
              <w:bottom w:val="nil"/>
              <w:right w:val="nil"/>
            </w:tcBorders>
            <w:shd w:val="clear" w:color="auto" w:fill="auto"/>
            <w:noWrap/>
            <w:vAlign w:val="center"/>
            <w:hideMark/>
          </w:tcPr>
          <w:p w14:paraId="4129F74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3,462,238</w:t>
            </w:r>
          </w:p>
        </w:tc>
        <w:tc>
          <w:tcPr>
            <w:tcW w:w="780" w:type="dxa"/>
            <w:tcBorders>
              <w:top w:val="nil"/>
              <w:left w:val="nil"/>
              <w:bottom w:val="nil"/>
              <w:right w:val="nil"/>
            </w:tcBorders>
            <w:shd w:val="clear" w:color="auto" w:fill="auto"/>
            <w:noWrap/>
            <w:vAlign w:val="center"/>
            <w:hideMark/>
          </w:tcPr>
          <w:p w14:paraId="020111A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5,059,657</w:t>
            </w:r>
          </w:p>
        </w:tc>
        <w:tc>
          <w:tcPr>
            <w:tcW w:w="780" w:type="dxa"/>
            <w:tcBorders>
              <w:top w:val="nil"/>
              <w:left w:val="nil"/>
              <w:bottom w:val="nil"/>
              <w:right w:val="nil"/>
            </w:tcBorders>
            <w:shd w:val="clear" w:color="auto" w:fill="auto"/>
            <w:noWrap/>
            <w:vAlign w:val="center"/>
            <w:hideMark/>
          </w:tcPr>
          <w:p w14:paraId="7E0DF9F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2,914,859</w:t>
            </w:r>
          </w:p>
        </w:tc>
        <w:tc>
          <w:tcPr>
            <w:tcW w:w="780" w:type="dxa"/>
            <w:tcBorders>
              <w:top w:val="nil"/>
              <w:left w:val="nil"/>
              <w:bottom w:val="nil"/>
              <w:right w:val="nil"/>
            </w:tcBorders>
            <w:shd w:val="clear" w:color="auto" w:fill="auto"/>
            <w:noWrap/>
            <w:vAlign w:val="center"/>
            <w:hideMark/>
          </w:tcPr>
          <w:p w14:paraId="793C816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3,407,359</w:t>
            </w:r>
          </w:p>
        </w:tc>
        <w:tc>
          <w:tcPr>
            <w:tcW w:w="780" w:type="dxa"/>
            <w:tcBorders>
              <w:top w:val="nil"/>
              <w:left w:val="nil"/>
              <w:bottom w:val="nil"/>
              <w:right w:val="nil"/>
            </w:tcBorders>
            <w:shd w:val="clear" w:color="auto" w:fill="auto"/>
            <w:noWrap/>
            <w:vAlign w:val="bottom"/>
            <w:hideMark/>
          </w:tcPr>
          <w:p w14:paraId="213E48F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3,780,651</w:t>
            </w:r>
          </w:p>
        </w:tc>
        <w:tc>
          <w:tcPr>
            <w:tcW w:w="780" w:type="dxa"/>
            <w:tcBorders>
              <w:top w:val="nil"/>
              <w:left w:val="nil"/>
              <w:bottom w:val="nil"/>
              <w:right w:val="nil"/>
            </w:tcBorders>
            <w:shd w:val="clear" w:color="auto" w:fill="auto"/>
            <w:noWrap/>
            <w:vAlign w:val="bottom"/>
            <w:hideMark/>
          </w:tcPr>
          <w:p w14:paraId="6D828DF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4,333,023</w:t>
            </w:r>
          </w:p>
        </w:tc>
      </w:tr>
      <w:tr w:rsidR="00DD078B" w:rsidRPr="00BA45B7" w14:paraId="011C57CB" w14:textId="77777777" w:rsidTr="001F6A7C">
        <w:trPr>
          <w:trHeight w:val="260"/>
          <w:jc w:val="center"/>
        </w:trPr>
        <w:tc>
          <w:tcPr>
            <w:tcW w:w="540" w:type="dxa"/>
            <w:vMerge/>
            <w:tcBorders>
              <w:top w:val="nil"/>
              <w:left w:val="nil"/>
              <w:bottom w:val="nil"/>
              <w:right w:val="nil"/>
            </w:tcBorders>
            <w:vAlign w:val="center"/>
            <w:hideMark/>
          </w:tcPr>
          <w:p w14:paraId="4D8E87AA"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6FF7583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Jeannie River</w:t>
            </w:r>
          </w:p>
        </w:tc>
        <w:tc>
          <w:tcPr>
            <w:tcW w:w="780" w:type="dxa"/>
            <w:tcBorders>
              <w:top w:val="nil"/>
              <w:left w:val="nil"/>
              <w:bottom w:val="nil"/>
              <w:right w:val="nil"/>
            </w:tcBorders>
            <w:shd w:val="clear" w:color="auto" w:fill="auto"/>
            <w:noWrap/>
            <w:vAlign w:val="center"/>
            <w:hideMark/>
          </w:tcPr>
          <w:p w14:paraId="7F00903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1,507,731</w:t>
            </w:r>
          </w:p>
        </w:tc>
        <w:tc>
          <w:tcPr>
            <w:tcW w:w="780" w:type="dxa"/>
            <w:tcBorders>
              <w:top w:val="nil"/>
              <w:left w:val="nil"/>
              <w:bottom w:val="nil"/>
              <w:right w:val="nil"/>
            </w:tcBorders>
            <w:shd w:val="clear" w:color="000000" w:fill="FF9900"/>
            <w:noWrap/>
            <w:vAlign w:val="center"/>
            <w:hideMark/>
          </w:tcPr>
          <w:p w14:paraId="53AA9F5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2,824,817</w:t>
            </w:r>
          </w:p>
        </w:tc>
        <w:tc>
          <w:tcPr>
            <w:tcW w:w="780" w:type="dxa"/>
            <w:tcBorders>
              <w:top w:val="nil"/>
              <w:left w:val="nil"/>
              <w:bottom w:val="nil"/>
              <w:right w:val="nil"/>
            </w:tcBorders>
            <w:shd w:val="clear" w:color="auto" w:fill="auto"/>
            <w:noWrap/>
            <w:vAlign w:val="center"/>
            <w:hideMark/>
          </w:tcPr>
          <w:p w14:paraId="53B0DB4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1,048,269</w:t>
            </w:r>
          </w:p>
        </w:tc>
        <w:tc>
          <w:tcPr>
            <w:tcW w:w="780" w:type="dxa"/>
            <w:tcBorders>
              <w:top w:val="nil"/>
              <w:left w:val="nil"/>
              <w:bottom w:val="nil"/>
              <w:right w:val="nil"/>
            </w:tcBorders>
            <w:shd w:val="clear" w:color="auto" w:fill="auto"/>
            <w:noWrap/>
            <w:vAlign w:val="center"/>
            <w:hideMark/>
          </w:tcPr>
          <w:p w14:paraId="42D9E00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695,195</w:t>
            </w:r>
          </w:p>
        </w:tc>
        <w:tc>
          <w:tcPr>
            <w:tcW w:w="780" w:type="dxa"/>
            <w:tcBorders>
              <w:top w:val="nil"/>
              <w:left w:val="nil"/>
              <w:bottom w:val="nil"/>
              <w:right w:val="nil"/>
            </w:tcBorders>
            <w:shd w:val="clear" w:color="000000" w:fill="FFFF00"/>
            <w:noWrap/>
            <w:vAlign w:val="center"/>
            <w:hideMark/>
          </w:tcPr>
          <w:p w14:paraId="3B7367B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1,869,982</w:t>
            </w:r>
          </w:p>
        </w:tc>
        <w:tc>
          <w:tcPr>
            <w:tcW w:w="780" w:type="dxa"/>
            <w:tcBorders>
              <w:top w:val="nil"/>
              <w:left w:val="nil"/>
              <w:bottom w:val="nil"/>
              <w:right w:val="nil"/>
            </w:tcBorders>
            <w:shd w:val="clear" w:color="auto" w:fill="auto"/>
            <w:noWrap/>
            <w:vAlign w:val="center"/>
            <w:hideMark/>
          </w:tcPr>
          <w:p w14:paraId="555DEFA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1,434,447</w:t>
            </w:r>
          </w:p>
        </w:tc>
        <w:tc>
          <w:tcPr>
            <w:tcW w:w="780" w:type="dxa"/>
            <w:tcBorders>
              <w:top w:val="nil"/>
              <w:left w:val="nil"/>
              <w:bottom w:val="nil"/>
              <w:right w:val="nil"/>
            </w:tcBorders>
            <w:shd w:val="clear" w:color="auto" w:fill="auto"/>
            <w:noWrap/>
            <w:vAlign w:val="center"/>
            <w:hideMark/>
          </w:tcPr>
          <w:p w14:paraId="0FBED6C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1,581,015</w:t>
            </w:r>
          </w:p>
        </w:tc>
        <w:tc>
          <w:tcPr>
            <w:tcW w:w="780" w:type="dxa"/>
            <w:tcBorders>
              <w:top w:val="nil"/>
              <w:left w:val="nil"/>
              <w:bottom w:val="nil"/>
              <w:right w:val="nil"/>
            </w:tcBorders>
            <w:shd w:val="clear" w:color="auto" w:fill="auto"/>
            <w:noWrap/>
            <w:vAlign w:val="bottom"/>
            <w:hideMark/>
          </w:tcPr>
          <w:p w14:paraId="274210E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1,746,929</w:t>
            </w:r>
          </w:p>
        </w:tc>
        <w:tc>
          <w:tcPr>
            <w:tcW w:w="780" w:type="dxa"/>
            <w:tcBorders>
              <w:top w:val="nil"/>
              <w:left w:val="nil"/>
              <w:bottom w:val="nil"/>
              <w:right w:val="nil"/>
            </w:tcBorders>
            <w:shd w:val="clear" w:color="auto" w:fill="auto"/>
            <w:noWrap/>
            <w:vAlign w:val="bottom"/>
            <w:hideMark/>
          </w:tcPr>
          <w:p w14:paraId="2C8EE60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1,721,175</w:t>
            </w:r>
          </w:p>
        </w:tc>
      </w:tr>
      <w:tr w:rsidR="00DD078B" w:rsidRPr="00BA45B7" w14:paraId="6320971C" w14:textId="77777777" w:rsidTr="00193222">
        <w:trPr>
          <w:trHeight w:val="260"/>
          <w:jc w:val="center"/>
        </w:trPr>
        <w:tc>
          <w:tcPr>
            <w:tcW w:w="540" w:type="dxa"/>
            <w:vMerge/>
            <w:tcBorders>
              <w:top w:val="nil"/>
              <w:left w:val="nil"/>
              <w:right w:val="nil"/>
            </w:tcBorders>
            <w:vAlign w:val="center"/>
            <w:hideMark/>
          </w:tcPr>
          <w:p w14:paraId="3760BCC5"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single" w:sz="4" w:space="0" w:color="auto"/>
              <w:right w:val="nil"/>
            </w:tcBorders>
            <w:shd w:val="clear" w:color="auto" w:fill="auto"/>
            <w:noWrap/>
            <w:vAlign w:val="center"/>
            <w:hideMark/>
          </w:tcPr>
          <w:p w14:paraId="1536A9F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Endeavour River</w:t>
            </w:r>
          </w:p>
        </w:tc>
        <w:tc>
          <w:tcPr>
            <w:tcW w:w="780" w:type="dxa"/>
            <w:tcBorders>
              <w:top w:val="nil"/>
              <w:left w:val="nil"/>
              <w:bottom w:val="single" w:sz="4" w:space="0" w:color="auto"/>
              <w:right w:val="nil"/>
            </w:tcBorders>
            <w:shd w:val="clear" w:color="auto" w:fill="auto"/>
            <w:noWrap/>
            <w:vAlign w:val="center"/>
            <w:hideMark/>
          </w:tcPr>
          <w:p w14:paraId="6D23F45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980,025</w:t>
            </w:r>
          </w:p>
        </w:tc>
        <w:tc>
          <w:tcPr>
            <w:tcW w:w="780" w:type="dxa"/>
            <w:tcBorders>
              <w:top w:val="nil"/>
              <w:left w:val="nil"/>
              <w:bottom w:val="single" w:sz="4" w:space="0" w:color="auto"/>
              <w:right w:val="nil"/>
            </w:tcBorders>
            <w:shd w:val="clear" w:color="000000" w:fill="FF9900"/>
            <w:noWrap/>
            <w:vAlign w:val="center"/>
            <w:hideMark/>
          </w:tcPr>
          <w:p w14:paraId="1762D9D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1,836,131</w:t>
            </w:r>
          </w:p>
        </w:tc>
        <w:tc>
          <w:tcPr>
            <w:tcW w:w="780" w:type="dxa"/>
            <w:tcBorders>
              <w:top w:val="nil"/>
              <w:left w:val="nil"/>
              <w:bottom w:val="single" w:sz="4" w:space="0" w:color="auto"/>
              <w:right w:val="nil"/>
            </w:tcBorders>
            <w:shd w:val="clear" w:color="auto" w:fill="auto"/>
            <w:noWrap/>
            <w:vAlign w:val="center"/>
            <w:hideMark/>
          </w:tcPr>
          <w:p w14:paraId="464B2A2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681,375</w:t>
            </w:r>
          </w:p>
        </w:tc>
        <w:tc>
          <w:tcPr>
            <w:tcW w:w="780" w:type="dxa"/>
            <w:tcBorders>
              <w:top w:val="nil"/>
              <w:left w:val="nil"/>
              <w:bottom w:val="single" w:sz="4" w:space="0" w:color="auto"/>
              <w:right w:val="nil"/>
            </w:tcBorders>
            <w:shd w:val="clear" w:color="auto" w:fill="auto"/>
            <w:noWrap/>
            <w:vAlign w:val="center"/>
            <w:hideMark/>
          </w:tcPr>
          <w:p w14:paraId="4C9BE97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451,877</w:t>
            </w:r>
          </w:p>
        </w:tc>
        <w:tc>
          <w:tcPr>
            <w:tcW w:w="780" w:type="dxa"/>
            <w:tcBorders>
              <w:top w:val="nil"/>
              <w:left w:val="nil"/>
              <w:bottom w:val="single" w:sz="4" w:space="0" w:color="auto"/>
              <w:right w:val="nil"/>
            </w:tcBorders>
            <w:shd w:val="clear" w:color="000000" w:fill="FFFF00"/>
            <w:noWrap/>
            <w:vAlign w:val="center"/>
            <w:hideMark/>
          </w:tcPr>
          <w:p w14:paraId="14592E6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1,215,488</w:t>
            </w:r>
          </w:p>
        </w:tc>
        <w:tc>
          <w:tcPr>
            <w:tcW w:w="780" w:type="dxa"/>
            <w:tcBorders>
              <w:top w:val="nil"/>
              <w:left w:val="nil"/>
              <w:bottom w:val="single" w:sz="4" w:space="0" w:color="auto"/>
              <w:right w:val="nil"/>
            </w:tcBorders>
            <w:shd w:val="clear" w:color="auto" w:fill="auto"/>
            <w:noWrap/>
            <w:vAlign w:val="center"/>
            <w:hideMark/>
          </w:tcPr>
          <w:p w14:paraId="3C564F5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932,391</w:t>
            </w:r>
          </w:p>
        </w:tc>
        <w:tc>
          <w:tcPr>
            <w:tcW w:w="780" w:type="dxa"/>
            <w:tcBorders>
              <w:top w:val="nil"/>
              <w:left w:val="nil"/>
              <w:bottom w:val="single" w:sz="4" w:space="0" w:color="auto"/>
              <w:right w:val="nil"/>
            </w:tcBorders>
            <w:shd w:val="clear" w:color="auto" w:fill="auto"/>
            <w:noWrap/>
            <w:vAlign w:val="center"/>
            <w:hideMark/>
          </w:tcPr>
          <w:p w14:paraId="562F2E6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1,027,660</w:t>
            </w:r>
          </w:p>
        </w:tc>
        <w:tc>
          <w:tcPr>
            <w:tcW w:w="780" w:type="dxa"/>
            <w:tcBorders>
              <w:top w:val="nil"/>
              <w:left w:val="nil"/>
              <w:bottom w:val="single" w:sz="4" w:space="0" w:color="auto"/>
              <w:right w:val="nil"/>
            </w:tcBorders>
            <w:shd w:val="clear" w:color="auto" w:fill="auto"/>
            <w:noWrap/>
            <w:vAlign w:val="bottom"/>
            <w:hideMark/>
          </w:tcPr>
          <w:p w14:paraId="6B13DED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1,135,504</w:t>
            </w:r>
          </w:p>
        </w:tc>
        <w:tc>
          <w:tcPr>
            <w:tcW w:w="780" w:type="dxa"/>
            <w:tcBorders>
              <w:top w:val="nil"/>
              <w:left w:val="nil"/>
              <w:bottom w:val="single" w:sz="4" w:space="0" w:color="auto"/>
              <w:right w:val="nil"/>
            </w:tcBorders>
            <w:shd w:val="clear" w:color="auto" w:fill="auto"/>
            <w:noWrap/>
            <w:vAlign w:val="bottom"/>
            <w:hideMark/>
          </w:tcPr>
          <w:p w14:paraId="7457B0A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1,118,764</w:t>
            </w:r>
          </w:p>
        </w:tc>
      </w:tr>
      <w:tr w:rsidR="00DD078B" w:rsidRPr="00BA45B7" w14:paraId="61F1F0B1" w14:textId="77777777" w:rsidTr="00193222">
        <w:trPr>
          <w:trHeight w:val="260"/>
          <w:jc w:val="center"/>
        </w:trPr>
        <w:tc>
          <w:tcPr>
            <w:tcW w:w="540" w:type="dxa"/>
            <w:vMerge w:val="restart"/>
            <w:tcBorders>
              <w:left w:val="nil"/>
              <w:bottom w:val="nil"/>
              <w:right w:val="nil"/>
            </w:tcBorders>
            <w:shd w:val="clear" w:color="auto" w:fill="auto"/>
            <w:noWrap/>
            <w:textDirection w:val="btLr"/>
            <w:vAlign w:val="center"/>
            <w:hideMark/>
          </w:tcPr>
          <w:p w14:paraId="7452000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Wet Tropics</w:t>
            </w:r>
          </w:p>
        </w:tc>
        <w:tc>
          <w:tcPr>
            <w:tcW w:w="1720" w:type="dxa"/>
            <w:tcBorders>
              <w:top w:val="single" w:sz="4" w:space="0" w:color="auto"/>
              <w:left w:val="nil"/>
              <w:bottom w:val="nil"/>
              <w:right w:val="nil"/>
            </w:tcBorders>
            <w:shd w:val="clear" w:color="auto" w:fill="auto"/>
            <w:noWrap/>
            <w:vAlign w:val="center"/>
            <w:hideMark/>
          </w:tcPr>
          <w:p w14:paraId="08D8449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Daintree River</w:t>
            </w:r>
          </w:p>
        </w:tc>
        <w:tc>
          <w:tcPr>
            <w:tcW w:w="780" w:type="dxa"/>
            <w:tcBorders>
              <w:top w:val="single" w:sz="4" w:space="0" w:color="auto"/>
              <w:left w:val="nil"/>
              <w:bottom w:val="nil"/>
              <w:right w:val="nil"/>
            </w:tcBorders>
            <w:shd w:val="clear" w:color="auto" w:fill="auto"/>
            <w:noWrap/>
            <w:vAlign w:val="center"/>
            <w:hideMark/>
          </w:tcPr>
          <w:p w14:paraId="6BCB4CB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1,722,934</w:t>
            </w:r>
          </w:p>
        </w:tc>
        <w:tc>
          <w:tcPr>
            <w:tcW w:w="780" w:type="dxa"/>
            <w:tcBorders>
              <w:top w:val="single" w:sz="4" w:space="0" w:color="auto"/>
              <w:left w:val="nil"/>
              <w:bottom w:val="nil"/>
              <w:right w:val="nil"/>
            </w:tcBorders>
            <w:shd w:val="clear" w:color="000000" w:fill="FF9900"/>
            <w:noWrap/>
            <w:vAlign w:val="center"/>
            <w:hideMark/>
          </w:tcPr>
          <w:p w14:paraId="714ABA6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3,936,470</w:t>
            </w:r>
          </w:p>
        </w:tc>
        <w:tc>
          <w:tcPr>
            <w:tcW w:w="780" w:type="dxa"/>
            <w:tcBorders>
              <w:top w:val="single" w:sz="4" w:space="0" w:color="auto"/>
              <w:left w:val="nil"/>
              <w:bottom w:val="nil"/>
              <w:right w:val="nil"/>
            </w:tcBorders>
            <w:shd w:val="clear" w:color="auto" w:fill="auto"/>
            <w:noWrap/>
            <w:vAlign w:val="center"/>
            <w:hideMark/>
          </w:tcPr>
          <w:p w14:paraId="5ADD1A8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2,396,905</w:t>
            </w:r>
          </w:p>
        </w:tc>
        <w:tc>
          <w:tcPr>
            <w:tcW w:w="780" w:type="dxa"/>
            <w:tcBorders>
              <w:top w:val="single" w:sz="4" w:space="0" w:color="auto"/>
              <w:left w:val="nil"/>
              <w:bottom w:val="nil"/>
              <w:right w:val="nil"/>
            </w:tcBorders>
            <w:shd w:val="clear" w:color="auto" w:fill="auto"/>
            <w:noWrap/>
            <w:vAlign w:val="center"/>
            <w:hideMark/>
          </w:tcPr>
          <w:p w14:paraId="6F50115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1,668,302</w:t>
            </w:r>
          </w:p>
        </w:tc>
        <w:tc>
          <w:tcPr>
            <w:tcW w:w="780" w:type="dxa"/>
            <w:tcBorders>
              <w:top w:val="single" w:sz="4" w:space="0" w:color="auto"/>
              <w:left w:val="nil"/>
              <w:bottom w:val="nil"/>
              <w:right w:val="nil"/>
            </w:tcBorders>
            <w:shd w:val="clear" w:color="000000" w:fill="FF0000"/>
            <w:noWrap/>
            <w:vAlign w:val="center"/>
            <w:hideMark/>
          </w:tcPr>
          <w:p w14:paraId="6DB66EC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5,137,023</w:t>
            </w:r>
          </w:p>
        </w:tc>
        <w:tc>
          <w:tcPr>
            <w:tcW w:w="780" w:type="dxa"/>
            <w:tcBorders>
              <w:top w:val="single" w:sz="4" w:space="0" w:color="auto"/>
              <w:left w:val="nil"/>
              <w:bottom w:val="nil"/>
              <w:right w:val="nil"/>
            </w:tcBorders>
            <w:shd w:val="clear" w:color="auto" w:fill="auto"/>
            <w:noWrap/>
            <w:vAlign w:val="center"/>
            <w:hideMark/>
          </w:tcPr>
          <w:p w14:paraId="0AC4B46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1,905,224</w:t>
            </w:r>
          </w:p>
        </w:tc>
        <w:tc>
          <w:tcPr>
            <w:tcW w:w="780" w:type="dxa"/>
            <w:tcBorders>
              <w:top w:val="single" w:sz="4" w:space="0" w:color="auto"/>
              <w:left w:val="nil"/>
              <w:bottom w:val="nil"/>
              <w:right w:val="nil"/>
            </w:tcBorders>
            <w:shd w:val="clear" w:color="auto" w:fill="auto"/>
            <w:noWrap/>
            <w:vAlign w:val="center"/>
            <w:hideMark/>
          </w:tcPr>
          <w:p w14:paraId="374A248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1,623,478</w:t>
            </w:r>
          </w:p>
        </w:tc>
        <w:tc>
          <w:tcPr>
            <w:tcW w:w="780" w:type="dxa"/>
            <w:tcBorders>
              <w:top w:val="single" w:sz="4" w:space="0" w:color="auto"/>
              <w:left w:val="nil"/>
              <w:bottom w:val="nil"/>
              <w:right w:val="nil"/>
            </w:tcBorders>
            <w:shd w:val="clear" w:color="auto" w:fill="auto"/>
            <w:noWrap/>
            <w:vAlign w:val="bottom"/>
            <w:hideMark/>
          </w:tcPr>
          <w:p w14:paraId="3268C0C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1,931,878</w:t>
            </w:r>
          </w:p>
        </w:tc>
        <w:tc>
          <w:tcPr>
            <w:tcW w:w="780" w:type="dxa"/>
            <w:tcBorders>
              <w:top w:val="single" w:sz="4" w:space="0" w:color="auto"/>
              <w:left w:val="nil"/>
              <w:bottom w:val="nil"/>
              <w:right w:val="nil"/>
            </w:tcBorders>
            <w:shd w:val="clear" w:color="auto" w:fill="auto"/>
            <w:noWrap/>
            <w:vAlign w:val="bottom"/>
            <w:hideMark/>
          </w:tcPr>
          <w:p w14:paraId="77B7D1A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1,312,417</w:t>
            </w:r>
          </w:p>
        </w:tc>
      </w:tr>
      <w:tr w:rsidR="00DD078B" w:rsidRPr="00BA45B7" w14:paraId="2C564770" w14:textId="77777777" w:rsidTr="001F6A7C">
        <w:trPr>
          <w:trHeight w:val="260"/>
          <w:jc w:val="center"/>
        </w:trPr>
        <w:tc>
          <w:tcPr>
            <w:tcW w:w="540" w:type="dxa"/>
            <w:vMerge/>
            <w:tcBorders>
              <w:top w:val="nil"/>
              <w:left w:val="nil"/>
              <w:bottom w:val="nil"/>
              <w:right w:val="nil"/>
            </w:tcBorders>
            <w:vAlign w:val="center"/>
            <w:hideMark/>
          </w:tcPr>
          <w:p w14:paraId="19ABA306"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6899E62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Mossman River</w:t>
            </w:r>
          </w:p>
        </w:tc>
        <w:tc>
          <w:tcPr>
            <w:tcW w:w="780" w:type="dxa"/>
            <w:tcBorders>
              <w:top w:val="nil"/>
              <w:left w:val="nil"/>
              <w:bottom w:val="nil"/>
              <w:right w:val="nil"/>
            </w:tcBorders>
            <w:shd w:val="clear" w:color="auto" w:fill="auto"/>
            <w:noWrap/>
            <w:vAlign w:val="center"/>
            <w:hideMark/>
          </w:tcPr>
          <w:p w14:paraId="731F899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1,207,012</w:t>
            </w:r>
          </w:p>
        </w:tc>
        <w:tc>
          <w:tcPr>
            <w:tcW w:w="780" w:type="dxa"/>
            <w:tcBorders>
              <w:top w:val="nil"/>
              <w:left w:val="nil"/>
              <w:bottom w:val="nil"/>
              <w:right w:val="nil"/>
            </w:tcBorders>
            <w:shd w:val="clear" w:color="000000" w:fill="FFFF00"/>
            <w:noWrap/>
            <w:vAlign w:val="center"/>
            <w:hideMark/>
          </w:tcPr>
          <w:p w14:paraId="1BEE1F6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2,014,902</w:t>
            </w:r>
          </w:p>
        </w:tc>
        <w:tc>
          <w:tcPr>
            <w:tcW w:w="780" w:type="dxa"/>
            <w:tcBorders>
              <w:top w:val="nil"/>
              <w:left w:val="nil"/>
              <w:bottom w:val="nil"/>
              <w:right w:val="nil"/>
            </w:tcBorders>
            <w:shd w:val="clear" w:color="auto" w:fill="auto"/>
            <w:noWrap/>
            <w:vAlign w:val="center"/>
            <w:hideMark/>
          </w:tcPr>
          <w:p w14:paraId="1937791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1,526,184</w:t>
            </w:r>
          </w:p>
        </w:tc>
        <w:tc>
          <w:tcPr>
            <w:tcW w:w="780" w:type="dxa"/>
            <w:tcBorders>
              <w:top w:val="nil"/>
              <w:left w:val="nil"/>
              <w:bottom w:val="nil"/>
              <w:right w:val="nil"/>
            </w:tcBorders>
            <w:shd w:val="clear" w:color="auto" w:fill="auto"/>
            <w:noWrap/>
            <w:vAlign w:val="center"/>
            <w:hideMark/>
          </w:tcPr>
          <w:p w14:paraId="002CB2C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1,147,367</w:t>
            </w:r>
          </w:p>
        </w:tc>
        <w:tc>
          <w:tcPr>
            <w:tcW w:w="780" w:type="dxa"/>
            <w:tcBorders>
              <w:top w:val="nil"/>
              <w:left w:val="nil"/>
              <w:bottom w:val="nil"/>
              <w:right w:val="nil"/>
            </w:tcBorders>
            <w:shd w:val="clear" w:color="000000" w:fill="FFFF00"/>
            <w:noWrap/>
            <w:vAlign w:val="center"/>
            <w:hideMark/>
          </w:tcPr>
          <w:p w14:paraId="4DD282A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1,918,522</w:t>
            </w:r>
          </w:p>
        </w:tc>
        <w:tc>
          <w:tcPr>
            <w:tcW w:w="780" w:type="dxa"/>
            <w:tcBorders>
              <w:top w:val="nil"/>
              <w:left w:val="nil"/>
              <w:bottom w:val="nil"/>
              <w:right w:val="nil"/>
            </w:tcBorders>
            <w:shd w:val="clear" w:color="auto" w:fill="auto"/>
            <w:noWrap/>
            <w:vAlign w:val="center"/>
            <w:hideMark/>
          </w:tcPr>
          <w:p w14:paraId="1FEC54F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874,068</w:t>
            </w:r>
          </w:p>
        </w:tc>
        <w:tc>
          <w:tcPr>
            <w:tcW w:w="780" w:type="dxa"/>
            <w:tcBorders>
              <w:top w:val="nil"/>
              <w:left w:val="nil"/>
              <w:bottom w:val="nil"/>
              <w:right w:val="nil"/>
            </w:tcBorders>
            <w:shd w:val="clear" w:color="auto" w:fill="auto"/>
            <w:noWrap/>
            <w:vAlign w:val="center"/>
            <w:hideMark/>
          </w:tcPr>
          <w:p w14:paraId="48850E8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1,245,275</w:t>
            </w:r>
          </w:p>
        </w:tc>
        <w:tc>
          <w:tcPr>
            <w:tcW w:w="780" w:type="dxa"/>
            <w:tcBorders>
              <w:top w:val="nil"/>
              <w:left w:val="nil"/>
              <w:bottom w:val="nil"/>
              <w:right w:val="nil"/>
            </w:tcBorders>
            <w:shd w:val="clear" w:color="auto" w:fill="auto"/>
            <w:noWrap/>
            <w:vAlign w:val="bottom"/>
            <w:hideMark/>
          </w:tcPr>
          <w:p w14:paraId="338A453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1,142,698</w:t>
            </w:r>
          </w:p>
        </w:tc>
        <w:tc>
          <w:tcPr>
            <w:tcW w:w="780" w:type="dxa"/>
            <w:tcBorders>
              <w:top w:val="nil"/>
              <w:left w:val="nil"/>
              <w:bottom w:val="nil"/>
              <w:right w:val="nil"/>
            </w:tcBorders>
            <w:shd w:val="clear" w:color="auto" w:fill="auto"/>
            <w:noWrap/>
            <w:vAlign w:val="bottom"/>
            <w:hideMark/>
          </w:tcPr>
          <w:p w14:paraId="5A8E9E2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1,503,754</w:t>
            </w:r>
          </w:p>
        </w:tc>
      </w:tr>
      <w:tr w:rsidR="00DD078B" w:rsidRPr="00BA45B7" w14:paraId="381B04C0" w14:textId="77777777" w:rsidTr="001F6A7C">
        <w:trPr>
          <w:trHeight w:val="260"/>
          <w:jc w:val="center"/>
        </w:trPr>
        <w:tc>
          <w:tcPr>
            <w:tcW w:w="540" w:type="dxa"/>
            <w:vMerge/>
            <w:tcBorders>
              <w:top w:val="nil"/>
              <w:left w:val="nil"/>
              <w:bottom w:val="nil"/>
              <w:right w:val="nil"/>
            </w:tcBorders>
            <w:vAlign w:val="center"/>
            <w:hideMark/>
          </w:tcPr>
          <w:p w14:paraId="04FF648A"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54C0B53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Barron River</w:t>
            </w:r>
          </w:p>
        </w:tc>
        <w:tc>
          <w:tcPr>
            <w:tcW w:w="780" w:type="dxa"/>
            <w:tcBorders>
              <w:top w:val="nil"/>
              <w:left w:val="nil"/>
              <w:bottom w:val="nil"/>
              <w:right w:val="nil"/>
            </w:tcBorders>
            <w:shd w:val="clear" w:color="auto" w:fill="auto"/>
            <w:noWrap/>
            <w:vAlign w:val="center"/>
            <w:hideMark/>
          </w:tcPr>
          <w:p w14:paraId="7FF593F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526,686</w:t>
            </w:r>
          </w:p>
        </w:tc>
        <w:tc>
          <w:tcPr>
            <w:tcW w:w="780" w:type="dxa"/>
            <w:tcBorders>
              <w:top w:val="nil"/>
              <w:left w:val="nil"/>
              <w:bottom w:val="nil"/>
              <w:right w:val="nil"/>
            </w:tcBorders>
            <w:shd w:val="clear" w:color="000000" w:fill="FF0000"/>
            <w:noWrap/>
            <w:vAlign w:val="center"/>
            <w:hideMark/>
          </w:tcPr>
          <w:p w14:paraId="0B3B3EE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2,119,801</w:t>
            </w:r>
          </w:p>
        </w:tc>
        <w:tc>
          <w:tcPr>
            <w:tcW w:w="780" w:type="dxa"/>
            <w:tcBorders>
              <w:top w:val="nil"/>
              <w:left w:val="nil"/>
              <w:bottom w:val="nil"/>
              <w:right w:val="nil"/>
            </w:tcBorders>
            <w:shd w:val="clear" w:color="000000" w:fill="FFFF00"/>
            <w:noWrap/>
            <w:vAlign w:val="center"/>
            <w:hideMark/>
          </w:tcPr>
          <w:p w14:paraId="7AE916A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852,055</w:t>
            </w:r>
          </w:p>
        </w:tc>
        <w:tc>
          <w:tcPr>
            <w:tcW w:w="780" w:type="dxa"/>
            <w:tcBorders>
              <w:top w:val="nil"/>
              <w:left w:val="nil"/>
              <w:bottom w:val="nil"/>
              <w:right w:val="nil"/>
            </w:tcBorders>
            <w:shd w:val="clear" w:color="auto" w:fill="auto"/>
            <w:noWrap/>
            <w:vAlign w:val="center"/>
            <w:hideMark/>
          </w:tcPr>
          <w:p w14:paraId="5B16223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328,260</w:t>
            </w:r>
          </w:p>
        </w:tc>
        <w:tc>
          <w:tcPr>
            <w:tcW w:w="780" w:type="dxa"/>
            <w:tcBorders>
              <w:top w:val="nil"/>
              <w:left w:val="nil"/>
              <w:bottom w:val="nil"/>
              <w:right w:val="nil"/>
            </w:tcBorders>
            <w:shd w:val="clear" w:color="auto" w:fill="auto"/>
            <w:noWrap/>
            <w:vAlign w:val="center"/>
            <w:hideMark/>
          </w:tcPr>
          <w:p w14:paraId="7B2B580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663,966</w:t>
            </w:r>
          </w:p>
        </w:tc>
        <w:tc>
          <w:tcPr>
            <w:tcW w:w="780" w:type="dxa"/>
            <w:tcBorders>
              <w:top w:val="nil"/>
              <w:left w:val="nil"/>
              <w:bottom w:val="nil"/>
              <w:right w:val="nil"/>
            </w:tcBorders>
            <w:shd w:val="clear" w:color="auto" w:fill="auto"/>
            <w:noWrap/>
            <w:vAlign w:val="center"/>
            <w:hideMark/>
          </w:tcPr>
          <w:p w14:paraId="48DD837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380,395</w:t>
            </w:r>
          </w:p>
        </w:tc>
        <w:tc>
          <w:tcPr>
            <w:tcW w:w="780" w:type="dxa"/>
            <w:tcBorders>
              <w:top w:val="nil"/>
              <w:left w:val="nil"/>
              <w:bottom w:val="nil"/>
              <w:right w:val="nil"/>
            </w:tcBorders>
            <w:shd w:val="clear" w:color="auto" w:fill="auto"/>
            <w:noWrap/>
            <w:vAlign w:val="center"/>
            <w:hideMark/>
          </w:tcPr>
          <w:p w14:paraId="7508AA8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182,999</w:t>
            </w:r>
          </w:p>
        </w:tc>
        <w:tc>
          <w:tcPr>
            <w:tcW w:w="780" w:type="dxa"/>
            <w:tcBorders>
              <w:top w:val="nil"/>
              <w:left w:val="nil"/>
              <w:bottom w:val="nil"/>
              <w:right w:val="nil"/>
            </w:tcBorders>
            <w:shd w:val="clear" w:color="auto" w:fill="auto"/>
            <w:noWrap/>
            <w:vAlign w:val="bottom"/>
            <w:hideMark/>
          </w:tcPr>
          <w:p w14:paraId="68827EB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287,790</w:t>
            </w:r>
          </w:p>
        </w:tc>
        <w:tc>
          <w:tcPr>
            <w:tcW w:w="780" w:type="dxa"/>
            <w:tcBorders>
              <w:top w:val="nil"/>
              <w:left w:val="nil"/>
              <w:bottom w:val="nil"/>
              <w:right w:val="nil"/>
            </w:tcBorders>
            <w:shd w:val="clear" w:color="000000" w:fill="FFFF00"/>
            <w:noWrap/>
            <w:vAlign w:val="bottom"/>
            <w:hideMark/>
          </w:tcPr>
          <w:p w14:paraId="7143262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867,748</w:t>
            </w:r>
          </w:p>
        </w:tc>
      </w:tr>
      <w:tr w:rsidR="00DD078B" w:rsidRPr="00BA45B7" w14:paraId="49AA6143" w14:textId="77777777" w:rsidTr="001F6A7C">
        <w:trPr>
          <w:trHeight w:val="260"/>
          <w:jc w:val="center"/>
        </w:trPr>
        <w:tc>
          <w:tcPr>
            <w:tcW w:w="540" w:type="dxa"/>
            <w:vMerge/>
            <w:tcBorders>
              <w:top w:val="nil"/>
              <w:left w:val="nil"/>
              <w:bottom w:val="nil"/>
              <w:right w:val="nil"/>
            </w:tcBorders>
            <w:vAlign w:val="center"/>
            <w:hideMark/>
          </w:tcPr>
          <w:p w14:paraId="7F921349"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21FADA0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Mulgrave-Russell River</w:t>
            </w:r>
          </w:p>
        </w:tc>
        <w:tc>
          <w:tcPr>
            <w:tcW w:w="780" w:type="dxa"/>
            <w:tcBorders>
              <w:top w:val="nil"/>
              <w:left w:val="nil"/>
              <w:bottom w:val="nil"/>
              <w:right w:val="nil"/>
            </w:tcBorders>
            <w:shd w:val="clear" w:color="auto" w:fill="auto"/>
            <w:noWrap/>
            <w:vAlign w:val="center"/>
            <w:hideMark/>
          </w:tcPr>
          <w:p w14:paraId="2F8BC20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4,457,940</w:t>
            </w:r>
          </w:p>
        </w:tc>
        <w:tc>
          <w:tcPr>
            <w:tcW w:w="780" w:type="dxa"/>
            <w:tcBorders>
              <w:top w:val="nil"/>
              <w:left w:val="nil"/>
              <w:bottom w:val="nil"/>
              <w:right w:val="nil"/>
            </w:tcBorders>
            <w:shd w:val="clear" w:color="000000" w:fill="FFFF00"/>
            <w:noWrap/>
            <w:vAlign w:val="center"/>
            <w:hideMark/>
          </w:tcPr>
          <w:p w14:paraId="1F9F147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7,892,713</w:t>
            </w:r>
          </w:p>
        </w:tc>
        <w:tc>
          <w:tcPr>
            <w:tcW w:w="780" w:type="dxa"/>
            <w:tcBorders>
              <w:top w:val="nil"/>
              <w:left w:val="nil"/>
              <w:bottom w:val="nil"/>
              <w:right w:val="nil"/>
            </w:tcBorders>
            <w:shd w:val="clear" w:color="auto" w:fill="auto"/>
            <w:noWrap/>
            <w:vAlign w:val="center"/>
            <w:hideMark/>
          </w:tcPr>
          <w:p w14:paraId="34E1844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5,696,594</w:t>
            </w:r>
          </w:p>
        </w:tc>
        <w:tc>
          <w:tcPr>
            <w:tcW w:w="780" w:type="dxa"/>
            <w:tcBorders>
              <w:top w:val="nil"/>
              <w:left w:val="nil"/>
              <w:bottom w:val="nil"/>
              <w:right w:val="nil"/>
            </w:tcBorders>
            <w:shd w:val="clear" w:color="auto" w:fill="auto"/>
            <w:noWrap/>
            <w:vAlign w:val="center"/>
            <w:hideMark/>
          </w:tcPr>
          <w:p w14:paraId="4A9C909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3,529,862</w:t>
            </w:r>
          </w:p>
        </w:tc>
        <w:tc>
          <w:tcPr>
            <w:tcW w:w="780" w:type="dxa"/>
            <w:tcBorders>
              <w:top w:val="nil"/>
              <w:left w:val="nil"/>
              <w:bottom w:val="nil"/>
              <w:right w:val="nil"/>
            </w:tcBorders>
            <w:shd w:val="clear" w:color="auto" w:fill="auto"/>
            <w:noWrap/>
            <w:vAlign w:val="center"/>
            <w:hideMark/>
          </w:tcPr>
          <w:p w14:paraId="7363501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5,420,678</w:t>
            </w:r>
          </w:p>
        </w:tc>
        <w:tc>
          <w:tcPr>
            <w:tcW w:w="780" w:type="dxa"/>
            <w:tcBorders>
              <w:top w:val="nil"/>
              <w:left w:val="nil"/>
              <w:bottom w:val="nil"/>
              <w:right w:val="nil"/>
            </w:tcBorders>
            <w:shd w:val="clear" w:color="auto" w:fill="auto"/>
            <w:noWrap/>
            <w:vAlign w:val="center"/>
            <w:hideMark/>
          </w:tcPr>
          <w:p w14:paraId="440533E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3,145,787</w:t>
            </w:r>
          </w:p>
        </w:tc>
        <w:tc>
          <w:tcPr>
            <w:tcW w:w="780" w:type="dxa"/>
            <w:tcBorders>
              <w:top w:val="nil"/>
              <w:left w:val="nil"/>
              <w:bottom w:val="nil"/>
              <w:right w:val="nil"/>
            </w:tcBorders>
            <w:shd w:val="clear" w:color="auto" w:fill="auto"/>
            <w:noWrap/>
            <w:vAlign w:val="center"/>
            <w:hideMark/>
          </w:tcPr>
          <w:p w14:paraId="16A567A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3,253,825</w:t>
            </w:r>
          </w:p>
        </w:tc>
        <w:tc>
          <w:tcPr>
            <w:tcW w:w="780" w:type="dxa"/>
            <w:tcBorders>
              <w:top w:val="nil"/>
              <w:left w:val="nil"/>
              <w:bottom w:val="nil"/>
              <w:right w:val="nil"/>
            </w:tcBorders>
            <w:shd w:val="clear" w:color="auto" w:fill="auto"/>
            <w:noWrap/>
            <w:vAlign w:val="bottom"/>
            <w:hideMark/>
          </w:tcPr>
          <w:p w14:paraId="6286751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3,015,734</w:t>
            </w:r>
          </w:p>
        </w:tc>
        <w:tc>
          <w:tcPr>
            <w:tcW w:w="780" w:type="dxa"/>
            <w:tcBorders>
              <w:top w:val="nil"/>
              <w:left w:val="nil"/>
              <w:bottom w:val="nil"/>
              <w:right w:val="nil"/>
            </w:tcBorders>
            <w:shd w:val="clear" w:color="auto" w:fill="auto"/>
            <w:noWrap/>
            <w:vAlign w:val="bottom"/>
            <w:hideMark/>
          </w:tcPr>
          <w:p w14:paraId="5B46E41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5,759,716</w:t>
            </w:r>
          </w:p>
        </w:tc>
      </w:tr>
      <w:tr w:rsidR="00DD078B" w:rsidRPr="00BA45B7" w14:paraId="144081CD" w14:textId="77777777" w:rsidTr="001F6A7C">
        <w:trPr>
          <w:trHeight w:val="260"/>
          <w:jc w:val="center"/>
        </w:trPr>
        <w:tc>
          <w:tcPr>
            <w:tcW w:w="540" w:type="dxa"/>
            <w:vMerge/>
            <w:tcBorders>
              <w:top w:val="nil"/>
              <w:left w:val="nil"/>
              <w:bottom w:val="nil"/>
              <w:right w:val="nil"/>
            </w:tcBorders>
            <w:vAlign w:val="center"/>
            <w:hideMark/>
          </w:tcPr>
          <w:p w14:paraId="286225AD"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584C2B9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Johnstone River</w:t>
            </w:r>
          </w:p>
        </w:tc>
        <w:tc>
          <w:tcPr>
            <w:tcW w:w="780" w:type="dxa"/>
            <w:tcBorders>
              <w:top w:val="nil"/>
              <w:left w:val="nil"/>
              <w:bottom w:val="nil"/>
              <w:right w:val="nil"/>
            </w:tcBorders>
            <w:shd w:val="clear" w:color="auto" w:fill="auto"/>
            <w:noWrap/>
            <w:vAlign w:val="center"/>
            <w:hideMark/>
          </w:tcPr>
          <w:p w14:paraId="7D32616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4,743,915</w:t>
            </w:r>
          </w:p>
        </w:tc>
        <w:tc>
          <w:tcPr>
            <w:tcW w:w="780" w:type="dxa"/>
            <w:tcBorders>
              <w:top w:val="nil"/>
              <w:left w:val="nil"/>
              <w:bottom w:val="nil"/>
              <w:right w:val="nil"/>
            </w:tcBorders>
            <w:shd w:val="clear" w:color="000000" w:fill="FF9900"/>
            <w:noWrap/>
            <w:vAlign w:val="center"/>
            <w:hideMark/>
          </w:tcPr>
          <w:p w14:paraId="10D09DA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9,276,874</w:t>
            </w:r>
          </w:p>
        </w:tc>
        <w:tc>
          <w:tcPr>
            <w:tcW w:w="780" w:type="dxa"/>
            <w:tcBorders>
              <w:top w:val="nil"/>
              <w:left w:val="nil"/>
              <w:bottom w:val="nil"/>
              <w:right w:val="nil"/>
            </w:tcBorders>
            <w:shd w:val="clear" w:color="auto" w:fill="auto"/>
            <w:noWrap/>
            <w:vAlign w:val="center"/>
            <w:hideMark/>
          </w:tcPr>
          <w:p w14:paraId="2E3D616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5,338,591</w:t>
            </w:r>
          </w:p>
        </w:tc>
        <w:tc>
          <w:tcPr>
            <w:tcW w:w="780" w:type="dxa"/>
            <w:tcBorders>
              <w:top w:val="nil"/>
              <w:left w:val="nil"/>
              <w:bottom w:val="nil"/>
              <w:right w:val="nil"/>
            </w:tcBorders>
            <w:shd w:val="clear" w:color="auto" w:fill="auto"/>
            <w:noWrap/>
            <w:vAlign w:val="center"/>
            <w:hideMark/>
          </w:tcPr>
          <w:p w14:paraId="03CE22F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3,720,020</w:t>
            </w:r>
          </w:p>
        </w:tc>
        <w:tc>
          <w:tcPr>
            <w:tcW w:w="780" w:type="dxa"/>
            <w:tcBorders>
              <w:top w:val="nil"/>
              <w:left w:val="nil"/>
              <w:bottom w:val="nil"/>
              <w:right w:val="nil"/>
            </w:tcBorders>
            <w:shd w:val="clear" w:color="auto" w:fill="auto"/>
            <w:noWrap/>
            <w:vAlign w:val="center"/>
            <w:hideMark/>
          </w:tcPr>
          <w:p w14:paraId="1620AF0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5,403,534</w:t>
            </w:r>
          </w:p>
        </w:tc>
        <w:tc>
          <w:tcPr>
            <w:tcW w:w="780" w:type="dxa"/>
            <w:tcBorders>
              <w:top w:val="nil"/>
              <w:left w:val="nil"/>
              <w:bottom w:val="nil"/>
              <w:right w:val="nil"/>
            </w:tcBorders>
            <w:shd w:val="clear" w:color="auto" w:fill="auto"/>
            <w:noWrap/>
            <w:vAlign w:val="center"/>
            <w:hideMark/>
          </w:tcPr>
          <w:p w14:paraId="7EE69F9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3,044,680</w:t>
            </w:r>
          </w:p>
        </w:tc>
        <w:tc>
          <w:tcPr>
            <w:tcW w:w="780" w:type="dxa"/>
            <w:tcBorders>
              <w:top w:val="nil"/>
              <w:left w:val="nil"/>
              <w:bottom w:val="nil"/>
              <w:right w:val="nil"/>
            </w:tcBorders>
            <w:shd w:val="clear" w:color="auto" w:fill="auto"/>
            <w:noWrap/>
            <w:vAlign w:val="center"/>
            <w:hideMark/>
          </w:tcPr>
          <w:p w14:paraId="70844E3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3,416,331</w:t>
            </w:r>
          </w:p>
        </w:tc>
        <w:tc>
          <w:tcPr>
            <w:tcW w:w="780" w:type="dxa"/>
            <w:tcBorders>
              <w:top w:val="nil"/>
              <w:left w:val="nil"/>
              <w:bottom w:val="nil"/>
              <w:right w:val="nil"/>
            </w:tcBorders>
            <w:shd w:val="clear" w:color="auto" w:fill="auto"/>
            <w:noWrap/>
            <w:vAlign w:val="bottom"/>
            <w:hideMark/>
          </w:tcPr>
          <w:p w14:paraId="1EB9C4B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4,017,617</w:t>
            </w:r>
          </w:p>
        </w:tc>
        <w:tc>
          <w:tcPr>
            <w:tcW w:w="780" w:type="dxa"/>
            <w:tcBorders>
              <w:top w:val="nil"/>
              <w:left w:val="nil"/>
              <w:bottom w:val="nil"/>
              <w:right w:val="nil"/>
            </w:tcBorders>
            <w:shd w:val="clear" w:color="auto" w:fill="auto"/>
            <w:noWrap/>
            <w:vAlign w:val="bottom"/>
            <w:hideMark/>
          </w:tcPr>
          <w:p w14:paraId="57BD4D0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5,940,395</w:t>
            </w:r>
          </w:p>
        </w:tc>
      </w:tr>
      <w:tr w:rsidR="00DD078B" w:rsidRPr="00BA45B7" w14:paraId="31FE7746" w14:textId="77777777" w:rsidTr="001F6A7C">
        <w:trPr>
          <w:trHeight w:val="260"/>
          <w:jc w:val="center"/>
        </w:trPr>
        <w:tc>
          <w:tcPr>
            <w:tcW w:w="540" w:type="dxa"/>
            <w:vMerge/>
            <w:tcBorders>
              <w:top w:val="nil"/>
              <w:left w:val="nil"/>
              <w:bottom w:val="nil"/>
              <w:right w:val="nil"/>
            </w:tcBorders>
            <w:vAlign w:val="center"/>
            <w:hideMark/>
          </w:tcPr>
          <w:p w14:paraId="09C045CE"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3042A96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Tully River</w:t>
            </w:r>
          </w:p>
        </w:tc>
        <w:tc>
          <w:tcPr>
            <w:tcW w:w="780" w:type="dxa"/>
            <w:tcBorders>
              <w:top w:val="nil"/>
              <w:left w:val="nil"/>
              <w:bottom w:val="nil"/>
              <w:right w:val="nil"/>
            </w:tcBorders>
            <w:shd w:val="clear" w:color="auto" w:fill="auto"/>
            <w:noWrap/>
            <w:vAlign w:val="center"/>
            <w:hideMark/>
          </w:tcPr>
          <w:p w14:paraId="0868DB4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3,536,054</w:t>
            </w:r>
          </w:p>
        </w:tc>
        <w:tc>
          <w:tcPr>
            <w:tcW w:w="780" w:type="dxa"/>
            <w:tcBorders>
              <w:top w:val="nil"/>
              <w:left w:val="nil"/>
              <w:bottom w:val="nil"/>
              <w:right w:val="nil"/>
            </w:tcBorders>
            <w:shd w:val="clear" w:color="000000" w:fill="FF9900"/>
            <w:noWrap/>
            <w:vAlign w:val="center"/>
            <w:hideMark/>
          </w:tcPr>
          <w:p w14:paraId="39B057D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7,442,768</w:t>
            </w:r>
          </w:p>
        </w:tc>
        <w:tc>
          <w:tcPr>
            <w:tcW w:w="780" w:type="dxa"/>
            <w:tcBorders>
              <w:top w:val="nil"/>
              <w:left w:val="nil"/>
              <w:bottom w:val="nil"/>
              <w:right w:val="nil"/>
            </w:tcBorders>
            <w:shd w:val="clear" w:color="auto" w:fill="auto"/>
            <w:noWrap/>
            <w:vAlign w:val="center"/>
            <w:hideMark/>
          </w:tcPr>
          <w:p w14:paraId="3D264C9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3,425,096</w:t>
            </w:r>
          </w:p>
        </w:tc>
        <w:tc>
          <w:tcPr>
            <w:tcW w:w="780" w:type="dxa"/>
            <w:tcBorders>
              <w:top w:val="nil"/>
              <w:left w:val="nil"/>
              <w:bottom w:val="nil"/>
              <w:right w:val="nil"/>
            </w:tcBorders>
            <w:shd w:val="clear" w:color="auto" w:fill="auto"/>
            <w:noWrap/>
            <w:vAlign w:val="center"/>
            <w:hideMark/>
          </w:tcPr>
          <w:p w14:paraId="0154F7E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3,341,887</w:t>
            </w:r>
          </w:p>
        </w:tc>
        <w:tc>
          <w:tcPr>
            <w:tcW w:w="780" w:type="dxa"/>
            <w:tcBorders>
              <w:top w:val="nil"/>
              <w:left w:val="nil"/>
              <w:bottom w:val="nil"/>
              <w:right w:val="nil"/>
            </w:tcBorders>
            <w:shd w:val="clear" w:color="auto" w:fill="auto"/>
            <w:noWrap/>
            <w:vAlign w:val="center"/>
            <w:hideMark/>
          </w:tcPr>
          <w:p w14:paraId="33B7117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4,322,496</w:t>
            </w:r>
          </w:p>
        </w:tc>
        <w:tc>
          <w:tcPr>
            <w:tcW w:w="780" w:type="dxa"/>
            <w:tcBorders>
              <w:top w:val="nil"/>
              <w:left w:val="nil"/>
              <w:bottom w:val="nil"/>
              <w:right w:val="nil"/>
            </w:tcBorders>
            <w:shd w:val="clear" w:color="auto" w:fill="auto"/>
            <w:noWrap/>
            <w:vAlign w:val="center"/>
            <w:hideMark/>
          </w:tcPr>
          <w:p w14:paraId="1126C79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2,659,775</w:t>
            </w:r>
          </w:p>
        </w:tc>
        <w:tc>
          <w:tcPr>
            <w:tcW w:w="780" w:type="dxa"/>
            <w:tcBorders>
              <w:top w:val="nil"/>
              <w:left w:val="nil"/>
              <w:bottom w:val="nil"/>
              <w:right w:val="nil"/>
            </w:tcBorders>
            <w:shd w:val="clear" w:color="auto" w:fill="auto"/>
            <w:noWrap/>
            <w:vAlign w:val="center"/>
            <w:hideMark/>
          </w:tcPr>
          <w:p w14:paraId="17C3053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2,942,770</w:t>
            </w:r>
          </w:p>
        </w:tc>
        <w:tc>
          <w:tcPr>
            <w:tcW w:w="780" w:type="dxa"/>
            <w:tcBorders>
              <w:top w:val="nil"/>
              <w:left w:val="nil"/>
              <w:bottom w:val="nil"/>
              <w:right w:val="nil"/>
            </w:tcBorders>
            <w:shd w:val="clear" w:color="auto" w:fill="auto"/>
            <w:noWrap/>
            <w:vAlign w:val="bottom"/>
            <w:hideMark/>
          </w:tcPr>
          <w:p w14:paraId="2FACEB8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3,098,701</w:t>
            </w:r>
          </w:p>
        </w:tc>
        <w:tc>
          <w:tcPr>
            <w:tcW w:w="780" w:type="dxa"/>
            <w:tcBorders>
              <w:top w:val="nil"/>
              <w:left w:val="nil"/>
              <w:bottom w:val="nil"/>
              <w:right w:val="nil"/>
            </w:tcBorders>
            <w:shd w:val="clear" w:color="auto" w:fill="auto"/>
            <w:noWrap/>
            <w:vAlign w:val="bottom"/>
            <w:hideMark/>
          </w:tcPr>
          <w:p w14:paraId="17D3C37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4,237,041</w:t>
            </w:r>
          </w:p>
        </w:tc>
      </w:tr>
      <w:tr w:rsidR="00DD078B" w:rsidRPr="00BA45B7" w14:paraId="4B0521F7" w14:textId="77777777" w:rsidTr="001F6A7C">
        <w:trPr>
          <w:trHeight w:val="260"/>
          <w:jc w:val="center"/>
        </w:trPr>
        <w:tc>
          <w:tcPr>
            <w:tcW w:w="540" w:type="dxa"/>
            <w:vMerge/>
            <w:tcBorders>
              <w:top w:val="nil"/>
              <w:left w:val="nil"/>
              <w:bottom w:val="nil"/>
              <w:right w:val="nil"/>
            </w:tcBorders>
            <w:vAlign w:val="center"/>
            <w:hideMark/>
          </w:tcPr>
          <w:p w14:paraId="0A327BC2"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4DC2699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Murray River</w:t>
            </w:r>
          </w:p>
        </w:tc>
        <w:tc>
          <w:tcPr>
            <w:tcW w:w="780" w:type="dxa"/>
            <w:tcBorders>
              <w:top w:val="nil"/>
              <w:left w:val="nil"/>
              <w:bottom w:val="nil"/>
              <w:right w:val="nil"/>
            </w:tcBorders>
            <w:shd w:val="clear" w:color="auto" w:fill="auto"/>
            <w:noWrap/>
            <w:vAlign w:val="center"/>
            <w:hideMark/>
          </w:tcPr>
          <w:p w14:paraId="365A09E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1,227,888</w:t>
            </w:r>
          </w:p>
        </w:tc>
        <w:tc>
          <w:tcPr>
            <w:tcW w:w="780" w:type="dxa"/>
            <w:tcBorders>
              <w:top w:val="nil"/>
              <w:left w:val="nil"/>
              <w:bottom w:val="nil"/>
              <w:right w:val="nil"/>
            </w:tcBorders>
            <w:shd w:val="clear" w:color="000000" w:fill="FF0000"/>
            <w:noWrap/>
            <w:vAlign w:val="center"/>
            <w:hideMark/>
          </w:tcPr>
          <w:p w14:paraId="373ADA0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4,267,125</w:t>
            </w:r>
          </w:p>
        </w:tc>
        <w:tc>
          <w:tcPr>
            <w:tcW w:w="780" w:type="dxa"/>
            <w:tcBorders>
              <w:top w:val="nil"/>
              <w:left w:val="nil"/>
              <w:bottom w:val="nil"/>
              <w:right w:val="nil"/>
            </w:tcBorders>
            <w:shd w:val="clear" w:color="000000" w:fill="FFFF00"/>
            <w:noWrap/>
            <w:vAlign w:val="center"/>
            <w:hideMark/>
          </w:tcPr>
          <w:p w14:paraId="67CC1D9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2,062,103</w:t>
            </w:r>
          </w:p>
        </w:tc>
        <w:tc>
          <w:tcPr>
            <w:tcW w:w="780" w:type="dxa"/>
            <w:tcBorders>
              <w:top w:val="nil"/>
              <w:left w:val="nil"/>
              <w:bottom w:val="nil"/>
              <w:right w:val="nil"/>
            </w:tcBorders>
            <w:shd w:val="clear" w:color="auto" w:fill="auto"/>
            <w:noWrap/>
            <w:vAlign w:val="center"/>
            <w:hideMark/>
          </w:tcPr>
          <w:p w14:paraId="1C97B67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1,006,286</w:t>
            </w:r>
          </w:p>
        </w:tc>
        <w:tc>
          <w:tcPr>
            <w:tcW w:w="780" w:type="dxa"/>
            <w:tcBorders>
              <w:top w:val="nil"/>
              <w:left w:val="nil"/>
              <w:bottom w:val="nil"/>
              <w:right w:val="nil"/>
            </w:tcBorders>
            <w:shd w:val="clear" w:color="auto" w:fill="auto"/>
            <w:noWrap/>
            <w:vAlign w:val="center"/>
            <w:hideMark/>
          </w:tcPr>
          <w:p w14:paraId="033EFAA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1,531,172</w:t>
            </w:r>
          </w:p>
        </w:tc>
        <w:tc>
          <w:tcPr>
            <w:tcW w:w="780" w:type="dxa"/>
            <w:tcBorders>
              <w:top w:val="nil"/>
              <w:left w:val="nil"/>
              <w:bottom w:val="nil"/>
              <w:right w:val="nil"/>
            </w:tcBorders>
            <w:shd w:val="clear" w:color="auto" w:fill="auto"/>
            <w:noWrap/>
            <w:vAlign w:val="center"/>
            <w:hideMark/>
          </w:tcPr>
          <w:p w14:paraId="2223685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366,212</w:t>
            </w:r>
          </w:p>
        </w:tc>
        <w:tc>
          <w:tcPr>
            <w:tcW w:w="780" w:type="dxa"/>
            <w:tcBorders>
              <w:top w:val="nil"/>
              <w:left w:val="nil"/>
              <w:bottom w:val="nil"/>
              <w:right w:val="nil"/>
            </w:tcBorders>
            <w:shd w:val="clear" w:color="auto" w:fill="auto"/>
            <w:noWrap/>
            <w:vAlign w:val="center"/>
            <w:hideMark/>
          </w:tcPr>
          <w:p w14:paraId="43675D0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974,244</w:t>
            </w:r>
          </w:p>
        </w:tc>
        <w:tc>
          <w:tcPr>
            <w:tcW w:w="780" w:type="dxa"/>
            <w:tcBorders>
              <w:top w:val="nil"/>
              <w:left w:val="nil"/>
              <w:bottom w:val="nil"/>
              <w:right w:val="nil"/>
            </w:tcBorders>
            <w:shd w:val="clear" w:color="auto" w:fill="auto"/>
            <w:noWrap/>
            <w:vAlign w:val="bottom"/>
            <w:hideMark/>
          </w:tcPr>
          <w:p w14:paraId="6F68AA9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947,985</w:t>
            </w:r>
          </w:p>
        </w:tc>
        <w:tc>
          <w:tcPr>
            <w:tcW w:w="780" w:type="dxa"/>
            <w:tcBorders>
              <w:top w:val="nil"/>
              <w:left w:val="nil"/>
              <w:bottom w:val="nil"/>
              <w:right w:val="nil"/>
            </w:tcBorders>
            <w:shd w:val="clear" w:color="auto" w:fill="auto"/>
            <w:noWrap/>
            <w:vAlign w:val="bottom"/>
            <w:hideMark/>
          </w:tcPr>
          <w:p w14:paraId="1D651C8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1,682,909</w:t>
            </w:r>
          </w:p>
        </w:tc>
      </w:tr>
      <w:tr w:rsidR="00DD078B" w:rsidRPr="00BA45B7" w14:paraId="2C11C553" w14:textId="77777777" w:rsidTr="00193222">
        <w:trPr>
          <w:trHeight w:val="260"/>
          <w:jc w:val="center"/>
        </w:trPr>
        <w:tc>
          <w:tcPr>
            <w:tcW w:w="540" w:type="dxa"/>
            <w:vMerge/>
            <w:tcBorders>
              <w:top w:val="nil"/>
              <w:left w:val="nil"/>
              <w:right w:val="nil"/>
            </w:tcBorders>
            <w:vAlign w:val="center"/>
            <w:hideMark/>
          </w:tcPr>
          <w:p w14:paraId="1EF4EB48"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single" w:sz="4" w:space="0" w:color="auto"/>
              <w:right w:val="nil"/>
            </w:tcBorders>
            <w:shd w:val="clear" w:color="auto" w:fill="auto"/>
            <w:noWrap/>
            <w:vAlign w:val="center"/>
            <w:hideMark/>
          </w:tcPr>
          <w:p w14:paraId="34F2E7D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Herbert River</w:t>
            </w:r>
          </w:p>
        </w:tc>
        <w:tc>
          <w:tcPr>
            <w:tcW w:w="780" w:type="dxa"/>
            <w:tcBorders>
              <w:top w:val="nil"/>
              <w:left w:val="nil"/>
              <w:bottom w:val="single" w:sz="4" w:space="0" w:color="auto"/>
              <w:right w:val="nil"/>
            </w:tcBorders>
            <w:shd w:val="clear" w:color="auto" w:fill="auto"/>
            <w:noWrap/>
            <w:vAlign w:val="center"/>
            <w:hideMark/>
          </w:tcPr>
          <w:p w14:paraId="65B6311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3,556,376</w:t>
            </w:r>
          </w:p>
        </w:tc>
        <w:tc>
          <w:tcPr>
            <w:tcW w:w="780" w:type="dxa"/>
            <w:tcBorders>
              <w:top w:val="nil"/>
              <w:left w:val="nil"/>
              <w:bottom w:val="single" w:sz="4" w:space="0" w:color="auto"/>
              <w:right w:val="nil"/>
            </w:tcBorders>
            <w:shd w:val="clear" w:color="000000" w:fill="FF0000"/>
            <w:noWrap/>
            <w:vAlign w:val="center"/>
            <w:hideMark/>
          </w:tcPr>
          <w:p w14:paraId="19876DA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12,593,674</w:t>
            </w:r>
          </w:p>
        </w:tc>
        <w:tc>
          <w:tcPr>
            <w:tcW w:w="780" w:type="dxa"/>
            <w:tcBorders>
              <w:top w:val="nil"/>
              <w:left w:val="nil"/>
              <w:bottom w:val="single" w:sz="4" w:space="0" w:color="auto"/>
              <w:right w:val="nil"/>
            </w:tcBorders>
            <w:shd w:val="clear" w:color="auto" w:fill="auto"/>
            <w:noWrap/>
            <w:vAlign w:val="center"/>
            <w:hideMark/>
          </w:tcPr>
          <w:p w14:paraId="7B87192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4,545,193</w:t>
            </w:r>
          </w:p>
        </w:tc>
        <w:tc>
          <w:tcPr>
            <w:tcW w:w="780" w:type="dxa"/>
            <w:tcBorders>
              <w:top w:val="nil"/>
              <w:left w:val="nil"/>
              <w:bottom w:val="single" w:sz="4" w:space="0" w:color="auto"/>
              <w:right w:val="nil"/>
            </w:tcBorders>
            <w:shd w:val="clear" w:color="auto" w:fill="auto"/>
            <w:noWrap/>
            <w:vAlign w:val="center"/>
            <w:hideMark/>
          </w:tcPr>
          <w:p w14:paraId="08DDCE4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3,189,804</w:t>
            </w:r>
          </w:p>
        </w:tc>
        <w:tc>
          <w:tcPr>
            <w:tcW w:w="780" w:type="dxa"/>
            <w:tcBorders>
              <w:top w:val="nil"/>
              <w:left w:val="nil"/>
              <w:bottom w:val="single" w:sz="4" w:space="0" w:color="auto"/>
              <w:right w:val="nil"/>
            </w:tcBorders>
            <w:shd w:val="clear" w:color="auto" w:fill="auto"/>
            <w:noWrap/>
            <w:vAlign w:val="center"/>
            <w:hideMark/>
          </w:tcPr>
          <w:p w14:paraId="4040630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4,281,607</w:t>
            </w:r>
          </w:p>
        </w:tc>
        <w:tc>
          <w:tcPr>
            <w:tcW w:w="780" w:type="dxa"/>
            <w:tcBorders>
              <w:top w:val="nil"/>
              <w:left w:val="nil"/>
              <w:bottom w:val="single" w:sz="4" w:space="0" w:color="auto"/>
              <w:right w:val="nil"/>
            </w:tcBorders>
            <w:shd w:val="clear" w:color="auto" w:fill="auto"/>
            <w:noWrap/>
            <w:vAlign w:val="center"/>
            <w:hideMark/>
          </w:tcPr>
          <w:p w14:paraId="0123AB1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1,095,372</w:t>
            </w:r>
          </w:p>
        </w:tc>
        <w:tc>
          <w:tcPr>
            <w:tcW w:w="780" w:type="dxa"/>
            <w:tcBorders>
              <w:top w:val="nil"/>
              <w:left w:val="nil"/>
              <w:bottom w:val="single" w:sz="4" w:space="0" w:color="auto"/>
              <w:right w:val="nil"/>
            </w:tcBorders>
            <w:shd w:val="clear" w:color="auto" w:fill="auto"/>
            <w:noWrap/>
            <w:vAlign w:val="center"/>
            <w:hideMark/>
          </w:tcPr>
          <w:p w14:paraId="5068010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1,895,526</w:t>
            </w:r>
          </w:p>
        </w:tc>
        <w:tc>
          <w:tcPr>
            <w:tcW w:w="780" w:type="dxa"/>
            <w:tcBorders>
              <w:top w:val="nil"/>
              <w:left w:val="nil"/>
              <w:bottom w:val="single" w:sz="4" w:space="0" w:color="auto"/>
              <w:right w:val="nil"/>
            </w:tcBorders>
            <w:shd w:val="clear" w:color="auto" w:fill="auto"/>
            <w:noWrap/>
            <w:vAlign w:val="bottom"/>
            <w:hideMark/>
          </w:tcPr>
          <w:p w14:paraId="40FD2C3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2,248,436</w:t>
            </w:r>
          </w:p>
        </w:tc>
        <w:tc>
          <w:tcPr>
            <w:tcW w:w="780" w:type="dxa"/>
            <w:tcBorders>
              <w:top w:val="nil"/>
              <w:left w:val="nil"/>
              <w:bottom w:val="single" w:sz="4" w:space="0" w:color="auto"/>
              <w:right w:val="nil"/>
            </w:tcBorders>
            <w:shd w:val="clear" w:color="000000" w:fill="FFFF00"/>
            <w:noWrap/>
            <w:vAlign w:val="bottom"/>
            <w:hideMark/>
          </w:tcPr>
          <w:p w14:paraId="4B94F1E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6,385,655</w:t>
            </w:r>
          </w:p>
        </w:tc>
      </w:tr>
      <w:tr w:rsidR="00DD078B" w:rsidRPr="00BA45B7" w14:paraId="647352EE" w14:textId="77777777" w:rsidTr="00193222">
        <w:trPr>
          <w:trHeight w:val="260"/>
          <w:jc w:val="center"/>
        </w:trPr>
        <w:tc>
          <w:tcPr>
            <w:tcW w:w="540" w:type="dxa"/>
            <w:vMerge w:val="restart"/>
            <w:tcBorders>
              <w:left w:val="nil"/>
              <w:bottom w:val="nil"/>
              <w:right w:val="nil"/>
            </w:tcBorders>
            <w:shd w:val="clear" w:color="auto" w:fill="auto"/>
            <w:noWrap/>
            <w:textDirection w:val="btLr"/>
            <w:vAlign w:val="center"/>
            <w:hideMark/>
          </w:tcPr>
          <w:p w14:paraId="40CBCBC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Burdekin</w:t>
            </w:r>
          </w:p>
        </w:tc>
        <w:tc>
          <w:tcPr>
            <w:tcW w:w="1720" w:type="dxa"/>
            <w:tcBorders>
              <w:top w:val="single" w:sz="4" w:space="0" w:color="auto"/>
              <w:left w:val="nil"/>
              <w:bottom w:val="nil"/>
              <w:right w:val="nil"/>
            </w:tcBorders>
            <w:shd w:val="clear" w:color="auto" w:fill="auto"/>
            <w:noWrap/>
            <w:vAlign w:val="center"/>
            <w:hideMark/>
          </w:tcPr>
          <w:p w14:paraId="65558E3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Black River</w:t>
            </w:r>
          </w:p>
        </w:tc>
        <w:tc>
          <w:tcPr>
            <w:tcW w:w="780" w:type="dxa"/>
            <w:tcBorders>
              <w:top w:val="single" w:sz="4" w:space="0" w:color="auto"/>
              <w:left w:val="nil"/>
              <w:bottom w:val="nil"/>
              <w:right w:val="nil"/>
            </w:tcBorders>
            <w:shd w:val="clear" w:color="auto" w:fill="auto"/>
            <w:noWrap/>
            <w:vAlign w:val="center"/>
            <w:hideMark/>
          </w:tcPr>
          <w:p w14:paraId="1E3D0C8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228,629</w:t>
            </w:r>
          </w:p>
        </w:tc>
        <w:tc>
          <w:tcPr>
            <w:tcW w:w="780" w:type="dxa"/>
            <w:tcBorders>
              <w:top w:val="single" w:sz="4" w:space="0" w:color="auto"/>
              <w:left w:val="nil"/>
              <w:bottom w:val="nil"/>
              <w:right w:val="nil"/>
            </w:tcBorders>
            <w:shd w:val="clear" w:color="000000" w:fill="FF0000"/>
            <w:noWrap/>
            <w:vAlign w:val="center"/>
            <w:hideMark/>
          </w:tcPr>
          <w:p w14:paraId="2715596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1,424,283</w:t>
            </w:r>
          </w:p>
        </w:tc>
        <w:tc>
          <w:tcPr>
            <w:tcW w:w="780" w:type="dxa"/>
            <w:tcBorders>
              <w:top w:val="single" w:sz="4" w:space="0" w:color="auto"/>
              <w:left w:val="nil"/>
              <w:bottom w:val="nil"/>
              <w:right w:val="nil"/>
            </w:tcBorders>
            <w:shd w:val="clear" w:color="000000" w:fill="FF0000"/>
            <w:noWrap/>
            <w:vAlign w:val="center"/>
            <w:hideMark/>
          </w:tcPr>
          <w:p w14:paraId="7913822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747,328</w:t>
            </w:r>
          </w:p>
        </w:tc>
        <w:tc>
          <w:tcPr>
            <w:tcW w:w="780" w:type="dxa"/>
            <w:tcBorders>
              <w:top w:val="single" w:sz="4" w:space="0" w:color="auto"/>
              <w:left w:val="nil"/>
              <w:bottom w:val="nil"/>
              <w:right w:val="nil"/>
            </w:tcBorders>
            <w:shd w:val="clear" w:color="auto" w:fill="auto"/>
            <w:noWrap/>
            <w:vAlign w:val="center"/>
            <w:hideMark/>
          </w:tcPr>
          <w:p w14:paraId="7C752C2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188,468</w:t>
            </w:r>
          </w:p>
        </w:tc>
        <w:tc>
          <w:tcPr>
            <w:tcW w:w="780" w:type="dxa"/>
            <w:tcBorders>
              <w:top w:val="single" w:sz="4" w:space="0" w:color="auto"/>
              <w:left w:val="nil"/>
              <w:bottom w:val="nil"/>
              <w:right w:val="nil"/>
            </w:tcBorders>
            <w:shd w:val="clear" w:color="000000" w:fill="FFFF00"/>
            <w:noWrap/>
            <w:vAlign w:val="center"/>
            <w:hideMark/>
          </w:tcPr>
          <w:p w14:paraId="362B6BC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419,290</w:t>
            </w:r>
          </w:p>
        </w:tc>
        <w:tc>
          <w:tcPr>
            <w:tcW w:w="780" w:type="dxa"/>
            <w:tcBorders>
              <w:top w:val="single" w:sz="4" w:space="0" w:color="auto"/>
              <w:left w:val="nil"/>
              <w:bottom w:val="nil"/>
              <w:right w:val="nil"/>
            </w:tcBorders>
            <w:shd w:val="clear" w:color="auto" w:fill="auto"/>
            <w:noWrap/>
            <w:vAlign w:val="center"/>
            <w:hideMark/>
          </w:tcPr>
          <w:p w14:paraId="3AD246C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17,654</w:t>
            </w:r>
          </w:p>
        </w:tc>
        <w:tc>
          <w:tcPr>
            <w:tcW w:w="780" w:type="dxa"/>
            <w:tcBorders>
              <w:top w:val="single" w:sz="4" w:space="0" w:color="auto"/>
              <w:left w:val="nil"/>
              <w:bottom w:val="nil"/>
              <w:right w:val="nil"/>
            </w:tcBorders>
            <w:shd w:val="clear" w:color="auto" w:fill="auto"/>
            <w:noWrap/>
            <w:vAlign w:val="center"/>
            <w:hideMark/>
          </w:tcPr>
          <w:p w14:paraId="2FF2DEF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129,783</w:t>
            </w:r>
          </w:p>
        </w:tc>
        <w:tc>
          <w:tcPr>
            <w:tcW w:w="780" w:type="dxa"/>
            <w:tcBorders>
              <w:top w:val="single" w:sz="4" w:space="0" w:color="auto"/>
              <w:left w:val="nil"/>
              <w:bottom w:val="nil"/>
              <w:right w:val="nil"/>
            </w:tcBorders>
            <w:shd w:val="clear" w:color="auto" w:fill="auto"/>
            <w:noWrap/>
            <w:vAlign w:val="bottom"/>
            <w:hideMark/>
          </w:tcPr>
          <w:p w14:paraId="1360A84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64,873</w:t>
            </w:r>
          </w:p>
        </w:tc>
        <w:tc>
          <w:tcPr>
            <w:tcW w:w="780" w:type="dxa"/>
            <w:tcBorders>
              <w:top w:val="single" w:sz="4" w:space="0" w:color="auto"/>
              <w:left w:val="nil"/>
              <w:bottom w:val="nil"/>
              <w:right w:val="nil"/>
            </w:tcBorders>
            <w:shd w:val="clear" w:color="000000" w:fill="FF9900"/>
            <w:noWrap/>
            <w:vAlign w:val="bottom"/>
            <w:hideMark/>
          </w:tcPr>
          <w:p w14:paraId="7E24CA5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456,795</w:t>
            </w:r>
          </w:p>
        </w:tc>
      </w:tr>
      <w:tr w:rsidR="00DD078B" w:rsidRPr="00BA45B7" w14:paraId="560A91E7" w14:textId="77777777" w:rsidTr="001F6A7C">
        <w:trPr>
          <w:trHeight w:val="300"/>
          <w:jc w:val="center"/>
        </w:trPr>
        <w:tc>
          <w:tcPr>
            <w:tcW w:w="540" w:type="dxa"/>
            <w:vMerge/>
            <w:tcBorders>
              <w:top w:val="nil"/>
              <w:left w:val="nil"/>
              <w:bottom w:val="nil"/>
              <w:right w:val="nil"/>
            </w:tcBorders>
            <w:vAlign w:val="center"/>
            <w:hideMark/>
          </w:tcPr>
          <w:p w14:paraId="374160E2"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622E919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Ross River</w:t>
            </w:r>
          </w:p>
        </w:tc>
        <w:tc>
          <w:tcPr>
            <w:tcW w:w="780" w:type="dxa"/>
            <w:tcBorders>
              <w:top w:val="nil"/>
              <w:left w:val="nil"/>
              <w:bottom w:val="nil"/>
              <w:right w:val="nil"/>
            </w:tcBorders>
            <w:shd w:val="clear" w:color="auto" w:fill="auto"/>
            <w:noWrap/>
            <w:vAlign w:val="center"/>
            <w:hideMark/>
          </w:tcPr>
          <w:p w14:paraId="2F93753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355,343</w:t>
            </w:r>
          </w:p>
        </w:tc>
        <w:tc>
          <w:tcPr>
            <w:tcW w:w="780" w:type="dxa"/>
            <w:tcBorders>
              <w:top w:val="nil"/>
              <w:left w:val="nil"/>
              <w:bottom w:val="nil"/>
              <w:right w:val="nil"/>
            </w:tcBorders>
            <w:shd w:val="clear" w:color="000000" w:fill="FF0000"/>
            <w:noWrap/>
            <w:vAlign w:val="center"/>
            <w:hideMark/>
          </w:tcPr>
          <w:p w14:paraId="47049D6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2,092,684</w:t>
            </w:r>
          </w:p>
        </w:tc>
        <w:tc>
          <w:tcPr>
            <w:tcW w:w="780" w:type="dxa"/>
            <w:tcBorders>
              <w:top w:val="nil"/>
              <w:left w:val="nil"/>
              <w:bottom w:val="nil"/>
              <w:right w:val="nil"/>
            </w:tcBorders>
            <w:shd w:val="clear" w:color="000000" w:fill="FF0000"/>
            <w:noWrap/>
            <w:vAlign w:val="center"/>
            <w:hideMark/>
          </w:tcPr>
          <w:p w14:paraId="1716DA1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1,324,707</w:t>
            </w:r>
          </w:p>
        </w:tc>
        <w:tc>
          <w:tcPr>
            <w:tcW w:w="780" w:type="dxa"/>
            <w:tcBorders>
              <w:top w:val="nil"/>
              <w:left w:val="nil"/>
              <w:bottom w:val="nil"/>
              <w:right w:val="nil"/>
            </w:tcBorders>
            <w:shd w:val="clear" w:color="auto" w:fill="auto"/>
            <w:noWrap/>
            <w:vAlign w:val="center"/>
            <w:hideMark/>
          </w:tcPr>
          <w:p w14:paraId="62B8CF1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276,584</w:t>
            </w:r>
          </w:p>
        </w:tc>
        <w:tc>
          <w:tcPr>
            <w:tcW w:w="780" w:type="dxa"/>
            <w:tcBorders>
              <w:top w:val="nil"/>
              <w:left w:val="nil"/>
              <w:bottom w:val="nil"/>
              <w:right w:val="nil"/>
            </w:tcBorders>
            <w:shd w:val="clear" w:color="000000" w:fill="FF9900"/>
            <w:noWrap/>
            <w:vAlign w:val="center"/>
            <w:hideMark/>
          </w:tcPr>
          <w:p w14:paraId="66ED641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1,177,255</w:t>
            </w:r>
          </w:p>
        </w:tc>
        <w:tc>
          <w:tcPr>
            <w:tcW w:w="780" w:type="dxa"/>
            <w:tcBorders>
              <w:top w:val="nil"/>
              <w:left w:val="nil"/>
              <w:bottom w:val="nil"/>
              <w:right w:val="nil"/>
            </w:tcBorders>
            <w:shd w:val="clear" w:color="auto" w:fill="auto"/>
            <w:noWrap/>
            <w:vAlign w:val="bottom"/>
            <w:hideMark/>
          </w:tcPr>
          <w:p w14:paraId="3C24E1A7" w14:textId="77777777" w:rsidR="00DD078B" w:rsidRPr="00BA45B7" w:rsidRDefault="00DD078B" w:rsidP="00DD078B">
            <w:pPr>
              <w:spacing w:before="0" w:after="0"/>
              <w:jc w:val="center"/>
              <w:rPr>
                <w:rFonts w:ascii="Arial" w:hAnsi="Arial" w:cs="Arial"/>
                <w:color w:val="000000"/>
                <w:sz w:val="18"/>
                <w:szCs w:val="18"/>
              </w:rPr>
            </w:pPr>
            <w:r w:rsidRPr="00BA45B7">
              <w:rPr>
                <w:rFonts w:ascii="Arial" w:hAnsi="Arial" w:cs="Arial"/>
                <w:color w:val="000000"/>
                <w:sz w:val="18"/>
                <w:szCs w:val="18"/>
              </w:rPr>
              <w:t>3,229</w:t>
            </w:r>
          </w:p>
        </w:tc>
        <w:tc>
          <w:tcPr>
            <w:tcW w:w="780" w:type="dxa"/>
            <w:tcBorders>
              <w:top w:val="nil"/>
              <w:left w:val="nil"/>
              <w:bottom w:val="nil"/>
              <w:right w:val="nil"/>
            </w:tcBorders>
            <w:shd w:val="clear" w:color="auto" w:fill="auto"/>
            <w:noWrap/>
            <w:vAlign w:val="bottom"/>
            <w:hideMark/>
          </w:tcPr>
          <w:p w14:paraId="6DF198B6" w14:textId="77777777" w:rsidR="00DD078B" w:rsidRPr="00BA45B7" w:rsidRDefault="00DD078B" w:rsidP="00DD078B">
            <w:pPr>
              <w:spacing w:before="0" w:after="0"/>
              <w:jc w:val="center"/>
              <w:rPr>
                <w:rFonts w:ascii="Arial" w:hAnsi="Arial" w:cs="Arial"/>
                <w:color w:val="000000"/>
                <w:sz w:val="18"/>
                <w:szCs w:val="18"/>
              </w:rPr>
            </w:pPr>
            <w:r w:rsidRPr="00BA45B7">
              <w:rPr>
                <w:rFonts w:ascii="Arial" w:hAnsi="Arial" w:cs="Arial"/>
                <w:color w:val="000000"/>
                <w:sz w:val="18"/>
                <w:szCs w:val="18"/>
              </w:rPr>
              <w:t>23,741</w:t>
            </w:r>
          </w:p>
        </w:tc>
        <w:tc>
          <w:tcPr>
            <w:tcW w:w="780" w:type="dxa"/>
            <w:tcBorders>
              <w:top w:val="nil"/>
              <w:left w:val="nil"/>
              <w:bottom w:val="nil"/>
              <w:right w:val="nil"/>
            </w:tcBorders>
            <w:shd w:val="clear" w:color="auto" w:fill="auto"/>
            <w:noWrap/>
            <w:vAlign w:val="bottom"/>
            <w:hideMark/>
          </w:tcPr>
          <w:p w14:paraId="687C5E2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11,867</w:t>
            </w:r>
          </w:p>
        </w:tc>
        <w:tc>
          <w:tcPr>
            <w:tcW w:w="780" w:type="dxa"/>
            <w:tcBorders>
              <w:top w:val="nil"/>
              <w:left w:val="nil"/>
              <w:bottom w:val="nil"/>
              <w:right w:val="nil"/>
            </w:tcBorders>
            <w:shd w:val="clear" w:color="auto" w:fill="auto"/>
            <w:noWrap/>
            <w:vAlign w:val="bottom"/>
            <w:hideMark/>
          </w:tcPr>
          <w:p w14:paraId="0635B91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342,596</w:t>
            </w:r>
          </w:p>
        </w:tc>
      </w:tr>
      <w:tr w:rsidR="00DD078B" w:rsidRPr="00BA45B7" w14:paraId="1837F71C" w14:textId="77777777" w:rsidTr="001F6A7C">
        <w:trPr>
          <w:trHeight w:val="260"/>
          <w:jc w:val="center"/>
        </w:trPr>
        <w:tc>
          <w:tcPr>
            <w:tcW w:w="540" w:type="dxa"/>
            <w:vMerge/>
            <w:tcBorders>
              <w:top w:val="nil"/>
              <w:left w:val="nil"/>
              <w:bottom w:val="nil"/>
              <w:right w:val="nil"/>
            </w:tcBorders>
            <w:vAlign w:val="center"/>
            <w:hideMark/>
          </w:tcPr>
          <w:p w14:paraId="6E8C2FFE"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131A24C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Haughton River</w:t>
            </w:r>
          </w:p>
        </w:tc>
        <w:tc>
          <w:tcPr>
            <w:tcW w:w="780" w:type="dxa"/>
            <w:tcBorders>
              <w:top w:val="nil"/>
              <w:left w:val="nil"/>
              <w:bottom w:val="nil"/>
              <w:right w:val="nil"/>
            </w:tcBorders>
            <w:shd w:val="clear" w:color="auto" w:fill="auto"/>
            <w:noWrap/>
            <w:vAlign w:val="center"/>
            <w:hideMark/>
          </w:tcPr>
          <w:p w14:paraId="6D00AEC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553,292</w:t>
            </w:r>
          </w:p>
        </w:tc>
        <w:tc>
          <w:tcPr>
            <w:tcW w:w="780" w:type="dxa"/>
            <w:tcBorders>
              <w:top w:val="nil"/>
              <w:left w:val="nil"/>
              <w:bottom w:val="nil"/>
              <w:right w:val="nil"/>
            </w:tcBorders>
            <w:shd w:val="clear" w:color="000000" w:fill="FF0000"/>
            <w:noWrap/>
            <w:vAlign w:val="center"/>
            <w:hideMark/>
          </w:tcPr>
          <w:p w14:paraId="4E3E81C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2,415,758</w:t>
            </w:r>
          </w:p>
        </w:tc>
        <w:tc>
          <w:tcPr>
            <w:tcW w:w="780" w:type="dxa"/>
            <w:tcBorders>
              <w:top w:val="nil"/>
              <w:left w:val="nil"/>
              <w:bottom w:val="nil"/>
              <w:right w:val="nil"/>
            </w:tcBorders>
            <w:shd w:val="clear" w:color="000000" w:fill="FF0000"/>
            <w:noWrap/>
            <w:vAlign w:val="center"/>
            <w:hideMark/>
          </w:tcPr>
          <w:p w14:paraId="4F06909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1,755,712</w:t>
            </w:r>
          </w:p>
        </w:tc>
        <w:tc>
          <w:tcPr>
            <w:tcW w:w="780" w:type="dxa"/>
            <w:tcBorders>
              <w:top w:val="nil"/>
              <w:left w:val="nil"/>
              <w:bottom w:val="nil"/>
              <w:right w:val="nil"/>
            </w:tcBorders>
            <w:shd w:val="clear" w:color="auto" w:fill="auto"/>
            <w:noWrap/>
            <w:vAlign w:val="center"/>
            <w:hideMark/>
          </w:tcPr>
          <w:p w14:paraId="49E5685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517,069</w:t>
            </w:r>
          </w:p>
        </w:tc>
        <w:tc>
          <w:tcPr>
            <w:tcW w:w="780" w:type="dxa"/>
            <w:tcBorders>
              <w:top w:val="nil"/>
              <w:left w:val="nil"/>
              <w:bottom w:val="nil"/>
              <w:right w:val="nil"/>
            </w:tcBorders>
            <w:shd w:val="clear" w:color="auto" w:fill="auto"/>
            <w:noWrap/>
            <w:vAlign w:val="center"/>
            <w:hideMark/>
          </w:tcPr>
          <w:p w14:paraId="00DFAA2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573,976</w:t>
            </w:r>
          </w:p>
        </w:tc>
        <w:tc>
          <w:tcPr>
            <w:tcW w:w="780" w:type="dxa"/>
            <w:tcBorders>
              <w:top w:val="nil"/>
              <w:left w:val="nil"/>
              <w:bottom w:val="nil"/>
              <w:right w:val="nil"/>
            </w:tcBorders>
            <w:shd w:val="clear" w:color="auto" w:fill="auto"/>
            <w:noWrap/>
            <w:vAlign w:val="center"/>
            <w:hideMark/>
          </w:tcPr>
          <w:p w14:paraId="1F8F023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120,674</w:t>
            </w:r>
          </w:p>
        </w:tc>
        <w:tc>
          <w:tcPr>
            <w:tcW w:w="780" w:type="dxa"/>
            <w:tcBorders>
              <w:top w:val="nil"/>
              <w:left w:val="nil"/>
              <w:bottom w:val="nil"/>
              <w:right w:val="nil"/>
            </w:tcBorders>
            <w:shd w:val="clear" w:color="auto" w:fill="auto"/>
            <w:noWrap/>
            <w:vAlign w:val="center"/>
            <w:hideMark/>
          </w:tcPr>
          <w:p w14:paraId="4C53E6D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267,986</w:t>
            </w:r>
          </w:p>
        </w:tc>
        <w:tc>
          <w:tcPr>
            <w:tcW w:w="780" w:type="dxa"/>
            <w:tcBorders>
              <w:top w:val="nil"/>
              <w:left w:val="nil"/>
              <w:bottom w:val="nil"/>
              <w:right w:val="nil"/>
            </w:tcBorders>
            <w:shd w:val="clear" w:color="auto" w:fill="auto"/>
            <w:noWrap/>
            <w:vAlign w:val="bottom"/>
            <w:hideMark/>
          </w:tcPr>
          <w:p w14:paraId="49CBD80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338,245</w:t>
            </w:r>
          </w:p>
        </w:tc>
        <w:tc>
          <w:tcPr>
            <w:tcW w:w="780" w:type="dxa"/>
            <w:tcBorders>
              <w:top w:val="nil"/>
              <w:left w:val="nil"/>
              <w:bottom w:val="nil"/>
              <w:right w:val="nil"/>
            </w:tcBorders>
            <w:shd w:val="clear" w:color="000000" w:fill="FFFF00"/>
            <w:noWrap/>
            <w:vAlign w:val="bottom"/>
            <w:hideMark/>
          </w:tcPr>
          <w:p w14:paraId="2C2B67C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826,904</w:t>
            </w:r>
          </w:p>
        </w:tc>
      </w:tr>
      <w:tr w:rsidR="00DD078B" w:rsidRPr="00BA45B7" w14:paraId="3100AAB1" w14:textId="77777777" w:rsidTr="001F6A7C">
        <w:trPr>
          <w:trHeight w:val="260"/>
          <w:jc w:val="center"/>
        </w:trPr>
        <w:tc>
          <w:tcPr>
            <w:tcW w:w="540" w:type="dxa"/>
            <w:vMerge/>
            <w:tcBorders>
              <w:top w:val="nil"/>
              <w:left w:val="nil"/>
              <w:bottom w:val="nil"/>
              <w:right w:val="nil"/>
            </w:tcBorders>
            <w:vAlign w:val="center"/>
            <w:hideMark/>
          </w:tcPr>
          <w:p w14:paraId="360FB627"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13CBCCD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Burdekin River</w:t>
            </w:r>
          </w:p>
        </w:tc>
        <w:tc>
          <w:tcPr>
            <w:tcW w:w="780" w:type="dxa"/>
            <w:tcBorders>
              <w:top w:val="nil"/>
              <w:left w:val="nil"/>
              <w:bottom w:val="nil"/>
              <w:right w:val="nil"/>
            </w:tcBorders>
            <w:shd w:val="clear" w:color="auto" w:fill="auto"/>
            <w:noWrap/>
            <w:vAlign w:val="center"/>
            <w:hideMark/>
          </w:tcPr>
          <w:p w14:paraId="0C7EF3D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4,406,780</w:t>
            </w:r>
          </w:p>
        </w:tc>
        <w:tc>
          <w:tcPr>
            <w:tcW w:w="780" w:type="dxa"/>
            <w:tcBorders>
              <w:top w:val="nil"/>
              <w:left w:val="nil"/>
              <w:bottom w:val="nil"/>
              <w:right w:val="nil"/>
            </w:tcBorders>
            <w:shd w:val="clear" w:color="000000" w:fill="FF0000"/>
            <w:noWrap/>
            <w:vAlign w:val="center"/>
            <w:hideMark/>
          </w:tcPr>
          <w:p w14:paraId="7D5CF90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34,834,316</w:t>
            </w:r>
          </w:p>
        </w:tc>
        <w:tc>
          <w:tcPr>
            <w:tcW w:w="780" w:type="dxa"/>
            <w:tcBorders>
              <w:top w:val="nil"/>
              <w:left w:val="nil"/>
              <w:bottom w:val="nil"/>
              <w:right w:val="nil"/>
            </w:tcBorders>
            <w:shd w:val="clear" w:color="000000" w:fill="FF0000"/>
            <w:noWrap/>
            <w:vAlign w:val="center"/>
            <w:hideMark/>
          </w:tcPr>
          <w:p w14:paraId="72CAB31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15,568,159</w:t>
            </w:r>
          </w:p>
        </w:tc>
        <w:tc>
          <w:tcPr>
            <w:tcW w:w="780" w:type="dxa"/>
            <w:tcBorders>
              <w:top w:val="nil"/>
              <w:left w:val="nil"/>
              <w:bottom w:val="nil"/>
              <w:right w:val="nil"/>
            </w:tcBorders>
            <w:shd w:val="clear" w:color="auto" w:fill="auto"/>
            <w:noWrap/>
            <w:vAlign w:val="center"/>
            <w:hideMark/>
          </w:tcPr>
          <w:p w14:paraId="654698F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3,424,572</w:t>
            </w:r>
          </w:p>
        </w:tc>
        <w:tc>
          <w:tcPr>
            <w:tcW w:w="780" w:type="dxa"/>
            <w:tcBorders>
              <w:top w:val="nil"/>
              <w:left w:val="nil"/>
              <w:bottom w:val="nil"/>
              <w:right w:val="nil"/>
            </w:tcBorders>
            <w:shd w:val="clear" w:color="auto" w:fill="auto"/>
            <w:noWrap/>
            <w:vAlign w:val="center"/>
            <w:hideMark/>
          </w:tcPr>
          <w:p w14:paraId="6067C49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1,458,772</w:t>
            </w:r>
          </w:p>
        </w:tc>
        <w:tc>
          <w:tcPr>
            <w:tcW w:w="780" w:type="dxa"/>
            <w:tcBorders>
              <w:top w:val="nil"/>
              <w:left w:val="nil"/>
              <w:bottom w:val="nil"/>
              <w:right w:val="nil"/>
            </w:tcBorders>
            <w:shd w:val="clear" w:color="auto" w:fill="auto"/>
            <w:noWrap/>
            <w:vAlign w:val="center"/>
            <w:hideMark/>
          </w:tcPr>
          <w:p w14:paraId="07EE259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880,951</w:t>
            </w:r>
          </w:p>
        </w:tc>
        <w:tc>
          <w:tcPr>
            <w:tcW w:w="780" w:type="dxa"/>
            <w:tcBorders>
              <w:top w:val="nil"/>
              <w:left w:val="nil"/>
              <w:bottom w:val="nil"/>
              <w:right w:val="nil"/>
            </w:tcBorders>
            <w:shd w:val="clear" w:color="auto" w:fill="auto"/>
            <w:noWrap/>
            <w:vAlign w:val="center"/>
            <w:hideMark/>
          </w:tcPr>
          <w:p w14:paraId="5625871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1,807,104</w:t>
            </w:r>
          </w:p>
        </w:tc>
        <w:tc>
          <w:tcPr>
            <w:tcW w:w="780" w:type="dxa"/>
            <w:tcBorders>
              <w:top w:val="nil"/>
              <w:left w:val="nil"/>
              <w:bottom w:val="nil"/>
              <w:right w:val="nil"/>
            </w:tcBorders>
            <w:shd w:val="clear" w:color="auto" w:fill="auto"/>
            <w:noWrap/>
            <w:vAlign w:val="bottom"/>
            <w:hideMark/>
          </w:tcPr>
          <w:p w14:paraId="78BC911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4,165,129</w:t>
            </w:r>
          </w:p>
        </w:tc>
        <w:tc>
          <w:tcPr>
            <w:tcW w:w="780" w:type="dxa"/>
            <w:tcBorders>
              <w:top w:val="nil"/>
              <w:left w:val="nil"/>
              <w:bottom w:val="nil"/>
              <w:right w:val="nil"/>
            </w:tcBorders>
            <w:shd w:val="clear" w:color="auto" w:fill="auto"/>
            <w:noWrap/>
            <w:vAlign w:val="bottom"/>
            <w:hideMark/>
          </w:tcPr>
          <w:p w14:paraId="7517E6D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5,542,306</w:t>
            </w:r>
          </w:p>
        </w:tc>
      </w:tr>
      <w:tr w:rsidR="00DD078B" w:rsidRPr="00BA45B7" w14:paraId="59819427" w14:textId="77777777" w:rsidTr="00193222">
        <w:trPr>
          <w:trHeight w:val="260"/>
          <w:jc w:val="center"/>
        </w:trPr>
        <w:tc>
          <w:tcPr>
            <w:tcW w:w="540" w:type="dxa"/>
            <w:vMerge/>
            <w:tcBorders>
              <w:top w:val="nil"/>
              <w:left w:val="nil"/>
              <w:right w:val="nil"/>
            </w:tcBorders>
            <w:vAlign w:val="center"/>
            <w:hideMark/>
          </w:tcPr>
          <w:p w14:paraId="01A10C44"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single" w:sz="4" w:space="0" w:color="auto"/>
              <w:right w:val="nil"/>
            </w:tcBorders>
            <w:shd w:val="clear" w:color="auto" w:fill="auto"/>
            <w:noWrap/>
            <w:vAlign w:val="center"/>
            <w:hideMark/>
          </w:tcPr>
          <w:p w14:paraId="1A60368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Don River</w:t>
            </w:r>
          </w:p>
        </w:tc>
        <w:tc>
          <w:tcPr>
            <w:tcW w:w="780" w:type="dxa"/>
            <w:tcBorders>
              <w:top w:val="nil"/>
              <w:left w:val="nil"/>
              <w:bottom w:val="single" w:sz="4" w:space="0" w:color="auto"/>
              <w:right w:val="nil"/>
            </w:tcBorders>
            <w:shd w:val="clear" w:color="auto" w:fill="auto"/>
            <w:noWrap/>
            <w:vAlign w:val="center"/>
            <w:hideMark/>
          </w:tcPr>
          <w:p w14:paraId="7818271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342,257</w:t>
            </w:r>
          </w:p>
        </w:tc>
        <w:tc>
          <w:tcPr>
            <w:tcW w:w="780" w:type="dxa"/>
            <w:tcBorders>
              <w:top w:val="nil"/>
              <w:left w:val="nil"/>
              <w:bottom w:val="single" w:sz="4" w:space="0" w:color="auto"/>
              <w:right w:val="nil"/>
            </w:tcBorders>
            <w:shd w:val="clear" w:color="000000" w:fill="FF0000"/>
            <w:noWrap/>
            <w:vAlign w:val="center"/>
            <w:hideMark/>
          </w:tcPr>
          <w:p w14:paraId="519F969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3,136,184</w:t>
            </w:r>
          </w:p>
        </w:tc>
        <w:tc>
          <w:tcPr>
            <w:tcW w:w="780" w:type="dxa"/>
            <w:tcBorders>
              <w:top w:val="nil"/>
              <w:left w:val="nil"/>
              <w:bottom w:val="single" w:sz="4" w:space="0" w:color="auto"/>
              <w:right w:val="nil"/>
            </w:tcBorders>
            <w:shd w:val="clear" w:color="000000" w:fill="FF9900"/>
            <w:noWrap/>
            <w:vAlign w:val="center"/>
            <w:hideMark/>
          </w:tcPr>
          <w:p w14:paraId="72613E8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802,738</w:t>
            </w:r>
          </w:p>
        </w:tc>
        <w:tc>
          <w:tcPr>
            <w:tcW w:w="780" w:type="dxa"/>
            <w:tcBorders>
              <w:top w:val="nil"/>
              <w:left w:val="nil"/>
              <w:bottom w:val="single" w:sz="4" w:space="0" w:color="auto"/>
              <w:right w:val="nil"/>
            </w:tcBorders>
            <w:shd w:val="clear" w:color="000000" w:fill="FFFF00"/>
            <w:noWrap/>
            <w:vAlign w:val="center"/>
            <w:hideMark/>
          </w:tcPr>
          <w:p w14:paraId="17A89DC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578,391</w:t>
            </w:r>
          </w:p>
        </w:tc>
        <w:tc>
          <w:tcPr>
            <w:tcW w:w="780" w:type="dxa"/>
            <w:tcBorders>
              <w:top w:val="nil"/>
              <w:left w:val="nil"/>
              <w:bottom w:val="single" w:sz="4" w:space="0" w:color="auto"/>
              <w:right w:val="nil"/>
            </w:tcBorders>
            <w:shd w:val="clear" w:color="auto" w:fill="auto"/>
            <w:noWrap/>
            <w:vAlign w:val="center"/>
            <w:hideMark/>
          </w:tcPr>
          <w:p w14:paraId="3ABABCE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324,120</w:t>
            </w:r>
          </w:p>
        </w:tc>
        <w:tc>
          <w:tcPr>
            <w:tcW w:w="780" w:type="dxa"/>
            <w:tcBorders>
              <w:top w:val="nil"/>
              <w:left w:val="nil"/>
              <w:bottom w:val="single" w:sz="4" w:space="0" w:color="auto"/>
              <w:right w:val="nil"/>
            </w:tcBorders>
            <w:shd w:val="clear" w:color="auto" w:fill="auto"/>
            <w:noWrap/>
            <w:vAlign w:val="center"/>
            <w:hideMark/>
          </w:tcPr>
          <w:p w14:paraId="28ECE3C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171,305</w:t>
            </w:r>
          </w:p>
        </w:tc>
        <w:tc>
          <w:tcPr>
            <w:tcW w:w="780" w:type="dxa"/>
            <w:tcBorders>
              <w:top w:val="nil"/>
              <w:left w:val="nil"/>
              <w:bottom w:val="single" w:sz="4" w:space="0" w:color="auto"/>
              <w:right w:val="nil"/>
            </w:tcBorders>
            <w:shd w:val="clear" w:color="auto" w:fill="auto"/>
            <w:noWrap/>
            <w:vAlign w:val="center"/>
            <w:hideMark/>
          </w:tcPr>
          <w:p w14:paraId="22EBDDB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101,562</w:t>
            </w:r>
          </w:p>
        </w:tc>
        <w:tc>
          <w:tcPr>
            <w:tcW w:w="780" w:type="dxa"/>
            <w:tcBorders>
              <w:top w:val="nil"/>
              <w:left w:val="nil"/>
              <w:bottom w:val="single" w:sz="4" w:space="0" w:color="auto"/>
              <w:right w:val="nil"/>
            </w:tcBorders>
            <w:shd w:val="clear" w:color="000000" w:fill="FF9900"/>
            <w:noWrap/>
            <w:vAlign w:val="bottom"/>
            <w:hideMark/>
          </w:tcPr>
          <w:p w14:paraId="4DA51F0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920,610</w:t>
            </w:r>
          </w:p>
        </w:tc>
        <w:tc>
          <w:tcPr>
            <w:tcW w:w="780" w:type="dxa"/>
            <w:tcBorders>
              <w:top w:val="nil"/>
              <w:left w:val="nil"/>
              <w:bottom w:val="single" w:sz="4" w:space="0" w:color="auto"/>
              <w:right w:val="nil"/>
            </w:tcBorders>
            <w:shd w:val="clear" w:color="auto" w:fill="auto"/>
            <w:noWrap/>
            <w:vAlign w:val="bottom"/>
            <w:hideMark/>
          </w:tcPr>
          <w:p w14:paraId="52A3305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135,367</w:t>
            </w:r>
          </w:p>
        </w:tc>
      </w:tr>
      <w:tr w:rsidR="00DD078B" w:rsidRPr="00BA45B7" w14:paraId="3E79EF29" w14:textId="77777777" w:rsidTr="00193222">
        <w:trPr>
          <w:trHeight w:val="260"/>
          <w:jc w:val="center"/>
        </w:trPr>
        <w:tc>
          <w:tcPr>
            <w:tcW w:w="540" w:type="dxa"/>
            <w:vMerge w:val="restart"/>
            <w:tcBorders>
              <w:left w:val="nil"/>
              <w:bottom w:val="nil"/>
              <w:right w:val="nil"/>
            </w:tcBorders>
            <w:shd w:val="clear" w:color="auto" w:fill="auto"/>
            <w:textDirection w:val="btLr"/>
            <w:vAlign w:val="center"/>
            <w:hideMark/>
          </w:tcPr>
          <w:p w14:paraId="5B1D7841" w14:textId="3EF51951" w:rsidR="00DD078B" w:rsidRPr="00BA45B7" w:rsidRDefault="00637325" w:rsidP="00DD078B">
            <w:pPr>
              <w:spacing w:before="0" w:after="0"/>
              <w:jc w:val="center"/>
              <w:rPr>
                <w:rFonts w:ascii="Arial" w:hAnsi="Arial" w:cs="Arial"/>
                <w:sz w:val="18"/>
                <w:szCs w:val="18"/>
              </w:rPr>
            </w:pPr>
            <w:r w:rsidRPr="00BA45B7">
              <w:rPr>
                <w:rFonts w:ascii="Arial" w:hAnsi="Arial" w:cs="Arial"/>
                <w:sz w:val="18"/>
                <w:szCs w:val="18"/>
              </w:rPr>
              <w:t>Mackay-Whitsunday</w:t>
            </w:r>
            <w:r w:rsidR="00DD078B" w:rsidRPr="00BA45B7">
              <w:rPr>
                <w:rFonts w:ascii="Arial" w:hAnsi="Arial" w:cs="Arial"/>
                <w:sz w:val="18"/>
                <w:szCs w:val="18"/>
              </w:rPr>
              <w:t>s</w:t>
            </w:r>
          </w:p>
        </w:tc>
        <w:tc>
          <w:tcPr>
            <w:tcW w:w="1720" w:type="dxa"/>
            <w:tcBorders>
              <w:top w:val="single" w:sz="4" w:space="0" w:color="auto"/>
              <w:left w:val="nil"/>
              <w:bottom w:val="nil"/>
              <w:right w:val="nil"/>
            </w:tcBorders>
            <w:shd w:val="clear" w:color="auto" w:fill="auto"/>
            <w:noWrap/>
            <w:vAlign w:val="center"/>
            <w:hideMark/>
          </w:tcPr>
          <w:p w14:paraId="149B388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Proserpine River</w:t>
            </w:r>
          </w:p>
        </w:tc>
        <w:tc>
          <w:tcPr>
            <w:tcW w:w="780" w:type="dxa"/>
            <w:tcBorders>
              <w:top w:val="single" w:sz="4" w:space="0" w:color="auto"/>
              <w:left w:val="nil"/>
              <w:bottom w:val="nil"/>
              <w:right w:val="nil"/>
            </w:tcBorders>
            <w:shd w:val="clear" w:color="auto" w:fill="auto"/>
            <w:noWrap/>
            <w:vAlign w:val="center"/>
            <w:hideMark/>
          </w:tcPr>
          <w:p w14:paraId="21D4172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887,771</w:t>
            </w:r>
          </w:p>
        </w:tc>
        <w:tc>
          <w:tcPr>
            <w:tcW w:w="780" w:type="dxa"/>
            <w:tcBorders>
              <w:top w:val="single" w:sz="4" w:space="0" w:color="auto"/>
              <w:left w:val="nil"/>
              <w:bottom w:val="nil"/>
              <w:right w:val="nil"/>
            </w:tcBorders>
            <w:shd w:val="clear" w:color="000000" w:fill="FF0000"/>
            <w:noWrap/>
            <w:vAlign w:val="center"/>
            <w:hideMark/>
          </w:tcPr>
          <w:p w14:paraId="60897FB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4,582,697</w:t>
            </w:r>
          </w:p>
        </w:tc>
        <w:tc>
          <w:tcPr>
            <w:tcW w:w="780" w:type="dxa"/>
            <w:tcBorders>
              <w:top w:val="single" w:sz="4" w:space="0" w:color="auto"/>
              <w:left w:val="nil"/>
              <w:bottom w:val="nil"/>
              <w:right w:val="nil"/>
            </w:tcBorders>
            <w:shd w:val="clear" w:color="000000" w:fill="FF9900"/>
            <w:noWrap/>
            <w:vAlign w:val="center"/>
            <w:hideMark/>
          </w:tcPr>
          <w:p w14:paraId="15F5B16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2,171,287</w:t>
            </w:r>
          </w:p>
        </w:tc>
        <w:tc>
          <w:tcPr>
            <w:tcW w:w="780" w:type="dxa"/>
            <w:tcBorders>
              <w:top w:val="single" w:sz="4" w:space="0" w:color="auto"/>
              <w:left w:val="nil"/>
              <w:bottom w:val="nil"/>
              <w:right w:val="nil"/>
            </w:tcBorders>
            <w:shd w:val="clear" w:color="auto" w:fill="auto"/>
            <w:noWrap/>
            <w:vAlign w:val="center"/>
            <w:hideMark/>
          </w:tcPr>
          <w:p w14:paraId="0DA3840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851,504</w:t>
            </w:r>
          </w:p>
        </w:tc>
        <w:tc>
          <w:tcPr>
            <w:tcW w:w="780" w:type="dxa"/>
            <w:tcBorders>
              <w:top w:val="single" w:sz="4" w:space="0" w:color="auto"/>
              <w:left w:val="nil"/>
              <w:bottom w:val="nil"/>
              <w:right w:val="nil"/>
            </w:tcBorders>
            <w:shd w:val="clear" w:color="auto" w:fill="auto"/>
            <w:noWrap/>
            <w:vAlign w:val="center"/>
            <w:hideMark/>
          </w:tcPr>
          <w:p w14:paraId="550DB31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720,427</w:t>
            </w:r>
          </w:p>
        </w:tc>
        <w:tc>
          <w:tcPr>
            <w:tcW w:w="780" w:type="dxa"/>
            <w:tcBorders>
              <w:top w:val="single" w:sz="4" w:space="0" w:color="auto"/>
              <w:left w:val="nil"/>
              <w:bottom w:val="nil"/>
              <w:right w:val="nil"/>
            </w:tcBorders>
            <w:shd w:val="clear" w:color="auto" w:fill="auto"/>
            <w:noWrap/>
            <w:vAlign w:val="center"/>
            <w:hideMark/>
          </w:tcPr>
          <w:p w14:paraId="099BBD4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157,123</w:t>
            </w:r>
          </w:p>
        </w:tc>
        <w:tc>
          <w:tcPr>
            <w:tcW w:w="780" w:type="dxa"/>
            <w:tcBorders>
              <w:top w:val="single" w:sz="4" w:space="0" w:color="auto"/>
              <w:left w:val="nil"/>
              <w:bottom w:val="nil"/>
              <w:right w:val="nil"/>
            </w:tcBorders>
            <w:shd w:val="clear" w:color="auto" w:fill="auto"/>
            <w:noWrap/>
            <w:vAlign w:val="center"/>
            <w:hideMark/>
          </w:tcPr>
          <w:p w14:paraId="36B8999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316,648</w:t>
            </w:r>
          </w:p>
        </w:tc>
        <w:tc>
          <w:tcPr>
            <w:tcW w:w="780" w:type="dxa"/>
            <w:tcBorders>
              <w:top w:val="single" w:sz="4" w:space="0" w:color="auto"/>
              <w:left w:val="nil"/>
              <w:bottom w:val="nil"/>
              <w:right w:val="nil"/>
            </w:tcBorders>
            <w:shd w:val="clear" w:color="000000" w:fill="FFFF00"/>
            <w:noWrap/>
            <w:vAlign w:val="bottom"/>
            <w:hideMark/>
          </w:tcPr>
          <w:p w14:paraId="62EA19E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1,683,894</w:t>
            </w:r>
          </w:p>
        </w:tc>
        <w:tc>
          <w:tcPr>
            <w:tcW w:w="780" w:type="dxa"/>
            <w:tcBorders>
              <w:top w:val="single" w:sz="4" w:space="0" w:color="auto"/>
              <w:left w:val="nil"/>
              <w:bottom w:val="nil"/>
              <w:right w:val="nil"/>
            </w:tcBorders>
            <w:shd w:val="clear" w:color="auto" w:fill="auto"/>
            <w:noWrap/>
            <w:vAlign w:val="bottom"/>
            <w:hideMark/>
          </w:tcPr>
          <w:p w14:paraId="49F105D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543,452</w:t>
            </w:r>
          </w:p>
        </w:tc>
      </w:tr>
      <w:tr w:rsidR="00DD078B" w:rsidRPr="00BA45B7" w14:paraId="24483CFA" w14:textId="77777777" w:rsidTr="001F6A7C">
        <w:trPr>
          <w:trHeight w:val="260"/>
          <w:jc w:val="center"/>
        </w:trPr>
        <w:tc>
          <w:tcPr>
            <w:tcW w:w="540" w:type="dxa"/>
            <w:vMerge/>
            <w:tcBorders>
              <w:top w:val="nil"/>
              <w:left w:val="nil"/>
              <w:bottom w:val="nil"/>
              <w:right w:val="nil"/>
            </w:tcBorders>
            <w:vAlign w:val="center"/>
            <w:hideMark/>
          </w:tcPr>
          <w:p w14:paraId="66D8BA81"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2377D31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O'Connell River</w:t>
            </w:r>
          </w:p>
        </w:tc>
        <w:tc>
          <w:tcPr>
            <w:tcW w:w="780" w:type="dxa"/>
            <w:tcBorders>
              <w:top w:val="nil"/>
              <w:left w:val="nil"/>
              <w:bottom w:val="nil"/>
              <w:right w:val="nil"/>
            </w:tcBorders>
            <w:shd w:val="clear" w:color="auto" w:fill="auto"/>
            <w:noWrap/>
            <w:vAlign w:val="center"/>
            <w:hideMark/>
          </w:tcPr>
          <w:p w14:paraId="46E8CB6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796,718</w:t>
            </w:r>
          </w:p>
        </w:tc>
        <w:tc>
          <w:tcPr>
            <w:tcW w:w="780" w:type="dxa"/>
            <w:tcBorders>
              <w:top w:val="nil"/>
              <w:left w:val="nil"/>
              <w:bottom w:val="nil"/>
              <w:right w:val="nil"/>
            </w:tcBorders>
            <w:shd w:val="clear" w:color="000000" w:fill="FF0000"/>
            <w:noWrap/>
            <w:vAlign w:val="center"/>
            <w:hideMark/>
          </w:tcPr>
          <w:p w14:paraId="6BCF156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4,112,676</w:t>
            </w:r>
          </w:p>
        </w:tc>
        <w:tc>
          <w:tcPr>
            <w:tcW w:w="780" w:type="dxa"/>
            <w:tcBorders>
              <w:top w:val="nil"/>
              <w:left w:val="nil"/>
              <w:bottom w:val="nil"/>
              <w:right w:val="nil"/>
            </w:tcBorders>
            <w:shd w:val="clear" w:color="000000" w:fill="FF9900"/>
            <w:noWrap/>
            <w:vAlign w:val="center"/>
            <w:hideMark/>
          </w:tcPr>
          <w:p w14:paraId="027560C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1,948,591</w:t>
            </w:r>
          </w:p>
        </w:tc>
        <w:tc>
          <w:tcPr>
            <w:tcW w:w="780" w:type="dxa"/>
            <w:tcBorders>
              <w:top w:val="nil"/>
              <w:left w:val="nil"/>
              <w:bottom w:val="nil"/>
              <w:right w:val="nil"/>
            </w:tcBorders>
            <w:shd w:val="clear" w:color="auto" w:fill="auto"/>
            <w:noWrap/>
            <w:vAlign w:val="center"/>
            <w:hideMark/>
          </w:tcPr>
          <w:p w14:paraId="6C0F2B2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764,170</w:t>
            </w:r>
          </w:p>
        </w:tc>
        <w:tc>
          <w:tcPr>
            <w:tcW w:w="780" w:type="dxa"/>
            <w:tcBorders>
              <w:top w:val="nil"/>
              <w:left w:val="nil"/>
              <w:bottom w:val="nil"/>
              <w:right w:val="nil"/>
            </w:tcBorders>
            <w:shd w:val="clear" w:color="auto" w:fill="auto"/>
            <w:noWrap/>
            <w:vAlign w:val="center"/>
            <w:hideMark/>
          </w:tcPr>
          <w:p w14:paraId="1CF6739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646,537</w:t>
            </w:r>
          </w:p>
        </w:tc>
        <w:tc>
          <w:tcPr>
            <w:tcW w:w="780" w:type="dxa"/>
            <w:tcBorders>
              <w:top w:val="nil"/>
              <w:left w:val="nil"/>
              <w:bottom w:val="nil"/>
              <w:right w:val="nil"/>
            </w:tcBorders>
            <w:shd w:val="clear" w:color="auto" w:fill="auto"/>
            <w:noWrap/>
            <w:vAlign w:val="center"/>
            <w:hideMark/>
          </w:tcPr>
          <w:p w14:paraId="35BD80A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141,008</w:t>
            </w:r>
          </w:p>
        </w:tc>
        <w:tc>
          <w:tcPr>
            <w:tcW w:w="780" w:type="dxa"/>
            <w:tcBorders>
              <w:top w:val="nil"/>
              <w:left w:val="nil"/>
              <w:bottom w:val="nil"/>
              <w:right w:val="nil"/>
            </w:tcBorders>
            <w:shd w:val="clear" w:color="auto" w:fill="auto"/>
            <w:noWrap/>
            <w:vAlign w:val="center"/>
            <w:hideMark/>
          </w:tcPr>
          <w:p w14:paraId="41FCAEB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284,171</w:t>
            </w:r>
          </w:p>
        </w:tc>
        <w:tc>
          <w:tcPr>
            <w:tcW w:w="780" w:type="dxa"/>
            <w:tcBorders>
              <w:top w:val="nil"/>
              <w:left w:val="nil"/>
              <w:bottom w:val="nil"/>
              <w:right w:val="nil"/>
            </w:tcBorders>
            <w:shd w:val="clear" w:color="000000" w:fill="FFFF00"/>
            <w:noWrap/>
            <w:vAlign w:val="bottom"/>
            <w:hideMark/>
          </w:tcPr>
          <w:p w14:paraId="15C6FFC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1,511,187</w:t>
            </w:r>
          </w:p>
        </w:tc>
        <w:tc>
          <w:tcPr>
            <w:tcW w:w="780" w:type="dxa"/>
            <w:tcBorders>
              <w:top w:val="nil"/>
              <w:left w:val="nil"/>
              <w:bottom w:val="nil"/>
              <w:right w:val="nil"/>
            </w:tcBorders>
            <w:shd w:val="clear" w:color="auto" w:fill="auto"/>
            <w:noWrap/>
            <w:vAlign w:val="bottom"/>
            <w:hideMark/>
          </w:tcPr>
          <w:p w14:paraId="0E4FBE6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487,713</w:t>
            </w:r>
          </w:p>
        </w:tc>
      </w:tr>
      <w:tr w:rsidR="00DD078B" w:rsidRPr="00BA45B7" w14:paraId="41FD1186" w14:textId="77777777" w:rsidTr="001F6A7C">
        <w:trPr>
          <w:trHeight w:val="260"/>
          <w:jc w:val="center"/>
        </w:trPr>
        <w:tc>
          <w:tcPr>
            <w:tcW w:w="540" w:type="dxa"/>
            <w:vMerge/>
            <w:tcBorders>
              <w:top w:val="nil"/>
              <w:left w:val="nil"/>
              <w:bottom w:val="nil"/>
              <w:right w:val="nil"/>
            </w:tcBorders>
            <w:vAlign w:val="center"/>
            <w:hideMark/>
          </w:tcPr>
          <w:p w14:paraId="02580835"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063F946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Pioneer River</w:t>
            </w:r>
          </w:p>
        </w:tc>
        <w:tc>
          <w:tcPr>
            <w:tcW w:w="780" w:type="dxa"/>
            <w:tcBorders>
              <w:top w:val="nil"/>
              <w:left w:val="nil"/>
              <w:bottom w:val="nil"/>
              <w:right w:val="nil"/>
            </w:tcBorders>
            <w:shd w:val="clear" w:color="auto" w:fill="auto"/>
            <w:noWrap/>
            <w:vAlign w:val="center"/>
            <w:hideMark/>
          </w:tcPr>
          <w:p w14:paraId="502BE66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776,984</w:t>
            </w:r>
          </w:p>
        </w:tc>
        <w:tc>
          <w:tcPr>
            <w:tcW w:w="780" w:type="dxa"/>
            <w:tcBorders>
              <w:top w:val="nil"/>
              <w:left w:val="nil"/>
              <w:bottom w:val="nil"/>
              <w:right w:val="nil"/>
            </w:tcBorders>
            <w:shd w:val="clear" w:color="000000" w:fill="FF0000"/>
            <w:noWrap/>
            <w:vAlign w:val="center"/>
            <w:hideMark/>
          </w:tcPr>
          <w:p w14:paraId="3F33628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3,630,422</w:t>
            </w:r>
          </w:p>
        </w:tc>
        <w:tc>
          <w:tcPr>
            <w:tcW w:w="780" w:type="dxa"/>
            <w:tcBorders>
              <w:top w:val="nil"/>
              <w:left w:val="nil"/>
              <w:bottom w:val="nil"/>
              <w:right w:val="nil"/>
            </w:tcBorders>
            <w:shd w:val="clear" w:color="000000" w:fill="FF9900"/>
            <w:noWrap/>
            <w:vAlign w:val="center"/>
            <w:hideMark/>
          </w:tcPr>
          <w:p w14:paraId="3158243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1,567,684</w:t>
            </w:r>
          </w:p>
        </w:tc>
        <w:tc>
          <w:tcPr>
            <w:tcW w:w="780" w:type="dxa"/>
            <w:tcBorders>
              <w:top w:val="nil"/>
              <w:left w:val="nil"/>
              <w:bottom w:val="nil"/>
              <w:right w:val="nil"/>
            </w:tcBorders>
            <w:shd w:val="clear" w:color="000000" w:fill="FFFF00"/>
            <w:noWrap/>
            <w:vAlign w:val="center"/>
            <w:hideMark/>
          </w:tcPr>
          <w:p w14:paraId="1D725B4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1,162,871</w:t>
            </w:r>
          </w:p>
        </w:tc>
        <w:tc>
          <w:tcPr>
            <w:tcW w:w="780" w:type="dxa"/>
            <w:tcBorders>
              <w:top w:val="nil"/>
              <w:left w:val="nil"/>
              <w:bottom w:val="nil"/>
              <w:right w:val="nil"/>
            </w:tcBorders>
            <w:shd w:val="clear" w:color="auto" w:fill="auto"/>
            <w:noWrap/>
            <w:vAlign w:val="center"/>
            <w:hideMark/>
          </w:tcPr>
          <w:p w14:paraId="4723771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635,315</w:t>
            </w:r>
          </w:p>
        </w:tc>
        <w:tc>
          <w:tcPr>
            <w:tcW w:w="780" w:type="dxa"/>
            <w:tcBorders>
              <w:top w:val="nil"/>
              <w:left w:val="nil"/>
              <w:bottom w:val="nil"/>
              <w:right w:val="nil"/>
            </w:tcBorders>
            <w:shd w:val="clear" w:color="000000" w:fill="FF9900"/>
            <w:noWrap/>
            <w:vAlign w:val="center"/>
            <w:hideMark/>
          </w:tcPr>
          <w:p w14:paraId="369CD38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2,028,936</w:t>
            </w:r>
          </w:p>
        </w:tc>
        <w:tc>
          <w:tcPr>
            <w:tcW w:w="780" w:type="dxa"/>
            <w:tcBorders>
              <w:top w:val="nil"/>
              <w:left w:val="nil"/>
              <w:bottom w:val="nil"/>
              <w:right w:val="nil"/>
            </w:tcBorders>
            <w:shd w:val="clear" w:color="auto" w:fill="auto"/>
            <w:noWrap/>
            <w:vAlign w:val="center"/>
            <w:hideMark/>
          </w:tcPr>
          <w:p w14:paraId="396C770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597,117</w:t>
            </w:r>
          </w:p>
        </w:tc>
        <w:tc>
          <w:tcPr>
            <w:tcW w:w="780" w:type="dxa"/>
            <w:tcBorders>
              <w:top w:val="nil"/>
              <w:left w:val="nil"/>
              <w:bottom w:val="nil"/>
              <w:right w:val="nil"/>
            </w:tcBorders>
            <w:shd w:val="clear" w:color="000000" w:fill="FFFF00"/>
            <w:noWrap/>
            <w:vAlign w:val="bottom"/>
            <w:hideMark/>
          </w:tcPr>
          <w:p w14:paraId="11201BB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1,388,687</w:t>
            </w:r>
          </w:p>
        </w:tc>
        <w:tc>
          <w:tcPr>
            <w:tcW w:w="780" w:type="dxa"/>
            <w:tcBorders>
              <w:top w:val="nil"/>
              <w:left w:val="nil"/>
              <w:bottom w:val="nil"/>
              <w:right w:val="nil"/>
            </w:tcBorders>
            <w:shd w:val="clear" w:color="auto" w:fill="auto"/>
            <w:noWrap/>
            <w:vAlign w:val="bottom"/>
            <w:hideMark/>
          </w:tcPr>
          <w:p w14:paraId="17D42E3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249,530</w:t>
            </w:r>
          </w:p>
        </w:tc>
      </w:tr>
      <w:tr w:rsidR="00DD078B" w:rsidRPr="00BA45B7" w14:paraId="63A5973D" w14:textId="77777777" w:rsidTr="00193222">
        <w:trPr>
          <w:trHeight w:val="260"/>
          <w:jc w:val="center"/>
        </w:trPr>
        <w:tc>
          <w:tcPr>
            <w:tcW w:w="540" w:type="dxa"/>
            <w:vMerge/>
            <w:tcBorders>
              <w:top w:val="nil"/>
              <w:left w:val="nil"/>
              <w:right w:val="nil"/>
            </w:tcBorders>
            <w:vAlign w:val="center"/>
            <w:hideMark/>
          </w:tcPr>
          <w:p w14:paraId="249627F5"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single" w:sz="4" w:space="0" w:color="auto"/>
              <w:right w:val="nil"/>
            </w:tcBorders>
            <w:shd w:val="clear" w:color="auto" w:fill="auto"/>
            <w:noWrap/>
            <w:vAlign w:val="center"/>
            <w:hideMark/>
          </w:tcPr>
          <w:p w14:paraId="2F87B98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Plane Creek</w:t>
            </w:r>
          </w:p>
        </w:tc>
        <w:tc>
          <w:tcPr>
            <w:tcW w:w="780" w:type="dxa"/>
            <w:tcBorders>
              <w:top w:val="nil"/>
              <w:left w:val="nil"/>
              <w:bottom w:val="single" w:sz="4" w:space="0" w:color="auto"/>
              <w:right w:val="nil"/>
            </w:tcBorders>
            <w:shd w:val="clear" w:color="auto" w:fill="auto"/>
            <w:noWrap/>
            <w:vAlign w:val="center"/>
            <w:hideMark/>
          </w:tcPr>
          <w:p w14:paraId="04E5032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1,052,831</w:t>
            </w:r>
          </w:p>
        </w:tc>
        <w:tc>
          <w:tcPr>
            <w:tcW w:w="780" w:type="dxa"/>
            <w:tcBorders>
              <w:top w:val="nil"/>
              <w:left w:val="nil"/>
              <w:bottom w:val="single" w:sz="4" w:space="0" w:color="auto"/>
              <w:right w:val="nil"/>
            </w:tcBorders>
            <w:shd w:val="clear" w:color="000000" w:fill="FF0000"/>
            <w:noWrap/>
            <w:vAlign w:val="center"/>
            <w:hideMark/>
          </w:tcPr>
          <w:p w14:paraId="60B6AED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4,809,239</w:t>
            </w:r>
          </w:p>
        </w:tc>
        <w:tc>
          <w:tcPr>
            <w:tcW w:w="780" w:type="dxa"/>
            <w:tcBorders>
              <w:top w:val="nil"/>
              <w:left w:val="nil"/>
              <w:bottom w:val="single" w:sz="4" w:space="0" w:color="auto"/>
              <w:right w:val="nil"/>
            </w:tcBorders>
            <w:shd w:val="clear" w:color="000000" w:fill="FF9900"/>
            <w:noWrap/>
            <w:vAlign w:val="center"/>
            <w:hideMark/>
          </w:tcPr>
          <w:p w14:paraId="5B5EF08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2,854,703</w:t>
            </w:r>
          </w:p>
        </w:tc>
        <w:tc>
          <w:tcPr>
            <w:tcW w:w="780" w:type="dxa"/>
            <w:tcBorders>
              <w:top w:val="nil"/>
              <w:left w:val="nil"/>
              <w:bottom w:val="single" w:sz="4" w:space="0" w:color="auto"/>
              <w:right w:val="nil"/>
            </w:tcBorders>
            <w:shd w:val="clear" w:color="000000" w:fill="FFFF00"/>
            <w:noWrap/>
            <w:vAlign w:val="center"/>
            <w:hideMark/>
          </w:tcPr>
          <w:p w14:paraId="643E7D9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1,948,929</w:t>
            </w:r>
          </w:p>
        </w:tc>
        <w:tc>
          <w:tcPr>
            <w:tcW w:w="780" w:type="dxa"/>
            <w:tcBorders>
              <w:top w:val="nil"/>
              <w:left w:val="nil"/>
              <w:bottom w:val="single" w:sz="4" w:space="0" w:color="auto"/>
              <w:right w:val="nil"/>
            </w:tcBorders>
            <w:shd w:val="clear" w:color="auto" w:fill="auto"/>
            <w:noWrap/>
            <w:vAlign w:val="center"/>
            <w:hideMark/>
          </w:tcPr>
          <w:p w14:paraId="4C6561E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737,580</w:t>
            </w:r>
          </w:p>
        </w:tc>
        <w:tc>
          <w:tcPr>
            <w:tcW w:w="780" w:type="dxa"/>
            <w:tcBorders>
              <w:top w:val="nil"/>
              <w:left w:val="nil"/>
              <w:bottom w:val="single" w:sz="4" w:space="0" w:color="auto"/>
              <w:right w:val="nil"/>
            </w:tcBorders>
            <w:shd w:val="clear" w:color="auto" w:fill="auto"/>
            <w:noWrap/>
            <w:vAlign w:val="center"/>
            <w:hideMark/>
          </w:tcPr>
          <w:p w14:paraId="68689B8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241,254</w:t>
            </w:r>
          </w:p>
        </w:tc>
        <w:tc>
          <w:tcPr>
            <w:tcW w:w="780" w:type="dxa"/>
            <w:tcBorders>
              <w:top w:val="nil"/>
              <w:left w:val="nil"/>
              <w:bottom w:val="single" w:sz="4" w:space="0" w:color="auto"/>
              <w:right w:val="nil"/>
            </w:tcBorders>
            <w:shd w:val="clear" w:color="auto" w:fill="auto"/>
            <w:noWrap/>
            <w:vAlign w:val="center"/>
            <w:hideMark/>
          </w:tcPr>
          <w:p w14:paraId="10244D8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832,508</w:t>
            </w:r>
          </w:p>
        </w:tc>
        <w:tc>
          <w:tcPr>
            <w:tcW w:w="780" w:type="dxa"/>
            <w:tcBorders>
              <w:top w:val="nil"/>
              <w:left w:val="nil"/>
              <w:bottom w:val="single" w:sz="4" w:space="0" w:color="auto"/>
              <w:right w:val="nil"/>
            </w:tcBorders>
            <w:shd w:val="clear" w:color="000000" w:fill="FF9900"/>
            <w:noWrap/>
            <w:vAlign w:val="bottom"/>
            <w:hideMark/>
          </w:tcPr>
          <w:p w14:paraId="5BBE538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2,613,261</w:t>
            </w:r>
          </w:p>
        </w:tc>
        <w:tc>
          <w:tcPr>
            <w:tcW w:w="780" w:type="dxa"/>
            <w:tcBorders>
              <w:top w:val="nil"/>
              <w:left w:val="nil"/>
              <w:bottom w:val="single" w:sz="4" w:space="0" w:color="auto"/>
              <w:right w:val="nil"/>
            </w:tcBorders>
            <w:shd w:val="clear" w:color="auto" w:fill="auto"/>
            <w:noWrap/>
            <w:vAlign w:val="bottom"/>
            <w:hideMark/>
          </w:tcPr>
          <w:p w14:paraId="2F978A6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273,639</w:t>
            </w:r>
          </w:p>
        </w:tc>
      </w:tr>
      <w:tr w:rsidR="00DD078B" w:rsidRPr="00BA45B7" w14:paraId="441E2522" w14:textId="77777777" w:rsidTr="00193222">
        <w:trPr>
          <w:trHeight w:val="260"/>
          <w:jc w:val="center"/>
        </w:trPr>
        <w:tc>
          <w:tcPr>
            <w:tcW w:w="540" w:type="dxa"/>
            <w:vMerge w:val="restart"/>
            <w:tcBorders>
              <w:left w:val="nil"/>
              <w:bottom w:val="nil"/>
              <w:right w:val="nil"/>
            </w:tcBorders>
            <w:shd w:val="clear" w:color="auto" w:fill="auto"/>
            <w:noWrap/>
            <w:textDirection w:val="btLr"/>
            <w:vAlign w:val="center"/>
            <w:hideMark/>
          </w:tcPr>
          <w:p w14:paraId="62A7E8B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Fitzroy</w:t>
            </w:r>
          </w:p>
        </w:tc>
        <w:tc>
          <w:tcPr>
            <w:tcW w:w="1720" w:type="dxa"/>
            <w:tcBorders>
              <w:top w:val="single" w:sz="4" w:space="0" w:color="auto"/>
              <w:left w:val="nil"/>
              <w:bottom w:val="nil"/>
              <w:right w:val="nil"/>
            </w:tcBorders>
            <w:shd w:val="clear" w:color="auto" w:fill="auto"/>
            <w:noWrap/>
            <w:vAlign w:val="center"/>
            <w:hideMark/>
          </w:tcPr>
          <w:p w14:paraId="5E984B8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Styx River</w:t>
            </w:r>
          </w:p>
        </w:tc>
        <w:tc>
          <w:tcPr>
            <w:tcW w:w="780" w:type="dxa"/>
            <w:tcBorders>
              <w:top w:val="single" w:sz="4" w:space="0" w:color="auto"/>
              <w:left w:val="nil"/>
              <w:bottom w:val="nil"/>
              <w:right w:val="nil"/>
            </w:tcBorders>
            <w:shd w:val="clear" w:color="auto" w:fill="auto"/>
            <w:noWrap/>
            <w:vAlign w:val="center"/>
            <w:hideMark/>
          </w:tcPr>
          <w:p w14:paraId="1395CAE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205,186</w:t>
            </w:r>
          </w:p>
        </w:tc>
        <w:tc>
          <w:tcPr>
            <w:tcW w:w="780" w:type="dxa"/>
            <w:tcBorders>
              <w:top w:val="single" w:sz="4" w:space="0" w:color="auto"/>
              <w:left w:val="nil"/>
              <w:bottom w:val="nil"/>
              <w:right w:val="nil"/>
            </w:tcBorders>
            <w:shd w:val="clear" w:color="000000" w:fill="FF0000"/>
            <w:noWrap/>
            <w:vAlign w:val="center"/>
            <w:hideMark/>
          </w:tcPr>
          <w:p w14:paraId="7496432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906,144</w:t>
            </w:r>
          </w:p>
        </w:tc>
        <w:tc>
          <w:tcPr>
            <w:tcW w:w="780" w:type="dxa"/>
            <w:tcBorders>
              <w:top w:val="single" w:sz="4" w:space="0" w:color="auto"/>
              <w:left w:val="nil"/>
              <w:bottom w:val="nil"/>
              <w:right w:val="nil"/>
            </w:tcBorders>
            <w:shd w:val="clear" w:color="000000" w:fill="FFFF00"/>
            <w:noWrap/>
            <w:vAlign w:val="center"/>
            <w:hideMark/>
          </w:tcPr>
          <w:p w14:paraId="439C233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275,219</w:t>
            </w:r>
          </w:p>
        </w:tc>
        <w:tc>
          <w:tcPr>
            <w:tcW w:w="780" w:type="dxa"/>
            <w:tcBorders>
              <w:top w:val="single" w:sz="4" w:space="0" w:color="auto"/>
              <w:left w:val="nil"/>
              <w:bottom w:val="nil"/>
              <w:right w:val="nil"/>
            </w:tcBorders>
            <w:shd w:val="clear" w:color="000000" w:fill="FF0000"/>
            <w:noWrap/>
            <w:vAlign w:val="center"/>
            <w:hideMark/>
          </w:tcPr>
          <w:p w14:paraId="57FEBC6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968,106</w:t>
            </w:r>
          </w:p>
        </w:tc>
        <w:tc>
          <w:tcPr>
            <w:tcW w:w="780" w:type="dxa"/>
            <w:tcBorders>
              <w:top w:val="single" w:sz="4" w:space="0" w:color="auto"/>
              <w:left w:val="nil"/>
              <w:bottom w:val="nil"/>
              <w:right w:val="nil"/>
            </w:tcBorders>
            <w:shd w:val="clear" w:color="000000" w:fill="FF9900"/>
            <w:noWrap/>
            <w:vAlign w:val="center"/>
            <w:hideMark/>
          </w:tcPr>
          <w:p w14:paraId="628FB98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544,155</w:t>
            </w:r>
          </w:p>
        </w:tc>
        <w:tc>
          <w:tcPr>
            <w:tcW w:w="780" w:type="dxa"/>
            <w:tcBorders>
              <w:top w:val="single" w:sz="4" w:space="0" w:color="auto"/>
              <w:left w:val="nil"/>
              <w:bottom w:val="nil"/>
              <w:right w:val="nil"/>
            </w:tcBorders>
            <w:shd w:val="clear" w:color="000000" w:fill="FF9900"/>
            <w:noWrap/>
            <w:vAlign w:val="center"/>
            <w:hideMark/>
          </w:tcPr>
          <w:p w14:paraId="3ECE3E2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376,009</w:t>
            </w:r>
          </w:p>
        </w:tc>
        <w:tc>
          <w:tcPr>
            <w:tcW w:w="780" w:type="dxa"/>
            <w:tcBorders>
              <w:top w:val="single" w:sz="4" w:space="0" w:color="auto"/>
              <w:left w:val="nil"/>
              <w:bottom w:val="nil"/>
              <w:right w:val="nil"/>
            </w:tcBorders>
            <w:shd w:val="clear" w:color="000000" w:fill="FFFF00"/>
            <w:noWrap/>
            <w:vAlign w:val="center"/>
            <w:hideMark/>
          </w:tcPr>
          <w:p w14:paraId="09330F2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343,877</w:t>
            </w:r>
          </w:p>
        </w:tc>
        <w:tc>
          <w:tcPr>
            <w:tcW w:w="780" w:type="dxa"/>
            <w:tcBorders>
              <w:top w:val="single" w:sz="4" w:space="0" w:color="auto"/>
              <w:left w:val="nil"/>
              <w:bottom w:val="nil"/>
              <w:right w:val="nil"/>
            </w:tcBorders>
            <w:shd w:val="clear" w:color="000000" w:fill="FF9900"/>
            <w:noWrap/>
            <w:vAlign w:val="bottom"/>
            <w:hideMark/>
          </w:tcPr>
          <w:p w14:paraId="06D9DCE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507,927</w:t>
            </w:r>
          </w:p>
        </w:tc>
        <w:tc>
          <w:tcPr>
            <w:tcW w:w="780" w:type="dxa"/>
            <w:tcBorders>
              <w:top w:val="single" w:sz="4" w:space="0" w:color="auto"/>
              <w:left w:val="nil"/>
              <w:bottom w:val="nil"/>
              <w:right w:val="nil"/>
            </w:tcBorders>
            <w:shd w:val="clear" w:color="auto" w:fill="auto"/>
            <w:noWrap/>
            <w:vAlign w:val="bottom"/>
            <w:hideMark/>
          </w:tcPr>
          <w:p w14:paraId="6EFB920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263,556</w:t>
            </w:r>
          </w:p>
        </w:tc>
      </w:tr>
      <w:tr w:rsidR="00DD078B" w:rsidRPr="00BA45B7" w14:paraId="507F4FF0" w14:textId="77777777" w:rsidTr="001F6A7C">
        <w:trPr>
          <w:trHeight w:val="260"/>
          <w:jc w:val="center"/>
        </w:trPr>
        <w:tc>
          <w:tcPr>
            <w:tcW w:w="540" w:type="dxa"/>
            <w:vMerge/>
            <w:tcBorders>
              <w:top w:val="nil"/>
              <w:left w:val="nil"/>
              <w:bottom w:val="nil"/>
              <w:right w:val="nil"/>
            </w:tcBorders>
            <w:vAlign w:val="center"/>
            <w:hideMark/>
          </w:tcPr>
          <w:p w14:paraId="5383564D"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7092B6B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Shoalwater Creek</w:t>
            </w:r>
          </w:p>
        </w:tc>
        <w:tc>
          <w:tcPr>
            <w:tcW w:w="780" w:type="dxa"/>
            <w:tcBorders>
              <w:top w:val="nil"/>
              <w:left w:val="nil"/>
              <w:bottom w:val="nil"/>
              <w:right w:val="nil"/>
            </w:tcBorders>
            <w:shd w:val="clear" w:color="auto" w:fill="auto"/>
            <w:noWrap/>
            <w:vAlign w:val="center"/>
            <w:hideMark/>
          </w:tcPr>
          <w:p w14:paraId="4778762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233,488</w:t>
            </w:r>
          </w:p>
        </w:tc>
        <w:tc>
          <w:tcPr>
            <w:tcW w:w="780" w:type="dxa"/>
            <w:tcBorders>
              <w:top w:val="nil"/>
              <w:left w:val="nil"/>
              <w:bottom w:val="nil"/>
              <w:right w:val="nil"/>
            </w:tcBorders>
            <w:shd w:val="clear" w:color="000000" w:fill="FF0000"/>
            <w:noWrap/>
            <w:vAlign w:val="center"/>
            <w:hideMark/>
          </w:tcPr>
          <w:p w14:paraId="735990C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1,031,129</w:t>
            </w:r>
          </w:p>
        </w:tc>
        <w:tc>
          <w:tcPr>
            <w:tcW w:w="780" w:type="dxa"/>
            <w:tcBorders>
              <w:top w:val="nil"/>
              <w:left w:val="nil"/>
              <w:bottom w:val="nil"/>
              <w:right w:val="nil"/>
            </w:tcBorders>
            <w:shd w:val="clear" w:color="000000" w:fill="FFFF00"/>
            <w:noWrap/>
            <w:vAlign w:val="center"/>
            <w:hideMark/>
          </w:tcPr>
          <w:p w14:paraId="4E132D1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313,180</w:t>
            </w:r>
          </w:p>
        </w:tc>
        <w:tc>
          <w:tcPr>
            <w:tcW w:w="780" w:type="dxa"/>
            <w:tcBorders>
              <w:top w:val="nil"/>
              <w:left w:val="nil"/>
              <w:bottom w:val="nil"/>
              <w:right w:val="nil"/>
            </w:tcBorders>
            <w:shd w:val="clear" w:color="000000" w:fill="FF0000"/>
            <w:noWrap/>
            <w:vAlign w:val="center"/>
            <w:hideMark/>
          </w:tcPr>
          <w:p w14:paraId="50B63B5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1,101,638</w:t>
            </w:r>
          </w:p>
        </w:tc>
        <w:tc>
          <w:tcPr>
            <w:tcW w:w="780" w:type="dxa"/>
            <w:tcBorders>
              <w:top w:val="nil"/>
              <w:left w:val="nil"/>
              <w:bottom w:val="nil"/>
              <w:right w:val="nil"/>
            </w:tcBorders>
            <w:shd w:val="clear" w:color="000000" w:fill="FF9900"/>
            <w:noWrap/>
            <w:vAlign w:val="center"/>
            <w:hideMark/>
          </w:tcPr>
          <w:p w14:paraId="7A0FBDA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619,211</w:t>
            </w:r>
          </w:p>
        </w:tc>
        <w:tc>
          <w:tcPr>
            <w:tcW w:w="780" w:type="dxa"/>
            <w:tcBorders>
              <w:top w:val="nil"/>
              <w:left w:val="nil"/>
              <w:bottom w:val="nil"/>
              <w:right w:val="nil"/>
            </w:tcBorders>
            <w:shd w:val="clear" w:color="000000" w:fill="FF9900"/>
            <w:noWrap/>
            <w:vAlign w:val="center"/>
            <w:hideMark/>
          </w:tcPr>
          <w:p w14:paraId="48EC180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427,872</w:t>
            </w:r>
          </w:p>
        </w:tc>
        <w:tc>
          <w:tcPr>
            <w:tcW w:w="780" w:type="dxa"/>
            <w:tcBorders>
              <w:top w:val="nil"/>
              <w:left w:val="nil"/>
              <w:bottom w:val="nil"/>
              <w:right w:val="nil"/>
            </w:tcBorders>
            <w:shd w:val="clear" w:color="000000" w:fill="FFFF00"/>
            <w:noWrap/>
            <w:vAlign w:val="center"/>
            <w:hideMark/>
          </w:tcPr>
          <w:p w14:paraId="24625BF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391,308</w:t>
            </w:r>
          </w:p>
        </w:tc>
        <w:tc>
          <w:tcPr>
            <w:tcW w:w="780" w:type="dxa"/>
            <w:tcBorders>
              <w:top w:val="nil"/>
              <w:left w:val="nil"/>
              <w:bottom w:val="nil"/>
              <w:right w:val="nil"/>
            </w:tcBorders>
            <w:shd w:val="clear" w:color="000000" w:fill="FF9900"/>
            <w:noWrap/>
            <w:vAlign w:val="bottom"/>
            <w:hideMark/>
          </w:tcPr>
          <w:p w14:paraId="6C7019D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577,985</w:t>
            </w:r>
          </w:p>
        </w:tc>
        <w:tc>
          <w:tcPr>
            <w:tcW w:w="780" w:type="dxa"/>
            <w:tcBorders>
              <w:top w:val="nil"/>
              <w:left w:val="nil"/>
              <w:bottom w:val="nil"/>
              <w:right w:val="nil"/>
            </w:tcBorders>
            <w:shd w:val="clear" w:color="auto" w:fill="auto"/>
            <w:noWrap/>
            <w:vAlign w:val="bottom"/>
            <w:hideMark/>
          </w:tcPr>
          <w:p w14:paraId="239CC6B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299,909</w:t>
            </w:r>
          </w:p>
        </w:tc>
      </w:tr>
      <w:tr w:rsidR="00DD078B" w:rsidRPr="00BA45B7" w14:paraId="6BF39028" w14:textId="77777777" w:rsidTr="001F6A7C">
        <w:trPr>
          <w:trHeight w:val="260"/>
          <w:jc w:val="center"/>
        </w:trPr>
        <w:tc>
          <w:tcPr>
            <w:tcW w:w="540" w:type="dxa"/>
            <w:vMerge/>
            <w:tcBorders>
              <w:top w:val="nil"/>
              <w:left w:val="nil"/>
              <w:bottom w:val="nil"/>
              <w:right w:val="nil"/>
            </w:tcBorders>
            <w:vAlign w:val="center"/>
            <w:hideMark/>
          </w:tcPr>
          <w:p w14:paraId="3F2A89A6"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5DEF688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Water Park Creek</w:t>
            </w:r>
          </w:p>
        </w:tc>
        <w:tc>
          <w:tcPr>
            <w:tcW w:w="780" w:type="dxa"/>
            <w:tcBorders>
              <w:top w:val="nil"/>
              <w:left w:val="nil"/>
              <w:bottom w:val="nil"/>
              <w:right w:val="nil"/>
            </w:tcBorders>
            <w:shd w:val="clear" w:color="auto" w:fill="auto"/>
            <w:noWrap/>
            <w:vAlign w:val="center"/>
            <w:hideMark/>
          </w:tcPr>
          <w:p w14:paraId="4489672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615,559</w:t>
            </w:r>
          </w:p>
        </w:tc>
        <w:tc>
          <w:tcPr>
            <w:tcW w:w="780" w:type="dxa"/>
            <w:tcBorders>
              <w:top w:val="nil"/>
              <w:left w:val="nil"/>
              <w:bottom w:val="nil"/>
              <w:right w:val="nil"/>
            </w:tcBorders>
            <w:shd w:val="clear" w:color="000000" w:fill="FF0000"/>
            <w:noWrap/>
            <w:vAlign w:val="center"/>
            <w:hideMark/>
          </w:tcPr>
          <w:p w14:paraId="6647C6F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2,718,432</w:t>
            </w:r>
          </w:p>
        </w:tc>
        <w:tc>
          <w:tcPr>
            <w:tcW w:w="780" w:type="dxa"/>
            <w:tcBorders>
              <w:top w:val="nil"/>
              <w:left w:val="nil"/>
              <w:bottom w:val="nil"/>
              <w:right w:val="nil"/>
            </w:tcBorders>
            <w:shd w:val="clear" w:color="000000" w:fill="FFFF00"/>
            <w:noWrap/>
            <w:vAlign w:val="center"/>
            <w:hideMark/>
          </w:tcPr>
          <w:p w14:paraId="6AA8021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825,657</w:t>
            </w:r>
          </w:p>
        </w:tc>
        <w:tc>
          <w:tcPr>
            <w:tcW w:w="780" w:type="dxa"/>
            <w:tcBorders>
              <w:top w:val="nil"/>
              <w:left w:val="nil"/>
              <w:bottom w:val="nil"/>
              <w:right w:val="nil"/>
            </w:tcBorders>
            <w:shd w:val="clear" w:color="000000" w:fill="FF0000"/>
            <w:noWrap/>
            <w:vAlign w:val="center"/>
            <w:hideMark/>
          </w:tcPr>
          <w:p w14:paraId="4A64ED7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2,904,319</w:t>
            </w:r>
          </w:p>
        </w:tc>
        <w:tc>
          <w:tcPr>
            <w:tcW w:w="780" w:type="dxa"/>
            <w:tcBorders>
              <w:top w:val="nil"/>
              <w:left w:val="nil"/>
              <w:bottom w:val="nil"/>
              <w:right w:val="nil"/>
            </w:tcBorders>
            <w:shd w:val="clear" w:color="000000" w:fill="FF9900"/>
            <w:noWrap/>
            <w:vAlign w:val="center"/>
            <w:hideMark/>
          </w:tcPr>
          <w:p w14:paraId="1CF6E88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1,632,466</w:t>
            </w:r>
          </w:p>
        </w:tc>
        <w:tc>
          <w:tcPr>
            <w:tcW w:w="780" w:type="dxa"/>
            <w:tcBorders>
              <w:top w:val="nil"/>
              <w:left w:val="nil"/>
              <w:bottom w:val="nil"/>
              <w:right w:val="nil"/>
            </w:tcBorders>
            <w:shd w:val="clear" w:color="000000" w:fill="FF9900"/>
            <w:noWrap/>
            <w:vAlign w:val="center"/>
            <w:hideMark/>
          </w:tcPr>
          <w:p w14:paraId="4742D43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1,128,027</w:t>
            </w:r>
          </w:p>
        </w:tc>
        <w:tc>
          <w:tcPr>
            <w:tcW w:w="780" w:type="dxa"/>
            <w:tcBorders>
              <w:top w:val="nil"/>
              <w:left w:val="nil"/>
              <w:bottom w:val="nil"/>
              <w:right w:val="nil"/>
            </w:tcBorders>
            <w:shd w:val="clear" w:color="000000" w:fill="FFFF00"/>
            <w:noWrap/>
            <w:vAlign w:val="center"/>
            <w:hideMark/>
          </w:tcPr>
          <w:p w14:paraId="69D407A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1,031,630</w:t>
            </w:r>
          </w:p>
        </w:tc>
        <w:tc>
          <w:tcPr>
            <w:tcW w:w="780" w:type="dxa"/>
            <w:tcBorders>
              <w:top w:val="nil"/>
              <w:left w:val="nil"/>
              <w:bottom w:val="nil"/>
              <w:right w:val="nil"/>
            </w:tcBorders>
            <w:shd w:val="clear" w:color="000000" w:fill="FF9900"/>
            <w:noWrap/>
            <w:vAlign w:val="bottom"/>
            <w:hideMark/>
          </w:tcPr>
          <w:p w14:paraId="0636DBC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1,523,780</w:t>
            </w:r>
          </w:p>
        </w:tc>
        <w:tc>
          <w:tcPr>
            <w:tcW w:w="780" w:type="dxa"/>
            <w:tcBorders>
              <w:top w:val="nil"/>
              <w:left w:val="nil"/>
              <w:bottom w:val="nil"/>
              <w:right w:val="nil"/>
            </w:tcBorders>
            <w:shd w:val="clear" w:color="auto" w:fill="auto"/>
            <w:noWrap/>
            <w:vAlign w:val="bottom"/>
            <w:hideMark/>
          </w:tcPr>
          <w:p w14:paraId="01992A2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790,668</w:t>
            </w:r>
          </w:p>
        </w:tc>
      </w:tr>
      <w:tr w:rsidR="00DD078B" w:rsidRPr="00BA45B7" w14:paraId="7A587D6B" w14:textId="77777777" w:rsidTr="001F6A7C">
        <w:trPr>
          <w:trHeight w:val="260"/>
          <w:jc w:val="center"/>
        </w:trPr>
        <w:tc>
          <w:tcPr>
            <w:tcW w:w="540" w:type="dxa"/>
            <w:vMerge/>
            <w:tcBorders>
              <w:top w:val="nil"/>
              <w:left w:val="nil"/>
              <w:bottom w:val="nil"/>
              <w:right w:val="nil"/>
            </w:tcBorders>
            <w:vAlign w:val="center"/>
            <w:hideMark/>
          </w:tcPr>
          <w:p w14:paraId="79EE34E2"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426FAC2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Fitzroy River</w:t>
            </w:r>
          </w:p>
        </w:tc>
        <w:tc>
          <w:tcPr>
            <w:tcW w:w="780" w:type="dxa"/>
            <w:tcBorders>
              <w:top w:val="nil"/>
              <w:left w:val="nil"/>
              <w:bottom w:val="nil"/>
              <w:right w:val="nil"/>
            </w:tcBorders>
            <w:shd w:val="clear" w:color="auto" w:fill="auto"/>
            <w:noWrap/>
            <w:vAlign w:val="center"/>
            <w:hideMark/>
          </w:tcPr>
          <w:p w14:paraId="512B225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2,852,307</w:t>
            </w:r>
          </w:p>
        </w:tc>
        <w:tc>
          <w:tcPr>
            <w:tcW w:w="780" w:type="dxa"/>
            <w:tcBorders>
              <w:top w:val="nil"/>
              <w:left w:val="nil"/>
              <w:bottom w:val="nil"/>
              <w:right w:val="nil"/>
            </w:tcBorders>
            <w:shd w:val="clear" w:color="000000" w:fill="FF0000"/>
            <w:noWrap/>
            <w:vAlign w:val="center"/>
            <w:hideMark/>
          </w:tcPr>
          <w:p w14:paraId="7ED2225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37,942,149</w:t>
            </w:r>
          </w:p>
        </w:tc>
        <w:tc>
          <w:tcPr>
            <w:tcW w:w="780" w:type="dxa"/>
            <w:tcBorders>
              <w:top w:val="nil"/>
              <w:left w:val="nil"/>
              <w:bottom w:val="nil"/>
              <w:right w:val="nil"/>
            </w:tcBorders>
            <w:shd w:val="clear" w:color="000000" w:fill="FF9900"/>
            <w:noWrap/>
            <w:vAlign w:val="center"/>
            <w:hideMark/>
          </w:tcPr>
          <w:p w14:paraId="5E7CA4F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7,993,273</w:t>
            </w:r>
          </w:p>
        </w:tc>
        <w:tc>
          <w:tcPr>
            <w:tcW w:w="780" w:type="dxa"/>
            <w:tcBorders>
              <w:top w:val="nil"/>
              <w:left w:val="nil"/>
              <w:bottom w:val="nil"/>
              <w:right w:val="nil"/>
            </w:tcBorders>
            <w:shd w:val="clear" w:color="000000" w:fill="FF0000"/>
            <w:noWrap/>
            <w:vAlign w:val="center"/>
            <w:hideMark/>
          </w:tcPr>
          <w:p w14:paraId="6ED29D6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8,530,491</w:t>
            </w:r>
          </w:p>
        </w:tc>
        <w:tc>
          <w:tcPr>
            <w:tcW w:w="780" w:type="dxa"/>
            <w:tcBorders>
              <w:top w:val="nil"/>
              <w:left w:val="nil"/>
              <w:bottom w:val="nil"/>
              <w:right w:val="nil"/>
            </w:tcBorders>
            <w:shd w:val="clear" w:color="auto" w:fill="auto"/>
            <w:noWrap/>
            <w:vAlign w:val="center"/>
            <w:hideMark/>
          </w:tcPr>
          <w:p w14:paraId="20EE7A2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1,578,610</w:t>
            </w:r>
          </w:p>
        </w:tc>
        <w:tc>
          <w:tcPr>
            <w:tcW w:w="780" w:type="dxa"/>
            <w:tcBorders>
              <w:top w:val="nil"/>
              <w:left w:val="nil"/>
              <w:bottom w:val="nil"/>
              <w:right w:val="nil"/>
            </w:tcBorders>
            <w:shd w:val="clear" w:color="auto" w:fill="auto"/>
            <w:noWrap/>
            <w:vAlign w:val="center"/>
            <w:hideMark/>
          </w:tcPr>
          <w:p w14:paraId="77D0E0F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2,681,949</w:t>
            </w:r>
          </w:p>
        </w:tc>
        <w:tc>
          <w:tcPr>
            <w:tcW w:w="780" w:type="dxa"/>
            <w:tcBorders>
              <w:top w:val="nil"/>
              <w:left w:val="nil"/>
              <w:bottom w:val="nil"/>
              <w:right w:val="nil"/>
            </w:tcBorders>
            <w:shd w:val="clear" w:color="auto" w:fill="auto"/>
            <w:noWrap/>
            <w:vAlign w:val="center"/>
            <w:hideMark/>
          </w:tcPr>
          <w:p w14:paraId="23524EE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3,589,342</w:t>
            </w:r>
          </w:p>
        </w:tc>
        <w:tc>
          <w:tcPr>
            <w:tcW w:w="780" w:type="dxa"/>
            <w:tcBorders>
              <w:top w:val="nil"/>
              <w:left w:val="nil"/>
              <w:bottom w:val="nil"/>
              <w:right w:val="nil"/>
            </w:tcBorders>
            <w:shd w:val="clear" w:color="000000" w:fill="FF9900"/>
            <w:noWrap/>
            <w:vAlign w:val="bottom"/>
            <w:hideMark/>
          </w:tcPr>
          <w:p w14:paraId="27AA97C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6,170,044</w:t>
            </w:r>
          </w:p>
        </w:tc>
        <w:tc>
          <w:tcPr>
            <w:tcW w:w="780" w:type="dxa"/>
            <w:tcBorders>
              <w:top w:val="nil"/>
              <w:left w:val="nil"/>
              <w:bottom w:val="nil"/>
              <w:right w:val="nil"/>
            </w:tcBorders>
            <w:shd w:val="clear" w:color="auto" w:fill="auto"/>
            <w:noWrap/>
            <w:vAlign w:val="bottom"/>
            <w:hideMark/>
          </w:tcPr>
          <w:p w14:paraId="568D007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954,533</w:t>
            </w:r>
          </w:p>
        </w:tc>
      </w:tr>
      <w:tr w:rsidR="00DD078B" w:rsidRPr="00BA45B7" w14:paraId="6D87F8B9" w14:textId="77777777" w:rsidTr="001F6A7C">
        <w:trPr>
          <w:trHeight w:val="260"/>
          <w:jc w:val="center"/>
        </w:trPr>
        <w:tc>
          <w:tcPr>
            <w:tcW w:w="540" w:type="dxa"/>
            <w:vMerge/>
            <w:tcBorders>
              <w:top w:val="nil"/>
              <w:left w:val="nil"/>
              <w:bottom w:val="nil"/>
              <w:right w:val="nil"/>
            </w:tcBorders>
            <w:vAlign w:val="center"/>
            <w:hideMark/>
          </w:tcPr>
          <w:p w14:paraId="2FD0730C"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6ADA72E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Calliope River</w:t>
            </w:r>
          </w:p>
        </w:tc>
        <w:tc>
          <w:tcPr>
            <w:tcW w:w="780" w:type="dxa"/>
            <w:tcBorders>
              <w:top w:val="nil"/>
              <w:left w:val="nil"/>
              <w:bottom w:val="nil"/>
              <w:right w:val="nil"/>
            </w:tcBorders>
            <w:shd w:val="clear" w:color="auto" w:fill="auto"/>
            <w:noWrap/>
            <w:vAlign w:val="center"/>
            <w:hideMark/>
          </w:tcPr>
          <w:p w14:paraId="5976855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152,965</w:t>
            </w:r>
          </w:p>
        </w:tc>
        <w:tc>
          <w:tcPr>
            <w:tcW w:w="780" w:type="dxa"/>
            <w:tcBorders>
              <w:top w:val="nil"/>
              <w:left w:val="nil"/>
              <w:bottom w:val="nil"/>
              <w:right w:val="nil"/>
            </w:tcBorders>
            <w:shd w:val="clear" w:color="000000" w:fill="FF0000"/>
            <w:noWrap/>
            <w:vAlign w:val="center"/>
            <w:hideMark/>
          </w:tcPr>
          <w:p w14:paraId="32E760C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1,000,032</w:t>
            </w:r>
          </w:p>
        </w:tc>
        <w:tc>
          <w:tcPr>
            <w:tcW w:w="780" w:type="dxa"/>
            <w:tcBorders>
              <w:top w:val="nil"/>
              <w:left w:val="nil"/>
              <w:bottom w:val="nil"/>
              <w:right w:val="nil"/>
            </w:tcBorders>
            <w:shd w:val="clear" w:color="000000" w:fill="FF9900"/>
            <w:noWrap/>
            <w:vAlign w:val="center"/>
            <w:hideMark/>
          </w:tcPr>
          <w:p w14:paraId="7177C4B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345,703</w:t>
            </w:r>
          </w:p>
        </w:tc>
        <w:tc>
          <w:tcPr>
            <w:tcW w:w="780" w:type="dxa"/>
            <w:tcBorders>
              <w:top w:val="nil"/>
              <w:left w:val="nil"/>
              <w:bottom w:val="nil"/>
              <w:right w:val="nil"/>
            </w:tcBorders>
            <w:shd w:val="clear" w:color="000000" w:fill="FF0000"/>
            <w:noWrap/>
            <w:vAlign w:val="center"/>
            <w:hideMark/>
          </w:tcPr>
          <w:p w14:paraId="1AC3BE2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1,558,380</w:t>
            </w:r>
          </w:p>
        </w:tc>
        <w:tc>
          <w:tcPr>
            <w:tcW w:w="780" w:type="dxa"/>
            <w:tcBorders>
              <w:top w:val="nil"/>
              <w:left w:val="nil"/>
              <w:bottom w:val="nil"/>
              <w:right w:val="nil"/>
            </w:tcBorders>
            <w:shd w:val="clear" w:color="000000" w:fill="FFFF00"/>
            <w:noWrap/>
            <w:vAlign w:val="center"/>
            <w:hideMark/>
          </w:tcPr>
          <w:p w14:paraId="6262FE9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283,790</w:t>
            </w:r>
          </w:p>
        </w:tc>
        <w:tc>
          <w:tcPr>
            <w:tcW w:w="780" w:type="dxa"/>
            <w:tcBorders>
              <w:top w:val="nil"/>
              <w:left w:val="nil"/>
              <w:bottom w:val="nil"/>
              <w:right w:val="nil"/>
            </w:tcBorders>
            <w:shd w:val="clear" w:color="000000" w:fill="FF0000"/>
            <w:noWrap/>
            <w:vAlign w:val="center"/>
            <w:hideMark/>
          </w:tcPr>
          <w:p w14:paraId="0ACDBC9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479,868</w:t>
            </w:r>
          </w:p>
        </w:tc>
        <w:tc>
          <w:tcPr>
            <w:tcW w:w="780" w:type="dxa"/>
            <w:tcBorders>
              <w:top w:val="nil"/>
              <w:left w:val="nil"/>
              <w:bottom w:val="nil"/>
              <w:right w:val="nil"/>
            </w:tcBorders>
            <w:shd w:val="clear" w:color="auto" w:fill="auto"/>
            <w:noWrap/>
            <w:vAlign w:val="center"/>
            <w:hideMark/>
          </w:tcPr>
          <w:p w14:paraId="11C8257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148,547</w:t>
            </w:r>
          </w:p>
        </w:tc>
        <w:tc>
          <w:tcPr>
            <w:tcW w:w="780" w:type="dxa"/>
            <w:tcBorders>
              <w:top w:val="nil"/>
              <w:left w:val="nil"/>
              <w:bottom w:val="nil"/>
              <w:right w:val="nil"/>
            </w:tcBorders>
            <w:shd w:val="clear" w:color="000000" w:fill="FF9900"/>
            <w:noWrap/>
            <w:vAlign w:val="bottom"/>
            <w:hideMark/>
          </w:tcPr>
          <w:p w14:paraId="465182A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406,321</w:t>
            </w:r>
          </w:p>
        </w:tc>
        <w:tc>
          <w:tcPr>
            <w:tcW w:w="780" w:type="dxa"/>
            <w:tcBorders>
              <w:top w:val="nil"/>
              <w:left w:val="nil"/>
              <w:bottom w:val="nil"/>
              <w:right w:val="nil"/>
            </w:tcBorders>
            <w:shd w:val="clear" w:color="auto" w:fill="auto"/>
            <w:noWrap/>
            <w:vAlign w:val="bottom"/>
            <w:hideMark/>
          </w:tcPr>
          <w:p w14:paraId="400DD3E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141,438</w:t>
            </w:r>
          </w:p>
        </w:tc>
      </w:tr>
      <w:tr w:rsidR="00DD078B" w:rsidRPr="00BA45B7" w14:paraId="1240EF35" w14:textId="77777777" w:rsidTr="00193222">
        <w:trPr>
          <w:trHeight w:val="260"/>
          <w:jc w:val="center"/>
        </w:trPr>
        <w:tc>
          <w:tcPr>
            <w:tcW w:w="540" w:type="dxa"/>
            <w:vMerge/>
            <w:tcBorders>
              <w:top w:val="nil"/>
              <w:left w:val="nil"/>
              <w:right w:val="nil"/>
            </w:tcBorders>
            <w:vAlign w:val="center"/>
            <w:hideMark/>
          </w:tcPr>
          <w:p w14:paraId="145DB1F1"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single" w:sz="4" w:space="0" w:color="auto"/>
              <w:right w:val="nil"/>
            </w:tcBorders>
            <w:shd w:val="clear" w:color="auto" w:fill="auto"/>
            <w:noWrap/>
            <w:vAlign w:val="center"/>
            <w:hideMark/>
          </w:tcPr>
          <w:p w14:paraId="6980313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Boyne River</w:t>
            </w:r>
          </w:p>
        </w:tc>
        <w:tc>
          <w:tcPr>
            <w:tcW w:w="780" w:type="dxa"/>
            <w:tcBorders>
              <w:top w:val="nil"/>
              <w:left w:val="nil"/>
              <w:bottom w:val="single" w:sz="4" w:space="0" w:color="auto"/>
              <w:right w:val="nil"/>
            </w:tcBorders>
            <w:shd w:val="clear" w:color="auto" w:fill="auto"/>
            <w:noWrap/>
            <w:vAlign w:val="center"/>
            <w:hideMark/>
          </w:tcPr>
          <w:p w14:paraId="75ECA31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38,691</w:t>
            </w:r>
          </w:p>
        </w:tc>
        <w:tc>
          <w:tcPr>
            <w:tcW w:w="780" w:type="dxa"/>
            <w:tcBorders>
              <w:top w:val="nil"/>
              <w:left w:val="nil"/>
              <w:bottom w:val="single" w:sz="4" w:space="0" w:color="auto"/>
              <w:right w:val="nil"/>
            </w:tcBorders>
            <w:shd w:val="clear" w:color="000000" w:fill="FF0000"/>
            <w:noWrap/>
            <w:vAlign w:val="center"/>
            <w:hideMark/>
          </w:tcPr>
          <w:p w14:paraId="123A2F6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252,949</w:t>
            </w:r>
          </w:p>
        </w:tc>
        <w:tc>
          <w:tcPr>
            <w:tcW w:w="780" w:type="dxa"/>
            <w:tcBorders>
              <w:top w:val="nil"/>
              <w:left w:val="nil"/>
              <w:bottom w:val="single" w:sz="4" w:space="0" w:color="auto"/>
              <w:right w:val="nil"/>
            </w:tcBorders>
            <w:shd w:val="clear" w:color="000000" w:fill="FF9900"/>
            <w:noWrap/>
            <w:vAlign w:val="center"/>
            <w:hideMark/>
          </w:tcPr>
          <w:p w14:paraId="5D387DB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87,443</w:t>
            </w:r>
          </w:p>
        </w:tc>
        <w:tc>
          <w:tcPr>
            <w:tcW w:w="780" w:type="dxa"/>
            <w:tcBorders>
              <w:top w:val="nil"/>
              <w:left w:val="nil"/>
              <w:bottom w:val="single" w:sz="4" w:space="0" w:color="auto"/>
              <w:right w:val="nil"/>
            </w:tcBorders>
            <w:shd w:val="clear" w:color="000000" w:fill="FF0000"/>
            <w:noWrap/>
            <w:vAlign w:val="center"/>
            <w:hideMark/>
          </w:tcPr>
          <w:p w14:paraId="5B3BE1B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394,178</w:t>
            </w:r>
          </w:p>
        </w:tc>
        <w:tc>
          <w:tcPr>
            <w:tcW w:w="780" w:type="dxa"/>
            <w:tcBorders>
              <w:top w:val="nil"/>
              <w:left w:val="nil"/>
              <w:bottom w:val="single" w:sz="4" w:space="0" w:color="auto"/>
              <w:right w:val="nil"/>
            </w:tcBorders>
            <w:shd w:val="clear" w:color="000000" w:fill="FFFF00"/>
            <w:noWrap/>
            <w:vAlign w:val="center"/>
            <w:hideMark/>
          </w:tcPr>
          <w:p w14:paraId="2350376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71,782</w:t>
            </w:r>
          </w:p>
        </w:tc>
        <w:tc>
          <w:tcPr>
            <w:tcW w:w="780" w:type="dxa"/>
            <w:tcBorders>
              <w:top w:val="nil"/>
              <w:left w:val="nil"/>
              <w:bottom w:val="single" w:sz="4" w:space="0" w:color="auto"/>
              <w:right w:val="nil"/>
            </w:tcBorders>
            <w:shd w:val="clear" w:color="000000" w:fill="FF0000"/>
            <w:noWrap/>
            <w:vAlign w:val="center"/>
            <w:hideMark/>
          </w:tcPr>
          <w:p w14:paraId="576B1EA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121,378</w:t>
            </w:r>
          </w:p>
        </w:tc>
        <w:tc>
          <w:tcPr>
            <w:tcW w:w="780" w:type="dxa"/>
            <w:tcBorders>
              <w:top w:val="nil"/>
              <w:left w:val="nil"/>
              <w:bottom w:val="single" w:sz="4" w:space="0" w:color="auto"/>
              <w:right w:val="nil"/>
            </w:tcBorders>
            <w:shd w:val="clear" w:color="auto" w:fill="auto"/>
            <w:noWrap/>
            <w:vAlign w:val="center"/>
            <w:hideMark/>
          </w:tcPr>
          <w:p w14:paraId="438490A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37,574</w:t>
            </w:r>
          </w:p>
        </w:tc>
        <w:tc>
          <w:tcPr>
            <w:tcW w:w="780" w:type="dxa"/>
            <w:tcBorders>
              <w:top w:val="nil"/>
              <w:left w:val="nil"/>
              <w:bottom w:val="single" w:sz="4" w:space="0" w:color="auto"/>
              <w:right w:val="nil"/>
            </w:tcBorders>
            <w:shd w:val="clear" w:color="000000" w:fill="FF9900"/>
            <w:noWrap/>
            <w:vAlign w:val="bottom"/>
            <w:hideMark/>
          </w:tcPr>
          <w:p w14:paraId="4FAE9DF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102,775</w:t>
            </w:r>
          </w:p>
        </w:tc>
        <w:tc>
          <w:tcPr>
            <w:tcW w:w="780" w:type="dxa"/>
            <w:tcBorders>
              <w:top w:val="nil"/>
              <w:left w:val="nil"/>
              <w:bottom w:val="single" w:sz="4" w:space="0" w:color="auto"/>
              <w:right w:val="nil"/>
            </w:tcBorders>
            <w:shd w:val="clear" w:color="auto" w:fill="auto"/>
            <w:noWrap/>
            <w:vAlign w:val="bottom"/>
            <w:hideMark/>
          </w:tcPr>
          <w:p w14:paraId="78EF5FF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35,775</w:t>
            </w:r>
          </w:p>
        </w:tc>
      </w:tr>
      <w:tr w:rsidR="00DD078B" w:rsidRPr="00BA45B7" w14:paraId="37BFA731" w14:textId="77777777" w:rsidTr="00193222">
        <w:trPr>
          <w:trHeight w:val="260"/>
          <w:jc w:val="center"/>
        </w:trPr>
        <w:tc>
          <w:tcPr>
            <w:tcW w:w="540" w:type="dxa"/>
            <w:vMerge w:val="restart"/>
            <w:tcBorders>
              <w:left w:val="nil"/>
              <w:bottom w:val="nil"/>
              <w:right w:val="nil"/>
            </w:tcBorders>
            <w:shd w:val="clear" w:color="auto" w:fill="auto"/>
            <w:noWrap/>
            <w:textDirection w:val="btLr"/>
            <w:vAlign w:val="center"/>
            <w:hideMark/>
          </w:tcPr>
          <w:p w14:paraId="6025768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Burnett Mary</w:t>
            </w:r>
          </w:p>
        </w:tc>
        <w:tc>
          <w:tcPr>
            <w:tcW w:w="1720" w:type="dxa"/>
            <w:tcBorders>
              <w:top w:val="single" w:sz="4" w:space="0" w:color="auto"/>
              <w:left w:val="nil"/>
              <w:bottom w:val="nil"/>
              <w:right w:val="nil"/>
            </w:tcBorders>
            <w:shd w:val="clear" w:color="auto" w:fill="auto"/>
            <w:noWrap/>
            <w:vAlign w:val="center"/>
            <w:hideMark/>
          </w:tcPr>
          <w:p w14:paraId="184114A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Baffle Creek</w:t>
            </w:r>
          </w:p>
        </w:tc>
        <w:tc>
          <w:tcPr>
            <w:tcW w:w="780" w:type="dxa"/>
            <w:tcBorders>
              <w:top w:val="single" w:sz="4" w:space="0" w:color="auto"/>
              <w:left w:val="nil"/>
              <w:bottom w:val="nil"/>
              <w:right w:val="nil"/>
            </w:tcBorders>
            <w:shd w:val="clear" w:color="auto" w:fill="auto"/>
            <w:noWrap/>
            <w:vAlign w:val="center"/>
            <w:hideMark/>
          </w:tcPr>
          <w:p w14:paraId="13C2FF7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465,218</w:t>
            </w:r>
          </w:p>
        </w:tc>
        <w:tc>
          <w:tcPr>
            <w:tcW w:w="780" w:type="dxa"/>
            <w:tcBorders>
              <w:top w:val="single" w:sz="4" w:space="0" w:color="auto"/>
              <w:left w:val="nil"/>
              <w:bottom w:val="nil"/>
              <w:right w:val="nil"/>
            </w:tcBorders>
            <w:shd w:val="clear" w:color="000000" w:fill="FF0000"/>
            <w:noWrap/>
            <w:vAlign w:val="center"/>
            <w:hideMark/>
          </w:tcPr>
          <w:p w14:paraId="3ACEA70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3,650,093</w:t>
            </w:r>
          </w:p>
        </w:tc>
        <w:tc>
          <w:tcPr>
            <w:tcW w:w="780" w:type="dxa"/>
            <w:tcBorders>
              <w:top w:val="single" w:sz="4" w:space="0" w:color="auto"/>
              <w:left w:val="nil"/>
              <w:bottom w:val="nil"/>
              <w:right w:val="nil"/>
            </w:tcBorders>
            <w:shd w:val="clear" w:color="000000" w:fill="FF0000"/>
            <w:noWrap/>
            <w:vAlign w:val="center"/>
            <w:hideMark/>
          </w:tcPr>
          <w:p w14:paraId="24E9D57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1,775,749</w:t>
            </w:r>
          </w:p>
        </w:tc>
        <w:tc>
          <w:tcPr>
            <w:tcW w:w="780" w:type="dxa"/>
            <w:tcBorders>
              <w:top w:val="single" w:sz="4" w:space="0" w:color="auto"/>
              <w:left w:val="nil"/>
              <w:bottom w:val="nil"/>
              <w:right w:val="nil"/>
            </w:tcBorders>
            <w:shd w:val="clear" w:color="000000" w:fill="FF0000"/>
            <w:noWrap/>
            <w:vAlign w:val="center"/>
            <w:hideMark/>
          </w:tcPr>
          <w:p w14:paraId="39AEF2A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2,030,545</w:t>
            </w:r>
          </w:p>
        </w:tc>
        <w:tc>
          <w:tcPr>
            <w:tcW w:w="780" w:type="dxa"/>
            <w:tcBorders>
              <w:top w:val="single" w:sz="4" w:space="0" w:color="auto"/>
              <w:left w:val="nil"/>
              <w:bottom w:val="nil"/>
              <w:right w:val="nil"/>
            </w:tcBorders>
            <w:shd w:val="clear" w:color="auto" w:fill="auto"/>
            <w:noWrap/>
            <w:vAlign w:val="center"/>
            <w:hideMark/>
          </w:tcPr>
          <w:p w14:paraId="079EA70A"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275,517</w:t>
            </w:r>
          </w:p>
        </w:tc>
        <w:tc>
          <w:tcPr>
            <w:tcW w:w="780" w:type="dxa"/>
            <w:tcBorders>
              <w:top w:val="single" w:sz="4" w:space="0" w:color="auto"/>
              <w:left w:val="nil"/>
              <w:bottom w:val="nil"/>
              <w:right w:val="nil"/>
            </w:tcBorders>
            <w:shd w:val="clear" w:color="000000" w:fill="FFFF00"/>
            <w:noWrap/>
            <w:vAlign w:val="center"/>
            <w:hideMark/>
          </w:tcPr>
          <w:p w14:paraId="6C7AE5F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710,352</w:t>
            </w:r>
          </w:p>
        </w:tc>
        <w:tc>
          <w:tcPr>
            <w:tcW w:w="780" w:type="dxa"/>
            <w:tcBorders>
              <w:top w:val="single" w:sz="4" w:space="0" w:color="auto"/>
              <w:left w:val="nil"/>
              <w:bottom w:val="nil"/>
              <w:right w:val="nil"/>
            </w:tcBorders>
            <w:shd w:val="clear" w:color="auto" w:fill="auto"/>
            <w:noWrap/>
            <w:vAlign w:val="center"/>
            <w:hideMark/>
          </w:tcPr>
          <w:p w14:paraId="41D57C4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257,093</w:t>
            </w:r>
          </w:p>
        </w:tc>
        <w:tc>
          <w:tcPr>
            <w:tcW w:w="780" w:type="dxa"/>
            <w:tcBorders>
              <w:top w:val="single" w:sz="4" w:space="0" w:color="auto"/>
              <w:left w:val="nil"/>
              <w:bottom w:val="nil"/>
              <w:right w:val="nil"/>
            </w:tcBorders>
            <w:shd w:val="clear" w:color="000000" w:fill="FF9900"/>
            <w:noWrap/>
            <w:vAlign w:val="bottom"/>
            <w:hideMark/>
          </w:tcPr>
          <w:p w14:paraId="360D0B7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829,460</w:t>
            </w:r>
          </w:p>
        </w:tc>
        <w:tc>
          <w:tcPr>
            <w:tcW w:w="780" w:type="dxa"/>
            <w:tcBorders>
              <w:top w:val="single" w:sz="4" w:space="0" w:color="auto"/>
              <w:left w:val="nil"/>
              <w:bottom w:val="nil"/>
              <w:right w:val="nil"/>
            </w:tcBorders>
            <w:shd w:val="clear" w:color="000000" w:fill="FF0000"/>
            <w:noWrap/>
            <w:vAlign w:val="bottom"/>
            <w:hideMark/>
          </w:tcPr>
          <w:p w14:paraId="2D7D374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1,845,161</w:t>
            </w:r>
          </w:p>
        </w:tc>
      </w:tr>
      <w:tr w:rsidR="00DD078B" w:rsidRPr="00BA45B7" w14:paraId="2DEEC04B" w14:textId="77777777" w:rsidTr="001F6A7C">
        <w:trPr>
          <w:trHeight w:val="260"/>
          <w:jc w:val="center"/>
        </w:trPr>
        <w:tc>
          <w:tcPr>
            <w:tcW w:w="540" w:type="dxa"/>
            <w:vMerge/>
            <w:tcBorders>
              <w:top w:val="nil"/>
              <w:left w:val="nil"/>
              <w:bottom w:val="nil"/>
              <w:right w:val="nil"/>
            </w:tcBorders>
            <w:vAlign w:val="center"/>
            <w:hideMark/>
          </w:tcPr>
          <w:p w14:paraId="4E7DE64E"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4EF9209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Kolan River</w:t>
            </w:r>
          </w:p>
        </w:tc>
        <w:tc>
          <w:tcPr>
            <w:tcW w:w="780" w:type="dxa"/>
            <w:tcBorders>
              <w:top w:val="nil"/>
              <w:left w:val="nil"/>
              <w:bottom w:val="nil"/>
              <w:right w:val="nil"/>
            </w:tcBorders>
            <w:shd w:val="clear" w:color="auto" w:fill="auto"/>
            <w:noWrap/>
            <w:vAlign w:val="center"/>
            <w:hideMark/>
          </w:tcPr>
          <w:p w14:paraId="46633989"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56,231</w:t>
            </w:r>
          </w:p>
        </w:tc>
        <w:tc>
          <w:tcPr>
            <w:tcW w:w="780" w:type="dxa"/>
            <w:tcBorders>
              <w:top w:val="nil"/>
              <w:left w:val="nil"/>
              <w:bottom w:val="nil"/>
              <w:right w:val="nil"/>
            </w:tcBorders>
            <w:shd w:val="clear" w:color="000000" w:fill="FF0000"/>
            <w:noWrap/>
            <w:vAlign w:val="center"/>
            <w:hideMark/>
          </w:tcPr>
          <w:p w14:paraId="67A314F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779,168</w:t>
            </w:r>
          </w:p>
        </w:tc>
        <w:tc>
          <w:tcPr>
            <w:tcW w:w="780" w:type="dxa"/>
            <w:tcBorders>
              <w:top w:val="nil"/>
              <w:left w:val="nil"/>
              <w:bottom w:val="nil"/>
              <w:right w:val="nil"/>
            </w:tcBorders>
            <w:shd w:val="clear" w:color="000000" w:fill="FF0000"/>
            <w:noWrap/>
            <w:vAlign w:val="center"/>
            <w:hideMark/>
          </w:tcPr>
          <w:p w14:paraId="7667F33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307,837</w:t>
            </w:r>
          </w:p>
        </w:tc>
        <w:tc>
          <w:tcPr>
            <w:tcW w:w="780" w:type="dxa"/>
            <w:tcBorders>
              <w:top w:val="nil"/>
              <w:left w:val="nil"/>
              <w:bottom w:val="nil"/>
              <w:right w:val="nil"/>
            </w:tcBorders>
            <w:shd w:val="clear" w:color="000000" w:fill="FF0000"/>
            <w:noWrap/>
            <w:vAlign w:val="center"/>
            <w:hideMark/>
          </w:tcPr>
          <w:p w14:paraId="0CE95FC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810,411</w:t>
            </w:r>
          </w:p>
        </w:tc>
        <w:tc>
          <w:tcPr>
            <w:tcW w:w="780" w:type="dxa"/>
            <w:tcBorders>
              <w:top w:val="nil"/>
              <w:left w:val="nil"/>
              <w:bottom w:val="nil"/>
              <w:right w:val="nil"/>
            </w:tcBorders>
            <w:shd w:val="clear" w:color="auto" w:fill="auto"/>
            <w:noWrap/>
            <w:vAlign w:val="center"/>
            <w:hideMark/>
          </w:tcPr>
          <w:p w14:paraId="700BA842"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45,304</w:t>
            </w:r>
          </w:p>
        </w:tc>
        <w:tc>
          <w:tcPr>
            <w:tcW w:w="780" w:type="dxa"/>
            <w:tcBorders>
              <w:top w:val="nil"/>
              <w:left w:val="nil"/>
              <w:bottom w:val="nil"/>
              <w:right w:val="nil"/>
            </w:tcBorders>
            <w:shd w:val="clear" w:color="000000" w:fill="FF0000"/>
            <w:noWrap/>
            <w:vAlign w:val="center"/>
            <w:hideMark/>
          </w:tcPr>
          <w:p w14:paraId="0A42E5D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213,857</w:t>
            </w:r>
          </w:p>
        </w:tc>
        <w:tc>
          <w:tcPr>
            <w:tcW w:w="780" w:type="dxa"/>
            <w:tcBorders>
              <w:top w:val="nil"/>
              <w:left w:val="nil"/>
              <w:bottom w:val="nil"/>
              <w:right w:val="nil"/>
            </w:tcBorders>
            <w:shd w:val="clear" w:color="000000" w:fill="FF9900"/>
            <w:noWrap/>
            <w:vAlign w:val="center"/>
            <w:hideMark/>
          </w:tcPr>
          <w:p w14:paraId="43771D8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111,172</w:t>
            </w:r>
          </w:p>
        </w:tc>
        <w:tc>
          <w:tcPr>
            <w:tcW w:w="780" w:type="dxa"/>
            <w:tcBorders>
              <w:top w:val="nil"/>
              <w:left w:val="nil"/>
              <w:bottom w:val="nil"/>
              <w:right w:val="nil"/>
            </w:tcBorders>
            <w:shd w:val="clear" w:color="000000" w:fill="FF9900"/>
            <w:noWrap/>
            <w:vAlign w:val="bottom"/>
            <w:hideMark/>
          </w:tcPr>
          <w:p w14:paraId="4BB48A0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146,154</w:t>
            </w:r>
          </w:p>
        </w:tc>
        <w:tc>
          <w:tcPr>
            <w:tcW w:w="780" w:type="dxa"/>
            <w:tcBorders>
              <w:top w:val="nil"/>
              <w:left w:val="nil"/>
              <w:bottom w:val="nil"/>
              <w:right w:val="nil"/>
            </w:tcBorders>
            <w:shd w:val="clear" w:color="000000" w:fill="FF0000"/>
            <w:noWrap/>
            <w:vAlign w:val="bottom"/>
            <w:hideMark/>
          </w:tcPr>
          <w:p w14:paraId="681FFB0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273,170</w:t>
            </w:r>
          </w:p>
        </w:tc>
      </w:tr>
      <w:tr w:rsidR="00DD078B" w:rsidRPr="00BA45B7" w14:paraId="3682CCAB" w14:textId="77777777" w:rsidTr="001F6A7C">
        <w:trPr>
          <w:trHeight w:val="260"/>
          <w:jc w:val="center"/>
        </w:trPr>
        <w:tc>
          <w:tcPr>
            <w:tcW w:w="540" w:type="dxa"/>
            <w:vMerge/>
            <w:tcBorders>
              <w:top w:val="nil"/>
              <w:left w:val="nil"/>
              <w:bottom w:val="nil"/>
              <w:right w:val="nil"/>
            </w:tcBorders>
            <w:vAlign w:val="center"/>
            <w:hideMark/>
          </w:tcPr>
          <w:p w14:paraId="3B53DB48"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1B10316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Burnett River</w:t>
            </w:r>
          </w:p>
        </w:tc>
        <w:tc>
          <w:tcPr>
            <w:tcW w:w="780" w:type="dxa"/>
            <w:tcBorders>
              <w:top w:val="nil"/>
              <w:left w:val="nil"/>
              <w:bottom w:val="nil"/>
              <w:right w:val="nil"/>
            </w:tcBorders>
            <w:shd w:val="clear" w:color="auto" w:fill="auto"/>
            <w:noWrap/>
            <w:vAlign w:val="center"/>
            <w:hideMark/>
          </w:tcPr>
          <w:p w14:paraId="5744D50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285,534</w:t>
            </w:r>
          </w:p>
        </w:tc>
        <w:tc>
          <w:tcPr>
            <w:tcW w:w="780" w:type="dxa"/>
            <w:tcBorders>
              <w:top w:val="nil"/>
              <w:left w:val="nil"/>
              <w:bottom w:val="nil"/>
              <w:right w:val="nil"/>
            </w:tcBorders>
            <w:shd w:val="clear" w:color="000000" w:fill="FF0000"/>
            <w:noWrap/>
            <w:vAlign w:val="center"/>
            <w:hideMark/>
          </w:tcPr>
          <w:p w14:paraId="06AD2A6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9,421,517</w:t>
            </w:r>
          </w:p>
        </w:tc>
        <w:tc>
          <w:tcPr>
            <w:tcW w:w="780" w:type="dxa"/>
            <w:tcBorders>
              <w:top w:val="nil"/>
              <w:left w:val="nil"/>
              <w:bottom w:val="nil"/>
              <w:right w:val="nil"/>
            </w:tcBorders>
            <w:shd w:val="clear" w:color="000000" w:fill="FF9900"/>
            <w:noWrap/>
            <w:vAlign w:val="center"/>
            <w:hideMark/>
          </w:tcPr>
          <w:p w14:paraId="3C3FDE53"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643,137</w:t>
            </w:r>
          </w:p>
        </w:tc>
        <w:tc>
          <w:tcPr>
            <w:tcW w:w="780" w:type="dxa"/>
            <w:tcBorders>
              <w:top w:val="nil"/>
              <w:left w:val="nil"/>
              <w:bottom w:val="nil"/>
              <w:right w:val="nil"/>
            </w:tcBorders>
            <w:shd w:val="clear" w:color="000000" w:fill="FF0000"/>
            <w:noWrap/>
            <w:vAlign w:val="center"/>
            <w:hideMark/>
          </w:tcPr>
          <w:p w14:paraId="7940DF2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7,581,543</w:t>
            </w:r>
          </w:p>
        </w:tc>
        <w:tc>
          <w:tcPr>
            <w:tcW w:w="780" w:type="dxa"/>
            <w:tcBorders>
              <w:top w:val="nil"/>
              <w:left w:val="nil"/>
              <w:bottom w:val="nil"/>
              <w:right w:val="nil"/>
            </w:tcBorders>
            <w:shd w:val="clear" w:color="auto" w:fill="auto"/>
            <w:noWrap/>
            <w:vAlign w:val="center"/>
            <w:hideMark/>
          </w:tcPr>
          <w:p w14:paraId="48BCF20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218,087</w:t>
            </w:r>
          </w:p>
        </w:tc>
        <w:tc>
          <w:tcPr>
            <w:tcW w:w="780" w:type="dxa"/>
            <w:tcBorders>
              <w:top w:val="nil"/>
              <w:left w:val="nil"/>
              <w:bottom w:val="nil"/>
              <w:right w:val="nil"/>
            </w:tcBorders>
            <w:shd w:val="clear" w:color="000000" w:fill="FF0000"/>
            <w:noWrap/>
            <w:vAlign w:val="center"/>
            <w:hideMark/>
          </w:tcPr>
          <w:p w14:paraId="139E6FF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853,349</w:t>
            </w:r>
          </w:p>
        </w:tc>
        <w:tc>
          <w:tcPr>
            <w:tcW w:w="780" w:type="dxa"/>
            <w:tcBorders>
              <w:top w:val="nil"/>
              <w:left w:val="nil"/>
              <w:bottom w:val="nil"/>
              <w:right w:val="nil"/>
            </w:tcBorders>
            <w:shd w:val="clear" w:color="000000" w:fill="FFFF00"/>
            <w:noWrap/>
            <w:vAlign w:val="center"/>
            <w:hideMark/>
          </w:tcPr>
          <w:p w14:paraId="403ABDC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381,054</w:t>
            </w:r>
          </w:p>
        </w:tc>
        <w:tc>
          <w:tcPr>
            <w:tcW w:w="780" w:type="dxa"/>
            <w:tcBorders>
              <w:top w:val="nil"/>
              <w:left w:val="nil"/>
              <w:bottom w:val="nil"/>
              <w:right w:val="nil"/>
            </w:tcBorders>
            <w:shd w:val="clear" w:color="000000" w:fill="FF9900"/>
            <w:noWrap/>
            <w:vAlign w:val="bottom"/>
            <w:hideMark/>
          </w:tcPr>
          <w:p w14:paraId="28908EE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536,242</w:t>
            </w:r>
          </w:p>
        </w:tc>
        <w:tc>
          <w:tcPr>
            <w:tcW w:w="780" w:type="dxa"/>
            <w:tcBorders>
              <w:top w:val="nil"/>
              <w:left w:val="nil"/>
              <w:bottom w:val="nil"/>
              <w:right w:val="nil"/>
            </w:tcBorders>
            <w:shd w:val="clear" w:color="000000" w:fill="FF0000"/>
            <w:noWrap/>
            <w:vAlign w:val="bottom"/>
            <w:hideMark/>
          </w:tcPr>
          <w:p w14:paraId="4CC82D6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849,051</w:t>
            </w:r>
          </w:p>
        </w:tc>
      </w:tr>
      <w:tr w:rsidR="00DD078B" w:rsidRPr="00BA45B7" w14:paraId="062FECB3" w14:textId="77777777" w:rsidTr="001F6A7C">
        <w:trPr>
          <w:trHeight w:val="260"/>
          <w:jc w:val="center"/>
        </w:trPr>
        <w:tc>
          <w:tcPr>
            <w:tcW w:w="540" w:type="dxa"/>
            <w:vMerge/>
            <w:tcBorders>
              <w:top w:val="nil"/>
              <w:left w:val="nil"/>
              <w:bottom w:val="nil"/>
              <w:right w:val="nil"/>
            </w:tcBorders>
            <w:vAlign w:val="center"/>
            <w:hideMark/>
          </w:tcPr>
          <w:p w14:paraId="52F28673"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nil"/>
              <w:right w:val="nil"/>
            </w:tcBorders>
            <w:shd w:val="clear" w:color="auto" w:fill="auto"/>
            <w:noWrap/>
            <w:vAlign w:val="center"/>
            <w:hideMark/>
          </w:tcPr>
          <w:p w14:paraId="3D1CCACF"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Burrum River</w:t>
            </w:r>
          </w:p>
        </w:tc>
        <w:tc>
          <w:tcPr>
            <w:tcW w:w="780" w:type="dxa"/>
            <w:tcBorders>
              <w:top w:val="nil"/>
              <w:left w:val="nil"/>
              <w:bottom w:val="nil"/>
              <w:right w:val="nil"/>
            </w:tcBorders>
            <w:shd w:val="clear" w:color="auto" w:fill="auto"/>
            <w:noWrap/>
            <w:vAlign w:val="center"/>
            <w:hideMark/>
          </w:tcPr>
          <w:p w14:paraId="149D49A8"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71,658</w:t>
            </w:r>
          </w:p>
        </w:tc>
        <w:tc>
          <w:tcPr>
            <w:tcW w:w="780" w:type="dxa"/>
            <w:tcBorders>
              <w:top w:val="nil"/>
              <w:left w:val="nil"/>
              <w:bottom w:val="nil"/>
              <w:right w:val="nil"/>
            </w:tcBorders>
            <w:shd w:val="clear" w:color="000000" w:fill="FFFF00"/>
            <w:noWrap/>
            <w:vAlign w:val="center"/>
            <w:hideMark/>
          </w:tcPr>
          <w:p w14:paraId="711F7F6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114,492</w:t>
            </w:r>
          </w:p>
        </w:tc>
        <w:tc>
          <w:tcPr>
            <w:tcW w:w="780" w:type="dxa"/>
            <w:tcBorders>
              <w:top w:val="nil"/>
              <w:left w:val="nil"/>
              <w:bottom w:val="nil"/>
              <w:right w:val="nil"/>
            </w:tcBorders>
            <w:shd w:val="clear" w:color="000000" w:fill="FFFF00"/>
            <w:noWrap/>
            <w:vAlign w:val="center"/>
            <w:hideMark/>
          </w:tcPr>
          <w:p w14:paraId="6068912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117,762</w:t>
            </w:r>
          </w:p>
        </w:tc>
        <w:tc>
          <w:tcPr>
            <w:tcW w:w="780" w:type="dxa"/>
            <w:tcBorders>
              <w:top w:val="nil"/>
              <w:left w:val="nil"/>
              <w:bottom w:val="nil"/>
              <w:right w:val="nil"/>
            </w:tcBorders>
            <w:shd w:val="clear" w:color="auto" w:fill="auto"/>
            <w:noWrap/>
            <w:vAlign w:val="center"/>
            <w:hideMark/>
          </w:tcPr>
          <w:p w14:paraId="2695581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90,921</w:t>
            </w:r>
          </w:p>
        </w:tc>
        <w:tc>
          <w:tcPr>
            <w:tcW w:w="780" w:type="dxa"/>
            <w:tcBorders>
              <w:top w:val="nil"/>
              <w:left w:val="nil"/>
              <w:bottom w:val="nil"/>
              <w:right w:val="nil"/>
            </w:tcBorders>
            <w:shd w:val="clear" w:color="auto" w:fill="auto"/>
            <w:noWrap/>
            <w:vAlign w:val="center"/>
            <w:hideMark/>
          </w:tcPr>
          <w:p w14:paraId="4A622D4C"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62,188</w:t>
            </w:r>
          </w:p>
        </w:tc>
        <w:tc>
          <w:tcPr>
            <w:tcW w:w="780" w:type="dxa"/>
            <w:tcBorders>
              <w:top w:val="nil"/>
              <w:left w:val="nil"/>
              <w:bottom w:val="nil"/>
              <w:right w:val="nil"/>
            </w:tcBorders>
            <w:shd w:val="clear" w:color="000000" w:fill="FF9900"/>
            <w:noWrap/>
            <w:vAlign w:val="center"/>
            <w:hideMark/>
          </w:tcPr>
          <w:p w14:paraId="3370918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150,113</w:t>
            </w:r>
          </w:p>
        </w:tc>
        <w:tc>
          <w:tcPr>
            <w:tcW w:w="780" w:type="dxa"/>
            <w:tcBorders>
              <w:top w:val="nil"/>
              <w:left w:val="nil"/>
              <w:bottom w:val="nil"/>
              <w:right w:val="nil"/>
            </w:tcBorders>
            <w:shd w:val="clear" w:color="000000" w:fill="FF0000"/>
            <w:noWrap/>
            <w:vAlign w:val="center"/>
            <w:hideMark/>
          </w:tcPr>
          <w:p w14:paraId="008AD3F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334,681</w:t>
            </w:r>
          </w:p>
        </w:tc>
        <w:tc>
          <w:tcPr>
            <w:tcW w:w="780" w:type="dxa"/>
            <w:tcBorders>
              <w:top w:val="nil"/>
              <w:left w:val="nil"/>
              <w:bottom w:val="nil"/>
              <w:right w:val="nil"/>
            </w:tcBorders>
            <w:shd w:val="clear" w:color="000000" w:fill="FF0000"/>
            <w:noWrap/>
            <w:vAlign w:val="bottom"/>
            <w:hideMark/>
          </w:tcPr>
          <w:p w14:paraId="68F3476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456,549</w:t>
            </w:r>
          </w:p>
        </w:tc>
        <w:tc>
          <w:tcPr>
            <w:tcW w:w="780" w:type="dxa"/>
            <w:tcBorders>
              <w:top w:val="nil"/>
              <w:left w:val="nil"/>
              <w:bottom w:val="nil"/>
              <w:right w:val="nil"/>
            </w:tcBorders>
            <w:shd w:val="clear" w:color="000000" w:fill="FF0000"/>
            <w:noWrap/>
            <w:vAlign w:val="bottom"/>
            <w:hideMark/>
          </w:tcPr>
          <w:p w14:paraId="58065677"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670,012</w:t>
            </w:r>
          </w:p>
        </w:tc>
      </w:tr>
      <w:tr w:rsidR="00DD078B" w:rsidRPr="00BA45B7" w14:paraId="374CC153" w14:textId="77777777" w:rsidTr="001F6A7C">
        <w:trPr>
          <w:trHeight w:val="280"/>
          <w:jc w:val="center"/>
        </w:trPr>
        <w:tc>
          <w:tcPr>
            <w:tcW w:w="540" w:type="dxa"/>
            <w:vMerge/>
            <w:tcBorders>
              <w:top w:val="nil"/>
              <w:left w:val="nil"/>
              <w:bottom w:val="nil"/>
              <w:right w:val="nil"/>
            </w:tcBorders>
            <w:vAlign w:val="center"/>
            <w:hideMark/>
          </w:tcPr>
          <w:p w14:paraId="77983DDB" w14:textId="77777777" w:rsidR="00DD078B" w:rsidRPr="00BA45B7" w:rsidRDefault="00DD078B" w:rsidP="00DD078B">
            <w:pPr>
              <w:spacing w:before="0" w:after="0"/>
              <w:rPr>
                <w:rFonts w:ascii="Arial" w:hAnsi="Arial" w:cs="Arial"/>
                <w:sz w:val="18"/>
                <w:szCs w:val="18"/>
              </w:rPr>
            </w:pPr>
          </w:p>
        </w:tc>
        <w:tc>
          <w:tcPr>
            <w:tcW w:w="1720" w:type="dxa"/>
            <w:tcBorders>
              <w:top w:val="nil"/>
              <w:left w:val="nil"/>
              <w:bottom w:val="single" w:sz="8" w:space="0" w:color="auto"/>
              <w:right w:val="nil"/>
            </w:tcBorders>
            <w:shd w:val="clear" w:color="auto" w:fill="auto"/>
            <w:noWrap/>
            <w:vAlign w:val="center"/>
            <w:hideMark/>
          </w:tcPr>
          <w:p w14:paraId="2689E88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Mary  River</w:t>
            </w:r>
          </w:p>
        </w:tc>
        <w:tc>
          <w:tcPr>
            <w:tcW w:w="780" w:type="dxa"/>
            <w:tcBorders>
              <w:top w:val="nil"/>
              <w:left w:val="nil"/>
              <w:bottom w:val="single" w:sz="8" w:space="0" w:color="auto"/>
              <w:right w:val="nil"/>
            </w:tcBorders>
            <w:shd w:val="clear" w:color="auto" w:fill="auto"/>
            <w:noWrap/>
            <w:vAlign w:val="center"/>
            <w:hideMark/>
          </w:tcPr>
          <w:p w14:paraId="13AB5BF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1,144,714</w:t>
            </w:r>
          </w:p>
        </w:tc>
        <w:tc>
          <w:tcPr>
            <w:tcW w:w="780" w:type="dxa"/>
            <w:tcBorders>
              <w:top w:val="nil"/>
              <w:left w:val="nil"/>
              <w:bottom w:val="single" w:sz="8" w:space="0" w:color="auto"/>
              <w:right w:val="nil"/>
            </w:tcBorders>
            <w:shd w:val="clear" w:color="000000" w:fill="FF0000"/>
            <w:noWrap/>
            <w:vAlign w:val="center"/>
            <w:hideMark/>
          </w:tcPr>
          <w:p w14:paraId="2FF2E38D"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8,719,106</w:t>
            </w:r>
          </w:p>
        </w:tc>
        <w:tc>
          <w:tcPr>
            <w:tcW w:w="780" w:type="dxa"/>
            <w:tcBorders>
              <w:top w:val="nil"/>
              <w:left w:val="nil"/>
              <w:bottom w:val="single" w:sz="8" w:space="0" w:color="auto"/>
              <w:right w:val="nil"/>
            </w:tcBorders>
            <w:shd w:val="clear" w:color="000000" w:fill="FF0000"/>
            <w:noWrap/>
            <w:vAlign w:val="center"/>
            <w:hideMark/>
          </w:tcPr>
          <w:p w14:paraId="14105824"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4,340,275</w:t>
            </w:r>
          </w:p>
        </w:tc>
        <w:tc>
          <w:tcPr>
            <w:tcW w:w="780" w:type="dxa"/>
            <w:tcBorders>
              <w:top w:val="nil"/>
              <w:left w:val="nil"/>
              <w:bottom w:val="single" w:sz="8" w:space="0" w:color="auto"/>
              <w:right w:val="nil"/>
            </w:tcBorders>
            <w:shd w:val="clear" w:color="000000" w:fill="FF0000"/>
            <w:noWrap/>
            <w:vAlign w:val="center"/>
            <w:hideMark/>
          </w:tcPr>
          <w:p w14:paraId="52120E3B"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7,654,320</w:t>
            </w:r>
          </w:p>
        </w:tc>
        <w:tc>
          <w:tcPr>
            <w:tcW w:w="780" w:type="dxa"/>
            <w:tcBorders>
              <w:top w:val="nil"/>
              <w:left w:val="nil"/>
              <w:bottom w:val="single" w:sz="8" w:space="0" w:color="auto"/>
              <w:right w:val="nil"/>
            </w:tcBorders>
            <w:shd w:val="clear" w:color="auto" w:fill="auto"/>
            <w:noWrap/>
            <w:vAlign w:val="center"/>
            <w:hideMark/>
          </w:tcPr>
          <w:p w14:paraId="19B8CD45"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594,612</w:t>
            </w:r>
          </w:p>
        </w:tc>
        <w:tc>
          <w:tcPr>
            <w:tcW w:w="780" w:type="dxa"/>
            <w:tcBorders>
              <w:top w:val="nil"/>
              <w:left w:val="nil"/>
              <w:bottom w:val="single" w:sz="8" w:space="0" w:color="auto"/>
              <w:right w:val="nil"/>
            </w:tcBorders>
            <w:shd w:val="clear" w:color="auto" w:fill="auto"/>
            <w:noWrap/>
            <w:vAlign w:val="center"/>
            <w:hideMark/>
          </w:tcPr>
          <w:p w14:paraId="61A78FC1"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1,651,901</w:t>
            </w:r>
          </w:p>
        </w:tc>
        <w:tc>
          <w:tcPr>
            <w:tcW w:w="780" w:type="dxa"/>
            <w:tcBorders>
              <w:top w:val="nil"/>
              <w:left w:val="nil"/>
              <w:bottom w:val="single" w:sz="8" w:space="0" w:color="auto"/>
              <w:right w:val="nil"/>
            </w:tcBorders>
            <w:shd w:val="clear" w:color="auto" w:fill="auto"/>
            <w:noWrap/>
            <w:vAlign w:val="center"/>
            <w:hideMark/>
          </w:tcPr>
          <w:p w14:paraId="7442C816"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480,854</w:t>
            </w:r>
          </w:p>
        </w:tc>
        <w:tc>
          <w:tcPr>
            <w:tcW w:w="780" w:type="dxa"/>
            <w:tcBorders>
              <w:top w:val="nil"/>
              <w:left w:val="nil"/>
              <w:bottom w:val="single" w:sz="8" w:space="0" w:color="auto"/>
              <w:right w:val="nil"/>
            </w:tcBorders>
            <w:shd w:val="clear" w:color="auto" w:fill="auto"/>
            <w:noWrap/>
            <w:vAlign w:val="bottom"/>
            <w:hideMark/>
          </w:tcPr>
          <w:p w14:paraId="4102E030"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582,510</w:t>
            </w:r>
          </w:p>
        </w:tc>
        <w:tc>
          <w:tcPr>
            <w:tcW w:w="780" w:type="dxa"/>
            <w:tcBorders>
              <w:top w:val="nil"/>
              <w:left w:val="nil"/>
              <w:bottom w:val="single" w:sz="8" w:space="0" w:color="auto"/>
              <w:right w:val="nil"/>
            </w:tcBorders>
            <w:shd w:val="clear" w:color="000000" w:fill="FFFF00"/>
            <w:noWrap/>
            <w:vAlign w:val="bottom"/>
            <w:hideMark/>
          </w:tcPr>
          <w:p w14:paraId="265F765E" w14:textId="77777777" w:rsidR="00DD078B" w:rsidRPr="00BA45B7" w:rsidRDefault="00DD078B" w:rsidP="00DD078B">
            <w:pPr>
              <w:spacing w:before="0" w:after="0"/>
              <w:jc w:val="center"/>
              <w:rPr>
                <w:rFonts w:ascii="Arial" w:hAnsi="Arial" w:cs="Arial"/>
                <w:sz w:val="18"/>
                <w:szCs w:val="18"/>
              </w:rPr>
            </w:pPr>
            <w:r w:rsidRPr="00BA45B7">
              <w:rPr>
                <w:rFonts w:ascii="Arial" w:hAnsi="Arial" w:cs="Arial"/>
                <w:sz w:val="18"/>
                <w:szCs w:val="18"/>
              </w:rPr>
              <w:t>1,902,531</w:t>
            </w:r>
          </w:p>
        </w:tc>
      </w:tr>
    </w:tbl>
    <w:p w14:paraId="1AF37708" w14:textId="4F2B5B31" w:rsidR="007953F6" w:rsidRPr="00CB093C" w:rsidRDefault="007953F6" w:rsidP="005E7B88">
      <w:pPr>
        <w:rPr>
          <w:rFonts w:ascii="Arial" w:hAnsi="Arial" w:cs="Arial"/>
          <w:szCs w:val="22"/>
          <w:lang w:val="en-GB"/>
        </w:rPr>
      </w:pPr>
    </w:p>
    <w:p w14:paraId="4D56528C" w14:textId="5C1FBEB5" w:rsidR="007953F6" w:rsidRPr="00CB093C" w:rsidRDefault="007953F6" w:rsidP="0015509E">
      <w:pPr>
        <w:pStyle w:val="Heading2"/>
      </w:pPr>
      <w:r w:rsidRPr="00CB093C">
        <w:rPr>
          <w:lang w:val="en-GB"/>
        </w:rPr>
        <w:br w:type="column"/>
      </w:r>
      <w:bookmarkStart w:id="151" w:name="_Toc11394711"/>
      <w:r w:rsidR="001A0665" w:rsidRPr="00CB093C">
        <w:lastRenderedPageBreak/>
        <w:t>Turbid water exposure and flood plume extent</w:t>
      </w:r>
      <w:bookmarkEnd w:id="151"/>
    </w:p>
    <w:p w14:paraId="61FA01FE" w14:textId="739BF868" w:rsidR="005E7B88" w:rsidRPr="00CB093C" w:rsidRDefault="004F5574" w:rsidP="005E7B88">
      <w:pPr>
        <w:rPr>
          <w:rFonts w:ascii="Arial" w:hAnsi="Arial" w:cs="Arial"/>
          <w:szCs w:val="22"/>
          <w:lang w:val="en-GB"/>
        </w:rPr>
      </w:pPr>
      <w:r w:rsidRPr="00CB093C">
        <w:rPr>
          <w:rFonts w:ascii="Arial" w:hAnsi="Arial" w:cs="Arial"/>
          <w:szCs w:val="22"/>
          <w:lang w:val="en-GB"/>
        </w:rPr>
        <w:t xml:space="preserve">The frequency of exposure to turbid water (colour classes 1–5), plume extent, and the within-canopy environmental pressures daily light and water temperature are summarised in </w:t>
      </w:r>
      <w:r w:rsidRPr="00CB093C">
        <w:rPr>
          <w:rFonts w:ascii="Arial" w:hAnsi="Arial" w:cs="Arial"/>
          <w:szCs w:val="22"/>
          <w:lang w:val="en-GB"/>
        </w:rPr>
        <w:fldChar w:fldCharType="begin"/>
      </w:r>
      <w:r w:rsidRPr="00CB093C">
        <w:rPr>
          <w:rFonts w:ascii="Arial" w:hAnsi="Arial" w:cs="Arial"/>
          <w:szCs w:val="22"/>
          <w:lang w:val="en-GB"/>
        </w:rPr>
        <w:instrText xml:space="preserve"> REF _Ref442465513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w:t>
      </w:r>
      <w:r w:rsidRPr="00CB093C">
        <w:rPr>
          <w:rFonts w:ascii="Arial" w:hAnsi="Arial" w:cs="Arial"/>
          <w:szCs w:val="22"/>
          <w:lang w:val="en-GB"/>
        </w:rPr>
        <w:fldChar w:fldCharType="end"/>
      </w:r>
      <w:r w:rsidRPr="00CB093C">
        <w:rPr>
          <w:rFonts w:ascii="Arial" w:hAnsi="Arial" w:cs="Arial"/>
          <w:szCs w:val="22"/>
          <w:lang w:val="en-GB"/>
        </w:rPr>
        <w:t>.</w:t>
      </w:r>
    </w:p>
    <w:p w14:paraId="72FC09BA" w14:textId="77777777" w:rsidR="00771FD9" w:rsidRPr="00CB093C" w:rsidRDefault="00771FD9" w:rsidP="00771FD9">
      <w:pPr>
        <w:keepNext/>
        <w:widowControl w:val="0"/>
        <w:autoSpaceDE w:val="0"/>
        <w:autoSpaceDN w:val="0"/>
        <w:adjustRightInd w:val="0"/>
        <w:spacing w:after="0"/>
        <w:jc w:val="center"/>
        <w:rPr>
          <w:rFonts w:ascii="Arial" w:hAnsi="Arial" w:cs="Arial"/>
          <w:szCs w:val="22"/>
          <w:lang w:val="en-US"/>
        </w:rPr>
      </w:pPr>
      <w:r w:rsidRPr="00CB093C">
        <w:rPr>
          <w:rFonts w:ascii="Arial" w:hAnsi="Arial" w:cs="Arial"/>
          <w:noProof/>
          <w:szCs w:val="22"/>
          <w:lang w:val="en-US"/>
        </w:rPr>
        <w:drawing>
          <wp:inline distT="0" distB="0" distL="0" distR="0" wp14:anchorId="51439C60" wp14:editId="3B2C16A6">
            <wp:extent cx="5909733" cy="6585755"/>
            <wp:effectExtent l="0" t="0" r="0" b="5715"/>
            <wp:docPr id="12" name="Picture 12" descr="Figure of three panels illustrating environmental pressures in the Reef during 2017-2018 and relative to the long-term. Left panel shows frequency of turbid water exposure from December 2017 to April 2018 and plume extent (10% boundary) in 2017–2018 relative to the long-term average, illustrating where plumes extended further in some areas and not as far in others in 2017–2018. Centre panel shows within-canopy daily light for all sites, and the deviation in daily light relative to the long-term average. Right panel shows within-canopy water temperature, and deviation water temperature from the long-term aver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BR frequency w legend.png"/>
                    <pic:cNvPicPr/>
                  </pic:nvPicPr>
                  <pic:blipFill>
                    <a:blip r:embed="rId53"/>
                    <a:stretch>
                      <a:fillRect/>
                    </a:stretch>
                  </pic:blipFill>
                  <pic:spPr bwMode="auto">
                    <a:xfrm>
                      <a:off x="0" y="0"/>
                      <a:ext cx="5913463" cy="6589912"/>
                    </a:xfrm>
                    <a:prstGeom prst="rect">
                      <a:avLst/>
                    </a:prstGeom>
                    <a:ln>
                      <a:noFill/>
                    </a:ln>
                    <a:extLst>
                      <a:ext uri="{53640926-AAD7-44D8-BBD7-CCE9431645EC}">
                        <a14:shadowObscured xmlns:a14="http://schemas.microsoft.com/office/drawing/2010/main"/>
                      </a:ext>
                    </a:extLst>
                  </pic:spPr>
                </pic:pic>
              </a:graphicData>
            </a:graphic>
          </wp:inline>
        </w:drawing>
      </w:r>
    </w:p>
    <w:p w14:paraId="4A0E2CCA" w14:textId="69B104B8" w:rsidR="00771FD9" w:rsidRPr="00CB093C" w:rsidRDefault="00771FD9" w:rsidP="00E742E9">
      <w:pPr>
        <w:pStyle w:val="Caption"/>
        <w:rPr>
          <w:rFonts w:ascii="Arial" w:hAnsi="Arial" w:cs="Arial"/>
          <w:i/>
          <w:vanish/>
          <w:color w:val="000000" w:themeColor="text1"/>
          <w:szCs w:val="22"/>
          <w:specVanish/>
        </w:rPr>
      </w:pPr>
      <w:bookmarkStart w:id="152" w:name="_Ref442465513"/>
      <w:bookmarkStart w:id="153" w:name="_Ref533006584"/>
      <w:bookmarkStart w:id="154" w:name="_Toc6402773"/>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8</w:t>
      </w:r>
      <w:r w:rsidRPr="00CB093C">
        <w:rPr>
          <w:rFonts w:ascii="Arial" w:hAnsi="Arial" w:cs="Arial"/>
          <w:szCs w:val="22"/>
        </w:rPr>
        <w:fldChar w:fldCharType="end"/>
      </w:r>
      <w:bookmarkEnd w:id="152"/>
      <w:r w:rsidRPr="00CB093C">
        <w:rPr>
          <w:rFonts w:ascii="Arial" w:hAnsi="Arial" w:cs="Arial"/>
          <w:szCs w:val="22"/>
        </w:rPr>
        <w:t xml:space="preserve">. </w:t>
      </w:r>
      <w:r w:rsidR="00B3497B" w:rsidRPr="00CB093C">
        <w:rPr>
          <w:rFonts w:ascii="Arial" w:hAnsi="Arial" w:cs="Arial"/>
          <w:i/>
          <w:szCs w:val="22"/>
        </w:rPr>
        <w:t xml:space="preserve">Environmental pressures </w:t>
      </w:r>
      <w:r w:rsidR="00056F8D" w:rsidRPr="00CB093C">
        <w:rPr>
          <w:rFonts w:ascii="Arial" w:hAnsi="Arial" w:cs="Arial"/>
          <w:i/>
          <w:szCs w:val="22"/>
        </w:rPr>
        <w:t xml:space="preserve">in the Reef </w:t>
      </w:r>
      <w:r w:rsidR="00B3497B" w:rsidRPr="00CB093C">
        <w:rPr>
          <w:rFonts w:ascii="Arial" w:hAnsi="Arial" w:cs="Arial"/>
          <w:i/>
          <w:szCs w:val="22"/>
        </w:rPr>
        <w:t xml:space="preserve">during </w:t>
      </w:r>
      <w:r w:rsidR="008C0E45">
        <w:rPr>
          <w:rFonts w:ascii="Arial" w:hAnsi="Arial" w:cs="Arial"/>
          <w:i/>
          <w:szCs w:val="22"/>
        </w:rPr>
        <w:t>2017–18</w:t>
      </w:r>
      <w:r w:rsidR="00B3497B" w:rsidRPr="00CB093C">
        <w:rPr>
          <w:rFonts w:ascii="Arial" w:hAnsi="Arial" w:cs="Arial"/>
          <w:i/>
          <w:szCs w:val="22"/>
        </w:rPr>
        <w:t xml:space="preserve"> and relative to long-term: </w:t>
      </w:r>
      <w:r w:rsidR="00236BA7" w:rsidRPr="00CB093C">
        <w:rPr>
          <w:rFonts w:ascii="Arial" w:hAnsi="Arial" w:cs="Arial"/>
          <w:i/>
          <w:szCs w:val="22"/>
        </w:rPr>
        <w:t>a.</w:t>
      </w:r>
      <w:r w:rsidR="00236BA7" w:rsidRPr="00CB093C">
        <w:rPr>
          <w:rFonts w:ascii="Arial" w:hAnsi="Arial" w:cs="Arial"/>
          <w:szCs w:val="22"/>
        </w:rPr>
        <w:t xml:space="preserve"> </w:t>
      </w:r>
      <w:r w:rsidR="00D75762" w:rsidRPr="00CB093C">
        <w:rPr>
          <w:rFonts w:ascii="Arial" w:hAnsi="Arial" w:cs="Arial"/>
          <w:i/>
          <w:szCs w:val="22"/>
        </w:rPr>
        <w:t>Frequency of</w:t>
      </w:r>
      <w:r w:rsidR="00D75762" w:rsidRPr="00CB093C">
        <w:rPr>
          <w:rFonts w:ascii="Arial" w:hAnsi="Arial" w:cs="Arial"/>
          <w:szCs w:val="22"/>
        </w:rPr>
        <w:t xml:space="preserve"> t</w:t>
      </w:r>
      <w:r w:rsidRPr="00CB093C">
        <w:rPr>
          <w:rFonts w:ascii="Arial" w:hAnsi="Arial" w:cs="Arial"/>
          <w:i/>
          <w:szCs w:val="22"/>
        </w:rPr>
        <w:t xml:space="preserve">urbid water </w:t>
      </w:r>
      <w:r w:rsidR="00F63FDB" w:rsidRPr="00CB093C">
        <w:rPr>
          <w:rFonts w:ascii="Arial" w:hAnsi="Arial" w:cs="Arial"/>
          <w:i/>
          <w:szCs w:val="22"/>
        </w:rPr>
        <w:t xml:space="preserve">(colour classes 1–5, primary and secondary water) </w:t>
      </w:r>
      <w:r w:rsidRPr="00CB093C">
        <w:rPr>
          <w:rFonts w:ascii="Arial" w:hAnsi="Arial" w:cs="Arial"/>
          <w:i/>
          <w:szCs w:val="22"/>
        </w:rPr>
        <w:t>exposure</w:t>
      </w:r>
      <w:r w:rsidR="00D75762" w:rsidRPr="00CB093C">
        <w:rPr>
          <w:rFonts w:ascii="Arial" w:hAnsi="Arial" w:cs="Arial"/>
          <w:i/>
          <w:szCs w:val="22"/>
        </w:rPr>
        <w:t xml:space="preserve"> </w:t>
      </w:r>
      <w:r w:rsidR="00D75762" w:rsidRPr="00CB093C">
        <w:rPr>
          <w:rFonts w:ascii="Arial" w:hAnsi="Arial" w:cs="Arial"/>
          <w:i/>
          <w:szCs w:val="22"/>
        </w:rPr>
        <w:lastRenderedPageBreak/>
        <w:t>shown in the</w:t>
      </w:r>
      <w:r w:rsidR="00236BA7" w:rsidRPr="00CB093C">
        <w:rPr>
          <w:rFonts w:ascii="Arial" w:hAnsi="Arial" w:cs="Arial"/>
          <w:i/>
          <w:szCs w:val="22"/>
        </w:rPr>
        <w:t xml:space="preserve"> left-hand panel</w:t>
      </w:r>
      <w:r w:rsidRPr="00CB093C">
        <w:rPr>
          <w:rFonts w:ascii="Arial" w:hAnsi="Arial" w:cs="Arial"/>
          <w:i/>
          <w:szCs w:val="22"/>
        </w:rPr>
        <w:t xml:space="preserve"> in the </w:t>
      </w:r>
      <w:r w:rsidR="00F206BF" w:rsidRPr="00CB093C">
        <w:rPr>
          <w:rFonts w:ascii="Arial" w:hAnsi="Arial" w:cs="Arial"/>
          <w:i/>
          <w:szCs w:val="22"/>
        </w:rPr>
        <w:t>Reef</w:t>
      </w:r>
      <w:r w:rsidRPr="00CB093C">
        <w:rPr>
          <w:rFonts w:ascii="Arial" w:hAnsi="Arial" w:cs="Arial"/>
          <w:i/>
          <w:szCs w:val="22"/>
        </w:rPr>
        <w:t xml:space="preserve"> from </w:t>
      </w:r>
      <w:r w:rsidRPr="00CB093C">
        <w:rPr>
          <w:rFonts w:ascii="Arial" w:hAnsi="Arial" w:cs="Arial"/>
          <w:i/>
          <w:color w:val="000000" w:themeColor="text1"/>
          <w:szCs w:val="22"/>
        </w:rPr>
        <w:t xml:space="preserve">December </w:t>
      </w:r>
      <w:r w:rsidR="005F2E04" w:rsidRPr="00CB093C">
        <w:rPr>
          <w:rFonts w:ascii="Arial" w:hAnsi="Arial" w:cs="Arial"/>
          <w:i/>
          <w:color w:val="000000" w:themeColor="text1"/>
          <w:szCs w:val="22"/>
        </w:rPr>
        <w:t xml:space="preserve">2017 </w:t>
      </w:r>
      <w:r w:rsidRPr="00CB093C">
        <w:rPr>
          <w:rFonts w:ascii="Arial" w:hAnsi="Arial" w:cs="Arial"/>
          <w:i/>
          <w:color w:val="000000" w:themeColor="text1"/>
          <w:szCs w:val="22"/>
        </w:rPr>
        <w:t>to April 201</w:t>
      </w:r>
      <w:r w:rsidR="008D1166" w:rsidRPr="00CB093C">
        <w:rPr>
          <w:rFonts w:ascii="Arial" w:hAnsi="Arial" w:cs="Arial"/>
          <w:i/>
          <w:color w:val="000000" w:themeColor="text1"/>
          <w:szCs w:val="22"/>
        </w:rPr>
        <w:t>8</w:t>
      </w:r>
      <w:bookmarkEnd w:id="153"/>
      <w:bookmarkEnd w:id="154"/>
    </w:p>
    <w:p w14:paraId="1CD923EA" w14:textId="63D4868A" w:rsidR="00E824B2" w:rsidRPr="00CB093C" w:rsidRDefault="00771FD9" w:rsidP="00E742E9">
      <w:pPr>
        <w:pStyle w:val="Caption"/>
        <w:rPr>
          <w:rFonts w:ascii="Arial" w:hAnsi="Arial" w:cs="Arial"/>
          <w:i/>
          <w:szCs w:val="22"/>
        </w:rPr>
      </w:pPr>
      <w:r w:rsidRPr="00CB093C">
        <w:rPr>
          <w:rFonts w:ascii="Arial" w:hAnsi="Arial" w:cs="Arial"/>
          <w:i/>
          <w:szCs w:val="22"/>
        </w:rPr>
        <w:t>ranging from frequency of 1 (</w:t>
      </w:r>
      <w:r w:rsidR="005F2E04" w:rsidRPr="00CB093C">
        <w:rPr>
          <w:rFonts w:ascii="Arial" w:hAnsi="Arial" w:cs="Arial"/>
          <w:i/>
          <w:szCs w:val="22"/>
        </w:rPr>
        <w:t>orange</w:t>
      </w:r>
      <w:r w:rsidRPr="00CB093C">
        <w:rPr>
          <w:rFonts w:ascii="Arial" w:hAnsi="Arial" w:cs="Arial"/>
          <w:i/>
          <w:szCs w:val="22"/>
        </w:rPr>
        <w:t>, always exposed) to 0 (</w:t>
      </w:r>
      <w:r w:rsidR="00B52DB6" w:rsidRPr="00CB093C">
        <w:rPr>
          <w:rFonts w:ascii="Arial" w:hAnsi="Arial" w:cs="Arial"/>
          <w:i/>
          <w:szCs w:val="22"/>
        </w:rPr>
        <w:t>pale</w:t>
      </w:r>
      <w:r w:rsidR="005F2E04" w:rsidRPr="00CB093C">
        <w:rPr>
          <w:rFonts w:ascii="Arial" w:hAnsi="Arial" w:cs="Arial"/>
          <w:i/>
          <w:szCs w:val="22"/>
        </w:rPr>
        <w:t xml:space="preserve"> </w:t>
      </w:r>
      <w:r w:rsidRPr="00CB093C">
        <w:rPr>
          <w:rFonts w:ascii="Arial" w:hAnsi="Arial" w:cs="Arial"/>
          <w:i/>
          <w:szCs w:val="22"/>
        </w:rPr>
        <w:t>blue, never exposed)</w:t>
      </w:r>
      <w:r w:rsidR="008D1166" w:rsidRPr="00CB093C">
        <w:rPr>
          <w:rFonts w:ascii="Arial" w:hAnsi="Arial" w:cs="Arial"/>
          <w:i/>
          <w:szCs w:val="22"/>
        </w:rPr>
        <w:t xml:space="preserve">, and </w:t>
      </w:r>
      <w:r w:rsidR="00236BA7" w:rsidRPr="00CB093C">
        <w:rPr>
          <w:rFonts w:ascii="Arial" w:hAnsi="Arial" w:cs="Arial"/>
          <w:i/>
          <w:szCs w:val="22"/>
        </w:rPr>
        <w:t>right</w:t>
      </w:r>
      <w:r w:rsidR="00F63FDB" w:rsidRPr="00CB093C">
        <w:rPr>
          <w:rFonts w:ascii="Arial" w:hAnsi="Arial" w:cs="Arial"/>
          <w:i/>
          <w:szCs w:val="22"/>
        </w:rPr>
        <w:t xml:space="preserve">-hand </w:t>
      </w:r>
      <w:r w:rsidR="00236BA7" w:rsidRPr="00CB093C">
        <w:rPr>
          <w:rFonts w:ascii="Arial" w:hAnsi="Arial" w:cs="Arial"/>
          <w:i/>
          <w:szCs w:val="22"/>
        </w:rPr>
        <w:t xml:space="preserve">panel </w:t>
      </w:r>
      <w:r w:rsidR="008D1166" w:rsidRPr="00CB093C">
        <w:rPr>
          <w:rFonts w:ascii="Arial" w:hAnsi="Arial" w:cs="Arial"/>
          <w:i/>
          <w:szCs w:val="22"/>
        </w:rPr>
        <w:t xml:space="preserve">the plume extent (10% boundary) in </w:t>
      </w:r>
      <w:r w:rsidR="003654C6">
        <w:rPr>
          <w:rFonts w:ascii="Arial" w:hAnsi="Arial" w:cs="Arial"/>
          <w:i/>
          <w:szCs w:val="22"/>
        </w:rPr>
        <w:t>2017–18</w:t>
      </w:r>
      <w:r w:rsidR="008D1166" w:rsidRPr="00CB093C">
        <w:rPr>
          <w:rFonts w:ascii="Arial" w:hAnsi="Arial" w:cs="Arial"/>
          <w:i/>
          <w:szCs w:val="22"/>
        </w:rPr>
        <w:t xml:space="preserve"> relative to the long-term average, with red showing that plumes extended further in </w:t>
      </w:r>
      <w:r w:rsidR="003654C6">
        <w:rPr>
          <w:rFonts w:ascii="Arial" w:hAnsi="Arial" w:cs="Arial"/>
          <w:i/>
          <w:szCs w:val="22"/>
        </w:rPr>
        <w:t>2017–18</w:t>
      </w:r>
      <w:r w:rsidR="008D1166" w:rsidRPr="00CB093C">
        <w:rPr>
          <w:rFonts w:ascii="Arial" w:hAnsi="Arial" w:cs="Arial"/>
          <w:i/>
          <w:szCs w:val="22"/>
        </w:rPr>
        <w:t xml:space="preserve"> and blue showing they did not extend as far</w:t>
      </w:r>
      <w:r w:rsidR="00B3497B" w:rsidRPr="00CB093C">
        <w:rPr>
          <w:rFonts w:ascii="Arial" w:hAnsi="Arial" w:cs="Arial"/>
          <w:i/>
          <w:szCs w:val="22"/>
        </w:rPr>
        <w:t>;</w:t>
      </w:r>
      <w:r w:rsidR="008D1166" w:rsidRPr="00CB093C">
        <w:rPr>
          <w:rFonts w:ascii="Arial" w:hAnsi="Arial" w:cs="Arial"/>
          <w:i/>
          <w:szCs w:val="22"/>
        </w:rPr>
        <w:t xml:space="preserve"> b. within canopy daily light for all sites, and the deviation in daily light relative to the long-term average</w:t>
      </w:r>
      <w:r w:rsidR="00B3497B" w:rsidRPr="00CB093C">
        <w:rPr>
          <w:rFonts w:ascii="Arial" w:hAnsi="Arial" w:cs="Arial"/>
          <w:i/>
          <w:szCs w:val="22"/>
        </w:rPr>
        <w:t>;</w:t>
      </w:r>
      <w:r w:rsidR="008D1166" w:rsidRPr="00CB093C">
        <w:rPr>
          <w:rFonts w:ascii="Arial" w:hAnsi="Arial" w:cs="Arial"/>
          <w:i/>
          <w:szCs w:val="22"/>
        </w:rPr>
        <w:t xml:space="preserve"> and c. within canopy water temperature, and deviation water temperature from the long-term average. </w:t>
      </w:r>
    </w:p>
    <w:p w14:paraId="2FC0FA4A" w14:textId="21DC3962" w:rsidR="00283D91" w:rsidRPr="00CB093C" w:rsidRDefault="002D2818" w:rsidP="00E742E9">
      <w:pPr>
        <w:rPr>
          <w:rFonts w:ascii="Arial" w:hAnsi="Arial" w:cs="Arial"/>
          <w:color w:val="000000" w:themeColor="text1"/>
          <w:szCs w:val="22"/>
          <w:lang w:val="en-GB"/>
        </w:rPr>
      </w:pPr>
      <w:r w:rsidRPr="00CB093C">
        <w:rPr>
          <w:rFonts w:ascii="Arial" w:hAnsi="Arial" w:cs="Arial"/>
          <w:color w:val="000000" w:themeColor="text1"/>
          <w:szCs w:val="22"/>
          <w:lang w:val="en-GB"/>
        </w:rPr>
        <w:t xml:space="preserve">The frequency of exposure to colour classes 1 to 4 (‘brown’ turbid water) during the wet season weeks </w:t>
      </w:r>
      <w:r w:rsidR="00BC3AAD" w:rsidRPr="00CB093C">
        <w:rPr>
          <w:rFonts w:ascii="Arial" w:hAnsi="Arial" w:cs="Arial"/>
          <w:color w:val="000000" w:themeColor="text1"/>
          <w:szCs w:val="22"/>
          <w:lang w:val="en-GB"/>
        </w:rPr>
        <w:t>(December 201</w:t>
      </w:r>
      <w:r w:rsidR="00505C13" w:rsidRPr="00CB093C">
        <w:rPr>
          <w:rFonts w:ascii="Arial" w:hAnsi="Arial" w:cs="Arial"/>
          <w:color w:val="000000" w:themeColor="text1"/>
          <w:szCs w:val="22"/>
          <w:lang w:val="en-GB"/>
        </w:rPr>
        <w:t>7</w:t>
      </w:r>
      <w:r w:rsidR="00BC3AAD" w:rsidRPr="00CB093C">
        <w:rPr>
          <w:rFonts w:ascii="Arial" w:hAnsi="Arial" w:cs="Arial"/>
          <w:color w:val="000000" w:themeColor="text1"/>
          <w:szCs w:val="22"/>
          <w:lang w:val="en-GB"/>
        </w:rPr>
        <w:t xml:space="preserve"> - April 201</w:t>
      </w:r>
      <w:r w:rsidR="00505C13" w:rsidRPr="00CB093C">
        <w:rPr>
          <w:rFonts w:ascii="Arial" w:hAnsi="Arial" w:cs="Arial"/>
          <w:color w:val="000000" w:themeColor="text1"/>
          <w:szCs w:val="22"/>
          <w:lang w:val="en-GB"/>
        </w:rPr>
        <w:t>8</w:t>
      </w:r>
      <w:r w:rsidR="00BC3AAD" w:rsidRPr="00CB093C">
        <w:rPr>
          <w:rFonts w:ascii="Arial" w:hAnsi="Arial" w:cs="Arial"/>
          <w:color w:val="000000" w:themeColor="text1"/>
          <w:szCs w:val="22"/>
          <w:lang w:val="en-GB"/>
        </w:rPr>
        <w:t xml:space="preserve">) </w:t>
      </w:r>
      <w:r w:rsidRPr="00CB093C">
        <w:rPr>
          <w:rFonts w:ascii="Arial" w:hAnsi="Arial" w:cs="Arial"/>
          <w:color w:val="000000" w:themeColor="text1"/>
          <w:szCs w:val="22"/>
          <w:lang w:val="en-GB"/>
        </w:rPr>
        <w:t xml:space="preserve">was lower than multiannual annual conditions in all </w:t>
      </w:r>
      <w:r w:rsidR="001A0665" w:rsidRPr="00CB093C">
        <w:rPr>
          <w:rFonts w:ascii="Arial" w:hAnsi="Arial" w:cs="Arial"/>
          <w:color w:val="000000" w:themeColor="text1"/>
          <w:szCs w:val="22"/>
          <w:lang w:val="en-GB"/>
        </w:rPr>
        <w:t>regions</w:t>
      </w:r>
      <w:r w:rsidRPr="00CB093C">
        <w:rPr>
          <w:rFonts w:ascii="Arial" w:hAnsi="Arial" w:cs="Arial"/>
          <w:color w:val="000000" w:themeColor="text1"/>
          <w:szCs w:val="22"/>
          <w:lang w:val="en-GB"/>
        </w:rPr>
        <w:t xml:space="preserve"> except the </w:t>
      </w:r>
      <w:r w:rsidR="003E390A" w:rsidRPr="00CB093C">
        <w:rPr>
          <w:rFonts w:ascii="Arial" w:hAnsi="Arial" w:cs="Arial"/>
          <w:color w:val="000000" w:themeColor="text1"/>
          <w:szCs w:val="22"/>
          <w:lang w:val="en-GB"/>
        </w:rPr>
        <w:t>Wet Tropics</w:t>
      </w:r>
      <w:r w:rsidR="00283D91" w:rsidRPr="00CB093C">
        <w:rPr>
          <w:rFonts w:ascii="Arial" w:hAnsi="Arial" w:cs="Arial"/>
          <w:color w:val="000000" w:themeColor="text1"/>
          <w:szCs w:val="22"/>
          <w:lang w:val="en-GB"/>
        </w:rPr>
        <w:t xml:space="preserve"> (</w:t>
      </w:r>
      <w:r w:rsidR="00283D91" w:rsidRPr="00CB093C">
        <w:rPr>
          <w:rFonts w:ascii="Arial" w:hAnsi="Arial" w:cs="Arial"/>
          <w:color w:val="000000" w:themeColor="text1"/>
          <w:szCs w:val="22"/>
          <w:lang w:val="en-GB"/>
        </w:rPr>
        <w:fldChar w:fldCharType="begin"/>
      </w:r>
      <w:r w:rsidR="00283D91" w:rsidRPr="00CB093C">
        <w:rPr>
          <w:rFonts w:ascii="Arial" w:hAnsi="Arial" w:cs="Arial"/>
          <w:color w:val="000000" w:themeColor="text1"/>
          <w:szCs w:val="22"/>
          <w:lang w:val="en-GB"/>
        </w:rPr>
        <w:instrText xml:space="preserve"> REF _Ref507596879 \h </w:instrText>
      </w:r>
      <w:r w:rsidR="00580DDA" w:rsidRPr="00CB093C">
        <w:rPr>
          <w:rFonts w:ascii="Arial" w:hAnsi="Arial" w:cs="Arial"/>
          <w:color w:val="000000" w:themeColor="text1"/>
          <w:szCs w:val="22"/>
          <w:lang w:val="en-GB"/>
        </w:rPr>
        <w:instrText xml:space="preserve"> \* MERGEFORMAT </w:instrText>
      </w:r>
      <w:r w:rsidR="00283D91" w:rsidRPr="00CB093C">
        <w:rPr>
          <w:rFonts w:ascii="Arial" w:hAnsi="Arial" w:cs="Arial"/>
          <w:color w:val="000000" w:themeColor="text1"/>
          <w:szCs w:val="22"/>
          <w:lang w:val="en-GB"/>
        </w:rPr>
      </w:r>
      <w:r w:rsidR="00283D91" w:rsidRPr="00CB093C">
        <w:rPr>
          <w:rFonts w:ascii="Arial" w:hAnsi="Arial" w:cs="Arial"/>
          <w:color w:val="000000" w:themeColor="text1"/>
          <w:szCs w:val="22"/>
          <w:lang w:val="en-GB"/>
        </w:rPr>
        <w:fldChar w:fldCharType="separate"/>
      </w:r>
      <w:r w:rsidR="005F00D4" w:rsidRPr="005F00D4">
        <w:rPr>
          <w:rFonts w:ascii="Arial" w:hAnsi="Arial" w:cs="Arial"/>
          <w:color w:val="000000" w:themeColor="text1"/>
          <w:szCs w:val="22"/>
        </w:rPr>
        <w:t xml:space="preserve">Figure </w:t>
      </w:r>
      <w:r w:rsidR="005F00D4" w:rsidRPr="005F00D4">
        <w:rPr>
          <w:rFonts w:ascii="Arial" w:hAnsi="Arial" w:cs="Arial"/>
          <w:noProof/>
          <w:color w:val="000000" w:themeColor="text1"/>
          <w:szCs w:val="22"/>
        </w:rPr>
        <w:t>9</w:t>
      </w:r>
      <w:r w:rsidR="00283D91" w:rsidRPr="00CB093C">
        <w:rPr>
          <w:rFonts w:ascii="Arial" w:hAnsi="Arial" w:cs="Arial"/>
          <w:color w:val="000000" w:themeColor="text1"/>
          <w:szCs w:val="22"/>
          <w:lang w:val="en-GB"/>
        </w:rPr>
        <w:fldChar w:fldCharType="end"/>
      </w:r>
      <w:r w:rsidR="00283D91" w:rsidRPr="00CB093C">
        <w:rPr>
          <w:rFonts w:ascii="Arial" w:hAnsi="Arial" w:cs="Arial"/>
          <w:color w:val="000000" w:themeColor="text1"/>
          <w:szCs w:val="22"/>
          <w:lang w:val="en-GB"/>
        </w:rPr>
        <w:t>)</w:t>
      </w:r>
      <w:r w:rsidRPr="00CB093C">
        <w:rPr>
          <w:rFonts w:ascii="Arial" w:hAnsi="Arial" w:cs="Arial"/>
          <w:color w:val="000000" w:themeColor="text1"/>
          <w:szCs w:val="22"/>
          <w:lang w:val="en-GB"/>
        </w:rPr>
        <w:t xml:space="preserve">. </w:t>
      </w:r>
      <w:r w:rsidR="00AD6AFB" w:rsidRPr="00CB093C">
        <w:rPr>
          <w:rFonts w:ascii="Arial" w:hAnsi="Arial" w:cs="Arial"/>
          <w:color w:val="000000" w:themeColor="text1"/>
          <w:szCs w:val="22"/>
          <w:lang w:val="en-GB"/>
        </w:rPr>
        <w:t>T</w:t>
      </w:r>
      <w:r w:rsidRPr="00CB093C">
        <w:rPr>
          <w:rFonts w:ascii="Arial" w:hAnsi="Arial" w:cs="Arial"/>
          <w:color w:val="000000" w:themeColor="text1"/>
          <w:szCs w:val="22"/>
          <w:lang w:val="en-GB"/>
        </w:rPr>
        <w:t xml:space="preserve">he frequency of exposure </w:t>
      </w:r>
      <w:r w:rsidR="00AD6AFB" w:rsidRPr="00CB093C">
        <w:rPr>
          <w:rFonts w:ascii="Arial" w:hAnsi="Arial" w:cs="Arial"/>
          <w:color w:val="000000" w:themeColor="text1"/>
          <w:szCs w:val="22"/>
          <w:lang w:val="en-GB"/>
        </w:rPr>
        <w:t>to</w:t>
      </w:r>
      <w:r w:rsidRPr="00CB093C">
        <w:rPr>
          <w:rFonts w:ascii="Arial" w:hAnsi="Arial" w:cs="Arial"/>
          <w:color w:val="000000" w:themeColor="text1"/>
          <w:szCs w:val="22"/>
          <w:lang w:val="en-GB"/>
        </w:rPr>
        <w:t xml:space="preserve"> colour class</w:t>
      </w:r>
      <w:r w:rsidR="00283D91" w:rsidRPr="00CB093C">
        <w:rPr>
          <w:rFonts w:ascii="Arial" w:hAnsi="Arial" w:cs="Arial"/>
          <w:color w:val="000000" w:themeColor="text1"/>
          <w:szCs w:val="22"/>
          <w:lang w:val="en-GB"/>
        </w:rPr>
        <w:t>es</w:t>
      </w:r>
      <w:r w:rsidRPr="00CB093C">
        <w:rPr>
          <w:rFonts w:ascii="Arial" w:hAnsi="Arial" w:cs="Arial"/>
          <w:color w:val="000000" w:themeColor="text1"/>
          <w:szCs w:val="22"/>
          <w:lang w:val="en-GB"/>
        </w:rPr>
        <w:t xml:space="preserve"> </w:t>
      </w:r>
      <w:r w:rsidR="00AD6AFB" w:rsidRPr="00CB093C">
        <w:rPr>
          <w:rFonts w:ascii="Arial" w:hAnsi="Arial" w:cs="Arial"/>
          <w:color w:val="000000" w:themeColor="text1"/>
          <w:szCs w:val="22"/>
          <w:lang w:val="en-GB"/>
        </w:rPr>
        <w:t xml:space="preserve">1 to </w:t>
      </w:r>
      <w:r w:rsidRPr="00CB093C">
        <w:rPr>
          <w:rFonts w:ascii="Arial" w:hAnsi="Arial" w:cs="Arial"/>
          <w:color w:val="000000" w:themeColor="text1"/>
          <w:szCs w:val="22"/>
          <w:lang w:val="en-GB"/>
        </w:rPr>
        <w:t xml:space="preserve">5 </w:t>
      </w:r>
      <w:r w:rsidR="00474831" w:rsidRPr="00CB093C">
        <w:rPr>
          <w:rFonts w:ascii="Arial" w:hAnsi="Arial" w:cs="Arial"/>
          <w:color w:val="000000" w:themeColor="text1"/>
          <w:szCs w:val="22"/>
          <w:lang w:val="en-GB"/>
        </w:rPr>
        <w:t>(</w:t>
      </w:r>
      <w:r w:rsidR="00AD6AFB" w:rsidRPr="00CB093C">
        <w:rPr>
          <w:rFonts w:ascii="Arial" w:hAnsi="Arial" w:cs="Arial"/>
          <w:color w:val="000000" w:themeColor="text1"/>
          <w:szCs w:val="22"/>
          <w:lang w:val="en-GB"/>
        </w:rPr>
        <w:t xml:space="preserve">including </w:t>
      </w:r>
      <w:r w:rsidRPr="00CB093C">
        <w:rPr>
          <w:rFonts w:ascii="Arial" w:hAnsi="Arial" w:cs="Arial"/>
          <w:color w:val="000000" w:themeColor="text1"/>
          <w:szCs w:val="22"/>
          <w:lang w:val="en-GB"/>
        </w:rPr>
        <w:t>‘green’ turbid</w:t>
      </w:r>
      <w:r w:rsidR="00AD6AFB" w:rsidRPr="00CB093C">
        <w:rPr>
          <w:rFonts w:ascii="Arial" w:hAnsi="Arial" w:cs="Arial"/>
          <w:color w:val="000000" w:themeColor="text1"/>
          <w:szCs w:val="22"/>
          <w:lang w:val="en-GB"/>
        </w:rPr>
        <w:t xml:space="preserve"> water</w:t>
      </w:r>
      <w:r w:rsidR="00474831" w:rsidRPr="00CB093C">
        <w:rPr>
          <w:rFonts w:ascii="Arial" w:hAnsi="Arial" w:cs="Arial"/>
          <w:color w:val="000000" w:themeColor="text1"/>
          <w:szCs w:val="22"/>
          <w:lang w:val="en-GB"/>
        </w:rPr>
        <w:t>)</w:t>
      </w:r>
      <w:r w:rsidR="00283D91" w:rsidRPr="00CB093C">
        <w:rPr>
          <w:rFonts w:ascii="Arial" w:hAnsi="Arial" w:cs="Arial"/>
          <w:color w:val="000000" w:themeColor="text1"/>
          <w:szCs w:val="22"/>
          <w:lang w:val="en-GB"/>
        </w:rPr>
        <w:t>,</w:t>
      </w:r>
      <w:r w:rsidR="001A0665" w:rsidRPr="00CB093C">
        <w:rPr>
          <w:rFonts w:ascii="Arial" w:hAnsi="Arial" w:cs="Arial"/>
          <w:color w:val="000000" w:themeColor="text1"/>
          <w:szCs w:val="22"/>
          <w:lang w:val="en-GB"/>
        </w:rPr>
        <w:t xml:space="preserve"> also shows that there was</w:t>
      </w:r>
      <w:r w:rsidR="00AD6AFB" w:rsidRPr="00CB093C">
        <w:rPr>
          <w:rFonts w:ascii="Arial" w:hAnsi="Arial" w:cs="Arial"/>
          <w:color w:val="000000" w:themeColor="text1"/>
          <w:szCs w:val="22"/>
          <w:lang w:val="en-GB"/>
        </w:rPr>
        <w:t xml:space="preserve"> </w:t>
      </w:r>
      <w:r w:rsidR="00443206" w:rsidRPr="00CB093C">
        <w:rPr>
          <w:rFonts w:ascii="Arial" w:hAnsi="Arial" w:cs="Arial"/>
          <w:color w:val="000000" w:themeColor="text1"/>
          <w:szCs w:val="22"/>
          <w:lang w:val="en-GB"/>
        </w:rPr>
        <w:t xml:space="preserve">a small </w:t>
      </w:r>
      <w:r w:rsidR="00474831" w:rsidRPr="00CB093C">
        <w:rPr>
          <w:rFonts w:ascii="Arial" w:hAnsi="Arial" w:cs="Arial"/>
          <w:szCs w:val="22"/>
        </w:rPr>
        <w:t xml:space="preserve">elevated </w:t>
      </w:r>
      <w:r w:rsidR="00283D91" w:rsidRPr="00CB093C">
        <w:rPr>
          <w:rFonts w:ascii="Arial" w:hAnsi="Arial" w:cs="Arial"/>
          <w:color w:val="000000" w:themeColor="text1"/>
          <w:szCs w:val="22"/>
          <w:lang w:val="en-GB"/>
        </w:rPr>
        <w:t xml:space="preserve">frequency </w:t>
      </w:r>
      <w:r w:rsidR="001A0665" w:rsidRPr="00CB093C">
        <w:rPr>
          <w:rFonts w:ascii="Arial" w:hAnsi="Arial" w:cs="Arial"/>
          <w:color w:val="000000" w:themeColor="text1"/>
          <w:szCs w:val="22"/>
          <w:lang w:val="en-GB"/>
        </w:rPr>
        <w:t xml:space="preserve">of exposure </w:t>
      </w:r>
      <w:r w:rsidR="00505C13" w:rsidRPr="00CB093C">
        <w:rPr>
          <w:rFonts w:ascii="Arial" w:hAnsi="Arial" w:cs="Arial"/>
          <w:szCs w:val="22"/>
        </w:rPr>
        <w:t xml:space="preserve">at </w:t>
      </w:r>
      <w:r w:rsidR="00637325">
        <w:rPr>
          <w:rFonts w:ascii="Arial" w:hAnsi="Arial" w:cs="Arial"/>
          <w:szCs w:val="22"/>
        </w:rPr>
        <w:t>Mackay-Whitsunday</w:t>
      </w:r>
      <w:r w:rsidR="00443206" w:rsidRPr="00CB093C">
        <w:rPr>
          <w:rFonts w:ascii="Arial" w:hAnsi="Arial" w:cs="Arial"/>
          <w:szCs w:val="22"/>
        </w:rPr>
        <w:t xml:space="preserve"> seagrass sites</w:t>
      </w:r>
      <w:r w:rsidR="00505C13" w:rsidRPr="00CB093C">
        <w:rPr>
          <w:rFonts w:ascii="Arial" w:hAnsi="Arial" w:cs="Arial"/>
          <w:szCs w:val="22"/>
        </w:rPr>
        <w:t xml:space="preserve"> </w:t>
      </w:r>
      <w:r w:rsidR="001A0665" w:rsidRPr="00CB093C">
        <w:rPr>
          <w:rFonts w:ascii="Arial" w:hAnsi="Arial" w:cs="Arial"/>
          <w:szCs w:val="22"/>
        </w:rPr>
        <w:t xml:space="preserve">despite low </w:t>
      </w:r>
      <w:r w:rsidR="009E16E7" w:rsidRPr="00CB093C">
        <w:rPr>
          <w:rFonts w:ascii="Arial" w:hAnsi="Arial" w:cs="Arial"/>
          <w:szCs w:val="22"/>
        </w:rPr>
        <w:t>rainfall and discharge</w:t>
      </w:r>
      <w:r w:rsidR="00505C13" w:rsidRPr="00CB093C">
        <w:rPr>
          <w:rFonts w:ascii="Arial" w:hAnsi="Arial" w:cs="Arial"/>
          <w:szCs w:val="22"/>
        </w:rPr>
        <w:t>.</w:t>
      </w:r>
      <w:r w:rsidR="00443206" w:rsidRPr="00CB093C">
        <w:rPr>
          <w:rFonts w:ascii="Arial" w:hAnsi="Arial" w:cs="Arial"/>
          <w:szCs w:val="22"/>
        </w:rPr>
        <w:t xml:space="preserve"> But this was not reflected in the plume extent, or with-in canopy light levels for the </w:t>
      </w:r>
      <w:r w:rsidR="00637325">
        <w:rPr>
          <w:rFonts w:ascii="Arial" w:hAnsi="Arial" w:cs="Arial"/>
          <w:szCs w:val="22"/>
        </w:rPr>
        <w:t>Mackay-Whitsunday</w:t>
      </w:r>
      <w:r w:rsidR="00443206" w:rsidRPr="00CB093C">
        <w:rPr>
          <w:rFonts w:ascii="Arial" w:hAnsi="Arial" w:cs="Arial"/>
          <w:szCs w:val="22"/>
        </w:rPr>
        <w:t xml:space="preserve"> (</w:t>
      </w:r>
      <w:r w:rsidR="00443206" w:rsidRPr="00CB093C">
        <w:rPr>
          <w:rFonts w:ascii="Arial" w:hAnsi="Arial" w:cs="Arial"/>
          <w:szCs w:val="22"/>
        </w:rPr>
        <w:fldChar w:fldCharType="begin"/>
      </w:r>
      <w:r w:rsidR="00443206" w:rsidRPr="00CB093C">
        <w:rPr>
          <w:rFonts w:ascii="Arial" w:hAnsi="Arial" w:cs="Arial"/>
          <w:szCs w:val="22"/>
        </w:rPr>
        <w:instrText xml:space="preserve"> REF _Ref442465513 \h </w:instrText>
      </w:r>
      <w:r w:rsidR="00CB093C" w:rsidRPr="00CB093C">
        <w:rPr>
          <w:rFonts w:ascii="Arial" w:hAnsi="Arial" w:cs="Arial"/>
          <w:szCs w:val="22"/>
        </w:rPr>
        <w:instrText xml:space="preserve"> \* MERGEFORMAT </w:instrText>
      </w:r>
      <w:r w:rsidR="00443206" w:rsidRPr="00CB093C">
        <w:rPr>
          <w:rFonts w:ascii="Arial" w:hAnsi="Arial" w:cs="Arial"/>
          <w:szCs w:val="22"/>
        </w:rPr>
      </w:r>
      <w:r w:rsidR="00443206"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8</w:t>
      </w:r>
      <w:r w:rsidR="00443206" w:rsidRPr="00CB093C">
        <w:rPr>
          <w:rFonts w:ascii="Arial" w:hAnsi="Arial" w:cs="Arial"/>
          <w:szCs w:val="22"/>
        </w:rPr>
        <w:fldChar w:fldCharType="end"/>
      </w:r>
      <w:r w:rsidR="00443206" w:rsidRPr="00CB093C">
        <w:rPr>
          <w:rFonts w:ascii="Arial" w:hAnsi="Arial" w:cs="Arial"/>
          <w:szCs w:val="22"/>
        </w:rPr>
        <w:t xml:space="preserve">). </w:t>
      </w:r>
    </w:p>
    <w:p w14:paraId="62C2431C" w14:textId="5974A7F6" w:rsidR="00771FD9" w:rsidRPr="00CB093C" w:rsidRDefault="002D2818" w:rsidP="00E742E9">
      <w:pPr>
        <w:pStyle w:val="Caption"/>
        <w:jc w:val="center"/>
        <w:rPr>
          <w:rFonts w:ascii="Arial" w:hAnsi="Arial" w:cs="Arial"/>
          <w:szCs w:val="22"/>
        </w:rPr>
      </w:pPr>
      <w:r w:rsidRPr="00CB093C">
        <w:rPr>
          <w:rFonts w:ascii="Arial" w:hAnsi="Arial" w:cs="Arial"/>
          <w:noProof/>
          <w:szCs w:val="22"/>
          <w:lang w:val="en-US"/>
        </w:rPr>
        <w:drawing>
          <wp:inline distT="0" distB="0" distL="0" distR="0" wp14:anchorId="24E27596" wp14:editId="4E8E4B1F">
            <wp:extent cx="5040000" cy="1868400"/>
            <wp:effectExtent l="0" t="0" r="8255" b="0"/>
            <wp:docPr id="101" name="Picture 101" descr="Panel of 2 bar charts showing difference in the frequency of exposure to water colour classes at seagrass monitoring sites during the wet season (December 2017 – April 2018) compared to the long-term multiannual exposure (2003-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exposure deviation 2017-Multi.png"/>
                    <pic:cNvPicPr/>
                  </pic:nvPicPr>
                  <pic:blipFill>
                    <a:blip r:embed="rId54"/>
                    <a:stretch>
                      <a:fillRect/>
                    </a:stretch>
                  </pic:blipFill>
                  <pic:spPr>
                    <a:xfrm>
                      <a:off x="0" y="0"/>
                      <a:ext cx="5040000" cy="1868400"/>
                    </a:xfrm>
                    <a:prstGeom prst="rect">
                      <a:avLst/>
                    </a:prstGeom>
                  </pic:spPr>
                </pic:pic>
              </a:graphicData>
            </a:graphic>
          </wp:inline>
        </w:drawing>
      </w:r>
    </w:p>
    <w:p w14:paraId="5A6297D8" w14:textId="3A557AA8" w:rsidR="00297244" w:rsidRPr="00CB093C" w:rsidRDefault="00E824B2" w:rsidP="00297244">
      <w:pPr>
        <w:pStyle w:val="Caption"/>
        <w:rPr>
          <w:rFonts w:ascii="Arial" w:hAnsi="Arial" w:cs="Arial"/>
          <w:i/>
          <w:vanish/>
          <w:szCs w:val="22"/>
          <w:specVanish/>
        </w:rPr>
      </w:pPr>
      <w:bookmarkStart w:id="155" w:name="_Ref507596879"/>
      <w:bookmarkStart w:id="156" w:name="_Ref3971835"/>
      <w:bookmarkStart w:id="157" w:name="_Toc6402774"/>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9</w:t>
      </w:r>
      <w:r w:rsidRPr="00CB093C">
        <w:rPr>
          <w:rFonts w:ascii="Arial" w:hAnsi="Arial" w:cs="Arial"/>
          <w:szCs w:val="22"/>
        </w:rPr>
        <w:fldChar w:fldCharType="end"/>
      </w:r>
      <w:bookmarkEnd w:id="155"/>
      <w:r w:rsidRPr="00CB093C">
        <w:rPr>
          <w:rFonts w:ascii="Arial" w:hAnsi="Arial" w:cs="Arial"/>
          <w:szCs w:val="22"/>
        </w:rPr>
        <w:t xml:space="preserve">. </w:t>
      </w:r>
      <w:r w:rsidR="00283D91" w:rsidRPr="00CB093C">
        <w:rPr>
          <w:rFonts w:ascii="Arial" w:hAnsi="Arial" w:cs="Arial"/>
          <w:i/>
          <w:szCs w:val="22"/>
        </w:rPr>
        <w:t>Difference in the f</w:t>
      </w:r>
      <w:r w:rsidRPr="00CB093C">
        <w:rPr>
          <w:rFonts w:ascii="Arial" w:hAnsi="Arial" w:cs="Arial"/>
          <w:i/>
          <w:szCs w:val="22"/>
        </w:rPr>
        <w:t>requency of exposure to water colour classes</w:t>
      </w:r>
      <w:r w:rsidR="0025552C" w:rsidRPr="00CB093C">
        <w:rPr>
          <w:rFonts w:ascii="Arial" w:hAnsi="Arial" w:cs="Arial"/>
          <w:i/>
          <w:szCs w:val="22"/>
        </w:rPr>
        <w:t xml:space="preserve"> </w:t>
      </w:r>
      <w:r w:rsidRPr="00CB093C">
        <w:rPr>
          <w:rFonts w:ascii="Arial" w:hAnsi="Arial" w:cs="Arial"/>
          <w:i/>
          <w:szCs w:val="22"/>
        </w:rPr>
        <w:t>1 to 4 (left) and 1 to 5 (right)</w:t>
      </w:r>
      <w:r w:rsidR="002D2818" w:rsidRPr="00CB093C">
        <w:rPr>
          <w:rFonts w:ascii="Arial" w:hAnsi="Arial" w:cs="Arial"/>
          <w:i/>
          <w:szCs w:val="22"/>
        </w:rPr>
        <w:t xml:space="preserve"> at seagrass </w:t>
      </w:r>
      <w:r w:rsidR="0025552C" w:rsidRPr="00CB093C">
        <w:rPr>
          <w:rFonts w:ascii="Arial" w:hAnsi="Arial" w:cs="Arial"/>
          <w:i/>
          <w:szCs w:val="22"/>
        </w:rPr>
        <w:t xml:space="preserve">monitoring </w:t>
      </w:r>
      <w:r w:rsidR="002D2818" w:rsidRPr="00CB093C">
        <w:rPr>
          <w:rFonts w:ascii="Arial" w:hAnsi="Arial" w:cs="Arial"/>
          <w:i/>
          <w:szCs w:val="22"/>
        </w:rPr>
        <w:t>sites during the wet season (</w:t>
      </w:r>
      <w:r w:rsidR="009F7BEA" w:rsidRPr="00CB093C">
        <w:rPr>
          <w:rFonts w:ascii="Arial" w:hAnsi="Arial" w:cs="Arial"/>
          <w:i/>
          <w:szCs w:val="22"/>
        </w:rPr>
        <w:t>December</w:t>
      </w:r>
      <w:r w:rsidR="002D2818" w:rsidRPr="00CB093C">
        <w:rPr>
          <w:rFonts w:ascii="Arial" w:hAnsi="Arial" w:cs="Arial"/>
          <w:i/>
          <w:szCs w:val="22"/>
        </w:rPr>
        <w:t xml:space="preserve"> 201</w:t>
      </w:r>
      <w:r w:rsidR="003E390A" w:rsidRPr="00CB093C">
        <w:rPr>
          <w:rFonts w:ascii="Arial" w:hAnsi="Arial" w:cs="Arial"/>
          <w:i/>
          <w:szCs w:val="22"/>
        </w:rPr>
        <w:t>7</w:t>
      </w:r>
      <w:r w:rsidR="00FD625B" w:rsidRPr="00CB093C">
        <w:rPr>
          <w:rFonts w:ascii="Arial" w:hAnsi="Arial" w:cs="Arial"/>
          <w:i/>
          <w:szCs w:val="22"/>
        </w:rPr>
        <w:t>–</w:t>
      </w:r>
      <w:r w:rsidR="002D2818" w:rsidRPr="00CB093C">
        <w:rPr>
          <w:rFonts w:ascii="Arial" w:hAnsi="Arial" w:cs="Arial"/>
          <w:i/>
          <w:szCs w:val="22"/>
        </w:rPr>
        <w:t>April 201</w:t>
      </w:r>
      <w:r w:rsidR="003E390A" w:rsidRPr="00CB093C">
        <w:rPr>
          <w:rFonts w:ascii="Arial" w:hAnsi="Arial" w:cs="Arial"/>
          <w:i/>
          <w:szCs w:val="22"/>
        </w:rPr>
        <w:t>8</w:t>
      </w:r>
      <w:r w:rsidR="002D2818" w:rsidRPr="00CB093C">
        <w:rPr>
          <w:rFonts w:ascii="Arial" w:hAnsi="Arial" w:cs="Arial"/>
          <w:i/>
          <w:szCs w:val="22"/>
        </w:rPr>
        <w:t>)</w:t>
      </w:r>
      <w:r w:rsidR="00283D91" w:rsidRPr="00CB093C">
        <w:rPr>
          <w:rFonts w:ascii="Arial" w:hAnsi="Arial" w:cs="Arial"/>
          <w:i/>
          <w:szCs w:val="22"/>
        </w:rPr>
        <w:t xml:space="preserve"> </w:t>
      </w:r>
      <w:r w:rsidR="002D2818" w:rsidRPr="00CB093C">
        <w:rPr>
          <w:rFonts w:ascii="Arial" w:hAnsi="Arial" w:cs="Arial"/>
          <w:i/>
          <w:szCs w:val="22"/>
        </w:rPr>
        <w:t>compared to the long-term multiannual exposure (2003</w:t>
      </w:r>
      <w:r w:rsidR="00FD625B" w:rsidRPr="00CB093C">
        <w:rPr>
          <w:rFonts w:ascii="Arial" w:hAnsi="Arial" w:cs="Arial"/>
          <w:i/>
          <w:szCs w:val="22"/>
        </w:rPr>
        <w:t>–</w:t>
      </w:r>
      <w:r w:rsidR="002D2818" w:rsidRPr="00CB093C">
        <w:rPr>
          <w:rFonts w:ascii="Arial" w:hAnsi="Arial" w:cs="Arial"/>
          <w:i/>
          <w:szCs w:val="22"/>
        </w:rPr>
        <w:t>2017).</w:t>
      </w:r>
      <w:bookmarkEnd w:id="156"/>
      <w:bookmarkEnd w:id="157"/>
      <w:r w:rsidR="00297244" w:rsidRPr="00CB093C">
        <w:rPr>
          <w:rFonts w:ascii="Arial" w:hAnsi="Arial" w:cs="Arial"/>
          <w:i/>
          <w:vanish/>
          <w:szCs w:val="22"/>
          <w:specVanish/>
        </w:rPr>
        <w:t xml:space="preserve"> </w:t>
      </w:r>
    </w:p>
    <w:p w14:paraId="6DE9DA65" w14:textId="19CF6AB2" w:rsidR="00E824B2" w:rsidRPr="00CB093C" w:rsidRDefault="00A5437F" w:rsidP="00297244">
      <w:pPr>
        <w:pStyle w:val="Caption"/>
        <w:rPr>
          <w:rFonts w:ascii="Arial" w:hAnsi="Arial" w:cs="Arial"/>
          <w:i/>
          <w:szCs w:val="22"/>
        </w:rPr>
      </w:pPr>
      <w:r w:rsidRPr="00CB093C">
        <w:rPr>
          <w:rFonts w:ascii="Arial" w:hAnsi="Arial" w:cs="Arial"/>
          <w:i/>
          <w:szCs w:val="22"/>
        </w:rPr>
        <w:t xml:space="preserve"> </w:t>
      </w:r>
    </w:p>
    <w:p w14:paraId="798FE73E" w14:textId="77777777" w:rsidR="004C777E" w:rsidRPr="00CB093C" w:rsidRDefault="004C777E" w:rsidP="00D2585E">
      <w:pPr>
        <w:rPr>
          <w:rFonts w:ascii="Arial" w:hAnsi="Arial" w:cs="Arial"/>
          <w:szCs w:val="22"/>
        </w:rPr>
      </w:pPr>
    </w:p>
    <w:p w14:paraId="10D42AF2" w14:textId="77777777" w:rsidR="00D77005" w:rsidRPr="00CB093C" w:rsidRDefault="00D77005" w:rsidP="0015509E">
      <w:pPr>
        <w:pStyle w:val="Heading2"/>
      </w:pPr>
      <w:bookmarkStart w:id="158" w:name="_Toc11394712"/>
      <w:r w:rsidRPr="00CB093C">
        <w:t>Daily incident light</w:t>
      </w:r>
      <w:bookmarkEnd w:id="158"/>
      <w:r w:rsidRPr="00CB093C">
        <w:t xml:space="preserve"> </w:t>
      </w:r>
    </w:p>
    <w:p w14:paraId="2633FAED" w14:textId="0D1ECAC7" w:rsidR="00B96FEB" w:rsidRPr="00CB093C" w:rsidRDefault="00B96FEB" w:rsidP="00B96FEB">
      <w:pPr>
        <w:rPr>
          <w:rFonts w:ascii="Arial" w:hAnsi="Arial" w:cs="Arial"/>
          <w:color w:val="000000" w:themeColor="text1"/>
          <w:szCs w:val="22"/>
        </w:rPr>
      </w:pPr>
      <w:r w:rsidRPr="00CB093C">
        <w:rPr>
          <w:rFonts w:ascii="Arial" w:hAnsi="Arial" w:cs="Arial"/>
          <w:color w:val="000000" w:themeColor="text1"/>
          <w:szCs w:val="22"/>
        </w:rPr>
        <w:t>Daily light in shallow habitats can be affected by water quality</w:t>
      </w:r>
      <w:r w:rsidR="00451371" w:rsidRPr="00CB093C">
        <w:rPr>
          <w:rFonts w:ascii="Arial" w:hAnsi="Arial" w:cs="Arial"/>
          <w:color w:val="000000" w:themeColor="text1"/>
          <w:szCs w:val="22"/>
        </w:rPr>
        <w:t xml:space="preserve">, depth of the site and </w:t>
      </w:r>
      <w:r w:rsidRPr="00CB093C">
        <w:rPr>
          <w:rFonts w:ascii="Arial" w:hAnsi="Arial" w:cs="Arial"/>
          <w:color w:val="000000" w:themeColor="text1"/>
          <w:szCs w:val="22"/>
        </w:rPr>
        <w:t>cloudiness, which affects the frequency and duration of exposure to full sunlight at low tide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ADDIN EN.CITE &lt;EndNote&gt;&lt;Cite&gt;&lt;Author&gt;Anthony&lt;/Author&gt;&lt;Year&gt;2004&lt;/Year&gt;&lt;RecNum&gt;7409&lt;/RecNum&gt;&lt;DisplayText&gt;Anthony&lt;style face="italic"&gt; et al.&lt;/style&gt; 2004; Fabricius&lt;style face="italic"&gt; et al.&lt;/style&gt; 2012&lt;/DisplayText&gt;&lt;record&gt;&lt;rec-number&gt;7409&lt;/rec-number&gt;&lt;foreign-keys&gt;&lt;key app="EN" db-id="0eve55x9y5vfd6e9dacxtew4eatve2dzds9a" timestamp="0"&gt;7409&lt;/key&gt;&lt;/foreign-keys&gt;&lt;ref-type name="Journal Article"&gt;17&lt;/ref-type&gt;&lt;contributors&gt;&lt;authors&gt;&lt;author&gt;Anthony, Kenneth R N&lt;/author&gt;&lt;author&gt;Ridd, Peter V&lt;/author&gt;&lt;author&gt;Orpin, Alan R.&lt;/author&gt;&lt;author&gt;Larcombe, Piers&lt;/author&gt;&lt;author&gt;Lough, Janice&lt;/author&gt;&lt;/authors&gt;&lt;/contributors&gt;&lt;titles&gt;&lt;title&gt;Temporal variation in light availability in coastal benthic habitats: Effects of clouds, turbidity, and tides&lt;/title&gt;&lt;secondary-title&gt;Limnology and Oceanography&lt;/secondary-title&gt;&lt;/titles&gt;&lt;periodical&gt;&lt;full-title&gt;Limnology and Oceanography&lt;/full-title&gt;&lt;/periodical&gt;&lt;pages&gt;2201-2211&lt;/pages&gt;&lt;volume&gt;49&lt;/volume&gt;&lt;number&gt;6&lt;/number&gt;&lt;dates&gt;&lt;year&gt;2004&lt;/year&gt;&lt;/dates&gt;&lt;urls&gt;&lt;/urls&gt;&lt;/record&gt;&lt;/Cite&gt;&lt;Cite&gt;&lt;Author&gt;Fabricius&lt;/Author&gt;&lt;Year&gt;2012&lt;/Year&gt;&lt;RecNum&gt;9294&lt;/RecNum&gt;&lt;record&gt;&lt;rec-number&gt;9294&lt;/rec-number&gt;&lt;foreign-keys&gt;&lt;key app="EN" db-id="0eve55x9y5vfd6e9dacxtew4eatve2dzds9a" timestamp="1375005082"&gt;9294&lt;/key&gt;&lt;/foreign-keys&gt;&lt;ref-type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Science&lt;/full-title&gt;&lt;/periodical&gt;&lt;pages&gt;458-470&lt;/pages&gt;&lt;volume&gt;3&lt;/volume&gt;&lt;dates&gt;&lt;year&gt;2012&lt;/year&gt;&lt;/dates&gt;&lt;urls&gt;&lt;/urls&gt;&lt;/record&gt;&lt;/Cite&gt;&lt;/EndNote&gt;</w:instrText>
      </w:r>
      <w:r w:rsidRPr="00CB093C">
        <w:rPr>
          <w:rFonts w:ascii="Arial" w:hAnsi="Arial" w:cs="Arial"/>
          <w:color w:val="000000" w:themeColor="text1"/>
          <w:szCs w:val="22"/>
        </w:rPr>
        <w:fldChar w:fldCharType="separate"/>
      </w:r>
      <w:hyperlink w:anchor="_ENREF_3" w:tooltip="Anthony, 2004 #7409" w:history="1">
        <w:r w:rsidR="00513C39" w:rsidRPr="00CB093C">
          <w:rPr>
            <w:rFonts w:ascii="Arial" w:hAnsi="Arial" w:cs="Arial"/>
            <w:noProof/>
            <w:color w:val="000000" w:themeColor="text1"/>
            <w:szCs w:val="22"/>
          </w:rPr>
          <w:t>Anthony</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2004</w:t>
        </w:r>
      </w:hyperlink>
      <w:r w:rsidRPr="00CB093C">
        <w:rPr>
          <w:rFonts w:ascii="Arial" w:hAnsi="Arial" w:cs="Arial"/>
          <w:noProof/>
          <w:color w:val="000000" w:themeColor="text1"/>
          <w:szCs w:val="22"/>
        </w:rPr>
        <w:t xml:space="preserve">; </w:t>
      </w:r>
      <w:hyperlink w:anchor="_ENREF_54" w:tooltip="Fabricius, 2012 #9294" w:history="1">
        <w:r w:rsidR="00513C39" w:rsidRPr="00CB093C">
          <w:rPr>
            <w:rFonts w:ascii="Arial" w:hAnsi="Arial" w:cs="Arial"/>
            <w:noProof/>
            <w:color w:val="000000" w:themeColor="text1"/>
            <w:szCs w:val="22"/>
          </w:rPr>
          <w:t>Fabricius</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2012</w:t>
        </w:r>
      </w:hyperlink>
      <w:r w:rsidRPr="00CB093C">
        <w:rPr>
          <w:rFonts w:ascii="Arial" w:hAnsi="Arial" w:cs="Arial"/>
          <w:color w:val="000000" w:themeColor="text1"/>
          <w:szCs w:val="22"/>
        </w:rPr>
        <w:fldChar w:fldCharType="end"/>
      </w:r>
      <w:r w:rsidRPr="00CB093C">
        <w:rPr>
          <w:rFonts w:ascii="Arial" w:hAnsi="Arial" w:cs="Arial"/>
          <w:color w:val="000000" w:themeColor="text1"/>
          <w:szCs w:val="22"/>
        </w:rPr>
        <w:t>).  Differences in I</w:t>
      </w:r>
      <w:r w:rsidRPr="00CB093C">
        <w:rPr>
          <w:rFonts w:ascii="Arial" w:hAnsi="Arial" w:cs="Arial"/>
          <w:color w:val="000000" w:themeColor="text1"/>
          <w:szCs w:val="22"/>
          <w:vertAlign w:val="subscript"/>
        </w:rPr>
        <w:t>d</w:t>
      </w:r>
      <w:r w:rsidRPr="00CB093C">
        <w:rPr>
          <w:rFonts w:ascii="Arial" w:hAnsi="Arial" w:cs="Arial"/>
          <w:color w:val="000000" w:themeColor="text1"/>
          <w:szCs w:val="22"/>
        </w:rPr>
        <w:t xml:space="preserve"> among seagrass meadows reported here is largely a reflection of site-specific differences in water quality.</w:t>
      </w:r>
    </w:p>
    <w:p w14:paraId="42B199CD" w14:textId="37A7AFEB" w:rsidR="003945AB" w:rsidRPr="00CB093C" w:rsidRDefault="003E039B" w:rsidP="00E742E9">
      <w:pPr>
        <w:rPr>
          <w:rFonts w:ascii="Arial" w:hAnsi="Arial" w:cs="Arial"/>
          <w:color w:val="000000" w:themeColor="text1"/>
          <w:szCs w:val="22"/>
        </w:rPr>
      </w:pPr>
      <w:r w:rsidRPr="00CB093C">
        <w:rPr>
          <w:rFonts w:ascii="Arial" w:hAnsi="Arial" w:cs="Arial"/>
          <w:color w:val="000000" w:themeColor="text1"/>
          <w:szCs w:val="22"/>
        </w:rPr>
        <w:lastRenderedPageBreak/>
        <w:t xml:space="preserve">Daily light reaching the top of the seagrass canopy in the </w:t>
      </w:r>
      <w:r w:rsidR="00F206BF" w:rsidRPr="00CB093C">
        <w:rPr>
          <w:rFonts w:ascii="Arial" w:hAnsi="Arial" w:cs="Arial"/>
          <w:color w:val="000000" w:themeColor="text1"/>
          <w:szCs w:val="22"/>
        </w:rPr>
        <w:t>Reef</w:t>
      </w:r>
      <w:r w:rsidRPr="00CB093C">
        <w:rPr>
          <w:rFonts w:ascii="Arial" w:hAnsi="Arial" w:cs="Arial"/>
          <w:color w:val="000000" w:themeColor="text1"/>
          <w:szCs w:val="22"/>
        </w:rPr>
        <w:t xml:space="preserve"> in </w:t>
      </w:r>
      <w:r w:rsidR="003654C6">
        <w:rPr>
          <w:rFonts w:ascii="Arial" w:hAnsi="Arial" w:cs="Arial"/>
          <w:color w:val="000000" w:themeColor="text1"/>
          <w:szCs w:val="22"/>
        </w:rPr>
        <w:t>2017–18</w:t>
      </w:r>
      <w:r w:rsidRPr="00CB093C">
        <w:rPr>
          <w:rFonts w:ascii="Arial" w:hAnsi="Arial" w:cs="Arial"/>
          <w:color w:val="000000" w:themeColor="text1"/>
          <w:szCs w:val="22"/>
        </w:rPr>
        <w:t xml:space="preserve"> </w:t>
      </w:r>
      <w:r w:rsidR="007F2A6A" w:rsidRPr="00CB093C">
        <w:rPr>
          <w:rFonts w:ascii="Arial" w:hAnsi="Arial" w:cs="Arial"/>
          <w:color w:val="000000" w:themeColor="text1"/>
          <w:szCs w:val="22"/>
        </w:rPr>
        <w:t xml:space="preserve">was </w:t>
      </w:r>
      <w:r w:rsidRPr="00CB093C">
        <w:rPr>
          <w:rFonts w:ascii="Arial" w:hAnsi="Arial" w:cs="Arial"/>
          <w:color w:val="000000" w:themeColor="text1"/>
          <w:szCs w:val="22"/>
        </w:rPr>
        <w:t>11.</w:t>
      </w:r>
      <w:r w:rsidR="00DC4706" w:rsidRPr="00CB093C">
        <w:rPr>
          <w:rFonts w:ascii="Arial" w:hAnsi="Arial" w:cs="Arial"/>
          <w:color w:val="000000" w:themeColor="text1"/>
          <w:szCs w:val="22"/>
        </w:rPr>
        <w:t>5</w:t>
      </w:r>
      <w:r w:rsidRPr="00CB093C">
        <w:rPr>
          <w:rFonts w:ascii="Arial" w:hAnsi="Arial" w:cs="Arial"/>
          <w:color w:val="000000" w:themeColor="text1"/>
          <w:szCs w:val="22"/>
        </w:rPr>
        <w:t xml:space="preserve">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 xml:space="preserve">-1  </w:t>
      </w:r>
      <w:r w:rsidR="007F2A6A" w:rsidRPr="00CB093C">
        <w:rPr>
          <w:rFonts w:ascii="Arial" w:hAnsi="Arial" w:cs="Arial"/>
          <w:color w:val="000000" w:themeColor="text1"/>
          <w:szCs w:val="22"/>
        </w:rPr>
        <w:t>when averaged for all sites</w:t>
      </w:r>
      <w:r w:rsidRPr="00CB093C">
        <w:rPr>
          <w:rFonts w:ascii="Arial" w:hAnsi="Arial" w:cs="Arial"/>
          <w:color w:val="000000" w:themeColor="text1"/>
          <w:szCs w:val="22"/>
        </w:rPr>
        <w:t xml:space="preserve"> (</w:t>
      </w:r>
      <w:r w:rsidR="00505C13" w:rsidRPr="00CB093C">
        <w:rPr>
          <w:rFonts w:ascii="Arial" w:hAnsi="Arial" w:cs="Arial"/>
          <w:color w:val="000000" w:themeColor="text1"/>
          <w:szCs w:val="22"/>
        </w:rPr>
        <w:fldChar w:fldCharType="begin"/>
      </w:r>
      <w:r w:rsidR="00505C13" w:rsidRPr="00CB093C">
        <w:rPr>
          <w:rFonts w:ascii="Arial" w:hAnsi="Arial" w:cs="Arial"/>
          <w:color w:val="000000" w:themeColor="text1"/>
          <w:szCs w:val="22"/>
        </w:rPr>
        <w:instrText xml:space="preserve"> REF _Ref441775247 \h </w:instrText>
      </w:r>
      <w:r w:rsidR="00CB093C" w:rsidRPr="00CB093C">
        <w:rPr>
          <w:rFonts w:ascii="Arial" w:hAnsi="Arial" w:cs="Arial"/>
          <w:color w:val="000000" w:themeColor="text1"/>
          <w:szCs w:val="22"/>
        </w:rPr>
        <w:instrText xml:space="preserve"> \* MERGEFORMAT </w:instrText>
      </w:r>
      <w:r w:rsidR="00505C13" w:rsidRPr="00CB093C">
        <w:rPr>
          <w:rFonts w:ascii="Arial" w:hAnsi="Arial" w:cs="Arial"/>
          <w:color w:val="000000" w:themeColor="text1"/>
          <w:szCs w:val="22"/>
        </w:rPr>
      </w:r>
      <w:r w:rsidR="00505C13" w:rsidRPr="00CB093C">
        <w:rPr>
          <w:rFonts w:ascii="Arial" w:hAnsi="Arial" w:cs="Arial"/>
          <w:color w:val="000000" w:themeColor="text1"/>
          <w:szCs w:val="22"/>
        </w:rPr>
        <w:fldChar w:fldCharType="separate"/>
      </w:r>
      <w:r w:rsidR="005F00D4" w:rsidRPr="00CB093C">
        <w:rPr>
          <w:rFonts w:ascii="Arial" w:hAnsi="Arial" w:cs="Arial"/>
          <w:szCs w:val="22"/>
        </w:rPr>
        <w:t xml:space="preserve">Table </w:t>
      </w:r>
      <w:r w:rsidR="005F00D4">
        <w:rPr>
          <w:rFonts w:ascii="Arial" w:hAnsi="Arial" w:cs="Arial"/>
          <w:noProof/>
          <w:szCs w:val="22"/>
        </w:rPr>
        <w:t>8</w:t>
      </w:r>
      <w:r w:rsidR="00505C13" w:rsidRPr="00CB093C">
        <w:rPr>
          <w:rFonts w:ascii="Arial" w:hAnsi="Arial" w:cs="Arial"/>
          <w:color w:val="000000" w:themeColor="text1"/>
          <w:szCs w:val="22"/>
        </w:rPr>
        <w:fldChar w:fldCharType="end"/>
      </w:r>
      <w:r w:rsidR="007F2A6A" w:rsidRPr="00CB093C">
        <w:rPr>
          <w:rFonts w:ascii="Arial" w:hAnsi="Arial" w:cs="Arial"/>
          <w:color w:val="000000" w:themeColor="text1"/>
          <w:szCs w:val="22"/>
        </w:rPr>
        <w:t>), but there are regional</w:t>
      </w:r>
      <w:r w:rsidR="00A008A8" w:rsidRPr="00CB093C">
        <w:rPr>
          <w:rFonts w:ascii="Arial" w:hAnsi="Arial" w:cs="Arial"/>
          <w:color w:val="000000" w:themeColor="text1"/>
          <w:szCs w:val="22"/>
        </w:rPr>
        <w:t>, habitat</w:t>
      </w:r>
      <w:r w:rsidR="007F2A6A" w:rsidRPr="00CB093C">
        <w:rPr>
          <w:rFonts w:ascii="Arial" w:hAnsi="Arial" w:cs="Arial"/>
          <w:color w:val="000000" w:themeColor="text1"/>
          <w:szCs w:val="22"/>
        </w:rPr>
        <w:t xml:space="preserve"> and </w:t>
      </w:r>
      <w:r w:rsidR="00134587" w:rsidRPr="00CB093C">
        <w:rPr>
          <w:rFonts w:ascii="Arial" w:hAnsi="Arial" w:cs="Arial"/>
          <w:color w:val="000000" w:themeColor="text1"/>
          <w:szCs w:val="22"/>
        </w:rPr>
        <w:t>location</w:t>
      </w:r>
      <w:r w:rsidR="007F2A6A" w:rsidRPr="00CB093C">
        <w:rPr>
          <w:rFonts w:ascii="Arial" w:hAnsi="Arial" w:cs="Arial"/>
          <w:color w:val="000000" w:themeColor="text1"/>
          <w:szCs w:val="22"/>
        </w:rPr>
        <w:t xml:space="preserve"> levels differences.</w:t>
      </w:r>
    </w:p>
    <w:p w14:paraId="359D8520" w14:textId="2AC7A180" w:rsidR="00236BA7" w:rsidRPr="00CB093C" w:rsidRDefault="007F2A6A" w:rsidP="00E742E9">
      <w:pPr>
        <w:rPr>
          <w:rFonts w:ascii="Arial" w:hAnsi="Arial" w:cs="Arial"/>
          <w:color w:val="000000" w:themeColor="text1"/>
          <w:szCs w:val="22"/>
        </w:rPr>
      </w:pPr>
      <w:r w:rsidRPr="00CB093C">
        <w:rPr>
          <w:rFonts w:ascii="Arial" w:hAnsi="Arial" w:cs="Arial"/>
          <w:color w:val="000000" w:themeColor="text1"/>
          <w:szCs w:val="22"/>
        </w:rPr>
        <w:t xml:space="preserve">Daily light in the regions </w:t>
      </w:r>
      <w:r w:rsidR="00A008A8" w:rsidRPr="00CB093C">
        <w:rPr>
          <w:rFonts w:ascii="Arial" w:hAnsi="Arial" w:cs="Arial"/>
          <w:color w:val="000000" w:themeColor="text1"/>
          <w:szCs w:val="22"/>
        </w:rPr>
        <w:t xml:space="preserve">in </w:t>
      </w:r>
      <w:r w:rsidR="003654C6">
        <w:rPr>
          <w:rFonts w:ascii="Arial" w:hAnsi="Arial" w:cs="Arial"/>
          <w:color w:val="000000" w:themeColor="text1"/>
          <w:szCs w:val="22"/>
        </w:rPr>
        <w:t>2017–18</w:t>
      </w:r>
      <w:r w:rsidR="00A008A8" w:rsidRPr="00CB093C">
        <w:rPr>
          <w:rFonts w:ascii="Arial" w:hAnsi="Arial" w:cs="Arial"/>
          <w:color w:val="000000" w:themeColor="text1"/>
          <w:szCs w:val="22"/>
        </w:rPr>
        <w:t xml:space="preserve"> </w:t>
      </w:r>
      <w:r w:rsidRPr="00CB093C">
        <w:rPr>
          <w:rFonts w:ascii="Arial" w:hAnsi="Arial" w:cs="Arial"/>
          <w:color w:val="000000" w:themeColor="text1"/>
          <w:szCs w:val="22"/>
        </w:rPr>
        <w:t xml:space="preserve">from </w:t>
      </w:r>
      <w:r w:rsidR="00236BA7" w:rsidRPr="00CB093C">
        <w:rPr>
          <w:rFonts w:ascii="Arial" w:hAnsi="Arial" w:cs="Arial"/>
          <w:color w:val="000000" w:themeColor="text1"/>
          <w:szCs w:val="22"/>
        </w:rPr>
        <w:t>highest to lowest</w:t>
      </w:r>
      <w:r w:rsidRPr="00CB093C">
        <w:rPr>
          <w:rFonts w:ascii="Arial" w:hAnsi="Arial" w:cs="Arial"/>
          <w:color w:val="000000" w:themeColor="text1"/>
          <w:szCs w:val="22"/>
        </w:rPr>
        <w:t xml:space="preserve"> were</w:t>
      </w:r>
      <w:r w:rsidR="00236BA7" w:rsidRPr="00CB093C">
        <w:rPr>
          <w:rFonts w:ascii="Arial" w:hAnsi="Arial" w:cs="Arial"/>
          <w:color w:val="000000" w:themeColor="text1"/>
          <w:szCs w:val="22"/>
        </w:rPr>
        <w:t>:</w:t>
      </w:r>
    </w:p>
    <w:p w14:paraId="407D4B94" w14:textId="7085F743" w:rsidR="007A4A5F" w:rsidRPr="00CB093C" w:rsidRDefault="00DC4706" w:rsidP="00AD06D4">
      <w:pPr>
        <w:pStyle w:val="ListParagraph"/>
        <w:numPr>
          <w:ilvl w:val="0"/>
          <w:numId w:val="32"/>
        </w:numPr>
        <w:spacing w:before="0" w:after="0"/>
        <w:rPr>
          <w:rFonts w:ascii="Arial" w:hAnsi="Arial" w:cs="Arial"/>
          <w:color w:val="000000" w:themeColor="text1"/>
          <w:szCs w:val="22"/>
        </w:rPr>
      </w:pPr>
      <w:r w:rsidRPr="00CB093C">
        <w:rPr>
          <w:rFonts w:ascii="Arial" w:hAnsi="Arial" w:cs="Arial"/>
          <w:color w:val="000000" w:themeColor="text1"/>
          <w:szCs w:val="22"/>
        </w:rPr>
        <w:t>Fitzroy</w:t>
      </w:r>
      <w:r w:rsidR="003E039B" w:rsidRPr="00CB093C">
        <w:rPr>
          <w:rFonts w:ascii="Arial" w:hAnsi="Arial" w:cs="Arial"/>
          <w:color w:val="000000" w:themeColor="text1"/>
          <w:szCs w:val="22"/>
        </w:rPr>
        <w:t xml:space="preserve"> (17.</w:t>
      </w:r>
      <w:r w:rsidRPr="00CB093C">
        <w:rPr>
          <w:rFonts w:ascii="Arial" w:hAnsi="Arial" w:cs="Arial"/>
          <w:color w:val="000000" w:themeColor="text1"/>
          <w:szCs w:val="22"/>
        </w:rPr>
        <w:t>2</w:t>
      </w:r>
      <w:r w:rsidR="003E039B" w:rsidRPr="00CB093C">
        <w:rPr>
          <w:rFonts w:ascii="Arial" w:hAnsi="Arial" w:cs="Arial"/>
          <w:color w:val="000000" w:themeColor="text1"/>
          <w:szCs w:val="22"/>
        </w:rPr>
        <w:t xml:space="preserve"> mol m</w:t>
      </w:r>
      <w:r w:rsidR="003E039B" w:rsidRPr="00CB093C">
        <w:rPr>
          <w:rFonts w:ascii="Arial" w:hAnsi="Arial" w:cs="Arial"/>
          <w:color w:val="000000" w:themeColor="text1"/>
          <w:szCs w:val="22"/>
          <w:vertAlign w:val="superscript"/>
        </w:rPr>
        <w:t>-2</w:t>
      </w:r>
      <w:r w:rsidR="003E039B" w:rsidRPr="00CB093C">
        <w:rPr>
          <w:rFonts w:ascii="Arial" w:hAnsi="Arial" w:cs="Arial"/>
          <w:color w:val="000000" w:themeColor="text1"/>
          <w:szCs w:val="22"/>
        </w:rPr>
        <w:t xml:space="preserve"> d</w:t>
      </w:r>
      <w:r w:rsidR="003E039B" w:rsidRPr="00CB093C">
        <w:rPr>
          <w:rFonts w:ascii="Arial" w:hAnsi="Arial" w:cs="Arial"/>
          <w:color w:val="000000" w:themeColor="text1"/>
          <w:szCs w:val="22"/>
          <w:vertAlign w:val="superscript"/>
        </w:rPr>
        <w:t>-1</w:t>
      </w:r>
      <w:r w:rsidR="003E039B" w:rsidRPr="00CB093C">
        <w:rPr>
          <w:rFonts w:ascii="Arial" w:hAnsi="Arial" w:cs="Arial"/>
          <w:color w:val="000000" w:themeColor="text1"/>
          <w:szCs w:val="22"/>
        </w:rPr>
        <w:t>)</w:t>
      </w:r>
    </w:p>
    <w:p w14:paraId="0D3D62C5" w14:textId="77777777" w:rsidR="007A4A5F" w:rsidRPr="00CB093C" w:rsidRDefault="00DA70E7" w:rsidP="00AD06D4">
      <w:pPr>
        <w:pStyle w:val="ListParagraph"/>
        <w:numPr>
          <w:ilvl w:val="0"/>
          <w:numId w:val="32"/>
        </w:numPr>
        <w:spacing w:before="0" w:after="0"/>
        <w:rPr>
          <w:rFonts w:ascii="Arial" w:hAnsi="Arial" w:cs="Arial"/>
          <w:color w:val="000000" w:themeColor="text1"/>
          <w:szCs w:val="22"/>
        </w:rPr>
      </w:pPr>
      <w:r w:rsidRPr="00CB093C">
        <w:rPr>
          <w:rFonts w:ascii="Arial" w:hAnsi="Arial" w:cs="Arial"/>
          <w:color w:val="000000" w:themeColor="text1"/>
          <w:szCs w:val="22"/>
        </w:rPr>
        <w:t>northern Wet Tropics (12.0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w:t>
      </w:r>
    </w:p>
    <w:p w14:paraId="6582FEF6" w14:textId="77777777" w:rsidR="007A4A5F" w:rsidRPr="00CB093C" w:rsidRDefault="00DC4706" w:rsidP="00AD06D4">
      <w:pPr>
        <w:pStyle w:val="ListParagraph"/>
        <w:numPr>
          <w:ilvl w:val="0"/>
          <w:numId w:val="32"/>
        </w:numPr>
        <w:spacing w:before="0" w:after="0"/>
        <w:rPr>
          <w:rFonts w:ascii="Arial" w:hAnsi="Arial" w:cs="Arial"/>
          <w:color w:val="000000" w:themeColor="text1"/>
          <w:szCs w:val="22"/>
        </w:rPr>
      </w:pPr>
      <w:r w:rsidRPr="00CB093C">
        <w:rPr>
          <w:rFonts w:ascii="Arial" w:hAnsi="Arial" w:cs="Arial"/>
          <w:color w:val="000000" w:themeColor="text1"/>
          <w:szCs w:val="22"/>
        </w:rPr>
        <w:t>Cape York</w:t>
      </w:r>
      <w:r w:rsidR="003E039B" w:rsidRPr="00CB093C">
        <w:rPr>
          <w:rFonts w:ascii="Arial" w:hAnsi="Arial" w:cs="Arial"/>
          <w:color w:val="000000" w:themeColor="text1"/>
          <w:szCs w:val="22"/>
        </w:rPr>
        <w:t xml:space="preserve"> (</w:t>
      </w:r>
      <w:r w:rsidRPr="00CB093C">
        <w:rPr>
          <w:rFonts w:ascii="Arial" w:hAnsi="Arial" w:cs="Arial"/>
          <w:color w:val="000000" w:themeColor="text1"/>
          <w:szCs w:val="22"/>
        </w:rPr>
        <w:t>1</w:t>
      </w:r>
      <w:r w:rsidR="00DA70E7" w:rsidRPr="00CB093C">
        <w:rPr>
          <w:rFonts w:ascii="Arial" w:hAnsi="Arial" w:cs="Arial"/>
          <w:color w:val="000000" w:themeColor="text1"/>
          <w:szCs w:val="22"/>
        </w:rPr>
        <w:t>1.9</w:t>
      </w:r>
      <w:r w:rsidR="003E039B" w:rsidRPr="00CB093C">
        <w:rPr>
          <w:rFonts w:ascii="Arial" w:hAnsi="Arial" w:cs="Arial"/>
          <w:color w:val="000000" w:themeColor="text1"/>
          <w:szCs w:val="22"/>
        </w:rPr>
        <w:t xml:space="preserve"> mol m</w:t>
      </w:r>
      <w:r w:rsidR="003E039B" w:rsidRPr="00CB093C">
        <w:rPr>
          <w:rFonts w:ascii="Arial" w:hAnsi="Arial" w:cs="Arial"/>
          <w:color w:val="000000" w:themeColor="text1"/>
          <w:szCs w:val="22"/>
          <w:vertAlign w:val="superscript"/>
        </w:rPr>
        <w:t>-2</w:t>
      </w:r>
      <w:r w:rsidR="003E039B" w:rsidRPr="00CB093C">
        <w:rPr>
          <w:rFonts w:ascii="Arial" w:hAnsi="Arial" w:cs="Arial"/>
          <w:color w:val="000000" w:themeColor="text1"/>
          <w:szCs w:val="22"/>
        </w:rPr>
        <w:t xml:space="preserve"> d</w:t>
      </w:r>
      <w:r w:rsidR="003E039B" w:rsidRPr="00CB093C">
        <w:rPr>
          <w:rFonts w:ascii="Arial" w:hAnsi="Arial" w:cs="Arial"/>
          <w:color w:val="000000" w:themeColor="text1"/>
          <w:szCs w:val="22"/>
          <w:vertAlign w:val="superscript"/>
        </w:rPr>
        <w:t>-1</w:t>
      </w:r>
      <w:r w:rsidR="003E039B" w:rsidRPr="00CB093C">
        <w:rPr>
          <w:rFonts w:ascii="Arial" w:hAnsi="Arial" w:cs="Arial"/>
          <w:color w:val="000000" w:themeColor="text1"/>
          <w:szCs w:val="22"/>
        </w:rPr>
        <w:t>)</w:t>
      </w:r>
    </w:p>
    <w:p w14:paraId="02A4ECA5" w14:textId="394D9672" w:rsidR="007A4A5F" w:rsidRPr="00CB093C" w:rsidRDefault="00637325" w:rsidP="00AD06D4">
      <w:pPr>
        <w:pStyle w:val="ListParagraph"/>
        <w:numPr>
          <w:ilvl w:val="0"/>
          <w:numId w:val="32"/>
        </w:numPr>
        <w:spacing w:before="0" w:after="0"/>
        <w:rPr>
          <w:rFonts w:ascii="Arial" w:hAnsi="Arial" w:cs="Arial"/>
          <w:color w:val="000000" w:themeColor="text1"/>
          <w:szCs w:val="22"/>
        </w:rPr>
      </w:pPr>
      <w:r>
        <w:rPr>
          <w:rFonts w:ascii="Arial" w:hAnsi="Arial" w:cs="Arial"/>
          <w:color w:val="000000" w:themeColor="text1"/>
          <w:szCs w:val="22"/>
        </w:rPr>
        <w:t>Mackay-Whitsunday</w:t>
      </w:r>
      <w:r w:rsidR="003E039B" w:rsidRPr="00CB093C">
        <w:rPr>
          <w:rFonts w:ascii="Arial" w:hAnsi="Arial" w:cs="Arial"/>
          <w:color w:val="000000" w:themeColor="text1"/>
          <w:szCs w:val="22"/>
        </w:rPr>
        <w:t xml:space="preserve"> (</w:t>
      </w:r>
      <w:r w:rsidR="00DC4706" w:rsidRPr="00CB093C">
        <w:rPr>
          <w:rFonts w:ascii="Arial" w:hAnsi="Arial" w:cs="Arial"/>
          <w:color w:val="000000" w:themeColor="text1"/>
          <w:szCs w:val="22"/>
        </w:rPr>
        <w:t>11.5</w:t>
      </w:r>
      <w:r w:rsidR="003E039B" w:rsidRPr="00CB093C">
        <w:rPr>
          <w:rFonts w:ascii="Arial" w:hAnsi="Arial" w:cs="Arial"/>
          <w:color w:val="000000" w:themeColor="text1"/>
          <w:szCs w:val="22"/>
        </w:rPr>
        <w:t xml:space="preserve"> mol m</w:t>
      </w:r>
      <w:r w:rsidR="003E039B" w:rsidRPr="00CB093C">
        <w:rPr>
          <w:rFonts w:ascii="Arial" w:hAnsi="Arial" w:cs="Arial"/>
          <w:color w:val="000000" w:themeColor="text1"/>
          <w:szCs w:val="22"/>
          <w:vertAlign w:val="superscript"/>
        </w:rPr>
        <w:t>-2</w:t>
      </w:r>
      <w:r w:rsidR="003E039B" w:rsidRPr="00CB093C">
        <w:rPr>
          <w:rFonts w:ascii="Arial" w:hAnsi="Arial" w:cs="Arial"/>
          <w:color w:val="000000" w:themeColor="text1"/>
          <w:szCs w:val="22"/>
        </w:rPr>
        <w:t xml:space="preserve"> d</w:t>
      </w:r>
      <w:r w:rsidR="003E039B" w:rsidRPr="00CB093C">
        <w:rPr>
          <w:rFonts w:ascii="Arial" w:hAnsi="Arial" w:cs="Arial"/>
          <w:color w:val="000000" w:themeColor="text1"/>
          <w:szCs w:val="22"/>
          <w:vertAlign w:val="superscript"/>
        </w:rPr>
        <w:t>-1</w:t>
      </w:r>
      <w:r w:rsidR="003E039B" w:rsidRPr="00CB093C">
        <w:rPr>
          <w:rFonts w:ascii="Arial" w:hAnsi="Arial" w:cs="Arial"/>
          <w:color w:val="000000" w:themeColor="text1"/>
          <w:szCs w:val="22"/>
        </w:rPr>
        <w:t>)</w:t>
      </w:r>
    </w:p>
    <w:p w14:paraId="1901ABA9" w14:textId="77777777" w:rsidR="007A4A5F" w:rsidRPr="00CB093C" w:rsidRDefault="00DC4706" w:rsidP="00AD06D4">
      <w:pPr>
        <w:pStyle w:val="ListParagraph"/>
        <w:numPr>
          <w:ilvl w:val="0"/>
          <w:numId w:val="32"/>
        </w:numPr>
        <w:spacing w:before="0" w:after="0"/>
        <w:rPr>
          <w:rFonts w:ascii="Arial" w:hAnsi="Arial" w:cs="Arial"/>
          <w:color w:val="000000" w:themeColor="text1"/>
          <w:szCs w:val="22"/>
        </w:rPr>
      </w:pPr>
      <w:r w:rsidRPr="00CB093C">
        <w:rPr>
          <w:rFonts w:ascii="Arial" w:hAnsi="Arial" w:cs="Arial"/>
          <w:color w:val="000000" w:themeColor="text1"/>
          <w:szCs w:val="22"/>
        </w:rPr>
        <w:t>Burnett-Mary</w:t>
      </w:r>
      <w:r w:rsidR="003E039B" w:rsidRPr="00CB093C">
        <w:rPr>
          <w:rFonts w:ascii="Arial" w:hAnsi="Arial" w:cs="Arial"/>
          <w:color w:val="000000" w:themeColor="text1"/>
          <w:szCs w:val="22"/>
        </w:rPr>
        <w:t xml:space="preserve"> (</w:t>
      </w:r>
      <w:r w:rsidRPr="00CB093C">
        <w:rPr>
          <w:rFonts w:ascii="Arial" w:hAnsi="Arial" w:cs="Arial"/>
          <w:color w:val="000000" w:themeColor="text1"/>
          <w:szCs w:val="22"/>
        </w:rPr>
        <w:t>10.5</w:t>
      </w:r>
      <w:r w:rsidR="003E039B" w:rsidRPr="00CB093C">
        <w:rPr>
          <w:rFonts w:ascii="Arial" w:hAnsi="Arial" w:cs="Arial"/>
          <w:color w:val="000000" w:themeColor="text1"/>
          <w:szCs w:val="22"/>
        </w:rPr>
        <w:t xml:space="preserve"> mol m</w:t>
      </w:r>
      <w:r w:rsidR="003E039B" w:rsidRPr="00CB093C">
        <w:rPr>
          <w:rFonts w:ascii="Arial" w:hAnsi="Arial" w:cs="Arial"/>
          <w:color w:val="000000" w:themeColor="text1"/>
          <w:szCs w:val="22"/>
          <w:vertAlign w:val="superscript"/>
        </w:rPr>
        <w:t>-2</w:t>
      </w:r>
      <w:r w:rsidR="003E039B" w:rsidRPr="00CB093C">
        <w:rPr>
          <w:rFonts w:ascii="Arial" w:hAnsi="Arial" w:cs="Arial"/>
          <w:color w:val="000000" w:themeColor="text1"/>
          <w:szCs w:val="22"/>
        </w:rPr>
        <w:t xml:space="preserve"> d</w:t>
      </w:r>
      <w:r w:rsidR="003E039B" w:rsidRPr="00CB093C">
        <w:rPr>
          <w:rFonts w:ascii="Arial" w:hAnsi="Arial" w:cs="Arial"/>
          <w:color w:val="000000" w:themeColor="text1"/>
          <w:szCs w:val="22"/>
          <w:vertAlign w:val="superscript"/>
        </w:rPr>
        <w:t>-1</w:t>
      </w:r>
      <w:r w:rsidR="003E039B" w:rsidRPr="00CB093C">
        <w:rPr>
          <w:rFonts w:ascii="Arial" w:hAnsi="Arial" w:cs="Arial"/>
          <w:color w:val="000000" w:themeColor="text1"/>
          <w:szCs w:val="22"/>
        </w:rPr>
        <w:t>)</w:t>
      </w:r>
    </w:p>
    <w:p w14:paraId="513D937E" w14:textId="77777777" w:rsidR="007A4A5F" w:rsidRPr="00CB093C" w:rsidRDefault="00DC4706" w:rsidP="00AD06D4">
      <w:pPr>
        <w:pStyle w:val="ListParagraph"/>
        <w:numPr>
          <w:ilvl w:val="0"/>
          <w:numId w:val="32"/>
        </w:numPr>
        <w:spacing w:before="0" w:after="0"/>
        <w:rPr>
          <w:rFonts w:ascii="Arial" w:hAnsi="Arial" w:cs="Arial"/>
          <w:color w:val="000000" w:themeColor="text1"/>
          <w:szCs w:val="22"/>
        </w:rPr>
      </w:pPr>
      <w:r w:rsidRPr="00CB093C">
        <w:rPr>
          <w:rFonts w:ascii="Arial" w:hAnsi="Arial" w:cs="Arial"/>
          <w:color w:val="000000" w:themeColor="text1"/>
          <w:szCs w:val="22"/>
        </w:rPr>
        <w:t>southern Wet Trop</w:t>
      </w:r>
      <w:r w:rsidR="00EE7793" w:rsidRPr="00CB093C">
        <w:rPr>
          <w:rFonts w:ascii="Arial" w:hAnsi="Arial" w:cs="Arial"/>
          <w:color w:val="000000" w:themeColor="text1"/>
          <w:szCs w:val="22"/>
        </w:rPr>
        <w:t>i</w:t>
      </w:r>
      <w:r w:rsidRPr="00CB093C">
        <w:rPr>
          <w:rFonts w:ascii="Arial" w:hAnsi="Arial" w:cs="Arial"/>
          <w:color w:val="000000" w:themeColor="text1"/>
          <w:szCs w:val="22"/>
        </w:rPr>
        <w:t>cs (9.</w:t>
      </w:r>
      <w:r w:rsidR="00DA70E7" w:rsidRPr="00CB093C">
        <w:rPr>
          <w:rFonts w:ascii="Arial" w:hAnsi="Arial" w:cs="Arial"/>
          <w:color w:val="000000" w:themeColor="text1"/>
          <w:szCs w:val="22"/>
        </w:rPr>
        <w:t>8</w:t>
      </w:r>
      <w:r w:rsidRPr="00CB093C">
        <w:rPr>
          <w:rFonts w:ascii="Arial" w:hAnsi="Arial" w:cs="Arial"/>
          <w:color w:val="000000" w:themeColor="text1"/>
          <w:szCs w:val="22"/>
        </w:rPr>
        <w:t xml:space="preserve">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w:t>
      </w:r>
    </w:p>
    <w:p w14:paraId="2E7EDBC2" w14:textId="5326ADB5" w:rsidR="00A008A8" w:rsidRPr="00CB093C" w:rsidRDefault="003E039B" w:rsidP="00AD06D4">
      <w:pPr>
        <w:pStyle w:val="ListParagraph"/>
        <w:numPr>
          <w:ilvl w:val="0"/>
          <w:numId w:val="32"/>
        </w:numPr>
        <w:spacing w:before="0" w:after="0"/>
        <w:rPr>
          <w:rFonts w:ascii="Arial" w:hAnsi="Arial" w:cs="Arial"/>
          <w:color w:val="000000" w:themeColor="text1"/>
          <w:szCs w:val="22"/>
        </w:rPr>
      </w:pPr>
      <w:r w:rsidRPr="00CB093C">
        <w:rPr>
          <w:rFonts w:ascii="Arial" w:hAnsi="Arial" w:cs="Arial"/>
          <w:color w:val="000000" w:themeColor="text1"/>
          <w:szCs w:val="22"/>
        </w:rPr>
        <w:t>Burdekin (</w:t>
      </w:r>
      <w:r w:rsidR="00DC4706" w:rsidRPr="00CB093C">
        <w:rPr>
          <w:rFonts w:ascii="Arial" w:hAnsi="Arial" w:cs="Arial"/>
          <w:color w:val="000000" w:themeColor="text1"/>
          <w:szCs w:val="22"/>
        </w:rPr>
        <w:t>8.</w:t>
      </w:r>
      <w:r w:rsidR="00DA70E7" w:rsidRPr="00CB093C">
        <w:rPr>
          <w:rFonts w:ascii="Arial" w:hAnsi="Arial" w:cs="Arial"/>
          <w:color w:val="000000" w:themeColor="text1"/>
          <w:szCs w:val="22"/>
        </w:rPr>
        <w:t>6</w:t>
      </w:r>
      <w:r w:rsidRPr="00CB093C">
        <w:rPr>
          <w:rFonts w:ascii="Arial" w:hAnsi="Arial" w:cs="Arial"/>
          <w:color w:val="000000" w:themeColor="text1"/>
          <w:szCs w:val="22"/>
        </w:rPr>
        <w:t xml:space="preserve">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xml:space="preserve">). </w:t>
      </w:r>
    </w:p>
    <w:p w14:paraId="53C171B9" w14:textId="4EE8E7E1" w:rsidR="00A008A8" w:rsidRPr="00CB093C" w:rsidRDefault="00A008A8" w:rsidP="00A008A8">
      <w:pPr>
        <w:rPr>
          <w:rFonts w:ascii="Arial" w:hAnsi="Arial" w:cs="Arial"/>
          <w:color w:val="000000" w:themeColor="text1"/>
          <w:szCs w:val="22"/>
        </w:rPr>
      </w:pPr>
      <w:r w:rsidRPr="00CB093C">
        <w:rPr>
          <w:rFonts w:ascii="Arial" w:hAnsi="Arial" w:cs="Arial"/>
          <w:color w:val="000000" w:themeColor="text1"/>
          <w:szCs w:val="22"/>
        </w:rPr>
        <w:t xml:space="preserve">Daily light in the habitats in </w:t>
      </w:r>
      <w:r w:rsidR="003654C6">
        <w:rPr>
          <w:rFonts w:ascii="Arial" w:hAnsi="Arial" w:cs="Arial"/>
          <w:color w:val="000000" w:themeColor="text1"/>
          <w:szCs w:val="22"/>
        </w:rPr>
        <w:t>2017–18</w:t>
      </w:r>
      <w:r w:rsidRPr="00CB093C">
        <w:rPr>
          <w:rFonts w:ascii="Arial" w:hAnsi="Arial" w:cs="Arial"/>
          <w:color w:val="000000" w:themeColor="text1"/>
          <w:szCs w:val="22"/>
        </w:rPr>
        <w:t xml:space="preserve"> from highest to lowest were:</w:t>
      </w:r>
    </w:p>
    <w:p w14:paraId="69E0B640" w14:textId="66086D0F" w:rsidR="00A008A8" w:rsidRPr="00CB093C" w:rsidRDefault="00772D50" w:rsidP="00AD06D4">
      <w:pPr>
        <w:pStyle w:val="ListParagraph"/>
        <w:numPr>
          <w:ilvl w:val="0"/>
          <w:numId w:val="33"/>
        </w:numPr>
        <w:rPr>
          <w:rFonts w:ascii="Arial" w:hAnsi="Arial" w:cs="Arial"/>
          <w:color w:val="000000" w:themeColor="text1"/>
          <w:szCs w:val="22"/>
        </w:rPr>
      </w:pPr>
      <w:r w:rsidRPr="00CB093C">
        <w:rPr>
          <w:rFonts w:ascii="Arial" w:hAnsi="Arial" w:cs="Arial"/>
          <w:color w:val="000000" w:themeColor="text1"/>
          <w:szCs w:val="22"/>
        </w:rPr>
        <w:t>coastal intertidal sites (13.8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w:t>
      </w:r>
    </w:p>
    <w:p w14:paraId="0640B49C" w14:textId="5A59F943" w:rsidR="00A008A8" w:rsidRPr="00CB093C" w:rsidRDefault="003E039B" w:rsidP="00AD06D4">
      <w:pPr>
        <w:pStyle w:val="ListParagraph"/>
        <w:numPr>
          <w:ilvl w:val="0"/>
          <w:numId w:val="33"/>
        </w:numPr>
        <w:rPr>
          <w:rFonts w:ascii="Arial" w:hAnsi="Arial" w:cs="Arial"/>
          <w:color w:val="000000" w:themeColor="text1"/>
          <w:szCs w:val="22"/>
        </w:rPr>
      </w:pPr>
      <w:r w:rsidRPr="00CB093C">
        <w:rPr>
          <w:rFonts w:ascii="Arial" w:hAnsi="Arial" w:cs="Arial"/>
          <w:color w:val="000000" w:themeColor="text1"/>
          <w:szCs w:val="22"/>
        </w:rPr>
        <w:t>reef intertidal habitat (</w:t>
      </w:r>
      <w:r w:rsidR="00772D50" w:rsidRPr="00CB093C">
        <w:rPr>
          <w:rFonts w:ascii="Arial" w:hAnsi="Arial" w:cs="Arial"/>
          <w:color w:val="000000" w:themeColor="text1"/>
          <w:szCs w:val="22"/>
        </w:rPr>
        <w:t>11.7</w:t>
      </w:r>
      <w:r w:rsidRPr="00CB093C">
        <w:rPr>
          <w:rFonts w:ascii="Arial" w:hAnsi="Arial" w:cs="Arial"/>
          <w:color w:val="000000" w:themeColor="text1"/>
          <w:szCs w:val="22"/>
        </w:rPr>
        <w:t xml:space="preserve">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w:t>
      </w:r>
    </w:p>
    <w:p w14:paraId="1A32D606" w14:textId="77777777" w:rsidR="00A008A8" w:rsidRPr="00CB093C" w:rsidRDefault="003E039B" w:rsidP="00AD06D4">
      <w:pPr>
        <w:pStyle w:val="ListParagraph"/>
        <w:numPr>
          <w:ilvl w:val="0"/>
          <w:numId w:val="33"/>
        </w:numPr>
        <w:rPr>
          <w:rFonts w:ascii="Arial" w:hAnsi="Arial" w:cs="Arial"/>
          <w:color w:val="000000" w:themeColor="text1"/>
          <w:szCs w:val="22"/>
        </w:rPr>
      </w:pPr>
      <w:r w:rsidRPr="00CB093C">
        <w:rPr>
          <w:rFonts w:ascii="Arial" w:hAnsi="Arial" w:cs="Arial"/>
          <w:color w:val="000000" w:themeColor="text1"/>
          <w:szCs w:val="22"/>
        </w:rPr>
        <w:t>estuarine sites (</w:t>
      </w:r>
      <w:r w:rsidR="00772D50" w:rsidRPr="00CB093C">
        <w:rPr>
          <w:rFonts w:ascii="Arial" w:hAnsi="Arial" w:cs="Arial"/>
          <w:color w:val="000000" w:themeColor="text1"/>
          <w:szCs w:val="22"/>
        </w:rPr>
        <w:t>11.3</w:t>
      </w:r>
      <w:r w:rsidRPr="00CB093C">
        <w:rPr>
          <w:rFonts w:ascii="Arial" w:hAnsi="Arial" w:cs="Arial"/>
          <w:color w:val="000000" w:themeColor="text1"/>
          <w:szCs w:val="22"/>
        </w:rPr>
        <w:t xml:space="preserve">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xml:space="preserve">) </w:t>
      </w:r>
    </w:p>
    <w:p w14:paraId="3766FD32" w14:textId="77777777" w:rsidR="00A008A8" w:rsidRPr="00CB093C" w:rsidRDefault="003E039B" w:rsidP="00AD06D4">
      <w:pPr>
        <w:pStyle w:val="ListParagraph"/>
        <w:numPr>
          <w:ilvl w:val="0"/>
          <w:numId w:val="33"/>
        </w:numPr>
        <w:rPr>
          <w:rFonts w:ascii="Arial" w:hAnsi="Arial" w:cs="Arial"/>
          <w:color w:val="000000" w:themeColor="text1"/>
          <w:szCs w:val="22"/>
        </w:rPr>
      </w:pPr>
      <w:r w:rsidRPr="00CB093C">
        <w:rPr>
          <w:rFonts w:ascii="Arial" w:hAnsi="Arial" w:cs="Arial"/>
          <w:color w:val="000000" w:themeColor="text1"/>
          <w:szCs w:val="22"/>
        </w:rPr>
        <w:t>reef subtidal sites (</w:t>
      </w:r>
      <w:r w:rsidR="00772D50" w:rsidRPr="00CB093C">
        <w:rPr>
          <w:rFonts w:ascii="Arial" w:hAnsi="Arial" w:cs="Arial"/>
          <w:color w:val="000000" w:themeColor="text1"/>
          <w:szCs w:val="22"/>
        </w:rPr>
        <w:t>6.7</w:t>
      </w:r>
      <w:r w:rsidRPr="00CB093C">
        <w:rPr>
          <w:rFonts w:ascii="Arial" w:hAnsi="Arial" w:cs="Arial"/>
          <w:color w:val="000000" w:themeColor="text1"/>
          <w:szCs w:val="22"/>
        </w:rPr>
        <w:t xml:space="preserve">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xml:space="preserve">). </w:t>
      </w:r>
    </w:p>
    <w:p w14:paraId="353C2D32" w14:textId="3DB14C98" w:rsidR="00A008A8" w:rsidRPr="00CB093C" w:rsidRDefault="003E039B" w:rsidP="00E742E9">
      <w:pPr>
        <w:rPr>
          <w:rFonts w:ascii="Arial" w:hAnsi="Arial" w:cs="Arial"/>
          <w:color w:val="000000" w:themeColor="text1"/>
          <w:szCs w:val="22"/>
        </w:rPr>
      </w:pPr>
      <w:r w:rsidRPr="00CB093C">
        <w:rPr>
          <w:rFonts w:ascii="Arial" w:hAnsi="Arial" w:cs="Arial"/>
          <w:color w:val="000000" w:themeColor="text1"/>
          <w:szCs w:val="22"/>
        </w:rPr>
        <w:t xml:space="preserve">Daily light </w:t>
      </w:r>
      <w:r w:rsidR="00A008A8" w:rsidRPr="00CB093C">
        <w:rPr>
          <w:rFonts w:ascii="Arial" w:hAnsi="Arial" w:cs="Arial"/>
          <w:color w:val="000000" w:themeColor="text1"/>
          <w:szCs w:val="22"/>
        </w:rPr>
        <w:t xml:space="preserve">for each of the sites is presented in </w:t>
      </w:r>
      <w:r w:rsidR="00A008A8" w:rsidRPr="00CB093C">
        <w:rPr>
          <w:rFonts w:ascii="Arial" w:hAnsi="Arial" w:cs="Arial"/>
          <w:color w:val="000000" w:themeColor="text1"/>
          <w:szCs w:val="22"/>
        </w:rPr>
        <w:fldChar w:fldCharType="begin"/>
      </w:r>
      <w:r w:rsidR="00A008A8" w:rsidRPr="00CB093C">
        <w:rPr>
          <w:rFonts w:ascii="Arial" w:hAnsi="Arial" w:cs="Arial"/>
          <w:color w:val="000000" w:themeColor="text1"/>
          <w:szCs w:val="22"/>
        </w:rPr>
        <w:instrText xml:space="preserve"> REF _Ref442465513 \h </w:instrText>
      </w:r>
      <w:r w:rsidR="00CB093C" w:rsidRPr="00CB093C">
        <w:rPr>
          <w:rFonts w:ascii="Arial" w:hAnsi="Arial" w:cs="Arial"/>
          <w:color w:val="000000" w:themeColor="text1"/>
          <w:szCs w:val="22"/>
        </w:rPr>
        <w:instrText xml:space="preserve"> \* MERGEFORMAT </w:instrText>
      </w:r>
      <w:r w:rsidR="00A008A8" w:rsidRPr="00CB093C">
        <w:rPr>
          <w:rFonts w:ascii="Arial" w:hAnsi="Arial" w:cs="Arial"/>
          <w:color w:val="000000" w:themeColor="text1"/>
          <w:szCs w:val="22"/>
        </w:rPr>
      </w:r>
      <w:r w:rsidR="00A008A8"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8</w:t>
      </w:r>
      <w:r w:rsidR="00A008A8" w:rsidRPr="00CB093C">
        <w:rPr>
          <w:rFonts w:ascii="Arial" w:hAnsi="Arial" w:cs="Arial"/>
          <w:color w:val="000000" w:themeColor="text1"/>
          <w:szCs w:val="22"/>
        </w:rPr>
        <w:fldChar w:fldCharType="end"/>
      </w:r>
      <w:r w:rsidR="00A008A8" w:rsidRPr="00CB093C">
        <w:rPr>
          <w:rFonts w:ascii="Arial" w:hAnsi="Arial" w:cs="Arial"/>
          <w:color w:val="000000" w:themeColor="text1"/>
          <w:szCs w:val="22"/>
        </w:rPr>
        <w:t xml:space="preserve">. </w:t>
      </w:r>
      <w:r w:rsidR="00134587" w:rsidRPr="00CB093C">
        <w:rPr>
          <w:rFonts w:ascii="Arial" w:hAnsi="Arial" w:cs="Arial"/>
          <w:color w:val="000000" w:themeColor="text1"/>
          <w:szCs w:val="22"/>
        </w:rPr>
        <w:t>There were 10 locations in which the annual daily light level was lower than 10 mol m</w:t>
      </w:r>
      <w:r w:rsidR="00134587" w:rsidRPr="00CB093C">
        <w:rPr>
          <w:rFonts w:ascii="Arial" w:hAnsi="Arial" w:cs="Arial"/>
          <w:color w:val="000000" w:themeColor="text1"/>
          <w:szCs w:val="22"/>
          <w:vertAlign w:val="superscript"/>
        </w:rPr>
        <w:t>-2</w:t>
      </w:r>
      <w:r w:rsidR="00134587" w:rsidRPr="00CB093C">
        <w:rPr>
          <w:rFonts w:ascii="Arial" w:hAnsi="Arial" w:cs="Arial"/>
          <w:color w:val="000000" w:themeColor="text1"/>
          <w:szCs w:val="22"/>
        </w:rPr>
        <w:t xml:space="preserve"> d</w:t>
      </w:r>
      <w:r w:rsidR="00134587" w:rsidRPr="00CB093C">
        <w:rPr>
          <w:rFonts w:ascii="Arial" w:hAnsi="Arial" w:cs="Arial"/>
          <w:color w:val="000000" w:themeColor="text1"/>
          <w:szCs w:val="22"/>
          <w:vertAlign w:val="superscript"/>
        </w:rPr>
        <w:t>-1</w:t>
      </w:r>
      <w:r w:rsidR="00134587" w:rsidRPr="00CB093C">
        <w:rPr>
          <w:rFonts w:ascii="Arial" w:hAnsi="Arial" w:cs="Arial"/>
          <w:color w:val="000000" w:themeColor="text1"/>
          <w:szCs w:val="22"/>
        </w:rPr>
        <w:t>, a light threshold that is likely to support long-term growth requirements of the species in these habitats</w:t>
      </w:r>
      <w:r w:rsidR="007D2687" w:rsidRPr="00CB093C">
        <w:rPr>
          <w:rFonts w:ascii="Arial" w:hAnsi="Arial" w:cs="Arial"/>
          <w:color w:val="000000" w:themeColor="text1"/>
          <w:szCs w:val="22"/>
        </w:rPr>
        <w:t xml:space="preserve"> (Collier et al 2016)</w:t>
      </w:r>
      <w:r w:rsidR="00134587" w:rsidRPr="00CB093C">
        <w:rPr>
          <w:rFonts w:ascii="Arial" w:hAnsi="Arial" w:cs="Arial"/>
          <w:color w:val="000000" w:themeColor="text1"/>
          <w:szCs w:val="22"/>
        </w:rPr>
        <w:t xml:space="preserve">. </w:t>
      </w:r>
      <w:r w:rsidR="003327FF" w:rsidRPr="00CB093C">
        <w:rPr>
          <w:rFonts w:ascii="Arial" w:hAnsi="Arial" w:cs="Arial"/>
          <w:color w:val="000000" w:themeColor="text1"/>
          <w:szCs w:val="22"/>
        </w:rPr>
        <w:t>There were 14 locations in which daily light was lower than the long-term average (</w:t>
      </w:r>
      <w:r w:rsidR="003327FF" w:rsidRPr="00CB093C">
        <w:rPr>
          <w:rFonts w:ascii="Arial" w:hAnsi="Arial" w:cs="Arial"/>
          <w:color w:val="000000" w:themeColor="text1"/>
          <w:szCs w:val="22"/>
        </w:rPr>
        <w:fldChar w:fldCharType="begin"/>
      </w:r>
      <w:r w:rsidR="003327FF" w:rsidRPr="00CB093C">
        <w:rPr>
          <w:rFonts w:ascii="Arial" w:hAnsi="Arial" w:cs="Arial"/>
          <w:color w:val="000000" w:themeColor="text1"/>
          <w:szCs w:val="22"/>
        </w:rPr>
        <w:instrText xml:space="preserve"> REF _Ref442465513 \h </w:instrText>
      </w:r>
      <w:r w:rsidR="00CB093C" w:rsidRPr="00CB093C">
        <w:rPr>
          <w:rFonts w:ascii="Arial" w:hAnsi="Arial" w:cs="Arial"/>
          <w:color w:val="000000" w:themeColor="text1"/>
          <w:szCs w:val="22"/>
        </w:rPr>
        <w:instrText xml:space="preserve"> \* MERGEFORMAT </w:instrText>
      </w:r>
      <w:r w:rsidR="003327FF" w:rsidRPr="00CB093C">
        <w:rPr>
          <w:rFonts w:ascii="Arial" w:hAnsi="Arial" w:cs="Arial"/>
          <w:color w:val="000000" w:themeColor="text1"/>
          <w:szCs w:val="22"/>
        </w:rPr>
      </w:r>
      <w:r w:rsidR="003327FF"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8</w:t>
      </w:r>
      <w:r w:rsidR="003327FF" w:rsidRPr="00CB093C">
        <w:rPr>
          <w:rFonts w:ascii="Arial" w:hAnsi="Arial" w:cs="Arial"/>
          <w:color w:val="000000" w:themeColor="text1"/>
          <w:szCs w:val="22"/>
        </w:rPr>
        <w:fldChar w:fldCharType="end"/>
      </w:r>
      <w:r w:rsidR="003327FF" w:rsidRPr="00CB093C">
        <w:rPr>
          <w:rFonts w:ascii="Arial" w:hAnsi="Arial" w:cs="Arial"/>
          <w:color w:val="000000" w:themeColor="text1"/>
          <w:szCs w:val="22"/>
        </w:rPr>
        <w:t xml:space="preserve">). </w:t>
      </w:r>
    </w:p>
    <w:p w14:paraId="1050F530" w14:textId="28722E52" w:rsidR="003E039B" w:rsidRPr="00CB093C" w:rsidRDefault="003E039B" w:rsidP="00E742E9">
      <w:pPr>
        <w:rPr>
          <w:rFonts w:ascii="Arial" w:hAnsi="Arial" w:cs="Arial"/>
          <w:szCs w:val="22"/>
        </w:rPr>
      </w:pPr>
      <w:r w:rsidRPr="00CB093C">
        <w:rPr>
          <w:rFonts w:ascii="Arial" w:hAnsi="Arial" w:cs="Arial"/>
          <w:color w:val="000000" w:themeColor="text1"/>
          <w:szCs w:val="22"/>
        </w:rPr>
        <w:t xml:space="preserve">Long-term trends </w:t>
      </w:r>
      <w:r w:rsidR="00B96FEB" w:rsidRPr="00CB093C">
        <w:rPr>
          <w:rFonts w:ascii="Arial" w:hAnsi="Arial" w:cs="Arial"/>
          <w:color w:val="000000" w:themeColor="text1"/>
          <w:szCs w:val="22"/>
        </w:rPr>
        <w:t>show a</w:t>
      </w:r>
      <w:r w:rsidRPr="00CB093C">
        <w:rPr>
          <w:rFonts w:ascii="Arial" w:hAnsi="Arial" w:cs="Arial"/>
          <w:color w:val="000000" w:themeColor="text1"/>
          <w:szCs w:val="22"/>
        </w:rPr>
        <w:t xml:space="preserve"> peak in canopy light occurs in September to December as incident solar irradiation reaches its maximum and prior to wet season conditions (</w:t>
      </w:r>
      <w:r w:rsidR="000838A4" w:rsidRPr="00CB093C">
        <w:rPr>
          <w:rFonts w:ascii="Arial" w:hAnsi="Arial" w:cs="Arial"/>
          <w:color w:val="000000" w:themeColor="text1"/>
          <w:szCs w:val="22"/>
        </w:rPr>
        <w:fldChar w:fldCharType="begin"/>
      </w:r>
      <w:r w:rsidR="000838A4" w:rsidRPr="00CB093C">
        <w:rPr>
          <w:rFonts w:ascii="Arial" w:hAnsi="Arial" w:cs="Arial"/>
          <w:color w:val="000000" w:themeColor="text1"/>
          <w:szCs w:val="22"/>
        </w:rPr>
        <w:instrText xml:space="preserve"> REF _Ref442455578 \h  \* MERGEFORMAT </w:instrText>
      </w:r>
      <w:r w:rsidR="000838A4" w:rsidRPr="00CB093C">
        <w:rPr>
          <w:rFonts w:ascii="Arial" w:hAnsi="Arial" w:cs="Arial"/>
          <w:color w:val="000000" w:themeColor="text1"/>
          <w:szCs w:val="22"/>
        </w:rPr>
      </w:r>
      <w:r w:rsidR="000838A4" w:rsidRPr="00CB093C">
        <w:rPr>
          <w:rFonts w:ascii="Arial" w:hAnsi="Arial" w:cs="Arial"/>
          <w:color w:val="000000" w:themeColor="text1"/>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10</w:t>
      </w:r>
      <w:r w:rsidR="000838A4" w:rsidRPr="00CB093C">
        <w:rPr>
          <w:rFonts w:ascii="Arial" w:hAnsi="Arial" w:cs="Arial"/>
          <w:color w:val="000000" w:themeColor="text1"/>
          <w:szCs w:val="22"/>
        </w:rPr>
        <w:fldChar w:fldCharType="end"/>
      </w:r>
      <w:r w:rsidRPr="00CB093C">
        <w:rPr>
          <w:rFonts w:ascii="Arial" w:hAnsi="Arial" w:cs="Arial"/>
          <w:color w:val="000000" w:themeColor="text1"/>
          <w:szCs w:val="22"/>
        </w:rPr>
        <w:t>). The lowest light levels typically occur in the wet season</w:t>
      </w:r>
      <w:r w:rsidR="00AA3D52" w:rsidRPr="00CB093C">
        <w:rPr>
          <w:rFonts w:ascii="Arial" w:hAnsi="Arial" w:cs="Arial"/>
          <w:color w:val="000000" w:themeColor="text1"/>
          <w:szCs w:val="22"/>
        </w:rPr>
        <w:t>,</w:t>
      </w:r>
      <w:r w:rsidRPr="00CB093C">
        <w:rPr>
          <w:rFonts w:ascii="Arial" w:hAnsi="Arial" w:cs="Arial"/>
          <w:color w:val="000000" w:themeColor="text1"/>
          <w:szCs w:val="22"/>
        </w:rPr>
        <w:t xml:space="preserve"> in particular</w:t>
      </w:r>
      <w:r w:rsidR="00AA3D52" w:rsidRPr="00CB093C">
        <w:rPr>
          <w:rFonts w:ascii="Arial" w:hAnsi="Arial" w:cs="Arial"/>
          <w:color w:val="000000" w:themeColor="text1"/>
          <w:szCs w:val="22"/>
        </w:rPr>
        <w:t>ly</w:t>
      </w:r>
      <w:r w:rsidRPr="00CB093C">
        <w:rPr>
          <w:rFonts w:ascii="Arial" w:hAnsi="Arial" w:cs="Arial"/>
          <w:color w:val="000000" w:themeColor="text1"/>
          <w:szCs w:val="22"/>
        </w:rPr>
        <w:t xml:space="preserve"> January to April</w:t>
      </w:r>
      <w:r w:rsidRPr="00CB093C">
        <w:rPr>
          <w:rFonts w:ascii="Arial" w:hAnsi="Arial" w:cs="Arial"/>
          <w:szCs w:val="22"/>
        </w:rPr>
        <w:t xml:space="preserve">. </w:t>
      </w:r>
    </w:p>
    <w:p w14:paraId="2BAE7873" w14:textId="783B91FC" w:rsidR="00116C64" w:rsidRPr="00CB093C" w:rsidRDefault="00CF22B9" w:rsidP="00E742E9">
      <w:pPr>
        <w:keepNext/>
        <w:widowControl w:val="0"/>
        <w:spacing w:before="0"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205C71CD" wp14:editId="6EC7FFF9">
            <wp:extent cx="5540998" cy="1769748"/>
            <wp:effectExtent l="0" t="0" r="3175" b="1905"/>
            <wp:docPr id="99" name="Picture 99" descr="Plot of average daily light for all sites combined  from 2008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GBR-wide_light)combined figure-01.png"/>
                    <pic:cNvPicPr/>
                  </pic:nvPicPr>
                  <pic:blipFill>
                    <a:blip r:embed="rId55"/>
                    <a:stretch>
                      <a:fillRect/>
                    </a:stretch>
                  </pic:blipFill>
                  <pic:spPr>
                    <a:xfrm>
                      <a:off x="0" y="0"/>
                      <a:ext cx="5540998" cy="1769748"/>
                    </a:xfrm>
                    <a:prstGeom prst="rect">
                      <a:avLst/>
                    </a:prstGeom>
                  </pic:spPr>
                </pic:pic>
              </a:graphicData>
            </a:graphic>
          </wp:inline>
        </w:drawing>
      </w:r>
    </w:p>
    <w:p w14:paraId="5F4FAA2B" w14:textId="76BA34A3" w:rsidR="00116C64" w:rsidRPr="00CB093C" w:rsidRDefault="00116C64" w:rsidP="004C6169">
      <w:pPr>
        <w:pStyle w:val="Caption"/>
        <w:jc w:val="both"/>
        <w:rPr>
          <w:rFonts w:ascii="Arial" w:hAnsi="Arial" w:cs="Arial"/>
          <w:i/>
          <w:color w:val="000000" w:themeColor="text1"/>
          <w:szCs w:val="22"/>
        </w:rPr>
      </w:pPr>
      <w:bookmarkStart w:id="159" w:name="_Ref442455578"/>
      <w:bookmarkStart w:id="160" w:name="_Toc6402775"/>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10</w:t>
      </w:r>
      <w:r w:rsidRPr="00CB093C">
        <w:rPr>
          <w:rFonts w:ascii="Arial" w:hAnsi="Arial" w:cs="Arial"/>
          <w:color w:val="000000"/>
          <w:szCs w:val="22"/>
        </w:rPr>
        <w:fldChar w:fldCharType="end"/>
      </w:r>
      <w:bookmarkEnd w:id="159"/>
      <w:r w:rsidRPr="00CB093C">
        <w:rPr>
          <w:rFonts w:ascii="Arial" w:hAnsi="Arial" w:cs="Arial"/>
          <w:color w:val="000000"/>
          <w:szCs w:val="22"/>
        </w:rPr>
        <w:t xml:space="preserve">. </w:t>
      </w:r>
      <w:r w:rsidRPr="00CB093C">
        <w:rPr>
          <w:rFonts w:ascii="Arial" w:hAnsi="Arial" w:cs="Arial"/>
          <w:i/>
          <w:color w:val="000000" w:themeColor="text1"/>
          <w:szCs w:val="22"/>
        </w:rPr>
        <w:t>Daily light for all sites combined</w:t>
      </w:r>
      <w:r w:rsidR="00894769" w:rsidRPr="00CB093C">
        <w:rPr>
          <w:rFonts w:ascii="Arial" w:hAnsi="Arial" w:cs="Arial"/>
          <w:i/>
          <w:color w:val="000000" w:themeColor="text1"/>
          <w:szCs w:val="22"/>
        </w:rPr>
        <w:t xml:space="preserve"> </w:t>
      </w:r>
      <w:r w:rsidRPr="00CB093C">
        <w:rPr>
          <w:rFonts w:ascii="Arial" w:hAnsi="Arial" w:cs="Arial"/>
          <w:i/>
          <w:color w:val="000000" w:themeColor="text1"/>
          <w:szCs w:val="22"/>
        </w:rPr>
        <w:t>from 2008 to 201</w:t>
      </w:r>
      <w:r w:rsidR="000838A4" w:rsidRPr="00CB093C">
        <w:rPr>
          <w:rFonts w:ascii="Arial" w:hAnsi="Arial" w:cs="Arial"/>
          <w:i/>
          <w:color w:val="000000" w:themeColor="text1"/>
          <w:szCs w:val="22"/>
        </w:rPr>
        <w:t>8</w:t>
      </w:r>
      <w:r w:rsidRPr="00CB093C">
        <w:rPr>
          <w:rFonts w:ascii="Arial" w:hAnsi="Arial" w:cs="Arial"/>
          <w:i/>
          <w:color w:val="000000" w:themeColor="text1"/>
          <w:szCs w:val="22"/>
        </w:rPr>
        <w:t>.</w:t>
      </w:r>
      <w:r w:rsidR="00B96FEB" w:rsidRPr="00CB093C">
        <w:rPr>
          <w:rFonts w:ascii="Arial" w:hAnsi="Arial" w:cs="Arial"/>
          <w:i/>
          <w:color w:val="000000" w:themeColor="text1"/>
          <w:szCs w:val="22"/>
        </w:rPr>
        <w:t xml:space="preserve"> </w:t>
      </w:r>
      <w:r w:rsidR="00297244" w:rsidRPr="00CB093C">
        <w:rPr>
          <w:rFonts w:ascii="Arial" w:hAnsi="Arial" w:cs="Arial"/>
          <w:i/>
          <w:vanish/>
          <w:color w:val="000000" w:themeColor="text1"/>
          <w:szCs w:val="22"/>
          <w:specVanish/>
        </w:rPr>
        <w:t xml:space="preserve"> </w:t>
      </w:r>
      <w:r w:rsidR="00202C51" w:rsidRPr="00CB093C">
        <w:rPr>
          <w:rFonts w:ascii="Arial" w:hAnsi="Arial" w:cs="Arial"/>
          <w:i/>
          <w:color w:val="000000" w:themeColor="text1"/>
          <w:szCs w:val="22"/>
        </w:rPr>
        <w:t>In 2008</w:t>
      </w:r>
      <w:r w:rsidR="00B96FEB" w:rsidRPr="00CB093C">
        <w:rPr>
          <w:rFonts w:ascii="Arial" w:hAnsi="Arial" w:cs="Arial"/>
          <w:i/>
          <w:color w:val="000000" w:themeColor="text1"/>
          <w:szCs w:val="22"/>
        </w:rPr>
        <w:t>–</w:t>
      </w:r>
      <w:r w:rsidR="00056F8D" w:rsidRPr="00CB093C">
        <w:rPr>
          <w:rFonts w:ascii="Arial" w:hAnsi="Arial" w:cs="Arial"/>
          <w:i/>
          <w:color w:val="000000" w:themeColor="text1"/>
          <w:szCs w:val="22"/>
        </w:rPr>
        <w:t>20</w:t>
      </w:r>
      <w:r w:rsidR="00202C51" w:rsidRPr="00CB093C">
        <w:rPr>
          <w:rFonts w:ascii="Arial" w:hAnsi="Arial" w:cs="Arial"/>
          <w:i/>
          <w:color w:val="000000" w:themeColor="text1"/>
          <w:szCs w:val="22"/>
        </w:rPr>
        <w:t>09, light data is from the Burdekin and Wet Tropics regions</w:t>
      </w:r>
      <w:r w:rsidR="00B96FEB" w:rsidRPr="00CB093C">
        <w:rPr>
          <w:rFonts w:ascii="Arial" w:hAnsi="Arial" w:cs="Arial"/>
          <w:i/>
          <w:color w:val="000000" w:themeColor="text1"/>
          <w:szCs w:val="22"/>
        </w:rPr>
        <w:t>.</w:t>
      </w:r>
      <w:r w:rsidR="00202C51" w:rsidRPr="00CB093C">
        <w:rPr>
          <w:rFonts w:ascii="Arial" w:hAnsi="Arial" w:cs="Arial"/>
          <w:i/>
          <w:color w:val="000000" w:themeColor="text1"/>
          <w:szCs w:val="22"/>
        </w:rPr>
        <w:t xml:space="preserve"> </w:t>
      </w:r>
      <w:r w:rsidR="00B96FEB" w:rsidRPr="00CB093C">
        <w:rPr>
          <w:rFonts w:ascii="Arial" w:hAnsi="Arial" w:cs="Arial"/>
          <w:i/>
          <w:color w:val="000000" w:themeColor="text1"/>
          <w:szCs w:val="22"/>
        </w:rPr>
        <w:t xml:space="preserve">Other </w:t>
      </w:r>
      <w:r w:rsidR="00202C51" w:rsidRPr="00CB093C">
        <w:rPr>
          <w:rFonts w:ascii="Arial" w:hAnsi="Arial" w:cs="Arial"/>
          <w:i/>
          <w:color w:val="000000" w:themeColor="text1"/>
          <w:szCs w:val="22"/>
        </w:rPr>
        <w:t xml:space="preserve">regions were included </w:t>
      </w:r>
      <w:r w:rsidR="00B96FEB" w:rsidRPr="00CB093C">
        <w:rPr>
          <w:rFonts w:ascii="Arial" w:hAnsi="Arial" w:cs="Arial"/>
          <w:i/>
          <w:color w:val="000000" w:themeColor="text1"/>
          <w:szCs w:val="22"/>
        </w:rPr>
        <w:t xml:space="preserve">from </w:t>
      </w:r>
      <w:r w:rsidR="00202C51" w:rsidRPr="00CB093C">
        <w:rPr>
          <w:rFonts w:ascii="Arial" w:hAnsi="Arial" w:cs="Arial"/>
          <w:i/>
          <w:color w:val="000000" w:themeColor="text1"/>
          <w:szCs w:val="22"/>
        </w:rPr>
        <w:t>2009</w:t>
      </w:r>
      <w:r w:rsidR="00FD625B" w:rsidRPr="00CB093C">
        <w:rPr>
          <w:rFonts w:ascii="Arial" w:hAnsi="Arial" w:cs="Arial"/>
          <w:i/>
          <w:color w:val="000000" w:themeColor="text1"/>
          <w:szCs w:val="22"/>
        </w:rPr>
        <w:t>–</w:t>
      </w:r>
      <w:r w:rsidR="00056F8D" w:rsidRPr="00CB093C">
        <w:rPr>
          <w:rFonts w:ascii="Arial" w:hAnsi="Arial" w:cs="Arial"/>
          <w:i/>
          <w:color w:val="000000" w:themeColor="text1"/>
          <w:szCs w:val="22"/>
        </w:rPr>
        <w:t>20</w:t>
      </w:r>
      <w:r w:rsidR="00202C51" w:rsidRPr="00CB093C">
        <w:rPr>
          <w:rFonts w:ascii="Arial" w:hAnsi="Arial" w:cs="Arial"/>
          <w:i/>
          <w:color w:val="000000" w:themeColor="text1"/>
          <w:szCs w:val="22"/>
        </w:rPr>
        <w:t xml:space="preserve">10, </w:t>
      </w:r>
      <w:r w:rsidR="00B96FEB" w:rsidRPr="00CB093C">
        <w:rPr>
          <w:rFonts w:ascii="Arial" w:hAnsi="Arial" w:cs="Arial"/>
          <w:i/>
          <w:color w:val="000000" w:themeColor="text1"/>
          <w:szCs w:val="22"/>
        </w:rPr>
        <w:t xml:space="preserve">with </w:t>
      </w:r>
      <w:r w:rsidR="00202C51" w:rsidRPr="00CB093C">
        <w:rPr>
          <w:rFonts w:ascii="Arial" w:hAnsi="Arial" w:cs="Arial"/>
          <w:i/>
          <w:color w:val="000000" w:themeColor="text1"/>
          <w:szCs w:val="22"/>
        </w:rPr>
        <w:t xml:space="preserve">Cape York added </w:t>
      </w:r>
      <w:r w:rsidR="00B96FEB" w:rsidRPr="00CB093C">
        <w:rPr>
          <w:rFonts w:ascii="Arial" w:hAnsi="Arial" w:cs="Arial"/>
          <w:i/>
          <w:color w:val="000000" w:themeColor="text1"/>
          <w:szCs w:val="22"/>
        </w:rPr>
        <w:t>post</w:t>
      </w:r>
      <w:r w:rsidR="00202C51" w:rsidRPr="00CB093C">
        <w:rPr>
          <w:rFonts w:ascii="Arial" w:hAnsi="Arial" w:cs="Arial"/>
          <w:i/>
          <w:color w:val="000000" w:themeColor="text1"/>
          <w:szCs w:val="22"/>
        </w:rPr>
        <w:t xml:space="preserve"> 2012</w:t>
      </w:r>
      <w:r w:rsidR="00B96FEB" w:rsidRPr="00CB093C">
        <w:rPr>
          <w:rFonts w:ascii="Arial" w:hAnsi="Arial" w:cs="Arial"/>
          <w:i/>
          <w:color w:val="000000" w:themeColor="text1"/>
          <w:szCs w:val="22"/>
        </w:rPr>
        <w:t>–</w:t>
      </w:r>
      <w:r w:rsidR="00056F8D" w:rsidRPr="00CB093C">
        <w:rPr>
          <w:rFonts w:ascii="Arial" w:hAnsi="Arial" w:cs="Arial"/>
          <w:i/>
          <w:color w:val="000000" w:themeColor="text1"/>
          <w:szCs w:val="22"/>
        </w:rPr>
        <w:t>20</w:t>
      </w:r>
      <w:r w:rsidR="00202C51" w:rsidRPr="00CB093C">
        <w:rPr>
          <w:rFonts w:ascii="Arial" w:hAnsi="Arial" w:cs="Arial"/>
          <w:i/>
          <w:color w:val="000000" w:themeColor="text1"/>
          <w:szCs w:val="22"/>
        </w:rPr>
        <w:t>13 reporting period.</w:t>
      </w:r>
      <w:bookmarkEnd w:id="160"/>
    </w:p>
    <w:p w14:paraId="298B53B7" w14:textId="77777777" w:rsidR="00EF4396" w:rsidRPr="00CB093C" w:rsidRDefault="00EF4396" w:rsidP="00EF4396">
      <w:pPr>
        <w:pStyle w:val="Caption"/>
        <w:jc w:val="both"/>
        <w:rPr>
          <w:rFonts w:ascii="Arial" w:hAnsi="Arial" w:cs="Arial"/>
          <w:i/>
          <w:vanish/>
          <w:color w:val="000000" w:themeColor="text1"/>
          <w:szCs w:val="22"/>
        </w:rPr>
      </w:pPr>
    </w:p>
    <w:p w14:paraId="187F8D5E" w14:textId="3040126E" w:rsidR="00811ABE" w:rsidRPr="00CB093C" w:rsidRDefault="003737E9" w:rsidP="0015509E">
      <w:pPr>
        <w:pStyle w:val="Heading2"/>
      </w:pPr>
      <w:bookmarkStart w:id="161" w:name="_Toc11394713"/>
      <w:r w:rsidRPr="00CB093C">
        <w:t>Within-</w:t>
      </w:r>
      <w:r w:rsidR="00811ABE" w:rsidRPr="00CB093C">
        <w:t>canopy seawater temperature</w:t>
      </w:r>
      <w:bookmarkEnd w:id="161"/>
    </w:p>
    <w:p w14:paraId="3AC7F27D" w14:textId="7BBC1234" w:rsidR="005E0AFE" w:rsidRPr="00CB093C" w:rsidRDefault="000B0340" w:rsidP="005E0AFE">
      <w:pPr>
        <w:rPr>
          <w:rFonts w:ascii="Arial" w:hAnsi="Arial" w:cs="Arial"/>
          <w:color w:val="000000" w:themeColor="text1"/>
          <w:szCs w:val="22"/>
        </w:rPr>
      </w:pPr>
      <w:r w:rsidRPr="00CB093C">
        <w:rPr>
          <w:rFonts w:ascii="Arial" w:hAnsi="Arial" w:cs="Arial"/>
          <w:szCs w:val="22"/>
        </w:rPr>
        <w:t>Daily w</w:t>
      </w:r>
      <w:r w:rsidR="00E40E15" w:rsidRPr="00CB093C">
        <w:rPr>
          <w:rFonts w:ascii="Arial" w:hAnsi="Arial" w:cs="Arial"/>
          <w:szCs w:val="22"/>
        </w:rPr>
        <w:t>ithin-canopy seawater temperature across the Reef</w:t>
      </w:r>
      <w:r w:rsidR="00E40E15" w:rsidRPr="00CB093C">
        <w:rPr>
          <w:rFonts w:ascii="Arial" w:hAnsi="Arial" w:cs="Arial"/>
          <w:color w:val="000000" w:themeColor="text1"/>
          <w:szCs w:val="22"/>
        </w:rPr>
        <w:t xml:space="preserve"> in </w:t>
      </w:r>
      <w:r w:rsidR="008C0E45">
        <w:rPr>
          <w:rFonts w:ascii="Arial" w:hAnsi="Arial" w:cs="Arial"/>
          <w:color w:val="000000" w:themeColor="text1"/>
          <w:szCs w:val="22"/>
        </w:rPr>
        <w:t>2017–18</w:t>
      </w:r>
      <w:r w:rsidR="00E40E15" w:rsidRPr="00CB093C">
        <w:rPr>
          <w:rFonts w:ascii="Arial" w:hAnsi="Arial" w:cs="Arial"/>
          <w:color w:val="000000" w:themeColor="text1"/>
          <w:szCs w:val="22"/>
        </w:rPr>
        <w:t xml:space="preserve"> </w:t>
      </w:r>
      <w:r w:rsidR="008773FD" w:rsidRPr="00CB093C">
        <w:rPr>
          <w:rFonts w:ascii="Arial" w:hAnsi="Arial" w:cs="Arial"/>
          <w:color w:val="000000" w:themeColor="text1"/>
          <w:szCs w:val="22"/>
        </w:rPr>
        <w:t xml:space="preserve">was </w:t>
      </w:r>
      <w:r w:rsidR="0080497B" w:rsidRPr="00CB093C">
        <w:rPr>
          <w:rFonts w:ascii="Arial" w:hAnsi="Arial" w:cs="Arial"/>
          <w:color w:val="000000" w:themeColor="text1"/>
          <w:szCs w:val="22"/>
        </w:rPr>
        <w:t xml:space="preserve">cooler than the </w:t>
      </w:r>
      <w:r w:rsidR="004054AE" w:rsidRPr="00CB093C">
        <w:rPr>
          <w:rFonts w:ascii="Arial" w:hAnsi="Arial" w:cs="Arial"/>
          <w:color w:val="000000" w:themeColor="text1"/>
          <w:szCs w:val="22"/>
        </w:rPr>
        <w:t>p</w:t>
      </w:r>
      <w:r w:rsidR="0080497B" w:rsidRPr="00CB093C">
        <w:rPr>
          <w:rFonts w:ascii="Arial" w:hAnsi="Arial" w:cs="Arial"/>
          <w:color w:val="000000" w:themeColor="text1"/>
          <w:szCs w:val="22"/>
        </w:rPr>
        <w:t xml:space="preserve">revious </w:t>
      </w:r>
      <w:r w:rsidR="00681A25" w:rsidRPr="00CB093C">
        <w:rPr>
          <w:rFonts w:ascii="Arial" w:hAnsi="Arial" w:cs="Arial"/>
          <w:color w:val="000000" w:themeColor="text1"/>
          <w:szCs w:val="22"/>
        </w:rPr>
        <w:t>four</w:t>
      </w:r>
      <w:r w:rsidR="0080497B" w:rsidRPr="00CB093C">
        <w:rPr>
          <w:rFonts w:ascii="Arial" w:hAnsi="Arial" w:cs="Arial"/>
          <w:color w:val="000000" w:themeColor="text1"/>
          <w:szCs w:val="22"/>
        </w:rPr>
        <w:t xml:space="preserve"> reporting years</w:t>
      </w:r>
      <w:r w:rsidR="00E40E15" w:rsidRPr="00CB093C">
        <w:rPr>
          <w:rFonts w:ascii="Arial" w:hAnsi="Arial" w:cs="Arial"/>
          <w:color w:val="000000" w:themeColor="text1"/>
          <w:szCs w:val="22"/>
        </w:rPr>
        <w:t>,</w:t>
      </w:r>
      <w:r w:rsidR="0080497B" w:rsidRPr="00CB093C">
        <w:rPr>
          <w:rFonts w:ascii="Arial" w:hAnsi="Arial" w:cs="Arial"/>
          <w:color w:val="000000" w:themeColor="text1"/>
          <w:szCs w:val="22"/>
        </w:rPr>
        <w:t xml:space="preserve"> </w:t>
      </w:r>
      <w:r w:rsidR="004054AE" w:rsidRPr="00CB093C">
        <w:rPr>
          <w:rFonts w:ascii="Arial" w:hAnsi="Arial" w:cs="Arial"/>
          <w:color w:val="000000" w:themeColor="text1"/>
          <w:szCs w:val="22"/>
        </w:rPr>
        <w:t>when there were a record number of temperature exceedances,</w:t>
      </w:r>
      <w:r w:rsidR="00FA27E2" w:rsidRPr="00CB093C">
        <w:rPr>
          <w:rFonts w:ascii="Arial" w:hAnsi="Arial" w:cs="Arial"/>
          <w:color w:val="000000" w:themeColor="text1"/>
          <w:szCs w:val="22"/>
        </w:rPr>
        <w:t xml:space="preserve"> and widespread bleac</w:t>
      </w:r>
      <w:r w:rsidR="00EF269A" w:rsidRPr="00CB093C">
        <w:rPr>
          <w:rFonts w:ascii="Arial" w:hAnsi="Arial" w:cs="Arial"/>
          <w:color w:val="000000" w:themeColor="text1"/>
          <w:szCs w:val="22"/>
        </w:rPr>
        <w:t>h</w:t>
      </w:r>
      <w:r w:rsidR="00FA27E2" w:rsidRPr="00CB093C">
        <w:rPr>
          <w:rFonts w:ascii="Arial" w:hAnsi="Arial" w:cs="Arial"/>
          <w:color w:val="000000" w:themeColor="text1"/>
          <w:szCs w:val="22"/>
        </w:rPr>
        <w:t>ing throughout the Reef (</w:t>
      </w:r>
      <w:r w:rsidR="00FA27E2" w:rsidRPr="00CB093C">
        <w:rPr>
          <w:rFonts w:ascii="Arial" w:hAnsi="Arial" w:cs="Arial"/>
          <w:color w:val="000000" w:themeColor="text1"/>
          <w:szCs w:val="22"/>
        </w:rPr>
        <w:fldChar w:fldCharType="begin"/>
      </w:r>
      <w:r w:rsidR="00FA27E2" w:rsidRPr="00CB093C">
        <w:rPr>
          <w:rFonts w:ascii="Arial" w:hAnsi="Arial" w:cs="Arial"/>
          <w:color w:val="000000" w:themeColor="text1"/>
          <w:szCs w:val="22"/>
        </w:rPr>
        <w:instrText xml:space="preserve"> REF _Ref442454861 \h </w:instrText>
      </w:r>
      <w:r w:rsidR="00DA741D" w:rsidRPr="00CB093C">
        <w:rPr>
          <w:rFonts w:ascii="Arial" w:hAnsi="Arial" w:cs="Arial"/>
          <w:color w:val="000000" w:themeColor="text1"/>
          <w:szCs w:val="22"/>
        </w:rPr>
        <w:instrText xml:space="preserve"> \* MERGEFORMAT </w:instrText>
      </w:r>
      <w:r w:rsidR="00FA27E2" w:rsidRPr="00CB093C">
        <w:rPr>
          <w:rFonts w:ascii="Arial" w:hAnsi="Arial" w:cs="Arial"/>
          <w:color w:val="000000" w:themeColor="text1"/>
          <w:szCs w:val="22"/>
        </w:rPr>
      </w:r>
      <w:r w:rsidR="00FA27E2"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11</w:t>
      </w:r>
      <w:r w:rsidR="00FA27E2" w:rsidRPr="00CB093C">
        <w:rPr>
          <w:rFonts w:ascii="Arial" w:hAnsi="Arial" w:cs="Arial"/>
          <w:color w:val="000000" w:themeColor="text1"/>
          <w:szCs w:val="22"/>
        </w:rPr>
        <w:fldChar w:fldCharType="end"/>
      </w:r>
      <w:r w:rsidR="00FA27E2" w:rsidRPr="00CB093C">
        <w:rPr>
          <w:rFonts w:ascii="Arial" w:hAnsi="Arial" w:cs="Arial"/>
          <w:color w:val="000000" w:themeColor="text1"/>
          <w:szCs w:val="22"/>
        </w:rPr>
        <w:t>)</w:t>
      </w:r>
      <w:r w:rsidR="008F2355" w:rsidRPr="00CB093C">
        <w:rPr>
          <w:rFonts w:ascii="Arial" w:hAnsi="Arial" w:cs="Arial"/>
          <w:color w:val="000000" w:themeColor="text1"/>
          <w:szCs w:val="22"/>
        </w:rPr>
        <w:t>.</w:t>
      </w:r>
      <w:r w:rsidR="00E40E15" w:rsidRPr="00CB093C">
        <w:rPr>
          <w:rFonts w:ascii="Arial" w:hAnsi="Arial" w:cs="Arial"/>
          <w:color w:val="000000" w:themeColor="text1"/>
          <w:szCs w:val="22"/>
        </w:rPr>
        <w:t xml:space="preserve"> </w:t>
      </w:r>
      <w:r w:rsidR="005E0AFE" w:rsidRPr="00CB093C">
        <w:rPr>
          <w:rFonts w:ascii="Arial" w:hAnsi="Arial" w:cs="Arial"/>
          <w:color w:val="000000" w:themeColor="text1"/>
          <w:szCs w:val="22"/>
        </w:rPr>
        <w:t xml:space="preserve">The </w:t>
      </w:r>
      <w:r w:rsidR="008C0E45">
        <w:rPr>
          <w:rFonts w:ascii="Arial" w:hAnsi="Arial" w:cs="Arial"/>
          <w:color w:val="000000" w:themeColor="text1"/>
          <w:szCs w:val="22"/>
        </w:rPr>
        <w:t>2017–18</w:t>
      </w:r>
      <w:r w:rsidR="005E0AFE" w:rsidRPr="00CB093C">
        <w:rPr>
          <w:rFonts w:ascii="Arial" w:hAnsi="Arial" w:cs="Arial"/>
          <w:color w:val="000000" w:themeColor="text1"/>
          <w:szCs w:val="22"/>
        </w:rPr>
        <w:t xml:space="preserve"> </w:t>
      </w:r>
      <w:r w:rsidR="005E0AFE" w:rsidRPr="00CB093C">
        <w:rPr>
          <w:rFonts w:ascii="Arial" w:hAnsi="Arial" w:cs="Arial"/>
          <w:szCs w:val="22"/>
        </w:rPr>
        <w:t>Reef</w:t>
      </w:r>
      <w:r w:rsidR="005E0AFE" w:rsidRPr="00CB093C">
        <w:rPr>
          <w:rFonts w:ascii="Arial" w:hAnsi="Arial" w:cs="Arial"/>
          <w:color w:val="000000" w:themeColor="text1"/>
          <w:szCs w:val="22"/>
        </w:rPr>
        <w:t xml:space="preserve"> temperature was on average (25.9°C) similar to the long-term (2003–2018, 25.8°C), an ‘insignificant’ difference, considering changes in sites that are monitored over that period (</w:t>
      </w:r>
      <w:r w:rsidR="005E0AFE" w:rsidRPr="00CB093C">
        <w:rPr>
          <w:rFonts w:ascii="Arial" w:hAnsi="Arial" w:cs="Arial"/>
          <w:color w:val="000000" w:themeColor="text1"/>
          <w:szCs w:val="22"/>
        </w:rPr>
        <w:fldChar w:fldCharType="begin"/>
      </w:r>
      <w:r w:rsidR="005E0AFE" w:rsidRPr="00CB093C">
        <w:rPr>
          <w:rFonts w:ascii="Arial" w:hAnsi="Arial" w:cs="Arial"/>
          <w:color w:val="000000" w:themeColor="text1"/>
          <w:szCs w:val="22"/>
        </w:rPr>
        <w:instrText xml:space="preserve"> REF _Ref441775247 \h  \* MERGEFORMAT </w:instrText>
      </w:r>
      <w:r w:rsidR="005E0AFE" w:rsidRPr="00CB093C">
        <w:rPr>
          <w:rFonts w:ascii="Arial" w:hAnsi="Arial" w:cs="Arial"/>
          <w:color w:val="000000" w:themeColor="text1"/>
          <w:szCs w:val="22"/>
        </w:rPr>
      </w:r>
      <w:r w:rsidR="005E0AFE" w:rsidRPr="00CB093C">
        <w:rPr>
          <w:rFonts w:ascii="Arial" w:hAnsi="Arial" w:cs="Arial"/>
          <w:color w:val="000000" w:themeColor="text1"/>
          <w:szCs w:val="22"/>
        </w:rPr>
        <w:fldChar w:fldCharType="separate"/>
      </w:r>
      <w:r w:rsidR="005F00D4" w:rsidRPr="00CB093C">
        <w:rPr>
          <w:rFonts w:ascii="Arial" w:hAnsi="Arial" w:cs="Arial"/>
          <w:szCs w:val="22"/>
        </w:rPr>
        <w:t xml:space="preserve">Table </w:t>
      </w:r>
      <w:r w:rsidR="005F00D4">
        <w:rPr>
          <w:rFonts w:ascii="Arial" w:hAnsi="Arial" w:cs="Arial"/>
          <w:noProof/>
          <w:szCs w:val="22"/>
        </w:rPr>
        <w:t>8</w:t>
      </w:r>
      <w:r w:rsidR="005E0AFE" w:rsidRPr="00CB093C">
        <w:rPr>
          <w:rFonts w:ascii="Arial" w:hAnsi="Arial" w:cs="Arial"/>
          <w:color w:val="000000" w:themeColor="text1"/>
          <w:szCs w:val="22"/>
        </w:rPr>
        <w:fldChar w:fldCharType="end"/>
      </w:r>
      <w:r w:rsidR="005E0AFE" w:rsidRPr="00CB093C">
        <w:rPr>
          <w:rFonts w:ascii="Arial" w:hAnsi="Arial" w:cs="Arial"/>
          <w:color w:val="000000" w:themeColor="text1"/>
          <w:szCs w:val="22"/>
        </w:rPr>
        <w:t>). However, there were regional and habitat differences relative to the long-term.</w:t>
      </w:r>
    </w:p>
    <w:p w14:paraId="64EE10BC" w14:textId="26EA7532" w:rsidR="005E0AFE" w:rsidRPr="00CB093C" w:rsidRDefault="000B0340" w:rsidP="005E0AFE">
      <w:pPr>
        <w:rPr>
          <w:rFonts w:ascii="Arial" w:hAnsi="Arial" w:cs="Arial"/>
          <w:color w:val="000000" w:themeColor="text1"/>
          <w:szCs w:val="22"/>
        </w:rPr>
      </w:pPr>
      <w:r w:rsidRPr="00CB093C">
        <w:rPr>
          <w:rFonts w:ascii="Arial" w:hAnsi="Arial" w:cs="Arial"/>
          <w:szCs w:val="22"/>
        </w:rPr>
        <w:t>Daily w</w:t>
      </w:r>
      <w:r w:rsidR="005E0AFE" w:rsidRPr="00CB093C">
        <w:rPr>
          <w:rFonts w:ascii="Arial" w:hAnsi="Arial" w:cs="Arial"/>
          <w:szCs w:val="22"/>
        </w:rPr>
        <w:t xml:space="preserve">ithin-canopy seawater temperatures </w:t>
      </w:r>
      <w:r w:rsidR="005E0AFE" w:rsidRPr="00CB093C">
        <w:rPr>
          <w:rFonts w:ascii="Arial" w:hAnsi="Arial" w:cs="Arial"/>
          <w:color w:val="000000" w:themeColor="text1"/>
          <w:szCs w:val="22"/>
        </w:rPr>
        <w:t xml:space="preserve">in the regions in </w:t>
      </w:r>
      <w:r w:rsidR="003654C6">
        <w:rPr>
          <w:rFonts w:ascii="Arial" w:hAnsi="Arial" w:cs="Arial"/>
          <w:color w:val="000000" w:themeColor="text1"/>
          <w:szCs w:val="22"/>
        </w:rPr>
        <w:t>2017–18</w:t>
      </w:r>
      <w:r w:rsidR="005E0AFE" w:rsidRPr="00CB093C">
        <w:rPr>
          <w:rFonts w:ascii="Arial" w:hAnsi="Arial" w:cs="Arial"/>
          <w:color w:val="000000" w:themeColor="text1"/>
          <w:szCs w:val="22"/>
        </w:rPr>
        <w:t xml:space="preserve"> from </w:t>
      </w:r>
      <w:r w:rsidR="00BC4C7B" w:rsidRPr="00CB093C">
        <w:rPr>
          <w:rFonts w:ascii="Arial" w:hAnsi="Arial" w:cs="Arial"/>
          <w:color w:val="000000" w:themeColor="text1"/>
          <w:szCs w:val="22"/>
        </w:rPr>
        <w:t>largest</w:t>
      </w:r>
      <w:r w:rsidR="005E0AFE" w:rsidRPr="00CB093C">
        <w:rPr>
          <w:rFonts w:ascii="Arial" w:hAnsi="Arial" w:cs="Arial"/>
          <w:color w:val="000000" w:themeColor="text1"/>
          <w:szCs w:val="22"/>
        </w:rPr>
        <w:t xml:space="preserve"> to smallest difference </w:t>
      </w:r>
      <w:r w:rsidR="005E0AFE" w:rsidRPr="00CB093C">
        <w:rPr>
          <w:rFonts w:ascii="Arial" w:hAnsi="Arial" w:cs="Arial"/>
          <w:szCs w:val="22"/>
        </w:rPr>
        <w:t>(* = greater than 0.5</w:t>
      </w:r>
      <w:r w:rsidR="005E0AFE" w:rsidRPr="00CB093C">
        <w:rPr>
          <w:rFonts w:ascii="Arial" w:hAnsi="Arial" w:cs="Arial"/>
          <w:color w:val="000000" w:themeColor="text1"/>
          <w:szCs w:val="22"/>
        </w:rPr>
        <w:t>°</w:t>
      </w:r>
      <w:r w:rsidRPr="00CB093C">
        <w:rPr>
          <w:rFonts w:ascii="Arial" w:hAnsi="Arial" w:cs="Arial"/>
          <w:color w:val="000000" w:themeColor="text1"/>
          <w:szCs w:val="22"/>
        </w:rPr>
        <w:t>C</w:t>
      </w:r>
      <w:r w:rsidR="005E0AFE" w:rsidRPr="00CB093C">
        <w:rPr>
          <w:rFonts w:ascii="Arial" w:hAnsi="Arial" w:cs="Arial"/>
          <w:szCs w:val="22"/>
        </w:rPr>
        <w:t xml:space="preserve">) relative </w:t>
      </w:r>
      <w:r w:rsidR="005E0AFE" w:rsidRPr="00CB093C">
        <w:rPr>
          <w:rFonts w:ascii="Arial" w:hAnsi="Arial" w:cs="Arial"/>
          <w:color w:val="000000" w:themeColor="text1"/>
          <w:szCs w:val="22"/>
        </w:rPr>
        <w:t>to the long-term were:</w:t>
      </w:r>
    </w:p>
    <w:p w14:paraId="5F439672" w14:textId="27AF8303" w:rsidR="008F2355" w:rsidRPr="00CB093C" w:rsidRDefault="008F2355" w:rsidP="008F2355">
      <w:pPr>
        <w:pStyle w:val="ListParagraph"/>
        <w:numPr>
          <w:ilvl w:val="0"/>
          <w:numId w:val="32"/>
        </w:numPr>
        <w:spacing w:before="0" w:after="0"/>
        <w:rPr>
          <w:rFonts w:ascii="Arial" w:hAnsi="Arial" w:cs="Arial"/>
          <w:szCs w:val="22"/>
        </w:rPr>
      </w:pPr>
      <w:r w:rsidRPr="00CB093C">
        <w:rPr>
          <w:rFonts w:ascii="Arial" w:hAnsi="Arial" w:cs="Arial"/>
          <w:szCs w:val="22"/>
        </w:rPr>
        <w:t>Cape York (avg = 27.4</w:t>
      </w:r>
      <w:r w:rsidRPr="00CB093C">
        <w:rPr>
          <w:rFonts w:ascii="Arial" w:hAnsi="Arial" w:cs="Arial"/>
          <w:color w:val="000000" w:themeColor="text1"/>
          <w:szCs w:val="22"/>
        </w:rPr>
        <w:t>°C</w:t>
      </w:r>
      <w:r w:rsidRPr="00CB093C">
        <w:rPr>
          <w:rFonts w:ascii="Arial" w:hAnsi="Arial" w:cs="Arial"/>
          <w:szCs w:val="22"/>
        </w:rPr>
        <w:t>, max = 41.3</w:t>
      </w:r>
      <w:r w:rsidRPr="00CB093C">
        <w:rPr>
          <w:rFonts w:ascii="Arial" w:hAnsi="Arial" w:cs="Arial"/>
          <w:color w:val="000000" w:themeColor="text1"/>
          <w:szCs w:val="22"/>
        </w:rPr>
        <w:t>°C</w:t>
      </w:r>
      <w:r w:rsidRPr="00CB093C">
        <w:rPr>
          <w:rFonts w:ascii="Arial" w:hAnsi="Arial" w:cs="Arial"/>
          <w:szCs w:val="22"/>
        </w:rPr>
        <w:t>)</w:t>
      </w:r>
      <w:r w:rsidR="00BB1253" w:rsidRPr="00CB093C">
        <w:rPr>
          <w:rFonts w:ascii="Arial" w:hAnsi="Arial" w:cs="Arial"/>
          <w:szCs w:val="22"/>
        </w:rPr>
        <w:t>*</w:t>
      </w:r>
    </w:p>
    <w:p w14:paraId="15575A6B" w14:textId="3C2A4A85" w:rsidR="00BB1253" w:rsidRPr="00CB093C" w:rsidRDefault="00BB1253" w:rsidP="00BB1253">
      <w:pPr>
        <w:pStyle w:val="ListParagraph"/>
        <w:numPr>
          <w:ilvl w:val="0"/>
          <w:numId w:val="32"/>
        </w:numPr>
        <w:spacing w:before="0" w:after="0"/>
        <w:rPr>
          <w:rFonts w:ascii="Arial" w:hAnsi="Arial" w:cs="Arial"/>
          <w:szCs w:val="22"/>
        </w:rPr>
      </w:pPr>
      <w:r w:rsidRPr="00CB093C">
        <w:rPr>
          <w:rFonts w:ascii="Arial" w:hAnsi="Arial" w:cs="Arial"/>
          <w:szCs w:val="22"/>
        </w:rPr>
        <w:t>Burnett</w:t>
      </w:r>
      <w:r w:rsidR="005E0AFE" w:rsidRPr="00CB093C">
        <w:rPr>
          <w:rFonts w:ascii="Arial" w:hAnsi="Arial" w:cs="Arial"/>
          <w:szCs w:val="22"/>
        </w:rPr>
        <w:t xml:space="preserve"> </w:t>
      </w:r>
      <w:r w:rsidRPr="00CB093C">
        <w:rPr>
          <w:rFonts w:ascii="Arial" w:hAnsi="Arial" w:cs="Arial"/>
          <w:szCs w:val="22"/>
        </w:rPr>
        <w:t>Mary (</w:t>
      </w:r>
      <w:r w:rsidR="005E0AFE" w:rsidRPr="00CB093C">
        <w:rPr>
          <w:rFonts w:ascii="Arial" w:hAnsi="Arial" w:cs="Arial"/>
          <w:szCs w:val="22"/>
        </w:rPr>
        <w:t xml:space="preserve">avg = </w:t>
      </w:r>
      <w:r w:rsidRPr="00CB093C">
        <w:rPr>
          <w:rFonts w:ascii="Arial" w:hAnsi="Arial" w:cs="Arial"/>
          <w:szCs w:val="22"/>
        </w:rPr>
        <w:t>23.8</w:t>
      </w:r>
      <w:r w:rsidR="005E0AFE" w:rsidRPr="00CB093C">
        <w:rPr>
          <w:rFonts w:ascii="Arial" w:hAnsi="Arial" w:cs="Arial"/>
          <w:color w:val="000000" w:themeColor="text1"/>
          <w:szCs w:val="22"/>
        </w:rPr>
        <w:t>°C</w:t>
      </w:r>
      <w:r w:rsidRPr="00CB093C">
        <w:rPr>
          <w:rFonts w:ascii="Arial" w:hAnsi="Arial" w:cs="Arial"/>
          <w:szCs w:val="22"/>
        </w:rPr>
        <w:t xml:space="preserve">, </w:t>
      </w:r>
      <w:r w:rsidR="005E0AFE" w:rsidRPr="00CB093C">
        <w:rPr>
          <w:rFonts w:ascii="Arial" w:hAnsi="Arial" w:cs="Arial"/>
          <w:szCs w:val="22"/>
        </w:rPr>
        <w:t xml:space="preserve">max = </w:t>
      </w:r>
      <w:r w:rsidRPr="00CB093C">
        <w:rPr>
          <w:rFonts w:ascii="Arial" w:hAnsi="Arial" w:cs="Arial"/>
          <w:szCs w:val="22"/>
        </w:rPr>
        <w:t>39.4</w:t>
      </w:r>
      <w:r w:rsidR="005E0AFE" w:rsidRPr="00CB093C">
        <w:rPr>
          <w:rFonts w:ascii="Arial" w:hAnsi="Arial" w:cs="Arial"/>
          <w:color w:val="000000" w:themeColor="text1"/>
          <w:szCs w:val="22"/>
        </w:rPr>
        <w:t>°C</w:t>
      </w:r>
      <w:r w:rsidRPr="00CB093C">
        <w:rPr>
          <w:rFonts w:ascii="Arial" w:hAnsi="Arial" w:cs="Arial"/>
          <w:szCs w:val="22"/>
        </w:rPr>
        <w:t>)*</w:t>
      </w:r>
    </w:p>
    <w:p w14:paraId="787173BB" w14:textId="6F13B8E8" w:rsidR="00BB1253" w:rsidRPr="00CB093C" w:rsidRDefault="00BB1253" w:rsidP="00BB1253">
      <w:pPr>
        <w:pStyle w:val="ListParagraph"/>
        <w:numPr>
          <w:ilvl w:val="0"/>
          <w:numId w:val="32"/>
        </w:numPr>
        <w:spacing w:before="0" w:after="0"/>
        <w:rPr>
          <w:rFonts w:ascii="Arial" w:hAnsi="Arial" w:cs="Arial"/>
          <w:szCs w:val="22"/>
        </w:rPr>
      </w:pPr>
      <w:r w:rsidRPr="00CB093C">
        <w:rPr>
          <w:rFonts w:ascii="Arial" w:hAnsi="Arial" w:cs="Arial"/>
          <w:szCs w:val="22"/>
        </w:rPr>
        <w:t>Fitzroy (</w:t>
      </w:r>
      <w:r w:rsidR="005E0AFE" w:rsidRPr="00CB093C">
        <w:rPr>
          <w:rFonts w:ascii="Arial" w:hAnsi="Arial" w:cs="Arial"/>
          <w:szCs w:val="22"/>
        </w:rPr>
        <w:t xml:space="preserve">avg = </w:t>
      </w:r>
      <w:r w:rsidRPr="00CB093C">
        <w:rPr>
          <w:rFonts w:ascii="Arial" w:hAnsi="Arial" w:cs="Arial"/>
          <w:szCs w:val="22"/>
        </w:rPr>
        <w:t>24.6</w:t>
      </w:r>
      <w:r w:rsidR="005E0AFE" w:rsidRPr="00CB093C">
        <w:rPr>
          <w:rFonts w:ascii="Arial" w:hAnsi="Arial" w:cs="Arial"/>
          <w:color w:val="000000" w:themeColor="text1"/>
          <w:szCs w:val="22"/>
        </w:rPr>
        <w:t>°C</w:t>
      </w:r>
      <w:r w:rsidRPr="00CB093C">
        <w:rPr>
          <w:rFonts w:ascii="Arial" w:hAnsi="Arial" w:cs="Arial"/>
          <w:szCs w:val="22"/>
        </w:rPr>
        <w:t xml:space="preserve">, </w:t>
      </w:r>
      <w:r w:rsidR="005E0AFE" w:rsidRPr="00CB093C">
        <w:rPr>
          <w:rFonts w:ascii="Arial" w:hAnsi="Arial" w:cs="Arial"/>
          <w:szCs w:val="22"/>
        </w:rPr>
        <w:t xml:space="preserve">max = </w:t>
      </w:r>
      <w:r w:rsidRPr="00CB093C">
        <w:rPr>
          <w:rFonts w:ascii="Arial" w:hAnsi="Arial" w:cs="Arial"/>
          <w:szCs w:val="22"/>
        </w:rPr>
        <w:t>41.6</w:t>
      </w:r>
      <w:r w:rsidR="005E0AFE" w:rsidRPr="00CB093C">
        <w:rPr>
          <w:rFonts w:ascii="Arial" w:hAnsi="Arial" w:cs="Arial"/>
          <w:color w:val="000000" w:themeColor="text1"/>
          <w:szCs w:val="22"/>
        </w:rPr>
        <w:t>°C</w:t>
      </w:r>
      <w:r w:rsidRPr="00CB093C">
        <w:rPr>
          <w:rFonts w:ascii="Arial" w:hAnsi="Arial" w:cs="Arial"/>
          <w:szCs w:val="22"/>
        </w:rPr>
        <w:t>)*</w:t>
      </w:r>
    </w:p>
    <w:p w14:paraId="20454C53" w14:textId="13F420FD" w:rsidR="00BB1253" w:rsidRPr="00CB093C" w:rsidRDefault="00637325" w:rsidP="00BB1253">
      <w:pPr>
        <w:pStyle w:val="ListParagraph"/>
        <w:numPr>
          <w:ilvl w:val="0"/>
          <w:numId w:val="32"/>
        </w:numPr>
        <w:spacing w:before="0" w:after="0"/>
        <w:rPr>
          <w:rFonts w:ascii="Arial" w:hAnsi="Arial" w:cs="Arial"/>
          <w:szCs w:val="22"/>
        </w:rPr>
      </w:pPr>
      <w:r>
        <w:rPr>
          <w:rFonts w:ascii="Arial" w:hAnsi="Arial" w:cs="Arial"/>
          <w:szCs w:val="22"/>
        </w:rPr>
        <w:t>Mackay-Whitsunday</w:t>
      </w:r>
      <w:r w:rsidR="00BB1253" w:rsidRPr="00CB093C">
        <w:rPr>
          <w:rFonts w:ascii="Arial" w:hAnsi="Arial" w:cs="Arial"/>
          <w:szCs w:val="22"/>
        </w:rPr>
        <w:t xml:space="preserve"> (</w:t>
      </w:r>
      <w:r w:rsidR="005E0AFE" w:rsidRPr="00CB093C">
        <w:rPr>
          <w:rFonts w:ascii="Arial" w:hAnsi="Arial" w:cs="Arial"/>
          <w:szCs w:val="22"/>
        </w:rPr>
        <w:t xml:space="preserve">avg = </w:t>
      </w:r>
      <w:r w:rsidR="00BB1253" w:rsidRPr="00CB093C">
        <w:rPr>
          <w:rFonts w:ascii="Arial" w:hAnsi="Arial" w:cs="Arial"/>
          <w:szCs w:val="22"/>
        </w:rPr>
        <w:t>25.7</w:t>
      </w:r>
      <w:r w:rsidR="005E0AFE" w:rsidRPr="00CB093C">
        <w:rPr>
          <w:rFonts w:ascii="Arial" w:hAnsi="Arial" w:cs="Arial"/>
          <w:color w:val="000000" w:themeColor="text1"/>
          <w:szCs w:val="22"/>
        </w:rPr>
        <w:t>°C</w:t>
      </w:r>
      <w:r w:rsidR="00BB1253" w:rsidRPr="00CB093C">
        <w:rPr>
          <w:rFonts w:ascii="Arial" w:hAnsi="Arial" w:cs="Arial"/>
          <w:szCs w:val="22"/>
        </w:rPr>
        <w:t xml:space="preserve">, </w:t>
      </w:r>
      <w:r w:rsidR="005E0AFE" w:rsidRPr="00CB093C">
        <w:rPr>
          <w:rFonts w:ascii="Arial" w:hAnsi="Arial" w:cs="Arial"/>
          <w:szCs w:val="22"/>
        </w:rPr>
        <w:t xml:space="preserve">max = </w:t>
      </w:r>
      <w:r w:rsidR="00BB1253" w:rsidRPr="00CB093C">
        <w:rPr>
          <w:rFonts w:ascii="Arial" w:hAnsi="Arial" w:cs="Arial"/>
          <w:szCs w:val="22"/>
        </w:rPr>
        <w:t>40.1</w:t>
      </w:r>
      <w:r w:rsidR="005E0AFE" w:rsidRPr="00CB093C">
        <w:rPr>
          <w:rFonts w:ascii="Arial" w:hAnsi="Arial" w:cs="Arial"/>
          <w:color w:val="000000" w:themeColor="text1"/>
          <w:szCs w:val="22"/>
        </w:rPr>
        <w:t>°C</w:t>
      </w:r>
      <w:r w:rsidR="00BB1253" w:rsidRPr="00CB093C">
        <w:rPr>
          <w:rFonts w:ascii="Arial" w:hAnsi="Arial" w:cs="Arial"/>
          <w:szCs w:val="22"/>
        </w:rPr>
        <w:t>)</w:t>
      </w:r>
    </w:p>
    <w:p w14:paraId="0DD3488C" w14:textId="31E3F549" w:rsidR="00BB1253" w:rsidRPr="00CB093C" w:rsidRDefault="00BB1253" w:rsidP="00BB1253">
      <w:pPr>
        <w:pStyle w:val="ListParagraph"/>
        <w:numPr>
          <w:ilvl w:val="0"/>
          <w:numId w:val="32"/>
        </w:numPr>
        <w:spacing w:before="0" w:after="0"/>
        <w:rPr>
          <w:rFonts w:ascii="Arial" w:hAnsi="Arial" w:cs="Arial"/>
          <w:szCs w:val="22"/>
        </w:rPr>
      </w:pPr>
      <w:r w:rsidRPr="00CB093C">
        <w:rPr>
          <w:rFonts w:ascii="Arial" w:hAnsi="Arial" w:cs="Arial"/>
          <w:szCs w:val="22"/>
        </w:rPr>
        <w:t>Burdekin (</w:t>
      </w:r>
      <w:r w:rsidR="005E0AFE" w:rsidRPr="00CB093C">
        <w:rPr>
          <w:rFonts w:ascii="Arial" w:hAnsi="Arial" w:cs="Arial"/>
          <w:szCs w:val="22"/>
        </w:rPr>
        <w:t xml:space="preserve">avg = </w:t>
      </w:r>
      <w:r w:rsidRPr="00CB093C">
        <w:rPr>
          <w:rFonts w:ascii="Arial" w:hAnsi="Arial" w:cs="Arial"/>
          <w:szCs w:val="22"/>
        </w:rPr>
        <w:t>26.6</w:t>
      </w:r>
      <w:r w:rsidR="005E0AFE" w:rsidRPr="00CB093C">
        <w:rPr>
          <w:rFonts w:ascii="Arial" w:hAnsi="Arial" w:cs="Arial"/>
          <w:color w:val="000000" w:themeColor="text1"/>
          <w:szCs w:val="22"/>
        </w:rPr>
        <w:t>°C</w:t>
      </w:r>
      <w:r w:rsidRPr="00CB093C">
        <w:rPr>
          <w:rFonts w:ascii="Arial" w:hAnsi="Arial" w:cs="Arial"/>
          <w:szCs w:val="22"/>
        </w:rPr>
        <w:t xml:space="preserve">, </w:t>
      </w:r>
      <w:r w:rsidR="005E0AFE" w:rsidRPr="00CB093C">
        <w:rPr>
          <w:rFonts w:ascii="Arial" w:hAnsi="Arial" w:cs="Arial"/>
          <w:szCs w:val="22"/>
        </w:rPr>
        <w:t xml:space="preserve">max = </w:t>
      </w:r>
      <w:r w:rsidRPr="00CB093C">
        <w:rPr>
          <w:rFonts w:ascii="Arial" w:hAnsi="Arial" w:cs="Arial"/>
          <w:szCs w:val="22"/>
        </w:rPr>
        <w:t>38.8</w:t>
      </w:r>
      <w:r w:rsidR="005E0AFE" w:rsidRPr="00CB093C">
        <w:rPr>
          <w:rFonts w:ascii="Arial" w:hAnsi="Arial" w:cs="Arial"/>
          <w:color w:val="000000" w:themeColor="text1"/>
          <w:szCs w:val="22"/>
        </w:rPr>
        <w:t>°C</w:t>
      </w:r>
      <w:r w:rsidRPr="00CB093C">
        <w:rPr>
          <w:rFonts w:ascii="Arial" w:hAnsi="Arial" w:cs="Arial"/>
          <w:szCs w:val="22"/>
        </w:rPr>
        <w:t xml:space="preserve">). </w:t>
      </w:r>
    </w:p>
    <w:p w14:paraId="5EC7234E" w14:textId="59FCEDA5" w:rsidR="008F2355" w:rsidRPr="00CB093C" w:rsidRDefault="00BB1253" w:rsidP="008F2355">
      <w:pPr>
        <w:pStyle w:val="ListParagraph"/>
        <w:numPr>
          <w:ilvl w:val="0"/>
          <w:numId w:val="32"/>
        </w:numPr>
        <w:spacing w:before="0" w:after="0"/>
        <w:rPr>
          <w:rFonts w:ascii="Arial" w:hAnsi="Arial" w:cs="Arial"/>
          <w:szCs w:val="22"/>
        </w:rPr>
      </w:pPr>
      <w:r w:rsidRPr="00CB093C">
        <w:rPr>
          <w:rFonts w:ascii="Arial" w:hAnsi="Arial" w:cs="Arial"/>
          <w:szCs w:val="22"/>
        </w:rPr>
        <w:t xml:space="preserve">northern </w:t>
      </w:r>
      <w:r w:rsidR="008F2355" w:rsidRPr="00CB093C">
        <w:rPr>
          <w:rFonts w:ascii="Arial" w:hAnsi="Arial" w:cs="Arial"/>
          <w:szCs w:val="22"/>
        </w:rPr>
        <w:t>Wet Tropics (</w:t>
      </w:r>
      <w:r w:rsidR="005E0AFE" w:rsidRPr="00CB093C">
        <w:rPr>
          <w:rFonts w:ascii="Arial" w:hAnsi="Arial" w:cs="Arial"/>
          <w:szCs w:val="22"/>
        </w:rPr>
        <w:t xml:space="preserve">avg = </w:t>
      </w:r>
      <w:r w:rsidR="008F2355" w:rsidRPr="00CB093C">
        <w:rPr>
          <w:rFonts w:ascii="Arial" w:hAnsi="Arial" w:cs="Arial"/>
          <w:szCs w:val="22"/>
        </w:rPr>
        <w:t xml:space="preserve">27.0°C, </w:t>
      </w:r>
      <w:r w:rsidR="005E0AFE" w:rsidRPr="00CB093C">
        <w:rPr>
          <w:rFonts w:ascii="Arial" w:hAnsi="Arial" w:cs="Arial"/>
          <w:szCs w:val="22"/>
        </w:rPr>
        <w:t xml:space="preserve">max = </w:t>
      </w:r>
      <w:r w:rsidR="008F2355" w:rsidRPr="00CB093C">
        <w:rPr>
          <w:rFonts w:ascii="Arial" w:hAnsi="Arial" w:cs="Arial"/>
          <w:szCs w:val="22"/>
        </w:rPr>
        <w:t>40.5°C)</w:t>
      </w:r>
    </w:p>
    <w:p w14:paraId="18A2637F" w14:textId="5735BB9D" w:rsidR="008F2355" w:rsidRPr="00CB093C" w:rsidRDefault="00BB1253" w:rsidP="008F2355">
      <w:pPr>
        <w:pStyle w:val="ListParagraph"/>
        <w:numPr>
          <w:ilvl w:val="0"/>
          <w:numId w:val="32"/>
        </w:numPr>
        <w:spacing w:before="0" w:after="0"/>
        <w:rPr>
          <w:rFonts w:ascii="Arial" w:hAnsi="Arial" w:cs="Arial"/>
          <w:szCs w:val="22"/>
        </w:rPr>
      </w:pPr>
      <w:r w:rsidRPr="00CB093C">
        <w:rPr>
          <w:rFonts w:ascii="Arial" w:hAnsi="Arial" w:cs="Arial"/>
          <w:szCs w:val="22"/>
        </w:rPr>
        <w:t xml:space="preserve">southern </w:t>
      </w:r>
      <w:r w:rsidR="008F2355" w:rsidRPr="00CB093C">
        <w:rPr>
          <w:rFonts w:ascii="Arial" w:hAnsi="Arial" w:cs="Arial"/>
          <w:szCs w:val="22"/>
        </w:rPr>
        <w:t>Wet Tropics (</w:t>
      </w:r>
      <w:r w:rsidR="005E0AFE" w:rsidRPr="00CB093C">
        <w:rPr>
          <w:rFonts w:ascii="Arial" w:hAnsi="Arial" w:cs="Arial"/>
          <w:szCs w:val="22"/>
        </w:rPr>
        <w:t xml:space="preserve">avg = </w:t>
      </w:r>
      <w:r w:rsidR="008F2355" w:rsidRPr="00CB093C">
        <w:rPr>
          <w:rFonts w:ascii="Arial" w:hAnsi="Arial" w:cs="Arial"/>
          <w:szCs w:val="22"/>
        </w:rPr>
        <w:t xml:space="preserve">26.8°C, </w:t>
      </w:r>
      <w:r w:rsidR="005E0AFE" w:rsidRPr="00CB093C">
        <w:rPr>
          <w:rFonts w:ascii="Arial" w:hAnsi="Arial" w:cs="Arial"/>
          <w:szCs w:val="22"/>
        </w:rPr>
        <w:t xml:space="preserve">max = </w:t>
      </w:r>
      <w:r w:rsidR="008F2355" w:rsidRPr="00CB093C">
        <w:rPr>
          <w:rFonts w:ascii="Arial" w:hAnsi="Arial" w:cs="Arial"/>
          <w:szCs w:val="22"/>
        </w:rPr>
        <w:t>41.2°C)</w:t>
      </w:r>
    </w:p>
    <w:p w14:paraId="4DC77DC3" w14:textId="65292D5D" w:rsidR="00BB7398" w:rsidRPr="00CB093C" w:rsidRDefault="000B0340" w:rsidP="00BB7398">
      <w:pPr>
        <w:rPr>
          <w:rFonts w:ascii="Arial" w:hAnsi="Arial" w:cs="Arial"/>
          <w:szCs w:val="22"/>
        </w:rPr>
      </w:pPr>
      <w:r w:rsidRPr="00CB093C">
        <w:rPr>
          <w:rFonts w:ascii="Arial" w:hAnsi="Arial" w:cs="Arial"/>
          <w:szCs w:val="22"/>
        </w:rPr>
        <w:t>Daily w</w:t>
      </w:r>
      <w:r w:rsidR="005725E4" w:rsidRPr="00CB093C">
        <w:rPr>
          <w:rFonts w:ascii="Arial" w:hAnsi="Arial" w:cs="Arial"/>
          <w:szCs w:val="22"/>
        </w:rPr>
        <w:t xml:space="preserve">ithin-canopy seawater temperatures </w:t>
      </w:r>
      <w:r w:rsidR="00BB7398" w:rsidRPr="00CB093C">
        <w:rPr>
          <w:rFonts w:ascii="Arial" w:hAnsi="Arial" w:cs="Arial"/>
          <w:szCs w:val="22"/>
        </w:rPr>
        <w:t xml:space="preserve">in the habitats in </w:t>
      </w:r>
      <w:r w:rsidR="003654C6">
        <w:rPr>
          <w:rFonts w:ascii="Arial" w:hAnsi="Arial" w:cs="Arial"/>
          <w:szCs w:val="22"/>
        </w:rPr>
        <w:t>2017–18</w:t>
      </w:r>
      <w:r w:rsidR="00BB7398" w:rsidRPr="00CB093C">
        <w:rPr>
          <w:rFonts w:ascii="Arial" w:hAnsi="Arial" w:cs="Arial"/>
          <w:szCs w:val="22"/>
        </w:rPr>
        <w:t xml:space="preserve"> from </w:t>
      </w:r>
      <w:r w:rsidR="00BC4C7B" w:rsidRPr="00CB093C">
        <w:rPr>
          <w:rFonts w:ascii="Arial" w:hAnsi="Arial" w:cs="Arial"/>
          <w:szCs w:val="22"/>
        </w:rPr>
        <w:t>largest</w:t>
      </w:r>
      <w:r w:rsidR="005E0AFE" w:rsidRPr="00CB093C">
        <w:rPr>
          <w:rFonts w:ascii="Arial" w:hAnsi="Arial" w:cs="Arial"/>
          <w:szCs w:val="22"/>
        </w:rPr>
        <w:t xml:space="preserve"> to smallest difference (* = greater than 0.5°</w:t>
      </w:r>
      <w:r w:rsidRPr="00CB093C">
        <w:rPr>
          <w:rFonts w:ascii="Arial" w:hAnsi="Arial" w:cs="Arial"/>
          <w:szCs w:val="22"/>
        </w:rPr>
        <w:t>C</w:t>
      </w:r>
      <w:r w:rsidR="005E0AFE" w:rsidRPr="00CB093C">
        <w:rPr>
          <w:rFonts w:ascii="Arial" w:hAnsi="Arial" w:cs="Arial"/>
          <w:szCs w:val="22"/>
        </w:rPr>
        <w:t>) relative to the long-term were</w:t>
      </w:r>
      <w:r w:rsidR="00BB7398" w:rsidRPr="00CB093C">
        <w:rPr>
          <w:rFonts w:ascii="Arial" w:hAnsi="Arial" w:cs="Arial"/>
          <w:szCs w:val="22"/>
        </w:rPr>
        <w:t>:</w:t>
      </w:r>
    </w:p>
    <w:p w14:paraId="79A92102" w14:textId="2167D1AF" w:rsidR="000B0340" w:rsidRPr="00CB093C" w:rsidRDefault="000B0340" w:rsidP="000B0340">
      <w:pPr>
        <w:pStyle w:val="ListParagraph"/>
        <w:numPr>
          <w:ilvl w:val="0"/>
          <w:numId w:val="33"/>
        </w:numPr>
        <w:rPr>
          <w:rFonts w:ascii="Arial" w:hAnsi="Arial" w:cs="Arial"/>
          <w:szCs w:val="22"/>
        </w:rPr>
      </w:pPr>
      <w:r w:rsidRPr="00CB093C">
        <w:rPr>
          <w:rFonts w:ascii="Arial" w:hAnsi="Arial" w:cs="Arial"/>
          <w:szCs w:val="22"/>
        </w:rPr>
        <w:t>estuarine sites (avg = 24.3°C, max = 40.0°C)*</w:t>
      </w:r>
    </w:p>
    <w:p w14:paraId="76FD00F6" w14:textId="6512E854" w:rsidR="005725E4" w:rsidRPr="00CB093C" w:rsidRDefault="005725E4" w:rsidP="005725E4">
      <w:pPr>
        <w:pStyle w:val="ListParagraph"/>
        <w:numPr>
          <w:ilvl w:val="0"/>
          <w:numId w:val="33"/>
        </w:numPr>
        <w:rPr>
          <w:rFonts w:ascii="Arial" w:hAnsi="Arial" w:cs="Arial"/>
          <w:szCs w:val="22"/>
        </w:rPr>
      </w:pPr>
      <w:r w:rsidRPr="00CB093C">
        <w:rPr>
          <w:rFonts w:ascii="Arial" w:hAnsi="Arial" w:cs="Arial"/>
          <w:szCs w:val="22"/>
        </w:rPr>
        <w:t>reef intertidal habitat (</w:t>
      </w:r>
      <w:r w:rsidR="000B0340" w:rsidRPr="00CB093C">
        <w:rPr>
          <w:rFonts w:ascii="Arial" w:hAnsi="Arial" w:cs="Arial"/>
          <w:szCs w:val="22"/>
        </w:rPr>
        <w:t xml:space="preserve">avg = </w:t>
      </w:r>
      <w:r w:rsidRPr="00CB093C">
        <w:rPr>
          <w:rFonts w:ascii="Arial" w:hAnsi="Arial" w:cs="Arial"/>
          <w:szCs w:val="22"/>
        </w:rPr>
        <w:t>26.5</w:t>
      </w:r>
      <w:r w:rsidR="000B0340" w:rsidRPr="00CB093C">
        <w:rPr>
          <w:rFonts w:ascii="Arial" w:hAnsi="Arial" w:cs="Arial"/>
          <w:szCs w:val="22"/>
        </w:rPr>
        <w:t xml:space="preserve">°C, max = </w:t>
      </w:r>
      <w:r w:rsidRPr="00CB093C">
        <w:rPr>
          <w:rFonts w:ascii="Arial" w:hAnsi="Arial" w:cs="Arial"/>
          <w:szCs w:val="22"/>
        </w:rPr>
        <w:t>41.6</w:t>
      </w:r>
      <w:r w:rsidR="000B0340" w:rsidRPr="00CB093C">
        <w:rPr>
          <w:rFonts w:ascii="Arial" w:hAnsi="Arial" w:cs="Arial"/>
          <w:szCs w:val="22"/>
        </w:rPr>
        <w:t>°C</w:t>
      </w:r>
      <w:r w:rsidRPr="00CB093C">
        <w:rPr>
          <w:rFonts w:ascii="Arial" w:hAnsi="Arial" w:cs="Arial"/>
          <w:szCs w:val="22"/>
        </w:rPr>
        <w:t>)</w:t>
      </w:r>
    </w:p>
    <w:p w14:paraId="5041397B" w14:textId="3B6677E9" w:rsidR="005725E4" w:rsidRPr="00CB093C" w:rsidRDefault="005725E4" w:rsidP="005725E4">
      <w:pPr>
        <w:pStyle w:val="ListParagraph"/>
        <w:numPr>
          <w:ilvl w:val="0"/>
          <w:numId w:val="33"/>
        </w:numPr>
        <w:rPr>
          <w:rFonts w:ascii="Arial" w:hAnsi="Arial" w:cs="Arial"/>
          <w:szCs w:val="22"/>
        </w:rPr>
      </w:pPr>
      <w:r w:rsidRPr="00CB093C">
        <w:rPr>
          <w:rFonts w:ascii="Arial" w:hAnsi="Arial" w:cs="Arial"/>
          <w:szCs w:val="22"/>
        </w:rPr>
        <w:t>reef subtidal sites (</w:t>
      </w:r>
      <w:r w:rsidR="000B0340" w:rsidRPr="00CB093C">
        <w:rPr>
          <w:rFonts w:ascii="Arial" w:hAnsi="Arial" w:cs="Arial"/>
          <w:szCs w:val="22"/>
        </w:rPr>
        <w:t xml:space="preserve">avg = </w:t>
      </w:r>
      <w:r w:rsidRPr="00CB093C">
        <w:rPr>
          <w:rFonts w:ascii="Arial" w:hAnsi="Arial" w:cs="Arial"/>
          <w:szCs w:val="22"/>
        </w:rPr>
        <w:t>26.4</w:t>
      </w:r>
      <w:r w:rsidR="000B0340" w:rsidRPr="00CB093C">
        <w:rPr>
          <w:rFonts w:ascii="Arial" w:hAnsi="Arial" w:cs="Arial"/>
          <w:szCs w:val="22"/>
        </w:rPr>
        <w:t xml:space="preserve">°C, max = </w:t>
      </w:r>
      <w:r w:rsidRPr="00CB093C">
        <w:rPr>
          <w:rFonts w:ascii="Arial" w:hAnsi="Arial" w:cs="Arial"/>
          <w:szCs w:val="22"/>
        </w:rPr>
        <w:t>31.8</w:t>
      </w:r>
      <w:r w:rsidR="000B0340" w:rsidRPr="00CB093C">
        <w:rPr>
          <w:rFonts w:ascii="Arial" w:hAnsi="Arial" w:cs="Arial"/>
          <w:szCs w:val="22"/>
        </w:rPr>
        <w:t>°C</w:t>
      </w:r>
      <w:r w:rsidRPr="00CB093C">
        <w:rPr>
          <w:rFonts w:ascii="Arial" w:hAnsi="Arial" w:cs="Arial"/>
          <w:szCs w:val="22"/>
        </w:rPr>
        <w:t>)</w:t>
      </w:r>
    </w:p>
    <w:p w14:paraId="793074A2" w14:textId="1E479687" w:rsidR="00BB7398" w:rsidRPr="00CB093C" w:rsidRDefault="00BB7398" w:rsidP="00BB7398">
      <w:pPr>
        <w:pStyle w:val="ListParagraph"/>
        <w:numPr>
          <w:ilvl w:val="0"/>
          <w:numId w:val="33"/>
        </w:numPr>
        <w:rPr>
          <w:rFonts w:ascii="Arial" w:hAnsi="Arial" w:cs="Arial"/>
          <w:szCs w:val="22"/>
        </w:rPr>
      </w:pPr>
      <w:r w:rsidRPr="00CB093C">
        <w:rPr>
          <w:rFonts w:ascii="Arial" w:hAnsi="Arial" w:cs="Arial"/>
          <w:szCs w:val="22"/>
        </w:rPr>
        <w:lastRenderedPageBreak/>
        <w:t>coastal intertidal sites (</w:t>
      </w:r>
      <w:r w:rsidR="000B0340" w:rsidRPr="00CB093C">
        <w:rPr>
          <w:rFonts w:ascii="Arial" w:hAnsi="Arial" w:cs="Arial"/>
          <w:szCs w:val="22"/>
        </w:rPr>
        <w:t xml:space="preserve">avg = </w:t>
      </w:r>
      <w:r w:rsidR="005725E4" w:rsidRPr="00CB093C">
        <w:rPr>
          <w:rFonts w:ascii="Arial" w:hAnsi="Arial" w:cs="Arial"/>
          <w:szCs w:val="22"/>
        </w:rPr>
        <w:t>26.0</w:t>
      </w:r>
      <w:r w:rsidR="000B0340" w:rsidRPr="00CB093C">
        <w:rPr>
          <w:rFonts w:ascii="Arial" w:hAnsi="Arial" w:cs="Arial"/>
          <w:szCs w:val="22"/>
        </w:rPr>
        <w:t xml:space="preserve">°C, max = </w:t>
      </w:r>
      <w:r w:rsidR="005725E4" w:rsidRPr="00CB093C">
        <w:rPr>
          <w:rFonts w:ascii="Arial" w:hAnsi="Arial" w:cs="Arial"/>
          <w:szCs w:val="22"/>
        </w:rPr>
        <w:t>41.3</w:t>
      </w:r>
      <w:r w:rsidR="000B0340" w:rsidRPr="00CB093C">
        <w:rPr>
          <w:rFonts w:ascii="Arial" w:hAnsi="Arial" w:cs="Arial"/>
          <w:szCs w:val="22"/>
        </w:rPr>
        <w:t>°C</w:t>
      </w:r>
      <w:r w:rsidRPr="00CB093C">
        <w:rPr>
          <w:rFonts w:ascii="Arial" w:hAnsi="Arial" w:cs="Arial"/>
          <w:szCs w:val="22"/>
        </w:rPr>
        <w:t>)</w:t>
      </w:r>
    </w:p>
    <w:p w14:paraId="206DB4B0" w14:textId="529E0010" w:rsidR="00DE2AFA" w:rsidRPr="00CB093C" w:rsidRDefault="00941F16" w:rsidP="002B1351">
      <w:pPr>
        <w:rPr>
          <w:rFonts w:ascii="Arial" w:hAnsi="Arial" w:cs="Arial"/>
          <w:szCs w:val="22"/>
        </w:rPr>
      </w:pPr>
      <w:r w:rsidRPr="00CB093C">
        <w:rPr>
          <w:rFonts w:ascii="Arial" w:hAnsi="Arial" w:cs="Arial"/>
          <w:color w:val="000000" w:themeColor="text1"/>
          <w:szCs w:val="22"/>
        </w:rPr>
        <w:t xml:space="preserve">The hottest seawater temperature recorded </w:t>
      </w:r>
      <w:r w:rsidR="00584AF3" w:rsidRPr="00CB093C">
        <w:rPr>
          <w:rFonts w:ascii="Arial" w:hAnsi="Arial" w:cs="Arial"/>
          <w:color w:val="000000" w:themeColor="text1"/>
          <w:szCs w:val="22"/>
        </w:rPr>
        <w:t xml:space="preserve">at inshore seagrass sites </w:t>
      </w:r>
      <w:r w:rsidRPr="00CB093C">
        <w:rPr>
          <w:rFonts w:ascii="Arial" w:hAnsi="Arial" w:cs="Arial"/>
          <w:color w:val="000000" w:themeColor="text1"/>
          <w:szCs w:val="22"/>
        </w:rPr>
        <w:t xml:space="preserve">along the </w:t>
      </w:r>
      <w:r w:rsidR="00F206BF" w:rsidRPr="00CB093C">
        <w:rPr>
          <w:rFonts w:ascii="Arial" w:hAnsi="Arial" w:cs="Arial"/>
          <w:color w:val="000000" w:themeColor="text1"/>
          <w:szCs w:val="22"/>
        </w:rPr>
        <w:t>Reef</w:t>
      </w:r>
      <w:r w:rsidRPr="00CB093C">
        <w:rPr>
          <w:rFonts w:ascii="Arial" w:hAnsi="Arial" w:cs="Arial"/>
          <w:color w:val="000000" w:themeColor="text1"/>
          <w:szCs w:val="22"/>
        </w:rPr>
        <w:t xml:space="preserve"> during </w:t>
      </w:r>
      <w:r w:rsidR="003654C6">
        <w:rPr>
          <w:rFonts w:ascii="Arial" w:hAnsi="Arial" w:cs="Arial"/>
          <w:color w:val="000000" w:themeColor="text1"/>
          <w:szCs w:val="22"/>
        </w:rPr>
        <w:t>2017–18</w:t>
      </w:r>
      <w:r w:rsidRPr="00CB093C">
        <w:rPr>
          <w:rFonts w:ascii="Arial" w:hAnsi="Arial" w:cs="Arial"/>
          <w:color w:val="000000" w:themeColor="text1"/>
          <w:szCs w:val="22"/>
        </w:rPr>
        <w:t xml:space="preserve"> was 4</w:t>
      </w:r>
      <w:r w:rsidR="006C6E49" w:rsidRPr="00CB093C">
        <w:rPr>
          <w:rFonts w:ascii="Arial" w:hAnsi="Arial" w:cs="Arial"/>
          <w:color w:val="000000" w:themeColor="text1"/>
          <w:szCs w:val="22"/>
        </w:rPr>
        <w:t>1.</w:t>
      </w:r>
      <w:r w:rsidR="00AB523E" w:rsidRPr="00CB093C">
        <w:rPr>
          <w:rFonts w:ascii="Arial" w:hAnsi="Arial" w:cs="Arial"/>
          <w:color w:val="000000" w:themeColor="text1"/>
          <w:szCs w:val="22"/>
        </w:rPr>
        <w:t>6</w:t>
      </w:r>
      <w:r w:rsidRPr="00CB093C">
        <w:rPr>
          <w:rFonts w:ascii="Arial" w:hAnsi="Arial" w:cs="Arial"/>
          <w:color w:val="000000" w:themeColor="text1"/>
          <w:szCs w:val="22"/>
        </w:rPr>
        <w:t>°C</w:t>
      </w:r>
      <w:r w:rsidR="00406B82" w:rsidRPr="00CB093C">
        <w:rPr>
          <w:rFonts w:ascii="Arial" w:hAnsi="Arial" w:cs="Arial"/>
          <w:color w:val="000000" w:themeColor="text1"/>
          <w:szCs w:val="22"/>
        </w:rPr>
        <w:t xml:space="preserve"> in the </w:t>
      </w:r>
      <w:r w:rsidR="00681A25" w:rsidRPr="00CB093C">
        <w:rPr>
          <w:rFonts w:ascii="Arial" w:hAnsi="Arial" w:cs="Arial"/>
          <w:color w:val="000000" w:themeColor="text1"/>
          <w:szCs w:val="22"/>
        </w:rPr>
        <w:t>Fitzroy region</w:t>
      </w:r>
      <w:r w:rsidR="00C7209E" w:rsidRPr="00CB093C">
        <w:rPr>
          <w:rFonts w:ascii="Arial" w:hAnsi="Arial" w:cs="Arial"/>
          <w:color w:val="000000" w:themeColor="text1"/>
          <w:szCs w:val="22"/>
        </w:rPr>
        <w:t>, and all regions except the Burdekin and Burnett Mary, had at least one day above 40°C</w:t>
      </w:r>
      <w:r w:rsidR="008773FD" w:rsidRPr="00CB093C">
        <w:rPr>
          <w:rFonts w:ascii="Arial" w:hAnsi="Arial" w:cs="Arial"/>
          <w:color w:val="000000" w:themeColor="text1"/>
          <w:szCs w:val="22"/>
        </w:rPr>
        <w:t xml:space="preserve"> (</w:t>
      </w:r>
      <w:r w:rsidR="008773FD" w:rsidRPr="00CB093C">
        <w:rPr>
          <w:rFonts w:ascii="Arial" w:hAnsi="Arial" w:cs="Arial"/>
          <w:color w:val="000000" w:themeColor="text1"/>
          <w:szCs w:val="22"/>
        </w:rPr>
        <w:fldChar w:fldCharType="begin"/>
      </w:r>
      <w:r w:rsidR="008773FD" w:rsidRPr="00CB093C">
        <w:rPr>
          <w:rFonts w:ascii="Arial" w:hAnsi="Arial" w:cs="Arial"/>
          <w:color w:val="000000" w:themeColor="text1"/>
          <w:szCs w:val="22"/>
        </w:rPr>
        <w:instrText xml:space="preserve"> REF _Ref442454861 \h  \* MERGEFORMAT </w:instrText>
      </w:r>
      <w:r w:rsidR="008773FD" w:rsidRPr="00CB093C">
        <w:rPr>
          <w:rFonts w:ascii="Arial" w:hAnsi="Arial" w:cs="Arial"/>
          <w:color w:val="000000" w:themeColor="text1"/>
          <w:szCs w:val="22"/>
        </w:rPr>
      </w:r>
      <w:r w:rsidR="008773FD"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11</w:t>
      </w:r>
      <w:r w:rsidR="008773FD" w:rsidRPr="00CB093C">
        <w:rPr>
          <w:rFonts w:ascii="Arial" w:hAnsi="Arial" w:cs="Arial"/>
          <w:color w:val="000000" w:themeColor="text1"/>
          <w:szCs w:val="22"/>
        </w:rPr>
        <w:fldChar w:fldCharType="end"/>
      </w:r>
      <w:r w:rsidR="00C7209E" w:rsidRPr="00CB093C">
        <w:rPr>
          <w:rFonts w:ascii="Arial" w:hAnsi="Arial" w:cs="Arial"/>
          <w:color w:val="000000" w:themeColor="text1"/>
          <w:szCs w:val="22"/>
        </w:rPr>
        <w:t>)</w:t>
      </w:r>
      <w:r w:rsidRPr="00CB093C">
        <w:rPr>
          <w:rFonts w:ascii="Arial" w:hAnsi="Arial" w:cs="Arial"/>
          <w:color w:val="000000" w:themeColor="text1"/>
          <w:szCs w:val="22"/>
        </w:rPr>
        <w:t>.</w:t>
      </w:r>
      <w:r w:rsidR="009E780C" w:rsidRPr="00CB093C">
        <w:rPr>
          <w:rFonts w:ascii="Arial" w:hAnsi="Arial" w:cs="Arial"/>
          <w:color w:val="000000" w:themeColor="text1"/>
          <w:szCs w:val="22"/>
        </w:rPr>
        <w:t xml:space="preserve"> </w:t>
      </w:r>
      <w:r w:rsidR="002B1351" w:rsidRPr="00CB093C">
        <w:rPr>
          <w:rFonts w:ascii="Arial" w:hAnsi="Arial" w:cs="Arial"/>
          <w:color w:val="000000" w:themeColor="text1"/>
          <w:szCs w:val="22"/>
        </w:rPr>
        <w:t>E</w:t>
      </w:r>
      <w:r w:rsidR="00DE2AFA" w:rsidRPr="00CB093C">
        <w:rPr>
          <w:rFonts w:ascii="Arial" w:hAnsi="Arial" w:cs="Arial"/>
          <w:color w:val="000000" w:themeColor="text1"/>
          <w:szCs w:val="22"/>
        </w:rPr>
        <w:t>xtreme temperature days (&gt;40°C) can cause photoinhibition</w:t>
      </w:r>
      <w:r w:rsidR="00686B59" w:rsidRPr="00CB093C">
        <w:rPr>
          <w:rFonts w:ascii="Arial" w:hAnsi="Arial" w:cs="Arial"/>
          <w:color w:val="000000" w:themeColor="text1"/>
          <w:szCs w:val="22"/>
        </w:rPr>
        <w:t xml:space="preserve"> </w:t>
      </w:r>
      <w:r w:rsidR="00C7209E" w:rsidRPr="00CB093C">
        <w:rPr>
          <w:rFonts w:ascii="Arial" w:hAnsi="Arial" w:cs="Arial"/>
          <w:color w:val="000000" w:themeColor="text1"/>
          <w:szCs w:val="22"/>
        </w:rPr>
        <w:t xml:space="preserve">but when occurring at such low frequency, they </w:t>
      </w:r>
      <w:r w:rsidR="00686B59" w:rsidRPr="00CB093C">
        <w:rPr>
          <w:rFonts w:ascii="Arial" w:hAnsi="Arial" w:cs="Arial"/>
          <w:color w:val="000000" w:themeColor="text1"/>
          <w:szCs w:val="22"/>
        </w:rPr>
        <w:t>were</w:t>
      </w:r>
      <w:r w:rsidRPr="00CB093C">
        <w:rPr>
          <w:rFonts w:ascii="Arial" w:hAnsi="Arial" w:cs="Arial"/>
          <w:color w:val="000000" w:themeColor="text1"/>
          <w:szCs w:val="22"/>
        </w:rPr>
        <w:t xml:space="preserve"> unlikely to cause</w:t>
      </w:r>
      <w:r w:rsidR="00DE2AFA" w:rsidRPr="00CB093C">
        <w:rPr>
          <w:rFonts w:ascii="Arial" w:hAnsi="Arial" w:cs="Arial"/>
          <w:color w:val="000000" w:themeColor="text1"/>
          <w:szCs w:val="22"/>
        </w:rPr>
        <w:t xml:space="preserve"> burning </w:t>
      </w:r>
      <w:r w:rsidRPr="00CB093C">
        <w:rPr>
          <w:rFonts w:ascii="Arial" w:hAnsi="Arial" w:cs="Arial"/>
          <w:color w:val="000000" w:themeColor="text1"/>
          <w:szCs w:val="22"/>
        </w:rPr>
        <w:t xml:space="preserve">or </w:t>
      </w:r>
      <w:r w:rsidR="00DE2AFA" w:rsidRPr="00CB093C">
        <w:rPr>
          <w:rFonts w:ascii="Arial" w:hAnsi="Arial" w:cs="Arial"/>
          <w:color w:val="000000" w:themeColor="text1"/>
          <w:szCs w:val="22"/>
        </w:rPr>
        <w:t>mortality</w:t>
      </w:r>
      <w:r w:rsidR="009E680A" w:rsidRPr="00CB093C">
        <w:rPr>
          <w:rFonts w:ascii="Arial" w:hAnsi="Arial" w:cs="Arial"/>
          <w:color w:val="000000" w:themeColor="text1"/>
          <w:szCs w:val="22"/>
        </w:rPr>
        <w:t>.</w:t>
      </w:r>
      <w:r w:rsidR="005617A7" w:rsidRPr="00CB093C">
        <w:rPr>
          <w:rFonts w:ascii="Arial" w:hAnsi="Arial" w:cs="Arial"/>
          <w:color w:val="000000" w:themeColor="text1"/>
          <w:szCs w:val="22"/>
        </w:rPr>
        <w:t xml:space="preserve"> </w:t>
      </w:r>
      <w:r w:rsidR="00EF269A" w:rsidRPr="00CB093C">
        <w:rPr>
          <w:rFonts w:ascii="Arial" w:hAnsi="Arial" w:cs="Arial"/>
          <w:color w:val="000000" w:themeColor="text1"/>
          <w:szCs w:val="22"/>
        </w:rPr>
        <w:t xml:space="preserve">Subtidal temperatures remained below 35°C in </w:t>
      </w:r>
      <w:r w:rsidR="003654C6">
        <w:rPr>
          <w:rFonts w:ascii="Arial" w:hAnsi="Arial" w:cs="Arial"/>
          <w:color w:val="000000" w:themeColor="text1"/>
          <w:szCs w:val="22"/>
        </w:rPr>
        <w:t>2017–18</w:t>
      </w:r>
      <w:r w:rsidR="00EF269A" w:rsidRPr="00CB093C">
        <w:rPr>
          <w:rFonts w:ascii="Arial" w:hAnsi="Arial" w:cs="Arial"/>
          <w:color w:val="000000" w:themeColor="text1"/>
          <w:szCs w:val="22"/>
        </w:rPr>
        <w:t xml:space="preserve"> (</w:t>
      </w:r>
      <w:r w:rsidR="00EF269A" w:rsidRPr="00CB093C">
        <w:rPr>
          <w:rFonts w:ascii="Arial" w:hAnsi="Arial" w:cs="Arial"/>
          <w:color w:val="000000" w:themeColor="text1"/>
          <w:szCs w:val="22"/>
        </w:rPr>
        <w:fldChar w:fldCharType="begin"/>
      </w:r>
      <w:r w:rsidR="00EF269A" w:rsidRPr="00CB093C">
        <w:rPr>
          <w:rFonts w:ascii="Arial" w:hAnsi="Arial" w:cs="Arial"/>
          <w:color w:val="000000" w:themeColor="text1"/>
          <w:szCs w:val="22"/>
        </w:rPr>
        <w:instrText xml:space="preserve"> REF _Ref534195340 \h </w:instrText>
      </w:r>
      <w:r w:rsidR="00CB093C" w:rsidRPr="00CB093C">
        <w:rPr>
          <w:rFonts w:ascii="Arial" w:hAnsi="Arial" w:cs="Arial"/>
          <w:color w:val="000000" w:themeColor="text1"/>
          <w:szCs w:val="22"/>
        </w:rPr>
        <w:instrText xml:space="preserve"> \* MERGEFORMAT </w:instrText>
      </w:r>
      <w:r w:rsidR="00EF269A" w:rsidRPr="00CB093C">
        <w:rPr>
          <w:rFonts w:ascii="Arial" w:hAnsi="Arial" w:cs="Arial"/>
          <w:color w:val="000000" w:themeColor="text1"/>
          <w:szCs w:val="22"/>
        </w:rPr>
      </w:r>
      <w:r w:rsidR="00EF269A"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12</w:t>
      </w:r>
      <w:r w:rsidR="00EF269A" w:rsidRPr="00CB093C">
        <w:rPr>
          <w:rFonts w:ascii="Arial" w:hAnsi="Arial" w:cs="Arial"/>
          <w:color w:val="000000" w:themeColor="text1"/>
          <w:szCs w:val="22"/>
        </w:rPr>
        <w:fldChar w:fldCharType="end"/>
      </w:r>
      <w:r w:rsidR="00EF269A" w:rsidRPr="00CB093C">
        <w:rPr>
          <w:rFonts w:ascii="Arial" w:hAnsi="Arial" w:cs="Arial"/>
          <w:color w:val="000000" w:themeColor="text1"/>
          <w:szCs w:val="22"/>
        </w:rPr>
        <w:t>), however were above the long-term average in the southern Wet Tropics and Burdekin regions.</w:t>
      </w:r>
    </w:p>
    <w:p w14:paraId="099DF2A9" w14:textId="77777777" w:rsidR="00811ABE" w:rsidRPr="00CB093C" w:rsidRDefault="00E6506A" w:rsidP="00811ABE">
      <w:pPr>
        <w:keepNext/>
        <w:widowControl w:val="0"/>
        <w:spacing w:before="0" w:after="0"/>
        <w:jc w:val="center"/>
        <w:rPr>
          <w:rFonts w:ascii="Arial" w:hAnsi="Arial" w:cs="Arial"/>
          <w:noProof/>
          <w:color w:val="000000"/>
          <w:szCs w:val="22"/>
          <w:lang w:eastAsia="en-AU"/>
        </w:rPr>
      </w:pPr>
      <w:r w:rsidRPr="00CB093C">
        <w:rPr>
          <w:rFonts w:ascii="Arial" w:hAnsi="Arial" w:cs="Arial"/>
          <w:noProof/>
          <w:color w:val="000000"/>
          <w:szCs w:val="22"/>
          <w:lang w:val="en-US"/>
        </w:rPr>
        <w:drawing>
          <wp:inline distT="0" distB="0" distL="0" distR="0" wp14:anchorId="60AADFE2" wp14:editId="00EAB618">
            <wp:extent cx="4368071" cy="5435363"/>
            <wp:effectExtent l="0" t="0" r="0" b="0"/>
            <wp:docPr id="9" name="Picture 9" descr="Panel of six graphs showing number of days when inshore intertidal sea temperature exceeded 35°C, 38°C, 40°C and 43°C in each monitoring period in each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emperature_exceedance_NRM_29Nov16.png"/>
                    <pic:cNvPicPr/>
                  </pic:nvPicPr>
                  <pic:blipFill>
                    <a:blip r:embed="rId56">
                      <a:extLst>
                        <a:ext uri="{28A0092B-C50C-407E-A947-70E740481C1C}">
                          <a14:useLocalDpi xmlns:a14="http://schemas.microsoft.com/office/drawing/2010/main" val="0"/>
                        </a:ext>
                      </a:extLst>
                    </a:blip>
                    <a:stretch>
                      <a:fillRect/>
                    </a:stretch>
                  </pic:blipFill>
                  <pic:spPr>
                    <a:xfrm>
                      <a:off x="0" y="0"/>
                      <a:ext cx="4368071" cy="5435363"/>
                    </a:xfrm>
                    <a:prstGeom prst="rect">
                      <a:avLst/>
                    </a:prstGeom>
                  </pic:spPr>
                </pic:pic>
              </a:graphicData>
            </a:graphic>
          </wp:inline>
        </w:drawing>
      </w:r>
    </w:p>
    <w:p w14:paraId="0B72F478" w14:textId="0B486061" w:rsidR="00811ABE" w:rsidRPr="00CB093C" w:rsidRDefault="00811ABE" w:rsidP="00811ABE">
      <w:pPr>
        <w:rPr>
          <w:rFonts w:ascii="Arial" w:hAnsi="Arial" w:cs="Arial"/>
          <w:vanish/>
          <w:szCs w:val="22"/>
          <w:specVanish/>
        </w:rPr>
      </w:pPr>
      <w:bookmarkStart w:id="162" w:name="_Ref442454861"/>
      <w:bookmarkStart w:id="163" w:name="_Ref3984386"/>
      <w:bookmarkStart w:id="164" w:name="_Toc6402776"/>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11</w:t>
      </w:r>
      <w:r w:rsidR="0073595B" w:rsidRPr="00CB093C">
        <w:rPr>
          <w:rFonts w:ascii="Arial" w:hAnsi="Arial" w:cs="Arial"/>
          <w:szCs w:val="22"/>
        </w:rPr>
        <w:fldChar w:fldCharType="end"/>
      </w:r>
      <w:bookmarkEnd w:id="162"/>
      <w:r w:rsidRPr="00CB093C">
        <w:rPr>
          <w:rFonts w:ascii="Arial" w:hAnsi="Arial" w:cs="Arial"/>
          <w:szCs w:val="22"/>
        </w:rPr>
        <w:t xml:space="preserve">. </w:t>
      </w:r>
      <w:r w:rsidRPr="00CB093C">
        <w:rPr>
          <w:rFonts w:ascii="Arial" w:hAnsi="Arial" w:cs="Arial"/>
          <w:i/>
          <w:szCs w:val="22"/>
        </w:rPr>
        <w:t>Number of days when inshore intertidal sea temperature exceeded 35°C, 38°C, 40°C and 43°C in each monitoring period in each NRM region.</w:t>
      </w:r>
      <w:bookmarkEnd w:id="163"/>
      <w:bookmarkEnd w:id="164"/>
      <w:r w:rsidRPr="00CB093C">
        <w:rPr>
          <w:rFonts w:ascii="Arial" w:hAnsi="Arial" w:cs="Arial"/>
          <w:i/>
          <w:szCs w:val="22"/>
        </w:rPr>
        <w:t xml:space="preserve"> </w:t>
      </w:r>
      <w:r w:rsidRPr="00CB093C">
        <w:rPr>
          <w:rFonts w:ascii="Arial" w:hAnsi="Arial" w:cs="Arial"/>
          <w:i/>
          <w:vanish/>
          <w:szCs w:val="22"/>
          <w:specVanish/>
        </w:rPr>
        <w:t xml:space="preserve"> </w:t>
      </w:r>
    </w:p>
    <w:p w14:paraId="5419667A" w14:textId="2A49447C" w:rsidR="00811ABE" w:rsidRPr="00CB093C" w:rsidRDefault="00811ABE" w:rsidP="00811ABE">
      <w:pPr>
        <w:rPr>
          <w:rFonts w:ascii="Arial" w:hAnsi="Arial" w:cs="Arial"/>
          <w:szCs w:val="22"/>
        </w:rPr>
      </w:pPr>
      <w:r w:rsidRPr="00CB093C">
        <w:rPr>
          <w:rFonts w:ascii="Arial" w:hAnsi="Arial" w:cs="Arial"/>
          <w:i/>
          <w:vanish/>
          <w:szCs w:val="22"/>
          <w:specVanish/>
        </w:rPr>
        <w:t xml:space="preserve"> </w:t>
      </w:r>
      <w:r w:rsidRPr="00CB093C">
        <w:rPr>
          <w:rFonts w:ascii="Arial" w:hAnsi="Arial" w:cs="Arial"/>
          <w:i/>
          <w:szCs w:val="22"/>
        </w:rPr>
        <w:t xml:space="preserve">Thresholds adapted from </w:t>
      </w:r>
      <w:r w:rsidR="00644A84" w:rsidRPr="00CB093C">
        <w:rPr>
          <w:rFonts w:ascii="Arial" w:hAnsi="Arial" w:cs="Arial"/>
          <w:i/>
          <w:szCs w:val="22"/>
        </w:rPr>
        <w:fldChar w:fldCharType="begin">
          <w:fldData xml:space="preserve">PEVuZE5vdGU+PENpdGU+PEF1dGhvcj5DYW1wYmVsbDwvQXV0aG9yPjxZZWFyPjIwMDY8L1llYXI+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PHBhZ2VzPjQ1NS00Njg8L3BhZ2VzPjx2b2x1bWU+MzMwPC92b2x1bWU+PGRhdGVzPjx5ZWFyPjIw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</w:fldData>
        </w:fldChar>
      </w:r>
      <w:r w:rsidR="00B63A1C" w:rsidRPr="00CB093C">
        <w:rPr>
          <w:rFonts w:ascii="Arial" w:hAnsi="Arial" w:cs="Arial"/>
          <w:i/>
          <w:szCs w:val="22"/>
        </w:rPr>
        <w:instrText xml:space="preserve"> ADDIN EN.CITE </w:instrText>
      </w:r>
      <w:r w:rsidR="00B63A1C" w:rsidRPr="00CB093C">
        <w:rPr>
          <w:rFonts w:ascii="Arial" w:hAnsi="Arial" w:cs="Arial"/>
          <w:i/>
          <w:szCs w:val="22"/>
        </w:rPr>
        <w:fldChar w:fldCharType="begin">
          <w:fldData xml:space="preserve">PEVuZE5vdGU+PENpdGU+PEF1dGhvcj5DYW1wYmVsbDwvQXV0aG9yPjxZZWFyPjIwMDY8L1llYXI+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PHBhZ2VzPjQ1NS00Njg8L3BhZ2VzPjx2b2x1bWU+MzMwPC92b2x1bWU+PGRhdGVzPjx5ZWFyPjIw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</w:fldData>
        </w:fldChar>
      </w:r>
      <w:r w:rsidR="00B63A1C" w:rsidRPr="00CB093C">
        <w:rPr>
          <w:rFonts w:ascii="Arial" w:hAnsi="Arial" w:cs="Arial"/>
          <w:i/>
          <w:szCs w:val="22"/>
        </w:rPr>
        <w:instrText xml:space="preserve"> ADDIN EN.CITE.DATA </w:instrText>
      </w:r>
      <w:r w:rsidR="00B63A1C" w:rsidRPr="00CB093C">
        <w:rPr>
          <w:rFonts w:ascii="Arial" w:hAnsi="Arial" w:cs="Arial"/>
          <w:i/>
          <w:szCs w:val="22"/>
        </w:rPr>
      </w:r>
      <w:r w:rsidR="00B63A1C" w:rsidRPr="00CB093C">
        <w:rPr>
          <w:rFonts w:ascii="Arial" w:hAnsi="Arial" w:cs="Arial"/>
          <w:i/>
          <w:szCs w:val="22"/>
        </w:rPr>
        <w:fldChar w:fldCharType="end"/>
      </w:r>
      <w:r w:rsidR="00644A84" w:rsidRPr="00CB093C">
        <w:rPr>
          <w:rFonts w:ascii="Arial" w:hAnsi="Arial" w:cs="Arial"/>
          <w:i/>
          <w:szCs w:val="22"/>
        </w:rPr>
      </w:r>
      <w:r w:rsidR="00644A84" w:rsidRPr="00CB093C">
        <w:rPr>
          <w:rFonts w:ascii="Arial" w:hAnsi="Arial" w:cs="Arial"/>
          <w:i/>
          <w:szCs w:val="22"/>
        </w:rPr>
        <w:fldChar w:fldCharType="separate"/>
      </w:r>
      <w:hyperlink w:anchor="_ENREF_19" w:tooltip="Campbell, 2006 #2896" w:history="1">
        <w:r w:rsidR="00513C39" w:rsidRPr="00CB093C">
          <w:rPr>
            <w:rFonts w:ascii="Arial" w:hAnsi="Arial" w:cs="Arial"/>
            <w:i/>
            <w:noProof/>
            <w:szCs w:val="22"/>
          </w:rPr>
          <w:t>Campbell et al. 2006</w:t>
        </w:r>
      </w:hyperlink>
      <w:r w:rsidR="00B63A1C" w:rsidRPr="00CB093C">
        <w:rPr>
          <w:rFonts w:ascii="Arial" w:hAnsi="Arial" w:cs="Arial"/>
          <w:i/>
          <w:noProof/>
          <w:szCs w:val="22"/>
        </w:rPr>
        <w:t xml:space="preserve">; </w:t>
      </w:r>
      <w:hyperlink w:anchor="_ENREF_36" w:tooltip="Collier, 2012 #9288" w:history="1">
        <w:r w:rsidR="00513C39" w:rsidRPr="00CB093C">
          <w:rPr>
            <w:rFonts w:ascii="Arial" w:hAnsi="Arial" w:cs="Arial"/>
            <w:i/>
            <w:noProof/>
            <w:szCs w:val="22"/>
          </w:rPr>
          <w:t>Collier et al. 2012a</w:t>
        </w:r>
      </w:hyperlink>
      <w:r w:rsidR="00644A84" w:rsidRPr="00CB093C">
        <w:rPr>
          <w:rFonts w:ascii="Arial" w:hAnsi="Arial" w:cs="Arial"/>
          <w:i/>
          <w:szCs w:val="22"/>
        </w:rPr>
        <w:fldChar w:fldCharType="end"/>
      </w:r>
      <w:r w:rsidRPr="00CB093C">
        <w:rPr>
          <w:rFonts w:ascii="Arial" w:hAnsi="Arial" w:cs="Arial"/>
          <w:i/>
          <w:szCs w:val="22"/>
        </w:rPr>
        <w:t>.</w:t>
      </w:r>
    </w:p>
    <w:p w14:paraId="5891A5F3" w14:textId="77777777" w:rsidR="00EF269A" w:rsidRPr="00CB093C" w:rsidRDefault="00EF269A" w:rsidP="00EF269A">
      <w:pPr>
        <w:keepNext/>
        <w:widowControl w:val="0"/>
        <w:spacing w:before="0"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328C9A91" wp14:editId="44FE2FA6">
            <wp:extent cx="4874543" cy="2072640"/>
            <wp:effectExtent l="0" t="0" r="2540" b="3810"/>
            <wp:docPr id="228" name="Picture 228" descr="Graph showing number of days when inshore subtidal sea temperature exceeded 35°C, 38°C, 40°C and 43°C in each monitoring period in each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Temperature_exceedance_subtidal_NRM_Nov16.png"/>
                    <pic:cNvPicPr/>
                  </pic:nvPicPr>
                  <pic:blipFill>
                    <a:blip r:embed="rId57"/>
                    <a:stretch>
                      <a:fillRect/>
                    </a:stretch>
                  </pic:blipFill>
                  <pic:spPr>
                    <a:xfrm>
                      <a:off x="0" y="0"/>
                      <a:ext cx="4879515" cy="2074754"/>
                    </a:xfrm>
                    <a:prstGeom prst="rect">
                      <a:avLst/>
                    </a:prstGeom>
                  </pic:spPr>
                </pic:pic>
              </a:graphicData>
            </a:graphic>
          </wp:inline>
        </w:drawing>
      </w:r>
    </w:p>
    <w:p w14:paraId="669848E5" w14:textId="61C7B38B" w:rsidR="00EF269A" w:rsidRPr="00CB093C" w:rsidRDefault="00EF269A" w:rsidP="00EF269A">
      <w:pPr>
        <w:rPr>
          <w:rFonts w:ascii="Arial" w:hAnsi="Arial" w:cs="Arial"/>
          <w:i/>
          <w:vanish/>
          <w:szCs w:val="22"/>
          <w:specVanish/>
        </w:rPr>
      </w:pPr>
      <w:bookmarkStart w:id="165" w:name="_Ref534195340"/>
      <w:bookmarkStart w:id="166" w:name="_Toc6402777"/>
      <w:r w:rsidRPr="00CB093C">
        <w:rPr>
          <w:rFonts w:ascii="Arial" w:hAnsi="Arial" w:cs="Arial"/>
          <w:szCs w:val="22"/>
        </w:rPr>
        <w:t xml:space="preserve">Figure </w:t>
      </w:r>
      <w:r w:rsidRPr="00CB093C">
        <w:rPr>
          <w:rFonts w:ascii="Arial" w:hAnsi="Arial" w:cs="Arial"/>
          <w:noProof/>
          <w:szCs w:val="22"/>
        </w:rPr>
        <w:fldChar w:fldCharType="begin"/>
      </w:r>
      <w:r w:rsidRPr="00CB093C">
        <w:rPr>
          <w:rFonts w:ascii="Arial" w:hAnsi="Arial" w:cs="Arial"/>
          <w:noProof/>
          <w:szCs w:val="22"/>
        </w:rPr>
        <w:instrText xml:space="preserve"> SEQ Figure \* ARABIC </w:instrText>
      </w:r>
      <w:r w:rsidRPr="00CB093C">
        <w:rPr>
          <w:rFonts w:ascii="Arial" w:hAnsi="Arial" w:cs="Arial"/>
          <w:noProof/>
          <w:szCs w:val="22"/>
        </w:rPr>
        <w:fldChar w:fldCharType="separate"/>
      </w:r>
      <w:r w:rsidR="005F00D4">
        <w:rPr>
          <w:rFonts w:ascii="Arial" w:hAnsi="Arial" w:cs="Arial"/>
          <w:noProof/>
          <w:szCs w:val="22"/>
        </w:rPr>
        <w:t>12</w:t>
      </w:r>
      <w:r w:rsidRPr="00CB093C">
        <w:rPr>
          <w:rFonts w:ascii="Arial" w:hAnsi="Arial" w:cs="Arial"/>
          <w:noProof/>
          <w:szCs w:val="22"/>
        </w:rPr>
        <w:fldChar w:fldCharType="end"/>
      </w:r>
      <w:bookmarkEnd w:id="165"/>
      <w:r w:rsidRPr="00CB093C">
        <w:rPr>
          <w:rFonts w:ascii="Arial" w:hAnsi="Arial" w:cs="Arial"/>
          <w:szCs w:val="22"/>
        </w:rPr>
        <w:t xml:space="preserve">. </w:t>
      </w:r>
      <w:r w:rsidRPr="00CB093C">
        <w:rPr>
          <w:rFonts w:ascii="Arial" w:hAnsi="Arial" w:cs="Arial"/>
          <w:i/>
          <w:szCs w:val="22"/>
        </w:rPr>
        <w:t>Number of days when inshore subtidal sea temperature exceeded 35°C, 38°C, 40°C and 43°C in each monitoring period in each NRM region.</w:t>
      </w:r>
      <w:bookmarkEnd w:id="166"/>
      <w:r w:rsidRPr="00CB093C">
        <w:rPr>
          <w:rFonts w:ascii="Arial" w:hAnsi="Arial" w:cs="Arial"/>
          <w:i/>
          <w:vanish/>
          <w:szCs w:val="22"/>
          <w:specVanish/>
        </w:rPr>
        <w:t xml:space="preserve"> </w:t>
      </w:r>
    </w:p>
    <w:p w14:paraId="7B316F6D" w14:textId="31BDEB1F" w:rsidR="00EF269A" w:rsidRPr="00CB093C" w:rsidRDefault="00EF269A" w:rsidP="00EF269A">
      <w:pPr>
        <w:rPr>
          <w:rFonts w:ascii="Arial" w:hAnsi="Arial" w:cs="Arial"/>
          <w:szCs w:val="22"/>
        </w:rPr>
      </w:pPr>
      <w:r w:rsidRPr="00CB093C">
        <w:rPr>
          <w:rFonts w:ascii="Arial" w:hAnsi="Arial" w:cs="Arial"/>
          <w:i/>
          <w:szCs w:val="22"/>
        </w:rPr>
        <w:t xml:space="preserve"> Thresholds adapted from </w:t>
      </w:r>
      <w:r w:rsidRPr="00CB093C">
        <w:rPr>
          <w:rFonts w:ascii="Arial" w:hAnsi="Arial" w:cs="Arial"/>
          <w:i/>
          <w:szCs w:val="22"/>
        </w:rPr>
        <w:fldChar w:fldCharType="begin">
          <w:fldData xml:space="preserve">PEVuZE5vdGU+PENpdGU+PEF1dGhvcj5DYW1wYmVsbDwvQXV0aG9yPjxZZWFyPjIwMDY8L1llYXI+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PHBhZ2VzPjQ1NS00Njg8L3BhZ2VzPjx2b2x1bWU+MzMwPC92b2x1bWU+PGRhdGVzPjx5ZWFyPjIw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</w:fldData>
        </w:fldChar>
      </w:r>
      <w:r w:rsidRPr="00CB093C">
        <w:rPr>
          <w:rFonts w:ascii="Arial" w:hAnsi="Arial" w:cs="Arial"/>
          <w:i/>
          <w:szCs w:val="22"/>
        </w:rPr>
        <w:instrText xml:space="preserve"> ADDIN EN.CITE </w:instrText>
      </w:r>
      <w:r w:rsidRPr="00CB093C">
        <w:rPr>
          <w:rFonts w:ascii="Arial" w:hAnsi="Arial" w:cs="Arial"/>
          <w:i/>
          <w:szCs w:val="22"/>
        </w:rPr>
        <w:fldChar w:fldCharType="begin">
          <w:fldData xml:space="preserve">PEVuZE5vdGU+PENpdGU+PEF1dGhvcj5DYW1wYmVsbDwvQXV0aG9yPjxZZWFyPjIwMDY8L1llYXI+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PHBhZ2VzPjQ1NS00Njg8L3BhZ2VzPjx2b2x1bWU+MzMwPC92b2x1bWU+PGRhdGVzPjx5ZWFyPjIw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</w:fldData>
        </w:fldChar>
      </w:r>
      <w:r w:rsidRPr="00CB093C">
        <w:rPr>
          <w:rFonts w:ascii="Arial" w:hAnsi="Arial" w:cs="Arial"/>
          <w:i/>
          <w:szCs w:val="22"/>
        </w:rPr>
        <w:instrText xml:space="preserve"> ADDIN EN.CITE.DATA </w:instrText>
      </w:r>
      <w:r w:rsidRPr="00CB093C">
        <w:rPr>
          <w:rFonts w:ascii="Arial" w:hAnsi="Arial" w:cs="Arial"/>
          <w:i/>
          <w:szCs w:val="22"/>
        </w:rPr>
      </w:r>
      <w:r w:rsidRPr="00CB093C">
        <w:rPr>
          <w:rFonts w:ascii="Arial" w:hAnsi="Arial" w:cs="Arial"/>
          <w:i/>
          <w:szCs w:val="22"/>
        </w:rPr>
        <w:fldChar w:fldCharType="end"/>
      </w:r>
      <w:r w:rsidRPr="00CB093C">
        <w:rPr>
          <w:rFonts w:ascii="Arial" w:hAnsi="Arial" w:cs="Arial"/>
          <w:i/>
          <w:szCs w:val="22"/>
        </w:rPr>
      </w:r>
      <w:r w:rsidRPr="00CB093C">
        <w:rPr>
          <w:rFonts w:ascii="Arial" w:hAnsi="Arial" w:cs="Arial"/>
          <w:i/>
          <w:szCs w:val="22"/>
        </w:rPr>
        <w:fldChar w:fldCharType="separate"/>
      </w:r>
      <w:hyperlink w:anchor="_ENREF_19" w:tooltip="Campbell, 2006 #2896" w:history="1">
        <w:r w:rsidR="00513C39" w:rsidRPr="00CB093C">
          <w:rPr>
            <w:rFonts w:ascii="Arial" w:hAnsi="Arial" w:cs="Arial"/>
            <w:i/>
            <w:noProof/>
            <w:szCs w:val="22"/>
          </w:rPr>
          <w:t>Campbell et al. 2006</w:t>
        </w:r>
      </w:hyperlink>
      <w:r w:rsidRPr="00CB093C">
        <w:rPr>
          <w:rFonts w:ascii="Arial" w:hAnsi="Arial" w:cs="Arial"/>
          <w:i/>
          <w:noProof/>
          <w:szCs w:val="22"/>
        </w:rPr>
        <w:t xml:space="preserve">; </w:t>
      </w:r>
      <w:hyperlink w:anchor="_ENREF_36" w:tooltip="Collier, 2012 #9288" w:history="1">
        <w:r w:rsidR="00513C39" w:rsidRPr="00CB093C">
          <w:rPr>
            <w:rFonts w:ascii="Arial" w:hAnsi="Arial" w:cs="Arial"/>
            <w:i/>
            <w:noProof/>
            <w:szCs w:val="22"/>
          </w:rPr>
          <w:t>Collier et al. 2012a</w:t>
        </w:r>
      </w:hyperlink>
      <w:r w:rsidRPr="00CB093C">
        <w:rPr>
          <w:rFonts w:ascii="Arial" w:hAnsi="Arial" w:cs="Arial"/>
          <w:i/>
          <w:szCs w:val="22"/>
        </w:rPr>
        <w:fldChar w:fldCharType="end"/>
      </w:r>
      <w:r w:rsidRPr="00CB093C">
        <w:rPr>
          <w:rFonts w:ascii="Arial" w:hAnsi="Arial" w:cs="Arial"/>
          <w:szCs w:val="22"/>
        </w:rPr>
        <w:t>.</w:t>
      </w:r>
    </w:p>
    <w:p w14:paraId="75B631AF" w14:textId="77777777" w:rsidR="00811ABE" w:rsidRPr="00CB093C" w:rsidRDefault="00FA2DA3" w:rsidP="00811ABE">
      <w:pPr>
        <w:keepNext/>
        <w:widowControl w:val="0"/>
        <w:spacing w:before="0" w:after="0"/>
        <w:jc w:val="center"/>
        <w:rPr>
          <w:rFonts w:ascii="Arial" w:hAnsi="Arial" w:cs="Arial"/>
          <w:noProof/>
          <w:color w:val="000000"/>
          <w:szCs w:val="22"/>
          <w:lang w:eastAsia="en-AU"/>
        </w:rPr>
      </w:pPr>
      <w:r w:rsidRPr="00CB093C">
        <w:rPr>
          <w:rFonts w:ascii="Arial" w:hAnsi="Arial" w:cs="Arial"/>
          <w:noProof/>
          <w:color w:val="000000"/>
          <w:szCs w:val="22"/>
          <w:lang w:val="en-US"/>
        </w:rPr>
        <w:drawing>
          <wp:inline distT="0" distB="0" distL="0" distR="0" wp14:anchorId="589DFB88" wp14:editId="1290B1AE">
            <wp:extent cx="5772572" cy="1706880"/>
            <wp:effectExtent l="0" t="0" r="0" b="7620"/>
            <wp:docPr id="232" name="Picture 232" descr="Graph of inshore intertidal sea temperature deviations from baseline for GBR seagrass habitats 2003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GBR_temperature_deviation_2016.png"/>
                    <pic:cNvPicPr/>
                  </pic:nvPicPr>
                  <pic:blipFill>
                    <a:blip r:embed="rId58"/>
                    <a:stretch>
                      <a:fillRect/>
                    </a:stretch>
                  </pic:blipFill>
                  <pic:spPr>
                    <a:xfrm>
                      <a:off x="0" y="0"/>
                      <a:ext cx="5782332" cy="1709766"/>
                    </a:xfrm>
                    <a:prstGeom prst="rect">
                      <a:avLst/>
                    </a:prstGeom>
                  </pic:spPr>
                </pic:pic>
              </a:graphicData>
            </a:graphic>
          </wp:inline>
        </w:drawing>
      </w:r>
    </w:p>
    <w:p w14:paraId="699D0F77" w14:textId="5E66B5B1" w:rsidR="00811ABE" w:rsidRPr="00CB093C" w:rsidRDefault="00811ABE" w:rsidP="00811ABE">
      <w:pPr>
        <w:rPr>
          <w:rFonts w:ascii="Arial" w:hAnsi="Arial" w:cs="Arial"/>
          <w:i/>
          <w:vanish/>
          <w:szCs w:val="22"/>
          <w:specVanish/>
        </w:rPr>
      </w:pPr>
      <w:bookmarkStart w:id="167" w:name="_Ref442455092"/>
      <w:bookmarkStart w:id="168" w:name="_Toc6402778"/>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13</w:t>
      </w:r>
      <w:r w:rsidR="00C506C7" w:rsidRPr="00CB093C">
        <w:rPr>
          <w:rFonts w:ascii="Arial" w:hAnsi="Arial" w:cs="Arial"/>
          <w:noProof/>
          <w:szCs w:val="22"/>
        </w:rPr>
        <w:fldChar w:fldCharType="end"/>
      </w:r>
      <w:bookmarkEnd w:id="167"/>
      <w:r w:rsidRPr="00CB093C">
        <w:rPr>
          <w:rFonts w:ascii="Arial" w:hAnsi="Arial" w:cs="Arial"/>
          <w:szCs w:val="22"/>
        </w:rPr>
        <w:t xml:space="preserve">. </w:t>
      </w:r>
      <w:r w:rsidRPr="00CB093C">
        <w:rPr>
          <w:rFonts w:ascii="Arial" w:hAnsi="Arial" w:cs="Arial"/>
          <w:i/>
          <w:szCs w:val="22"/>
        </w:rPr>
        <w:t xml:space="preserve">Inshore intertidal sea temperature deviations from baseline for </w:t>
      </w:r>
      <w:r w:rsidR="00F206BF" w:rsidRPr="00CB093C">
        <w:rPr>
          <w:rFonts w:ascii="Arial" w:hAnsi="Arial" w:cs="Arial"/>
          <w:i/>
          <w:szCs w:val="22"/>
        </w:rPr>
        <w:t>Reef</w:t>
      </w:r>
      <w:r w:rsidRPr="00CB093C">
        <w:rPr>
          <w:rFonts w:ascii="Arial" w:hAnsi="Arial" w:cs="Arial"/>
          <w:i/>
          <w:szCs w:val="22"/>
        </w:rPr>
        <w:t xml:space="preserve"> seagrass habitats </w:t>
      </w:r>
      <w:r w:rsidR="00FD625B" w:rsidRPr="00CB093C">
        <w:rPr>
          <w:rFonts w:ascii="Arial" w:hAnsi="Arial" w:cs="Arial"/>
          <w:i/>
          <w:szCs w:val="22"/>
        </w:rPr>
        <w:t xml:space="preserve">from </w:t>
      </w:r>
      <w:r w:rsidRPr="00CB093C">
        <w:rPr>
          <w:rFonts w:ascii="Arial" w:hAnsi="Arial" w:cs="Arial"/>
          <w:i/>
          <w:szCs w:val="22"/>
        </w:rPr>
        <w:t>2003 to 201</w:t>
      </w:r>
      <w:r w:rsidR="00700C5D" w:rsidRPr="00CB093C">
        <w:rPr>
          <w:rFonts w:ascii="Arial" w:hAnsi="Arial" w:cs="Arial"/>
          <w:i/>
          <w:szCs w:val="22"/>
        </w:rPr>
        <w:t>8</w:t>
      </w:r>
      <w:r w:rsidRPr="00CB093C">
        <w:rPr>
          <w:rFonts w:ascii="Arial" w:hAnsi="Arial" w:cs="Arial"/>
          <w:i/>
          <w:szCs w:val="22"/>
        </w:rPr>
        <w:t>.</w:t>
      </w:r>
      <w:bookmarkEnd w:id="168"/>
      <w:r w:rsidRPr="00CB093C">
        <w:rPr>
          <w:rFonts w:ascii="Arial" w:hAnsi="Arial" w:cs="Arial"/>
          <w:i/>
          <w:szCs w:val="22"/>
        </w:rPr>
        <w:t xml:space="preserve"> </w:t>
      </w:r>
    </w:p>
    <w:p w14:paraId="4967430A" w14:textId="23ABC241" w:rsidR="00811ABE" w:rsidRPr="00CB093C" w:rsidRDefault="00811ABE" w:rsidP="00811ABE">
      <w:pPr>
        <w:rPr>
          <w:rFonts w:ascii="Arial" w:hAnsi="Arial" w:cs="Arial"/>
          <w:i/>
          <w:szCs w:val="22"/>
        </w:rPr>
      </w:pPr>
      <w:r w:rsidRPr="00CB093C">
        <w:rPr>
          <w:rFonts w:ascii="Arial" w:hAnsi="Arial" w:cs="Arial"/>
          <w:i/>
          <w:szCs w:val="22"/>
        </w:rPr>
        <w:t>Data presented are deviations from 1</w:t>
      </w:r>
      <w:r w:rsidR="00BA64B5" w:rsidRPr="00CB093C">
        <w:rPr>
          <w:rFonts w:ascii="Arial" w:hAnsi="Arial" w:cs="Arial"/>
          <w:i/>
          <w:szCs w:val="22"/>
        </w:rPr>
        <w:t>3</w:t>
      </w:r>
      <w:r w:rsidRPr="00CB093C">
        <w:rPr>
          <w:rFonts w:ascii="Arial" w:hAnsi="Arial" w:cs="Arial"/>
          <w:i/>
          <w:szCs w:val="22"/>
        </w:rPr>
        <w:t>-year mean weekly temperature records (based on records from September 2003 to June 201</w:t>
      </w:r>
      <w:r w:rsidR="00700C5D" w:rsidRPr="00CB093C">
        <w:rPr>
          <w:rFonts w:ascii="Arial" w:hAnsi="Arial" w:cs="Arial"/>
          <w:i/>
          <w:szCs w:val="22"/>
        </w:rPr>
        <w:t>8</w:t>
      </w:r>
      <w:r w:rsidRPr="00CB093C">
        <w:rPr>
          <w:rFonts w:ascii="Arial" w:hAnsi="Arial" w:cs="Arial"/>
          <w:i/>
          <w:szCs w:val="22"/>
        </w:rPr>
        <w:t xml:space="preserve">). Weeks above the long-term average are represented as red bars and the magnitude of their deviation from the mean represented by the length of the bars, </w:t>
      </w:r>
      <w:r w:rsidR="00D10F46" w:rsidRPr="00CB093C">
        <w:rPr>
          <w:rFonts w:ascii="Arial" w:hAnsi="Arial" w:cs="Arial"/>
          <w:i/>
          <w:szCs w:val="22"/>
        </w:rPr>
        <w:t xml:space="preserve">blue </w:t>
      </w:r>
      <w:r w:rsidRPr="00CB093C">
        <w:rPr>
          <w:rFonts w:ascii="Arial" w:hAnsi="Arial" w:cs="Arial"/>
          <w:i/>
          <w:szCs w:val="22"/>
        </w:rPr>
        <w:t xml:space="preserve">bars </w:t>
      </w:r>
      <w:r w:rsidR="00D10F46" w:rsidRPr="00CB093C">
        <w:rPr>
          <w:rFonts w:ascii="Arial" w:hAnsi="Arial" w:cs="Arial"/>
          <w:i/>
          <w:szCs w:val="22"/>
        </w:rPr>
        <w:t>represent</w:t>
      </w:r>
      <w:r w:rsidRPr="00CB093C">
        <w:rPr>
          <w:rFonts w:ascii="Arial" w:hAnsi="Arial" w:cs="Arial"/>
          <w:i/>
          <w:szCs w:val="22"/>
        </w:rPr>
        <w:t xml:space="preserve"> weeks with temperatures lower than the average and are </w:t>
      </w:r>
      <w:r w:rsidR="002D353D" w:rsidRPr="00CB093C">
        <w:rPr>
          <w:rFonts w:ascii="Arial" w:hAnsi="Arial" w:cs="Arial"/>
          <w:i/>
          <w:szCs w:val="22"/>
        </w:rPr>
        <w:t>plotted as negative deviations.</w:t>
      </w:r>
    </w:p>
    <w:p w14:paraId="20A728EA" w14:textId="77777777" w:rsidR="004C777E" w:rsidRPr="00CB093C" w:rsidRDefault="004C777E">
      <w:pPr>
        <w:rPr>
          <w:rFonts w:ascii="Arial" w:hAnsi="Arial" w:cs="Arial"/>
          <w:szCs w:val="22"/>
        </w:rPr>
      </w:pPr>
    </w:p>
    <w:p w14:paraId="118351E9" w14:textId="77777777" w:rsidR="005D6CB6" w:rsidRPr="00CB093C" w:rsidRDefault="005D6CB6" w:rsidP="0015509E">
      <w:pPr>
        <w:pStyle w:val="Heading2"/>
      </w:pPr>
      <w:bookmarkStart w:id="169" w:name="_Toc11394714"/>
      <w:r w:rsidRPr="00CB093C">
        <w:t>Seagrass meadow sediments</w:t>
      </w:r>
      <w:bookmarkEnd w:id="169"/>
    </w:p>
    <w:p w14:paraId="75EA18D4" w14:textId="4EA58602" w:rsidR="005D6CB6" w:rsidRPr="00CB093C" w:rsidRDefault="005D6CB6" w:rsidP="005D6CB6">
      <w:pPr>
        <w:rPr>
          <w:rFonts w:ascii="Arial" w:hAnsi="Arial" w:cs="Arial"/>
          <w:szCs w:val="22"/>
          <w:lang w:val="en-GB"/>
        </w:rPr>
      </w:pPr>
      <w:r w:rsidRPr="00CB093C">
        <w:rPr>
          <w:rFonts w:ascii="Arial" w:hAnsi="Arial" w:cs="Arial"/>
          <w:szCs w:val="22"/>
          <w:lang w:val="en-GB"/>
        </w:rPr>
        <w:t xml:space="preserve">Coastal subtidal and estuarine seagrass habitats across the </w:t>
      </w:r>
      <w:r w:rsidR="00F206BF" w:rsidRPr="00CB093C">
        <w:rPr>
          <w:rFonts w:ascii="Arial" w:hAnsi="Arial" w:cs="Arial"/>
          <w:szCs w:val="22"/>
          <w:lang w:val="en-GB"/>
        </w:rPr>
        <w:t>Reef</w:t>
      </w:r>
      <w:r w:rsidRPr="00CB093C">
        <w:rPr>
          <w:rFonts w:ascii="Arial" w:hAnsi="Arial" w:cs="Arial"/>
          <w:szCs w:val="22"/>
          <w:lang w:val="en-GB"/>
        </w:rPr>
        <w:t xml:space="preserve"> had a greater proportion of fine sediments (i.e. mud) than other habitats (</w:t>
      </w:r>
      <w:r w:rsidRPr="00CB093C">
        <w:rPr>
          <w:rFonts w:ascii="Arial" w:hAnsi="Arial" w:cs="Arial"/>
          <w:szCs w:val="22"/>
          <w:lang w:val="en-GB"/>
        </w:rPr>
        <w:fldChar w:fldCharType="begin"/>
      </w:r>
      <w:r w:rsidRPr="00CB093C">
        <w:rPr>
          <w:rFonts w:ascii="Arial" w:hAnsi="Arial" w:cs="Arial"/>
          <w:szCs w:val="22"/>
          <w:lang w:val="en-GB"/>
        </w:rPr>
        <w:instrText xml:space="preserve"> REF _Ref442530421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Table </w:t>
      </w:r>
      <w:r w:rsidR="005F00D4">
        <w:rPr>
          <w:rFonts w:ascii="Arial" w:hAnsi="Arial" w:cs="Arial"/>
          <w:noProof/>
          <w:szCs w:val="22"/>
        </w:rPr>
        <w:t>10</w:t>
      </w:r>
      <w:r w:rsidRPr="00CB093C">
        <w:rPr>
          <w:rFonts w:ascii="Arial" w:hAnsi="Arial" w:cs="Arial"/>
          <w:szCs w:val="22"/>
          <w:lang w:val="en-GB"/>
        </w:rPr>
        <w:fldChar w:fldCharType="end"/>
      </w:r>
      <w:r w:rsidRPr="00CB093C">
        <w:rPr>
          <w:rFonts w:ascii="Arial" w:hAnsi="Arial" w:cs="Arial"/>
          <w:szCs w:val="22"/>
          <w:lang w:val="en-GB"/>
        </w:rPr>
        <w:t>). Sediments at coastal habitats were predominately medium and fine sands, while reef habitats (intertidal and subtidal) were dominated by medium sands (</w:t>
      </w:r>
      <w:r w:rsidRPr="00CB093C">
        <w:rPr>
          <w:rFonts w:ascii="Arial" w:hAnsi="Arial" w:cs="Arial"/>
          <w:szCs w:val="22"/>
          <w:lang w:val="en-GB"/>
        </w:rPr>
        <w:fldChar w:fldCharType="begin"/>
      </w:r>
      <w:r w:rsidRPr="00CB093C">
        <w:rPr>
          <w:rFonts w:ascii="Arial" w:hAnsi="Arial" w:cs="Arial"/>
          <w:szCs w:val="22"/>
          <w:lang w:val="en-GB"/>
        </w:rPr>
        <w:instrText xml:space="preserve"> REF _Ref442530421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Table </w:t>
      </w:r>
      <w:r w:rsidR="005F00D4">
        <w:rPr>
          <w:rFonts w:ascii="Arial" w:hAnsi="Arial" w:cs="Arial"/>
          <w:noProof/>
          <w:szCs w:val="22"/>
        </w:rPr>
        <w:t>10</w:t>
      </w:r>
      <w:r w:rsidRPr="00CB093C">
        <w:rPr>
          <w:rFonts w:ascii="Arial" w:hAnsi="Arial" w:cs="Arial"/>
          <w:szCs w:val="22"/>
          <w:lang w:val="en-GB"/>
        </w:rPr>
        <w:fldChar w:fldCharType="end"/>
      </w:r>
      <w:r w:rsidRPr="00CB093C">
        <w:rPr>
          <w:rFonts w:ascii="Arial" w:hAnsi="Arial" w:cs="Arial"/>
          <w:szCs w:val="22"/>
          <w:lang w:val="en-GB"/>
        </w:rPr>
        <w:t>).</w:t>
      </w:r>
    </w:p>
    <w:p w14:paraId="30C77E45" w14:textId="37833ADF" w:rsidR="005D6CB6" w:rsidRPr="00CB093C" w:rsidRDefault="005D6CB6" w:rsidP="005D6CB6">
      <w:pPr>
        <w:jc w:val="center"/>
        <w:rPr>
          <w:rFonts w:ascii="Arial" w:hAnsi="Arial" w:cs="Arial"/>
          <w:i/>
          <w:szCs w:val="22"/>
        </w:rPr>
      </w:pPr>
      <w:bookmarkStart w:id="170" w:name="_Ref442530421"/>
      <w:bookmarkStart w:id="171" w:name="_Toc5616038"/>
      <w:r w:rsidRPr="00CB093C">
        <w:rPr>
          <w:rFonts w:ascii="Arial" w:hAnsi="Arial" w:cs="Arial"/>
          <w:szCs w:val="22"/>
        </w:rPr>
        <w:lastRenderedPageBreak/>
        <w:t xml:space="preserve">Table </w:t>
      </w:r>
      <w:r w:rsidRPr="00CB093C">
        <w:rPr>
          <w:rFonts w:ascii="Arial" w:hAnsi="Arial" w:cs="Arial"/>
          <w:noProof/>
          <w:szCs w:val="22"/>
        </w:rPr>
        <w:fldChar w:fldCharType="begin"/>
      </w:r>
      <w:r w:rsidRPr="00CB093C">
        <w:rPr>
          <w:rFonts w:ascii="Arial" w:hAnsi="Arial" w:cs="Arial"/>
          <w:noProof/>
          <w:szCs w:val="22"/>
        </w:rPr>
        <w:instrText xml:space="preserve"> SEQ Table \* ARABIC </w:instrText>
      </w:r>
      <w:r w:rsidRPr="00CB093C">
        <w:rPr>
          <w:rFonts w:ascii="Arial" w:hAnsi="Arial" w:cs="Arial"/>
          <w:noProof/>
          <w:szCs w:val="22"/>
        </w:rPr>
        <w:fldChar w:fldCharType="separate"/>
      </w:r>
      <w:r w:rsidR="005F00D4">
        <w:rPr>
          <w:rFonts w:ascii="Arial" w:hAnsi="Arial" w:cs="Arial"/>
          <w:noProof/>
          <w:szCs w:val="22"/>
        </w:rPr>
        <w:t>10</w:t>
      </w:r>
      <w:r w:rsidRPr="00CB093C">
        <w:rPr>
          <w:rFonts w:ascii="Arial" w:hAnsi="Arial" w:cs="Arial"/>
          <w:noProof/>
          <w:szCs w:val="22"/>
        </w:rPr>
        <w:fldChar w:fldCharType="end"/>
      </w:r>
      <w:bookmarkEnd w:id="170"/>
      <w:r w:rsidRPr="00CB093C">
        <w:rPr>
          <w:rFonts w:ascii="Arial" w:hAnsi="Arial" w:cs="Arial"/>
          <w:szCs w:val="22"/>
        </w:rPr>
        <w:t xml:space="preserve">. </w:t>
      </w:r>
      <w:r w:rsidRPr="00CB093C">
        <w:rPr>
          <w:rFonts w:ascii="Arial" w:hAnsi="Arial" w:cs="Arial"/>
          <w:i/>
          <w:szCs w:val="22"/>
        </w:rPr>
        <w:t xml:space="preserve">Long-term average (±SE) sediment composition for each seagrass habitat (pooled across regions and time) monitoring within the </w:t>
      </w:r>
      <w:r w:rsidR="00F206BF" w:rsidRPr="00CB093C">
        <w:rPr>
          <w:rFonts w:ascii="Arial" w:hAnsi="Arial" w:cs="Arial"/>
          <w:i/>
          <w:szCs w:val="22"/>
        </w:rPr>
        <w:t>Reef</w:t>
      </w:r>
      <w:r w:rsidRPr="00CB093C">
        <w:rPr>
          <w:rFonts w:ascii="Arial" w:hAnsi="Arial" w:cs="Arial"/>
          <w:i/>
          <w:szCs w:val="22"/>
        </w:rPr>
        <w:t xml:space="preserve"> (1999</w:t>
      </w:r>
      <w:r w:rsidR="00FD625B" w:rsidRPr="00CB093C">
        <w:rPr>
          <w:rFonts w:ascii="Arial" w:hAnsi="Arial" w:cs="Arial"/>
          <w:i/>
          <w:szCs w:val="22"/>
        </w:rPr>
        <w:softHyphen/>
        <w:t>–</w:t>
      </w:r>
      <w:r w:rsidRPr="00CB093C">
        <w:rPr>
          <w:rFonts w:ascii="Arial" w:hAnsi="Arial" w:cs="Arial"/>
          <w:i/>
          <w:szCs w:val="22"/>
        </w:rPr>
        <w:t>2018)</w:t>
      </w:r>
      <w:bookmarkEnd w:id="171"/>
    </w:p>
    <w:tbl>
      <w:tblPr>
        <w:tblW w:w="8540" w:type="dxa"/>
        <w:jc w:val="center"/>
        <w:tblLook w:val="04A0" w:firstRow="1" w:lastRow="0" w:firstColumn="1" w:lastColumn="0" w:noHBand="0" w:noVBand="1"/>
      </w:tblPr>
      <w:tblGrid>
        <w:gridCol w:w="2040"/>
        <w:gridCol w:w="1300"/>
        <w:gridCol w:w="1300"/>
        <w:gridCol w:w="1300"/>
        <w:gridCol w:w="1300"/>
        <w:gridCol w:w="1300"/>
      </w:tblGrid>
      <w:tr w:rsidR="005D6CB6" w:rsidRPr="00CB093C" w14:paraId="172E4048" w14:textId="77777777" w:rsidTr="006908AF">
        <w:trPr>
          <w:trHeight w:val="288"/>
          <w:jc w:val="center"/>
        </w:trPr>
        <w:tc>
          <w:tcPr>
            <w:tcW w:w="2040" w:type="dxa"/>
            <w:tcBorders>
              <w:top w:val="single" w:sz="4" w:space="0" w:color="auto"/>
              <w:bottom w:val="single" w:sz="4" w:space="0" w:color="auto"/>
            </w:tcBorders>
            <w:shd w:val="clear" w:color="auto" w:fill="BBE0E3"/>
            <w:noWrap/>
            <w:vAlign w:val="center"/>
            <w:hideMark/>
          </w:tcPr>
          <w:p w14:paraId="7043DD47"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szCs w:val="22"/>
                <w:lang w:eastAsia="en-AU"/>
              </w:rPr>
              <w:t>Habitat</w:t>
            </w:r>
          </w:p>
        </w:tc>
        <w:tc>
          <w:tcPr>
            <w:tcW w:w="1300" w:type="dxa"/>
            <w:tcBorders>
              <w:top w:val="single" w:sz="4" w:space="0" w:color="auto"/>
              <w:bottom w:val="single" w:sz="4" w:space="0" w:color="auto"/>
            </w:tcBorders>
            <w:shd w:val="clear" w:color="auto" w:fill="BBE0E3"/>
            <w:noWrap/>
            <w:vAlign w:val="center"/>
            <w:hideMark/>
          </w:tcPr>
          <w:p w14:paraId="768CE02E"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szCs w:val="22"/>
                <w:lang w:eastAsia="en-AU"/>
              </w:rPr>
              <w:t>Mud</w:t>
            </w:r>
          </w:p>
        </w:tc>
        <w:tc>
          <w:tcPr>
            <w:tcW w:w="1300" w:type="dxa"/>
            <w:tcBorders>
              <w:top w:val="single" w:sz="4" w:space="0" w:color="auto"/>
              <w:bottom w:val="single" w:sz="4" w:space="0" w:color="auto"/>
            </w:tcBorders>
            <w:shd w:val="clear" w:color="auto" w:fill="BBE0E3"/>
            <w:noWrap/>
            <w:vAlign w:val="center"/>
            <w:hideMark/>
          </w:tcPr>
          <w:p w14:paraId="15813A6D"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szCs w:val="22"/>
                <w:lang w:eastAsia="en-AU"/>
              </w:rPr>
              <w:t>Fine sand</w:t>
            </w:r>
          </w:p>
        </w:tc>
        <w:tc>
          <w:tcPr>
            <w:tcW w:w="1300" w:type="dxa"/>
            <w:tcBorders>
              <w:top w:val="single" w:sz="4" w:space="0" w:color="auto"/>
              <w:bottom w:val="single" w:sz="4" w:space="0" w:color="auto"/>
            </w:tcBorders>
            <w:shd w:val="clear" w:color="auto" w:fill="BBE0E3"/>
            <w:noWrap/>
            <w:vAlign w:val="center"/>
            <w:hideMark/>
          </w:tcPr>
          <w:p w14:paraId="19AB28DD"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szCs w:val="22"/>
                <w:lang w:eastAsia="en-AU"/>
              </w:rPr>
              <w:t>Sand</w:t>
            </w:r>
          </w:p>
        </w:tc>
        <w:tc>
          <w:tcPr>
            <w:tcW w:w="1300" w:type="dxa"/>
            <w:tcBorders>
              <w:top w:val="single" w:sz="4" w:space="0" w:color="auto"/>
              <w:bottom w:val="single" w:sz="4" w:space="0" w:color="auto"/>
            </w:tcBorders>
            <w:shd w:val="clear" w:color="auto" w:fill="BBE0E3"/>
            <w:noWrap/>
            <w:vAlign w:val="center"/>
            <w:hideMark/>
          </w:tcPr>
          <w:p w14:paraId="564B61C7"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szCs w:val="22"/>
                <w:lang w:eastAsia="en-AU"/>
              </w:rPr>
              <w:t>Coarse sand</w:t>
            </w:r>
          </w:p>
        </w:tc>
        <w:tc>
          <w:tcPr>
            <w:tcW w:w="1300" w:type="dxa"/>
            <w:tcBorders>
              <w:top w:val="single" w:sz="4" w:space="0" w:color="auto"/>
              <w:bottom w:val="single" w:sz="4" w:space="0" w:color="auto"/>
            </w:tcBorders>
            <w:shd w:val="clear" w:color="auto" w:fill="BBE0E3"/>
            <w:noWrap/>
            <w:vAlign w:val="center"/>
            <w:hideMark/>
          </w:tcPr>
          <w:p w14:paraId="24F2F1AD"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szCs w:val="22"/>
                <w:lang w:eastAsia="en-AU"/>
              </w:rPr>
              <w:t>Gravel</w:t>
            </w:r>
          </w:p>
        </w:tc>
      </w:tr>
      <w:tr w:rsidR="005D6CB6" w:rsidRPr="00CB093C" w14:paraId="23B467C3" w14:textId="77777777" w:rsidTr="006908AF">
        <w:trPr>
          <w:trHeight w:val="288"/>
          <w:jc w:val="center"/>
        </w:trPr>
        <w:tc>
          <w:tcPr>
            <w:tcW w:w="2040" w:type="dxa"/>
            <w:tcBorders>
              <w:top w:val="single" w:sz="4" w:space="0" w:color="auto"/>
            </w:tcBorders>
            <w:shd w:val="clear" w:color="auto" w:fill="E7F3F4"/>
            <w:noWrap/>
            <w:vAlign w:val="bottom"/>
            <w:hideMark/>
          </w:tcPr>
          <w:p w14:paraId="6464DA1A" w14:textId="77777777" w:rsidR="005D6CB6" w:rsidRPr="00CB093C" w:rsidRDefault="005D6CB6" w:rsidP="006908AF">
            <w:pPr>
              <w:spacing w:before="0" w:after="0" w:line="200" w:lineRule="exact"/>
              <w:rPr>
                <w:rFonts w:ascii="Arial" w:hAnsi="Arial" w:cs="Arial"/>
                <w:szCs w:val="22"/>
                <w:lang w:eastAsia="en-AU"/>
              </w:rPr>
            </w:pPr>
            <w:r w:rsidRPr="00CB093C">
              <w:rPr>
                <w:rFonts w:ascii="Arial" w:hAnsi="Arial" w:cs="Arial"/>
                <w:szCs w:val="22"/>
                <w:lang w:eastAsia="en-AU"/>
              </w:rPr>
              <w:t>estuarine intertidal</w:t>
            </w:r>
          </w:p>
        </w:tc>
        <w:tc>
          <w:tcPr>
            <w:tcW w:w="1300" w:type="dxa"/>
            <w:tcBorders>
              <w:top w:val="single" w:sz="4" w:space="0" w:color="auto"/>
            </w:tcBorders>
            <w:shd w:val="clear" w:color="auto" w:fill="E7F3F4"/>
            <w:noWrap/>
            <w:vAlign w:val="bottom"/>
          </w:tcPr>
          <w:p w14:paraId="0C101062"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50.6 ±2.1</w:t>
            </w:r>
          </w:p>
        </w:tc>
        <w:tc>
          <w:tcPr>
            <w:tcW w:w="1300" w:type="dxa"/>
            <w:tcBorders>
              <w:top w:val="single" w:sz="4" w:space="0" w:color="auto"/>
            </w:tcBorders>
            <w:shd w:val="clear" w:color="auto" w:fill="E7F3F4"/>
            <w:noWrap/>
            <w:vAlign w:val="bottom"/>
          </w:tcPr>
          <w:p w14:paraId="5F513985"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18.7 ±1.9</w:t>
            </w:r>
          </w:p>
        </w:tc>
        <w:tc>
          <w:tcPr>
            <w:tcW w:w="1300" w:type="dxa"/>
            <w:tcBorders>
              <w:top w:val="single" w:sz="4" w:space="0" w:color="auto"/>
            </w:tcBorders>
            <w:shd w:val="clear" w:color="auto" w:fill="E7F3F4"/>
            <w:noWrap/>
            <w:vAlign w:val="bottom"/>
          </w:tcPr>
          <w:p w14:paraId="4A188CD1"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27.7 ±1.9</w:t>
            </w:r>
          </w:p>
        </w:tc>
        <w:tc>
          <w:tcPr>
            <w:tcW w:w="1300" w:type="dxa"/>
            <w:tcBorders>
              <w:top w:val="single" w:sz="4" w:space="0" w:color="auto"/>
            </w:tcBorders>
            <w:shd w:val="clear" w:color="auto" w:fill="E7F3F4"/>
            <w:noWrap/>
            <w:vAlign w:val="bottom"/>
          </w:tcPr>
          <w:p w14:paraId="2ADEFE2D"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szCs w:val="22"/>
              </w:rPr>
              <w:t>0.2 ±0.5</w:t>
            </w:r>
          </w:p>
        </w:tc>
        <w:tc>
          <w:tcPr>
            <w:tcW w:w="1300" w:type="dxa"/>
            <w:tcBorders>
              <w:top w:val="single" w:sz="4" w:space="0" w:color="auto"/>
            </w:tcBorders>
            <w:shd w:val="clear" w:color="auto" w:fill="E7F3F4"/>
            <w:noWrap/>
            <w:vAlign w:val="bottom"/>
          </w:tcPr>
          <w:p w14:paraId="47C9CC6E"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2.8 ±1.2</w:t>
            </w:r>
          </w:p>
        </w:tc>
      </w:tr>
      <w:tr w:rsidR="005D6CB6" w:rsidRPr="00CB093C" w14:paraId="68274299" w14:textId="77777777" w:rsidTr="006908AF">
        <w:trPr>
          <w:trHeight w:val="288"/>
          <w:jc w:val="center"/>
        </w:trPr>
        <w:tc>
          <w:tcPr>
            <w:tcW w:w="2040" w:type="dxa"/>
            <w:shd w:val="clear" w:color="auto" w:fill="F3F9FA"/>
            <w:noWrap/>
            <w:vAlign w:val="bottom"/>
            <w:hideMark/>
          </w:tcPr>
          <w:p w14:paraId="5AFD6879" w14:textId="77777777" w:rsidR="005D6CB6" w:rsidRPr="00CB093C" w:rsidRDefault="005D6CB6" w:rsidP="006908AF">
            <w:pPr>
              <w:spacing w:before="0" w:after="0" w:line="200" w:lineRule="exact"/>
              <w:rPr>
                <w:rFonts w:ascii="Arial" w:hAnsi="Arial" w:cs="Arial"/>
                <w:szCs w:val="22"/>
                <w:lang w:eastAsia="en-AU"/>
              </w:rPr>
            </w:pPr>
            <w:r w:rsidRPr="00CB093C">
              <w:rPr>
                <w:rFonts w:ascii="Arial" w:hAnsi="Arial" w:cs="Arial"/>
                <w:szCs w:val="22"/>
                <w:lang w:eastAsia="en-AU"/>
              </w:rPr>
              <w:t>coastal intertidal</w:t>
            </w:r>
          </w:p>
        </w:tc>
        <w:tc>
          <w:tcPr>
            <w:tcW w:w="1300" w:type="dxa"/>
            <w:shd w:val="clear" w:color="auto" w:fill="F3F9FA"/>
            <w:noWrap/>
            <w:vAlign w:val="bottom"/>
          </w:tcPr>
          <w:p w14:paraId="469DD27B"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szCs w:val="22"/>
              </w:rPr>
              <w:t>28.5 ±2.1</w:t>
            </w:r>
          </w:p>
        </w:tc>
        <w:tc>
          <w:tcPr>
            <w:tcW w:w="1300" w:type="dxa"/>
            <w:shd w:val="clear" w:color="auto" w:fill="F3F9FA"/>
            <w:noWrap/>
            <w:vAlign w:val="bottom"/>
          </w:tcPr>
          <w:p w14:paraId="2FA0A16F"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33.1 ±2.4</w:t>
            </w:r>
          </w:p>
        </w:tc>
        <w:tc>
          <w:tcPr>
            <w:tcW w:w="1300" w:type="dxa"/>
            <w:shd w:val="clear" w:color="auto" w:fill="F3F9FA"/>
            <w:noWrap/>
            <w:vAlign w:val="bottom"/>
          </w:tcPr>
          <w:p w14:paraId="405DF69E"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33.1 ±2.5</w:t>
            </w:r>
          </w:p>
        </w:tc>
        <w:tc>
          <w:tcPr>
            <w:tcW w:w="1300" w:type="dxa"/>
            <w:shd w:val="clear" w:color="auto" w:fill="F3F9FA"/>
            <w:noWrap/>
            <w:vAlign w:val="bottom"/>
          </w:tcPr>
          <w:p w14:paraId="6FCAD653"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szCs w:val="22"/>
              </w:rPr>
              <w:t>0.3 ±0.5</w:t>
            </w:r>
          </w:p>
        </w:tc>
        <w:tc>
          <w:tcPr>
            <w:tcW w:w="1300" w:type="dxa"/>
            <w:shd w:val="clear" w:color="auto" w:fill="F3F9FA"/>
            <w:noWrap/>
            <w:vAlign w:val="bottom"/>
          </w:tcPr>
          <w:p w14:paraId="538D2091"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4.6 ±1.2</w:t>
            </w:r>
          </w:p>
        </w:tc>
      </w:tr>
      <w:tr w:rsidR="005D6CB6" w:rsidRPr="00CB093C" w14:paraId="03E4F599" w14:textId="77777777" w:rsidTr="006908AF">
        <w:trPr>
          <w:trHeight w:val="288"/>
          <w:jc w:val="center"/>
        </w:trPr>
        <w:tc>
          <w:tcPr>
            <w:tcW w:w="2040" w:type="dxa"/>
            <w:shd w:val="clear" w:color="auto" w:fill="E7F3F4"/>
            <w:noWrap/>
            <w:vAlign w:val="bottom"/>
          </w:tcPr>
          <w:p w14:paraId="4532E550" w14:textId="77777777" w:rsidR="005D6CB6" w:rsidRPr="00CB093C" w:rsidRDefault="005D6CB6" w:rsidP="006908AF">
            <w:pPr>
              <w:spacing w:before="0" w:after="0" w:line="200" w:lineRule="exact"/>
              <w:rPr>
                <w:rFonts w:ascii="Arial" w:hAnsi="Arial" w:cs="Arial"/>
                <w:szCs w:val="22"/>
                <w:lang w:eastAsia="en-AU"/>
              </w:rPr>
            </w:pPr>
            <w:r w:rsidRPr="00CB093C">
              <w:rPr>
                <w:rFonts w:ascii="Arial" w:hAnsi="Arial" w:cs="Arial"/>
                <w:szCs w:val="22"/>
              </w:rPr>
              <w:t>coastal subtidal</w:t>
            </w:r>
          </w:p>
        </w:tc>
        <w:tc>
          <w:tcPr>
            <w:tcW w:w="1300" w:type="dxa"/>
            <w:shd w:val="clear" w:color="auto" w:fill="E7F3F4"/>
            <w:noWrap/>
            <w:vAlign w:val="bottom"/>
          </w:tcPr>
          <w:p w14:paraId="4C93FFF5"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46.4 ±2.7</w:t>
            </w:r>
          </w:p>
        </w:tc>
        <w:tc>
          <w:tcPr>
            <w:tcW w:w="1300" w:type="dxa"/>
            <w:shd w:val="clear" w:color="auto" w:fill="E7F3F4"/>
            <w:noWrap/>
            <w:vAlign w:val="bottom"/>
          </w:tcPr>
          <w:p w14:paraId="64CF484C"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12.7 ±0.5</w:t>
            </w:r>
          </w:p>
        </w:tc>
        <w:tc>
          <w:tcPr>
            <w:tcW w:w="1300" w:type="dxa"/>
            <w:shd w:val="clear" w:color="auto" w:fill="E7F3F4"/>
            <w:noWrap/>
            <w:vAlign w:val="bottom"/>
          </w:tcPr>
          <w:p w14:paraId="7F1573D5"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16.1 ±2.8</w:t>
            </w:r>
          </w:p>
        </w:tc>
        <w:tc>
          <w:tcPr>
            <w:tcW w:w="1300" w:type="dxa"/>
            <w:shd w:val="clear" w:color="auto" w:fill="E7F3F4"/>
            <w:noWrap/>
            <w:vAlign w:val="bottom"/>
          </w:tcPr>
          <w:p w14:paraId="7509A59E"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10.8 ±2.3</w:t>
            </w:r>
          </w:p>
        </w:tc>
        <w:tc>
          <w:tcPr>
            <w:tcW w:w="1300" w:type="dxa"/>
            <w:shd w:val="clear" w:color="auto" w:fill="E7F3F4"/>
            <w:noWrap/>
            <w:vAlign w:val="bottom"/>
          </w:tcPr>
          <w:p w14:paraId="0E238654"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4.7 ±0.0</w:t>
            </w:r>
          </w:p>
        </w:tc>
      </w:tr>
      <w:tr w:rsidR="005D6CB6" w:rsidRPr="00CB093C" w14:paraId="13CE77F4" w14:textId="77777777" w:rsidTr="006908AF">
        <w:trPr>
          <w:trHeight w:val="288"/>
          <w:jc w:val="center"/>
        </w:trPr>
        <w:tc>
          <w:tcPr>
            <w:tcW w:w="2040" w:type="dxa"/>
            <w:shd w:val="clear" w:color="auto" w:fill="F3F9FA"/>
            <w:noWrap/>
            <w:vAlign w:val="bottom"/>
            <w:hideMark/>
          </w:tcPr>
          <w:p w14:paraId="01AEA116" w14:textId="77777777" w:rsidR="005D6CB6" w:rsidRPr="00CB093C" w:rsidRDefault="005D6CB6" w:rsidP="006908AF">
            <w:pPr>
              <w:spacing w:before="0" w:after="0" w:line="200" w:lineRule="exact"/>
              <w:rPr>
                <w:rFonts w:ascii="Arial" w:hAnsi="Arial" w:cs="Arial"/>
                <w:szCs w:val="22"/>
                <w:lang w:eastAsia="en-AU"/>
              </w:rPr>
            </w:pPr>
            <w:r w:rsidRPr="00CB093C">
              <w:rPr>
                <w:rFonts w:ascii="Arial" w:hAnsi="Arial" w:cs="Arial"/>
                <w:szCs w:val="22"/>
                <w:lang w:eastAsia="en-AU"/>
              </w:rPr>
              <w:t>reef intertidal</w:t>
            </w:r>
          </w:p>
        </w:tc>
        <w:tc>
          <w:tcPr>
            <w:tcW w:w="1300" w:type="dxa"/>
            <w:shd w:val="clear" w:color="auto" w:fill="F3F9FA"/>
            <w:noWrap/>
            <w:vAlign w:val="bottom"/>
          </w:tcPr>
          <w:p w14:paraId="23668CCE"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4.9 ±1.2</w:t>
            </w:r>
          </w:p>
        </w:tc>
        <w:tc>
          <w:tcPr>
            <w:tcW w:w="1300" w:type="dxa"/>
            <w:shd w:val="clear" w:color="auto" w:fill="F3F9FA"/>
            <w:noWrap/>
            <w:vAlign w:val="bottom"/>
          </w:tcPr>
          <w:p w14:paraId="30347D14"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6.9 ±1.7</w:t>
            </w:r>
          </w:p>
        </w:tc>
        <w:tc>
          <w:tcPr>
            <w:tcW w:w="1300" w:type="dxa"/>
            <w:shd w:val="clear" w:color="auto" w:fill="F3F9FA"/>
            <w:noWrap/>
            <w:vAlign w:val="bottom"/>
          </w:tcPr>
          <w:p w14:paraId="68AF2242"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48.6 ±2.</w:t>
            </w:r>
          </w:p>
        </w:tc>
        <w:tc>
          <w:tcPr>
            <w:tcW w:w="1300" w:type="dxa"/>
            <w:shd w:val="clear" w:color="auto" w:fill="F3F9FA"/>
            <w:noWrap/>
            <w:vAlign w:val="bottom"/>
          </w:tcPr>
          <w:p w14:paraId="21C22E72"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17.6 ±1.8</w:t>
            </w:r>
          </w:p>
        </w:tc>
        <w:tc>
          <w:tcPr>
            <w:tcW w:w="1300" w:type="dxa"/>
            <w:shd w:val="clear" w:color="auto" w:fill="F3F9FA"/>
            <w:noWrap/>
            <w:vAlign w:val="bottom"/>
          </w:tcPr>
          <w:p w14:paraId="317C978B"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21.6 ±2.3</w:t>
            </w:r>
          </w:p>
        </w:tc>
      </w:tr>
      <w:tr w:rsidR="005D6CB6" w:rsidRPr="00CB093C" w14:paraId="27AF1CAC" w14:textId="77777777" w:rsidTr="006908AF">
        <w:trPr>
          <w:trHeight w:val="288"/>
          <w:jc w:val="center"/>
        </w:trPr>
        <w:tc>
          <w:tcPr>
            <w:tcW w:w="2040" w:type="dxa"/>
            <w:tcBorders>
              <w:bottom w:val="single" w:sz="4" w:space="0" w:color="auto"/>
            </w:tcBorders>
            <w:shd w:val="clear" w:color="auto" w:fill="E7F3F4"/>
            <w:noWrap/>
            <w:vAlign w:val="bottom"/>
            <w:hideMark/>
          </w:tcPr>
          <w:p w14:paraId="72DC97EA" w14:textId="77777777" w:rsidR="005D6CB6" w:rsidRPr="00CB093C" w:rsidRDefault="005D6CB6" w:rsidP="006908AF">
            <w:pPr>
              <w:spacing w:before="0" w:after="0" w:line="200" w:lineRule="exact"/>
              <w:rPr>
                <w:rFonts w:ascii="Arial" w:hAnsi="Arial" w:cs="Arial"/>
                <w:szCs w:val="22"/>
                <w:lang w:eastAsia="en-AU"/>
              </w:rPr>
            </w:pPr>
            <w:r w:rsidRPr="00CB093C">
              <w:rPr>
                <w:rFonts w:ascii="Arial" w:hAnsi="Arial" w:cs="Arial"/>
                <w:szCs w:val="22"/>
                <w:lang w:eastAsia="en-AU"/>
              </w:rPr>
              <w:t>reef subtidal</w:t>
            </w:r>
          </w:p>
        </w:tc>
        <w:tc>
          <w:tcPr>
            <w:tcW w:w="1300" w:type="dxa"/>
            <w:tcBorders>
              <w:bottom w:val="single" w:sz="4" w:space="0" w:color="auto"/>
            </w:tcBorders>
            <w:shd w:val="clear" w:color="auto" w:fill="E7F3F4"/>
            <w:noWrap/>
            <w:vAlign w:val="bottom"/>
          </w:tcPr>
          <w:p w14:paraId="13BCE8C4"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6.9 ±0.5</w:t>
            </w:r>
          </w:p>
        </w:tc>
        <w:tc>
          <w:tcPr>
            <w:tcW w:w="1300" w:type="dxa"/>
            <w:tcBorders>
              <w:bottom w:val="single" w:sz="4" w:space="0" w:color="auto"/>
            </w:tcBorders>
            <w:shd w:val="clear" w:color="auto" w:fill="E7F3F4"/>
            <w:noWrap/>
            <w:vAlign w:val="bottom"/>
          </w:tcPr>
          <w:p w14:paraId="513A6B50"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9.6 ±0.9</w:t>
            </w:r>
          </w:p>
        </w:tc>
        <w:tc>
          <w:tcPr>
            <w:tcW w:w="1300" w:type="dxa"/>
            <w:tcBorders>
              <w:bottom w:val="single" w:sz="4" w:space="0" w:color="auto"/>
            </w:tcBorders>
            <w:shd w:val="clear" w:color="auto" w:fill="E7F3F4"/>
            <w:noWrap/>
            <w:vAlign w:val="bottom"/>
          </w:tcPr>
          <w:p w14:paraId="4933BA2C"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60.5 ±6.</w:t>
            </w:r>
            <w:r w:rsidRPr="00CB093C">
              <w:rPr>
                <w:rFonts w:ascii="Arial" w:hAnsi="Arial" w:cs="Arial"/>
                <w:szCs w:val="22"/>
              </w:rPr>
              <w:t>3</w:t>
            </w:r>
          </w:p>
        </w:tc>
        <w:tc>
          <w:tcPr>
            <w:tcW w:w="1300" w:type="dxa"/>
            <w:tcBorders>
              <w:bottom w:val="single" w:sz="4" w:space="0" w:color="auto"/>
            </w:tcBorders>
            <w:shd w:val="clear" w:color="auto" w:fill="E7F3F4"/>
            <w:noWrap/>
            <w:vAlign w:val="bottom"/>
          </w:tcPr>
          <w:p w14:paraId="607A0937"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1.6 ±0.6</w:t>
            </w:r>
          </w:p>
        </w:tc>
        <w:tc>
          <w:tcPr>
            <w:tcW w:w="1300" w:type="dxa"/>
            <w:tcBorders>
              <w:bottom w:val="single" w:sz="4" w:space="0" w:color="auto"/>
            </w:tcBorders>
            <w:shd w:val="clear" w:color="auto" w:fill="E7F3F4"/>
            <w:noWrap/>
            <w:vAlign w:val="bottom"/>
          </w:tcPr>
          <w:p w14:paraId="44C07E03" w14:textId="77777777" w:rsidR="005D6CB6" w:rsidRPr="00CB093C" w:rsidRDefault="005D6CB6" w:rsidP="006908AF">
            <w:pPr>
              <w:spacing w:before="0" w:after="0" w:line="200" w:lineRule="exact"/>
              <w:jc w:val="center"/>
              <w:rPr>
                <w:rFonts w:ascii="Arial" w:hAnsi="Arial" w:cs="Arial"/>
                <w:szCs w:val="22"/>
                <w:lang w:eastAsia="en-AU"/>
              </w:rPr>
            </w:pPr>
            <w:r w:rsidRPr="00CB093C">
              <w:rPr>
                <w:rFonts w:ascii="Arial" w:hAnsi="Arial" w:cs="Arial"/>
                <w:color w:val="000000" w:themeColor="text1"/>
                <w:szCs w:val="22"/>
                <w:lang w:val="en-US"/>
              </w:rPr>
              <w:t>11.7 ±6.6</w:t>
            </w:r>
          </w:p>
        </w:tc>
      </w:tr>
    </w:tbl>
    <w:p w14:paraId="03EBB553" w14:textId="77777777" w:rsidR="005D6CB6" w:rsidRPr="00CB093C" w:rsidRDefault="005D6CB6" w:rsidP="005D6CB6">
      <w:pPr>
        <w:rPr>
          <w:rFonts w:ascii="Arial" w:hAnsi="Arial" w:cs="Arial"/>
          <w:szCs w:val="22"/>
          <w:lang w:val="en-GB"/>
        </w:rPr>
      </w:pPr>
    </w:p>
    <w:p w14:paraId="0497E588" w14:textId="35B90B1E" w:rsidR="005D6CB6" w:rsidRPr="00CB093C" w:rsidRDefault="005D6CB6" w:rsidP="005D6CB6">
      <w:pPr>
        <w:rPr>
          <w:rFonts w:ascii="Arial" w:hAnsi="Arial" w:cs="Arial"/>
          <w:szCs w:val="22"/>
          <w:lang w:val="en-GB"/>
        </w:rPr>
      </w:pPr>
      <w:r w:rsidRPr="00CB093C">
        <w:rPr>
          <w:rFonts w:ascii="Arial" w:hAnsi="Arial" w:cs="Arial"/>
          <w:szCs w:val="22"/>
          <w:lang w:val="en-GB"/>
        </w:rPr>
        <w:t xml:space="preserve">Since monitoring was established, the composition of sediments has fluctuated at all habitats, with the proportion of mud declining below the long-term average at estuary and coastal habitats immediately following periods of physical disturbance from storms (e.g. cyclones in 2006 and 2011). Conversely, the proportion of mud increased above the long-term average at reef (intertidal and subtidal) habitats during periods of extreme climatic events (e.g. cyclones and/or flood events). During the </w:t>
      </w:r>
      <w:r w:rsidR="003654C6">
        <w:rPr>
          <w:rFonts w:ascii="Arial" w:hAnsi="Arial" w:cs="Arial"/>
          <w:szCs w:val="22"/>
          <w:lang w:val="en-GB"/>
        </w:rPr>
        <w:t>2017–18</w:t>
      </w:r>
      <w:r w:rsidRPr="00CB093C">
        <w:rPr>
          <w:rFonts w:ascii="Arial" w:hAnsi="Arial" w:cs="Arial"/>
          <w:szCs w:val="22"/>
          <w:lang w:val="en-GB"/>
        </w:rPr>
        <w:t xml:space="preserve"> monitoring period</w:t>
      </w:r>
      <w:r w:rsidR="00CF55CE" w:rsidRPr="00CB093C">
        <w:rPr>
          <w:rFonts w:ascii="Arial" w:hAnsi="Arial" w:cs="Arial"/>
          <w:szCs w:val="22"/>
          <w:lang w:val="en-GB"/>
        </w:rPr>
        <w:t xml:space="preserve"> there were small fluctuations in sediment type </w:t>
      </w:r>
      <w:r w:rsidRPr="00CB093C">
        <w:rPr>
          <w:rFonts w:ascii="Arial" w:hAnsi="Arial" w:cs="Arial"/>
          <w:szCs w:val="22"/>
          <w:lang w:val="en-GB"/>
        </w:rPr>
        <w:t>relative to the previous year (</w:t>
      </w:r>
      <w:r w:rsidRPr="00CB093C">
        <w:rPr>
          <w:rFonts w:ascii="Arial" w:hAnsi="Arial" w:cs="Arial"/>
          <w:szCs w:val="22"/>
          <w:lang w:val="en-GB"/>
        </w:rPr>
        <w:fldChar w:fldCharType="begin"/>
      </w:r>
      <w:r w:rsidRPr="00CB093C">
        <w:rPr>
          <w:rFonts w:ascii="Arial" w:hAnsi="Arial" w:cs="Arial"/>
          <w:szCs w:val="22"/>
          <w:lang w:val="en-GB"/>
        </w:rPr>
        <w:instrText xml:space="preserve"> REF _Ref532366723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szCs w:val="22"/>
        </w:rPr>
        <w:t>14</w:t>
      </w:r>
      <w:r w:rsidRPr="00CB093C">
        <w:rPr>
          <w:rFonts w:ascii="Arial" w:hAnsi="Arial" w:cs="Arial"/>
          <w:szCs w:val="22"/>
          <w:lang w:val="en-GB"/>
        </w:rPr>
        <w:fldChar w:fldCharType="end"/>
      </w:r>
      <w:r w:rsidRPr="00CB093C">
        <w:rPr>
          <w:rFonts w:ascii="Arial" w:hAnsi="Arial" w:cs="Arial"/>
          <w:szCs w:val="22"/>
          <w:lang w:val="en-GB"/>
        </w:rPr>
        <w:t>).</w:t>
      </w:r>
    </w:p>
    <w:p w14:paraId="71402EEE" w14:textId="77777777" w:rsidR="002B1351" w:rsidRPr="00CB093C" w:rsidRDefault="002B1351" w:rsidP="005D6CB6">
      <w:pPr>
        <w:rPr>
          <w:rFonts w:ascii="Arial" w:hAnsi="Arial" w:cs="Arial"/>
          <w:szCs w:val="22"/>
          <w:lang w:val="en-GB"/>
        </w:rPr>
      </w:pPr>
    </w:p>
    <w:p w14:paraId="524D449B" w14:textId="77777777" w:rsidR="005D6CB6" w:rsidRPr="00CB093C" w:rsidRDefault="005D6CB6" w:rsidP="005D6CB6">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497CD591" wp14:editId="5C3DA0DA">
            <wp:extent cx="5759447" cy="1590389"/>
            <wp:effectExtent l="0" t="0" r="0" b="0"/>
            <wp:docPr id="233" name="Picture 233" descr="Set of four area plots showing proportion of sediment composed of mud (grain size less than 63µm) at GBR seagrass monitoring habitats from 1999-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GBR_proportion_mud_2016.png"/>
                    <pic:cNvPicPr/>
                  </pic:nvPicPr>
                  <pic:blipFill>
                    <a:blip r:embed="rId59">
                      <a:extLst>
                        <a:ext uri="{28A0092B-C50C-407E-A947-70E740481C1C}">
                          <a14:useLocalDpi xmlns:a14="http://schemas.microsoft.com/office/drawing/2010/main" val="0"/>
                        </a:ext>
                      </a:extLst>
                    </a:blip>
                    <a:stretch>
                      <a:fillRect/>
                    </a:stretch>
                  </pic:blipFill>
                  <pic:spPr>
                    <a:xfrm>
                      <a:off x="0" y="0"/>
                      <a:ext cx="5759447" cy="1590389"/>
                    </a:xfrm>
                    <a:prstGeom prst="rect">
                      <a:avLst/>
                    </a:prstGeom>
                  </pic:spPr>
                </pic:pic>
              </a:graphicData>
            </a:graphic>
          </wp:inline>
        </w:drawing>
      </w:r>
    </w:p>
    <w:p w14:paraId="794DE2F8" w14:textId="248DA744" w:rsidR="005D6CB6" w:rsidRPr="00CB093C" w:rsidRDefault="005D6CB6" w:rsidP="005D6CB6">
      <w:pPr>
        <w:keepNext/>
        <w:widowControl w:val="0"/>
        <w:rPr>
          <w:rFonts w:ascii="Arial" w:hAnsi="Arial" w:cs="Arial"/>
          <w:szCs w:val="22"/>
        </w:rPr>
      </w:pPr>
      <w:bookmarkStart w:id="172" w:name="_Ref532366723"/>
      <w:bookmarkStart w:id="173" w:name="_Toc6402779"/>
      <w:bookmarkStart w:id="174" w:name="_Ref442530463"/>
      <w:r w:rsidRPr="00CB093C">
        <w:rPr>
          <w:rFonts w:ascii="Arial" w:hAnsi="Arial" w:cs="Arial"/>
          <w:szCs w:val="22"/>
        </w:rPr>
        <w:t xml:space="preserve">Figure </w:t>
      </w:r>
      <w:r w:rsidRPr="00CB093C">
        <w:rPr>
          <w:rFonts w:ascii="Arial" w:hAnsi="Arial" w:cs="Arial"/>
          <w:noProof/>
          <w:szCs w:val="22"/>
        </w:rPr>
        <w:fldChar w:fldCharType="begin"/>
      </w:r>
      <w:r w:rsidRPr="00CB093C">
        <w:rPr>
          <w:rFonts w:ascii="Arial" w:hAnsi="Arial" w:cs="Arial"/>
          <w:noProof/>
          <w:szCs w:val="22"/>
        </w:rPr>
        <w:instrText xml:space="preserve"> SEQ Figure \* ARABIC </w:instrText>
      </w:r>
      <w:r w:rsidRPr="00CB093C">
        <w:rPr>
          <w:rFonts w:ascii="Arial" w:hAnsi="Arial" w:cs="Arial"/>
          <w:noProof/>
          <w:szCs w:val="22"/>
        </w:rPr>
        <w:fldChar w:fldCharType="separate"/>
      </w:r>
      <w:r w:rsidR="005F00D4">
        <w:rPr>
          <w:rFonts w:ascii="Arial" w:hAnsi="Arial" w:cs="Arial"/>
          <w:noProof/>
          <w:szCs w:val="22"/>
        </w:rPr>
        <w:t>14</w:t>
      </w:r>
      <w:r w:rsidRPr="00CB093C">
        <w:rPr>
          <w:rFonts w:ascii="Arial" w:hAnsi="Arial" w:cs="Arial"/>
          <w:noProof/>
          <w:szCs w:val="22"/>
        </w:rPr>
        <w:fldChar w:fldCharType="end"/>
      </w:r>
      <w:bookmarkEnd w:id="172"/>
      <w:r w:rsidRPr="00CB093C">
        <w:rPr>
          <w:rFonts w:ascii="Arial" w:hAnsi="Arial" w:cs="Arial"/>
          <w:szCs w:val="22"/>
        </w:rPr>
        <w:t xml:space="preserve">. </w:t>
      </w:r>
      <w:r w:rsidRPr="00CB093C">
        <w:rPr>
          <w:rFonts w:ascii="Arial" w:hAnsi="Arial" w:cs="Arial"/>
          <w:i/>
          <w:szCs w:val="22"/>
        </w:rPr>
        <w:t xml:space="preserve">Proportion of sediment composed of mud (grain size &lt;63µm) at </w:t>
      </w:r>
      <w:r w:rsidR="00F206BF" w:rsidRPr="00CB093C">
        <w:rPr>
          <w:rFonts w:ascii="Arial" w:hAnsi="Arial" w:cs="Arial"/>
          <w:i/>
          <w:szCs w:val="22"/>
        </w:rPr>
        <w:t>Reef</w:t>
      </w:r>
      <w:r w:rsidRPr="00CB093C">
        <w:rPr>
          <w:rFonts w:ascii="Arial" w:hAnsi="Arial" w:cs="Arial"/>
          <w:i/>
          <w:szCs w:val="22"/>
        </w:rPr>
        <w:t xml:space="preserve"> seagrass monitoring habitats from 1999</w:t>
      </w:r>
      <w:r w:rsidR="00FD625B" w:rsidRPr="00CB093C">
        <w:rPr>
          <w:rFonts w:ascii="Arial" w:hAnsi="Arial" w:cs="Arial"/>
          <w:i/>
          <w:szCs w:val="22"/>
        </w:rPr>
        <w:t>–</w:t>
      </w:r>
      <w:r w:rsidRPr="00CB093C">
        <w:rPr>
          <w:rFonts w:ascii="Arial" w:hAnsi="Arial" w:cs="Arial"/>
          <w:i/>
          <w:szCs w:val="22"/>
        </w:rPr>
        <w:t>2018.</w:t>
      </w:r>
      <w:bookmarkEnd w:id="173"/>
    </w:p>
    <w:bookmarkEnd w:id="174"/>
    <w:p w14:paraId="748D417B" w14:textId="77777777" w:rsidR="00AC1C6D" w:rsidRPr="00CB093C" w:rsidRDefault="00AC1C6D" w:rsidP="00AC1C6D">
      <w:pPr>
        <w:rPr>
          <w:rFonts w:ascii="Arial" w:hAnsi="Arial" w:cs="Arial"/>
          <w:szCs w:val="22"/>
        </w:rPr>
      </w:pPr>
    </w:p>
    <w:p w14:paraId="3C093D2E" w14:textId="727002E0" w:rsidR="005D6CB6" w:rsidRPr="00CB093C" w:rsidRDefault="005D6CB6" w:rsidP="00AC1C6D">
      <w:pPr>
        <w:spacing w:before="240"/>
        <w:rPr>
          <w:rFonts w:ascii="Arial" w:hAnsi="Arial" w:cs="Arial"/>
          <w:color w:val="000000"/>
          <w:szCs w:val="22"/>
        </w:rPr>
      </w:pPr>
    </w:p>
    <w:p w14:paraId="445C811D" w14:textId="4E22970A" w:rsidR="00AC1C6D" w:rsidRPr="00CB093C" w:rsidRDefault="00F039CC" w:rsidP="0015509E">
      <w:pPr>
        <w:pStyle w:val="Heading1"/>
      </w:pPr>
      <w:bookmarkStart w:id="175" w:name="_Toc11394715"/>
      <w:r w:rsidRPr="00CB093C">
        <w:lastRenderedPageBreak/>
        <w:t>Seagrass condition and trend</w:t>
      </w:r>
      <w:bookmarkEnd w:id="175"/>
      <w:r w:rsidRPr="00CB093C">
        <w:t xml:space="preserve"> </w:t>
      </w:r>
    </w:p>
    <w:p w14:paraId="32FE1A8F" w14:textId="0478B921" w:rsidR="00AC1C6D" w:rsidRPr="00CB093C" w:rsidRDefault="00AC1C6D" w:rsidP="00D2585E">
      <w:pPr>
        <w:rPr>
          <w:rFonts w:ascii="Arial" w:hAnsi="Arial" w:cs="Arial"/>
          <w:color w:val="000000" w:themeColor="text1"/>
          <w:szCs w:val="22"/>
        </w:rPr>
      </w:pPr>
      <w:r w:rsidRPr="00CB093C">
        <w:rPr>
          <w:rFonts w:ascii="Arial" w:hAnsi="Arial" w:cs="Arial"/>
          <w:color w:val="000000" w:themeColor="text1"/>
          <w:szCs w:val="22"/>
        </w:rPr>
        <w:t xml:space="preserve">The following results section provides detail on the overall seagrass responses for the </w:t>
      </w:r>
      <w:r w:rsidR="003654C6">
        <w:rPr>
          <w:rFonts w:ascii="Arial" w:hAnsi="Arial" w:cs="Arial"/>
          <w:color w:val="000000" w:themeColor="text1"/>
          <w:szCs w:val="22"/>
        </w:rPr>
        <w:t>2017–18</w:t>
      </w:r>
      <w:r w:rsidR="00C81636" w:rsidRPr="00CB093C">
        <w:rPr>
          <w:rFonts w:ascii="Arial" w:hAnsi="Arial" w:cs="Arial"/>
          <w:color w:val="000000" w:themeColor="text1"/>
          <w:szCs w:val="22"/>
        </w:rPr>
        <w:t xml:space="preserve"> </w:t>
      </w:r>
      <w:r w:rsidRPr="00CB093C">
        <w:rPr>
          <w:rFonts w:ascii="Arial" w:hAnsi="Arial" w:cs="Arial"/>
          <w:color w:val="000000" w:themeColor="text1"/>
          <w:szCs w:val="22"/>
        </w:rPr>
        <w:t>monitoring period, in context of longer-term trends. It is structured as</w:t>
      </w:r>
      <w:r w:rsidR="00D1356E" w:rsidRPr="00CB093C">
        <w:rPr>
          <w:rFonts w:ascii="Arial" w:hAnsi="Arial" w:cs="Arial"/>
          <w:color w:val="000000" w:themeColor="text1"/>
          <w:szCs w:val="22"/>
        </w:rPr>
        <w:t xml:space="preserve"> a </w:t>
      </w:r>
      <w:r w:rsidRPr="00CB093C">
        <w:rPr>
          <w:rFonts w:ascii="Arial" w:hAnsi="Arial" w:cs="Arial"/>
          <w:color w:val="000000" w:themeColor="text1"/>
          <w:szCs w:val="22"/>
        </w:rPr>
        <w:t xml:space="preserve">Reef-wide summary: overall </w:t>
      </w:r>
      <w:r w:rsidR="00E1050E" w:rsidRPr="00CB093C">
        <w:rPr>
          <w:rFonts w:ascii="Arial" w:hAnsi="Arial" w:cs="Arial"/>
          <w:color w:val="000000" w:themeColor="text1"/>
          <w:szCs w:val="22"/>
        </w:rPr>
        <w:t>condtion</w:t>
      </w:r>
      <w:r w:rsidRPr="00CB093C">
        <w:rPr>
          <w:rFonts w:ascii="Arial" w:hAnsi="Arial" w:cs="Arial"/>
          <w:color w:val="000000" w:themeColor="text1"/>
          <w:szCs w:val="22"/>
        </w:rPr>
        <w:t xml:space="preserve"> and trend for each habitat type presented separately</w:t>
      </w:r>
      <w:r w:rsidR="00D1356E" w:rsidRPr="00CB093C">
        <w:rPr>
          <w:rFonts w:ascii="Arial" w:hAnsi="Arial" w:cs="Arial"/>
          <w:color w:val="000000" w:themeColor="text1"/>
          <w:szCs w:val="22"/>
        </w:rPr>
        <w:t>, including:</w:t>
      </w:r>
    </w:p>
    <w:p w14:paraId="3AE9C4BC" w14:textId="0AE7810C" w:rsidR="00AC1C6D" w:rsidRPr="00CB093C" w:rsidRDefault="00AC1C6D"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a summary of the key findings from the overall section including a summary of the report card score</w:t>
      </w:r>
    </w:p>
    <w:p w14:paraId="7918B986" w14:textId="73E8F2FC" w:rsidR="00AC1C6D" w:rsidRPr="00CB093C" w:rsidRDefault="00AC1C6D"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seagrass abundance and extent</w:t>
      </w:r>
    </w:p>
    <w:p w14:paraId="4492502D" w14:textId="4ABEA116" w:rsidR="00AC1C6D" w:rsidRPr="00CB093C" w:rsidRDefault="00AC1C6D"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seagrass species composition based on life history traits</w:t>
      </w:r>
    </w:p>
    <w:p w14:paraId="3C1AA9FC" w14:textId="0E36A66E" w:rsidR="00AC1C6D" w:rsidRPr="00CB093C" w:rsidRDefault="00AC1C6D"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seagrass reproductive effort and seed banks</w:t>
      </w:r>
    </w:p>
    <w:p w14:paraId="65F80801" w14:textId="619B90D7" w:rsidR="00AC1C6D" w:rsidRPr="00CB093C" w:rsidRDefault="00AC1C6D"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seagrass leaf tissue content (C:N, N:P and C:P ratios)</w:t>
      </w:r>
    </w:p>
    <w:p w14:paraId="7757F7EF" w14:textId="281081DE" w:rsidR="00AC1C6D" w:rsidRPr="00CB093C" w:rsidRDefault="00AC1C6D"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epiphyte and macroalgae abundance</w:t>
      </w:r>
    </w:p>
    <w:p w14:paraId="77490A7B" w14:textId="11AE066E" w:rsidR="006B7B9D" w:rsidRPr="00CB093C" w:rsidRDefault="00E1050E" w:rsidP="00AD06D4">
      <w:pPr>
        <w:numPr>
          <w:ilvl w:val="0"/>
          <w:numId w:val="26"/>
        </w:numPr>
        <w:spacing w:before="60" w:after="60"/>
        <w:rPr>
          <w:rFonts w:ascii="Arial" w:hAnsi="Arial" w:cs="Arial"/>
          <w:color w:val="000000" w:themeColor="text1"/>
          <w:szCs w:val="22"/>
        </w:rPr>
      </w:pPr>
      <w:r w:rsidRPr="00CB093C">
        <w:rPr>
          <w:rFonts w:ascii="Arial" w:hAnsi="Arial" w:cs="Arial"/>
          <w:color w:val="000000" w:themeColor="text1"/>
          <w:szCs w:val="22"/>
        </w:rPr>
        <w:t>l</w:t>
      </w:r>
      <w:r w:rsidR="00AD0F49" w:rsidRPr="00CB093C">
        <w:rPr>
          <w:rFonts w:ascii="Arial" w:hAnsi="Arial" w:cs="Arial"/>
          <w:color w:val="000000" w:themeColor="text1"/>
          <w:szCs w:val="22"/>
        </w:rPr>
        <w:t xml:space="preserve">inkage back to </w:t>
      </w:r>
      <w:r w:rsidR="0041500F" w:rsidRPr="00CB093C">
        <w:rPr>
          <w:rFonts w:ascii="Arial" w:hAnsi="Arial" w:cs="Arial"/>
          <w:color w:val="000000" w:themeColor="text1"/>
          <w:szCs w:val="22"/>
        </w:rPr>
        <w:t xml:space="preserve">broad-scale </w:t>
      </w:r>
      <w:r w:rsidR="006B7B9D" w:rsidRPr="00CB093C">
        <w:rPr>
          <w:rFonts w:ascii="Arial" w:hAnsi="Arial" w:cs="Arial"/>
          <w:color w:val="000000" w:themeColor="text1"/>
          <w:szCs w:val="22"/>
        </w:rPr>
        <w:t>environmental pressures</w:t>
      </w:r>
      <w:r w:rsidR="008D1915" w:rsidRPr="00CB093C">
        <w:rPr>
          <w:rFonts w:ascii="Arial" w:hAnsi="Arial" w:cs="Arial"/>
          <w:color w:val="000000" w:themeColor="text1"/>
          <w:szCs w:val="22"/>
        </w:rPr>
        <w:t>.</w:t>
      </w:r>
    </w:p>
    <w:p w14:paraId="28D71EBE" w14:textId="6C3367BB" w:rsidR="00AC1C6D" w:rsidRPr="00CB093C" w:rsidRDefault="00D1356E" w:rsidP="00AC1C6D">
      <w:pPr>
        <w:rPr>
          <w:rFonts w:ascii="Arial" w:hAnsi="Arial" w:cs="Arial"/>
          <w:color w:val="000000" w:themeColor="text1"/>
          <w:szCs w:val="22"/>
        </w:rPr>
      </w:pPr>
      <w:r w:rsidRPr="00CB093C">
        <w:rPr>
          <w:rFonts w:ascii="Arial" w:hAnsi="Arial" w:cs="Arial"/>
          <w:color w:val="000000" w:themeColor="text1"/>
          <w:szCs w:val="22"/>
        </w:rPr>
        <w:t xml:space="preserve">Detailed results for each </w:t>
      </w:r>
      <w:r w:rsidR="00C526E5" w:rsidRPr="00CB093C">
        <w:rPr>
          <w:rFonts w:ascii="Arial" w:hAnsi="Arial" w:cs="Arial"/>
          <w:color w:val="000000" w:themeColor="text1"/>
          <w:szCs w:val="22"/>
        </w:rPr>
        <w:t>r</w:t>
      </w:r>
      <w:r w:rsidRPr="00CB093C">
        <w:rPr>
          <w:rFonts w:ascii="Arial" w:hAnsi="Arial" w:cs="Arial"/>
          <w:color w:val="000000" w:themeColor="text1"/>
          <w:szCs w:val="22"/>
        </w:rPr>
        <w:t>egion are presented in the next section</w:t>
      </w:r>
      <w:r w:rsidR="000A6AD3" w:rsidRPr="00CB093C">
        <w:rPr>
          <w:rFonts w:ascii="Arial" w:hAnsi="Arial" w:cs="Arial"/>
          <w:color w:val="000000" w:themeColor="text1"/>
          <w:szCs w:val="22"/>
        </w:rPr>
        <w:t>.</w:t>
      </w:r>
      <w:r w:rsidRPr="00CB093C" w:rsidDel="00F039CC">
        <w:rPr>
          <w:rFonts w:ascii="Arial" w:hAnsi="Arial" w:cs="Arial"/>
          <w:color w:val="000000" w:themeColor="text1"/>
          <w:szCs w:val="22"/>
        </w:rPr>
        <w:t xml:space="preserve"> </w:t>
      </w:r>
      <w:r w:rsidRPr="00CB093C">
        <w:rPr>
          <w:rFonts w:ascii="Arial" w:hAnsi="Arial" w:cs="Arial"/>
          <w:color w:val="000000" w:themeColor="text1"/>
          <w:szCs w:val="22"/>
        </w:rPr>
        <w:t>S</w:t>
      </w:r>
      <w:r w:rsidR="00AC1C6D" w:rsidRPr="00CB093C">
        <w:rPr>
          <w:rFonts w:ascii="Arial" w:hAnsi="Arial" w:cs="Arial"/>
          <w:color w:val="000000" w:themeColor="text1"/>
          <w:szCs w:val="22"/>
        </w:rPr>
        <w:t xml:space="preserve">upporting data </w:t>
      </w:r>
      <w:r w:rsidRPr="00CB093C">
        <w:rPr>
          <w:rFonts w:ascii="Arial" w:hAnsi="Arial" w:cs="Arial"/>
          <w:color w:val="000000" w:themeColor="text1"/>
          <w:szCs w:val="22"/>
        </w:rPr>
        <w:t xml:space="preserve">identified as </w:t>
      </w:r>
      <w:r w:rsidR="00AC1C6D" w:rsidRPr="00CB093C">
        <w:rPr>
          <w:rFonts w:ascii="Arial" w:hAnsi="Arial" w:cs="Arial"/>
          <w:color w:val="000000" w:themeColor="text1"/>
          <w:szCs w:val="22"/>
        </w:rPr>
        <w:t>important in understanding any long-term trends is detailed within Appendix 3 and 4</w:t>
      </w:r>
      <w:r w:rsidR="00AD0F49" w:rsidRPr="00CB093C">
        <w:rPr>
          <w:rFonts w:ascii="Arial" w:hAnsi="Arial" w:cs="Arial"/>
          <w:color w:val="000000" w:themeColor="text1"/>
          <w:szCs w:val="22"/>
        </w:rPr>
        <w:t>.</w:t>
      </w:r>
    </w:p>
    <w:p w14:paraId="7419E774" w14:textId="49DF43B7" w:rsidR="00AC1C6D" w:rsidRPr="00CB093C" w:rsidRDefault="00F206BF" w:rsidP="0015509E">
      <w:pPr>
        <w:pStyle w:val="Heading2"/>
      </w:pPr>
      <w:bookmarkStart w:id="176" w:name="_Toc11394716"/>
      <w:r w:rsidRPr="00CB093C">
        <w:t>Reef</w:t>
      </w:r>
      <w:r w:rsidR="00AC1C6D" w:rsidRPr="00CB093C">
        <w:t xml:space="preserve">-wide </w:t>
      </w:r>
      <w:r w:rsidR="0035787B" w:rsidRPr="00CB093C">
        <w:t>seagrass condition and trend</w:t>
      </w:r>
      <w:bookmarkEnd w:id="176"/>
    </w:p>
    <w:p w14:paraId="41D1565F" w14:textId="386CA406" w:rsidR="00A97774" w:rsidRPr="00CB093C" w:rsidRDefault="00AC1C6D" w:rsidP="00D2585E">
      <w:pPr>
        <w:autoSpaceDE w:val="0"/>
        <w:autoSpaceDN w:val="0"/>
        <w:adjustRightInd w:val="0"/>
        <w:rPr>
          <w:rFonts w:ascii="Arial" w:hAnsi="Arial" w:cs="Arial"/>
          <w:szCs w:val="22"/>
          <w:lang w:eastAsia="x-none"/>
        </w:rPr>
      </w:pPr>
      <w:r w:rsidRPr="00CB093C">
        <w:rPr>
          <w:rFonts w:ascii="Arial" w:hAnsi="Arial" w:cs="Arial"/>
          <w:szCs w:val="22"/>
        </w:rPr>
        <w:t xml:space="preserve">Inshore seagrass meadows across the Reef declined in overall condition in </w:t>
      </w:r>
      <w:r w:rsidR="003654C6">
        <w:rPr>
          <w:rFonts w:ascii="Arial" w:hAnsi="Arial" w:cs="Arial"/>
          <w:szCs w:val="22"/>
        </w:rPr>
        <w:t>2017–18</w:t>
      </w:r>
      <w:r w:rsidR="00C81636" w:rsidRPr="00CB093C">
        <w:rPr>
          <w:rFonts w:ascii="Arial" w:hAnsi="Arial" w:cs="Arial"/>
          <w:szCs w:val="22"/>
        </w:rPr>
        <w:t xml:space="preserve"> </w:t>
      </w:r>
      <w:r w:rsidR="0035787B" w:rsidRPr="00CB093C">
        <w:rPr>
          <w:rFonts w:ascii="Arial" w:hAnsi="Arial" w:cs="Arial"/>
          <w:szCs w:val="22"/>
        </w:rPr>
        <w:t>and remain poor (</w:t>
      </w:r>
      <w:r w:rsidR="0035787B" w:rsidRPr="00CB093C">
        <w:rPr>
          <w:rFonts w:ascii="Arial" w:hAnsi="Arial" w:cs="Arial"/>
          <w:szCs w:val="22"/>
        </w:rPr>
        <w:fldChar w:fldCharType="begin"/>
      </w:r>
      <w:r w:rsidR="0035787B" w:rsidRPr="00CB093C">
        <w:rPr>
          <w:rFonts w:ascii="Arial" w:hAnsi="Arial" w:cs="Arial"/>
          <w:szCs w:val="22"/>
        </w:rPr>
        <w:instrText xml:space="preserve"> REF _Ref536800910 \h </w:instrText>
      </w:r>
      <w:r w:rsidR="000A6AD3" w:rsidRPr="00CB093C">
        <w:rPr>
          <w:rFonts w:ascii="Arial" w:hAnsi="Arial" w:cs="Arial"/>
          <w:szCs w:val="22"/>
        </w:rPr>
        <w:instrText xml:space="preserve"> \* MERGEFORMAT </w:instrText>
      </w:r>
      <w:r w:rsidR="0035787B" w:rsidRPr="00CB093C">
        <w:rPr>
          <w:rFonts w:ascii="Arial" w:hAnsi="Arial" w:cs="Arial"/>
          <w:szCs w:val="22"/>
        </w:rPr>
      </w:r>
      <w:r w:rsidR="0035787B"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15</w:t>
      </w:r>
      <w:r w:rsidR="0035787B" w:rsidRPr="00CB093C">
        <w:rPr>
          <w:rFonts w:ascii="Arial" w:hAnsi="Arial" w:cs="Arial"/>
          <w:szCs w:val="22"/>
        </w:rPr>
        <w:fldChar w:fldCharType="end"/>
      </w:r>
      <w:r w:rsidR="0035787B" w:rsidRPr="00CB093C">
        <w:rPr>
          <w:rFonts w:ascii="Arial" w:hAnsi="Arial" w:cs="Arial"/>
          <w:szCs w:val="22"/>
        </w:rPr>
        <w:t>).</w:t>
      </w:r>
      <w:r w:rsidR="00A97774" w:rsidRPr="00CB093C">
        <w:rPr>
          <w:rFonts w:ascii="Arial" w:hAnsi="Arial" w:cs="Arial"/>
          <w:szCs w:val="22"/>
        </w:rPr>
        <w:t xml:space="preserve"> </w:t>
      </w:r>
      <w:r w:rsidR="00A97774" w:rsidRPr="00CB093C">
        <w:rPr>
          <w:rFonts w:ascii="Arial" w:hAnsi="Arial" w:cs="Arial"/>
          <w:szCs w:val="22"/>
          <w:lang w:eastAsia="x-none"/>
        </w:rPr>
        <w:t>Seagrass meadows declined to their lowest score in 5 years, negating some of the recovery since its lowest score in 2011</w:t>
      </w:r>
      <w:r w:rsidR="00FD625B" w:rsidRPr="00CB093C">
        <w:rPr>
          <w:rFonts w:ascii="Arial" w:hAnsi="Arial" w:cs="Arial"/>
          <w:szCs w:val="22"/>
          <w:lang w:eastAsia="x-none"/>
        </w:rPr>
        <w:t>–</w:t>
      </w:r>
      <w:r w:rsidR="007D143C" w:rsidRPr="00CB093C">
        <w:rPr>
          <w:rFonts w:ascii="Arial" w:hAnsi="Arial" w:cs="Arial"/>
          <w:szCs w:val="22"/>
          <w:lang w:eastAsia="x-none"/>
        </w:rPr>
        <w:t>20</w:t>
      </w:r>
      <w:r w:rsidR="00A97774" w:rsidRPr="00CB093C">
        <w:rPr>
          <w:rFonts w:ascii="Arial" w:hAnsi="Arial" w:cs="Arial"/>
          <w:szCs w:val="22"/>
          <w:lang w:eastAsia="x-none"/>
        </w:rPr>
        <w:t xml:space="preserve">12 </w:t>
      </w:r>
      <w:r w:rsidR="00A97774" w:rsidRPr="00CB093C">
        <w:rPr>
          <w:rFonts w:ascii="Arial" w:hAnsi="Arial" w:cs="Arial"/>
          <w:szCs w:val="22"/>
        </w:rPr>
        <w:t>(</w:t>
      </w:r>
      <w:r w:rsidR="00A97774" w:rsidRPr="00CB093C">
        <w:rPr>
          <w:rFonts w:ascii="Arial" w:hAnsi="Arial" w:cs="Arial"/>
          <w:szCs w:val="22"/>
        </w:rPr>
        <w:fldChar w:fldCharType="begin"/>
      </w:r>
      <w:r w:rsidR="00A97774" w:rsidRPr="00CB093C">
        <w:rPr>
          <w:rFonts w:ascii="Arial" w:hAnsi="Arial" w:cs="Arial"/>
          <w:szCs w:val="22"/>
        </w:rPr>
        <w:instrText xml:space="preserve"> REF _Ref536800910 \h </w:instrText>
      </w:r>
      <w:r w:rsidR="000A6AD3" w:rsidRPr="00CB093C">
        <w:rPr>
          <w:rFonts w:ascii="Arial" w:hAnsi="Arial" w:cs="Arial"/>
          <w:szCs w:val="22"/>
        </w:rPr>
        <w:instrText xml:space="preserve"> \* MERGEFORMAT </w:instrText>
      </w:r>
      <w:r w:rsidR="00A97774" w:rsidRPr="00CB093C">
        <w:rPr>
          <w:rFonts w:ascii="Arial" w:hAnsi="Arial" w:cs="Arial"/>
          <w:szCs w:val="22"/>
        </w:rPr>
      </w:r>
      <w:r w:rsidR="00A97774"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15</w:t>
      </w:r>
      <w:r w:rsidR="00A97774" w:rsidRPr="00CB093C">
        <w:rPr>
          <w:rFonts w:ascii="Arial" w:hAnsi="Arial" w:cs="Arial"/>
          <w:szCs w:val="22"/>
        </w:rPr>
        <w:fldChar w:fldCharType="end"/>
      </w:r>
      <w:r w:rsidR="00A97774" w:rsidRPr="00CB093C">
        <w:rPr>
          <w:rFonts w:ascii="Arial" w:hAnsi="Arial" w:cs="Arial"/>
          <w:szCs w:val="22"/>
        </w:rPr>
        <w:t>)</w:t>
      </w:r>
      <w:r w:rsidR="00A97774" w:rsidRPr="00CB093C">
        <w:rPr>
          <w:rFonts w:ascii="Arial" w:hAnsi="Arial" w:cs="Arial"/>
          <w:szCs w:val="22"/>
          <w:lang w:eastAsia="x-none"/>
        </w:rPr>
        <w:t xml:space="preserve">. </w:t>
      </w:r>
    </w:p>
    <w:p w14:paraId="17C3D0C0" w14:textId="200F830F" w:rsidR="00837790" w:rsidRPr="00CB093C" w:rsidRDefault="00AD0F49" w:rsidP="00D2585E">
      <w:pPr>
        <w:autoSpaceDE w:val="0"/>
        <w:autoSpaceDN w:val="0"/>
        <w:adjustRightInd w:val="0"/>
        <w:rPr>
          <w:rFonts w:ascii="Arial" w:hAnsi="Arial" w:cs="Arial"/>
          <w:szCs w:val="22"/>
          <w:lang w:eastAsia="x-none"/>
        </w:rPr>
      </w:pPr>
      <w:r w:rsidRPr="00CB093C">
        <w:rPr>
          <w:rFonts w:ascii="Arial" w:hAnsi="Arial" w:cs="Arial"/>
          <w:szCs w:val="22"/>
          <w:lang w:eastAsia="x-none"/>
        </w:rPr>
        <w:t>In summary, t</w:t>
      </w:r>
      <w:r w:rsidR="00A97774" w:rsidRPr="00CB093C">
        <w:rPr>
          <w:rFonts w:ascii="Arial" w:hAnsi="Arial" w:cs="Arial"/>
          <w:szCs w:val="22"/>
          <w:lang w:eastAsia="x-none"/>
        </w:rPr>
        <w:t>he decline was due to lower scores in each of the condition indicators</w:t>
      </w:r>
      <w:r w:rsidR="00837790" w:rsidRPr="00CB093C">
        <w:rPr>
          <w:rFonts w:ascii="Arial" w:hAnsi="Arial" w:cs="Arial"/>
          <w:szCs w:val="22"/>
          <w:lang w:eastAsia="x-none"/>
        </w:rPr>
        <w:t>:</w:t>
      </w:r>
      <w:r w:rsidR="00A97774" w:rsidRPr="00CB093C">
        <w:rPr>
          <w:rFonts w:ascii="Arial" w:hAnsi="Arial" w:cs="Arial"/>
          <w:szCs w:val="22"/>
          <w:lang w:eastAsia="x-none"/>
        </w:rPr>
        <w:t xml:space="preserve"> </w:t>
      </w:r>
    </w:p>
    <w:p w14:paraId="0DBAC198" w14:textId="60D71F38" w:rsidR="00837790" w:rsidRPr="00CB093C" w:rsidRDefault="00A97774" w:rsidP="00AD06D4">
      <w:pPr>
        <w:pStyle w:val="ListParagraph"/>
        <w:numPr>
          <w:ilvl w:val="0"/>
          <w:numId w:val="29"/>
        </w:numPr>
        <w:rPr>
          <w:rFonts w:ascii="Arial" w:hAnsi="Arial" w:cs="Arial"/>
          <w:szCs w:val="22"/>
        </w:rPr>
      </w:pPr>
      <w:r w:rsidRPr="00CB093C">
        <w:rPr>
          <w:rFonts w:ascii="Arial" w:hAnsi="Arial" w:cs="Arial"/>
          <w:szCs w:val="22"/>
          <w:lang w:eastAsia="x-none"/>
        </w:rPr>
        <w:t xml:space="preserve">The </w:t>
      </w:r>
      <w:r w:rsidR="003654C6">
        <w:rPr>
          <w:rFonts w:ascii="Arial" w:hAnsi="Arial" w:cs="Arial"/>
          <w:szCs w:val="22"/>
          <w:lang w:eastAsia="x-none"/>
        </w:rPr>
        <w:t>2017–18</w:t>
      </w:r>
      <w:r w:rsidRPr="00CB093C">
        <w:rPr>
          <w:rFonts w:ascii="Arial" w:hAnsi="Arial" w:cs="Arial"/>
          <w:szCs w:val="22"/>
          <w:lang w:eastAsia="x-none"/>
        </w:rPr>
        <w:t xml:space="preserve"> year was the second consecutive year seagrass abundance had declined</w:t>
      </w:r>
      <w:r w:rsidR="00837790" w:rsidRPr="00CB093C">
        <w:rPr>
          <w:rFonts w:ascii="Arial" w:hAnsi="Arial" w:cs="Arial"/>
          <w:szCs w:val="22"/>
          <w:lang w:eastAsia="x-none"/>
        </w:rPr>
        <w:t xml:space="preserve">. </w:t>
      </w:r>
      <w:r w:rsidR="00837790" w:rsidRPr="00CB093C">
        <w:rPr>
          <w:rFonts w:ascii="Arial" w:hAnsi="Arial" w:cs="Arial"/>
          <w:szCs w:val="22"/>
        </w:rPr>
        <w:t>Seagrass abundance (</w:t>
      </w:r>
      <w:r w:rsidR="00882B72" w:rsidRPr="00CB093C">
        <w:rPr>
          <w:rFonts w:ascii="Arial" w:hAnsi="Arial" w:cs="Arial"/>
          <w:szCs w:val="22"/>
        </w:rPr>
        <w:t>%</w:t>
      </w:r>
      <w:r w:rsidR="00837790" w:rsidRPr="00CB093C">
        <w:rPr>
          <w:rFonts w:ascii="Arial" w:hAnsi="Arial" w:cs="Arial"/>
          <w:szCs w:val="22"/>
        </w:rPr>
        <w:t xml:space="preserve"> cover) at meadows monitored in the MMP declined from 2005</w:t>
      </w:r>
      <w:r w:rsidR="00FD625B" w:rsidRPr="00CB093C">
        <w:rPr>
          <w:rFonts w:ascii="Arial" w:hAnsi="Arial" w:cs="Arial"/>
          <w:szCs w:val="22"/>
        </w:rPr>
        <w:t>–</w:t>
      </w:r>
      <w:r w:rsidR="007D143C" w:rsidRPr="00CB093C">
        <w:rPr>
          <w:rFonts w:ascii="Arial" w:hAnsi="Arial" w:cs="Arial"/>
          <w:szCs w:val="22"/>
        </w:rPr>
        <w:t>20</w:t>
      </w:r>
      <w:r w:rsidR="00837790" w:rsidRPr="00CB093C">
        <w:rPr>
          <w:rFonts w:ascii="Arial" w:hAnsi="Arial" w:cs="Arial"/>
          <w:szCs w:val="22"/>
        </w:rPr>
        <w:t>06 until 2012</w:t>
      </w:r>
      <w:r w:rsidR="00FD625B" w:rsidRPr="00CB093C">
        <w:rPr>
          <w:rFonts w:ascii="Arial" w:hAnsi="Arial" w:cs="Arial"/>
          <w:szCs w:val="22"/>
        </w:rPr>
        <w:t>–</w:t>
      </w:r>
      <w:r w:rsidR="007D143C" w:rsidRPr="00CB093C">
        <w:rPr>
          <w:rFonts w:ascii="Arial" w:hAnsi="Arial" w:cs="Arial"/>
          <w:szCs w:val="22"/>
        </w:rPr>
        <w:t>20</w:t>
      </w:r>
      <w:r w:rsidR="00837790" w:rsidRPr="00CB093C">
        <w:rPr>
          <w:rFonts w:ascii="Arial" w:hAnsi="Arial" w:cs="Arial"/>
          <w:szCs w:val="22"/>
        </w:rPr>
        <w:t>13</w:t>
      </w:r>
      <w:r w:rsidR="00837790" w:rsidRPr="00CB093C">
        <w:rPr>
          <w:rFonts w:ascii="Arial" w:hAnsi="Arial" w:cs="Arial"/>
          <w:szCs w:val="22"/>
          <w:lang w:eastAsia="en-AU"/>
        </w:rPr>
        <w:t xml:space="preserve">, caused by multiple years of above-average rainfall followed by </w:t>
      </w:r>
      <w:r w:rsidR="00837790" w:rsidRPr="00CB093C">
        <w:rPr>
          <w:rFonts w:ascii="Arial" w:hAnsi="Arial" w:cs="Arial"/>
          <w:szCs w:val="22"/>
        </w:rPr>
        <w:t>extreme weather events, after which abundances increased (</w:t>
      </w:r>
      <w:r w:rsidR="00837790" w:rsidRPr="00CB093C">
        <w:rPr>
          <w:rFonts w:ascii="Arial" w:hAnsi="Arial" w:cs="Arial"/>
          <w:szCs w:val="22"/>
        </w:rPr>
        <w:fldChar w:fldCharType="begin"/>
      </w:r>
      <w:r w:rsidR="00837790" w:rsidRPr="00CB093C">
        <w:rPr>
          <w:rFonts w:ascii="Arial" w:hAnsi="Arial" w:cs="Arial"/>
          <w:szCs w:val="22"/>
        </w:rPr>
        <w:instrText xml:space="preserve"> REF _Ref536800910 \h </w:instrText>
      </w:r>
      <w:r w:rsidR="00CB093C" w:rsidRPr="00CB093C">
        <w:rPr>
          <w:rFonts w:ascii="Arial" w:hAnsi="Arial" w:cs="Arial"/>
          <w:szCs w:val="22"/>
        </w:rPr>
        <w:instrText xml:space="preserve"> \* MERGEFORMAT </w:instrText>
      </w:r>
      <w:r w:rsidR="00837790" w:rsidRPr="00CB093C">
        <w:rPr>
          <w:rFonts w:ascii="Arial" w:hAnsi="Arial" w:cs="Arial"/>
          <w:szCs w:val="22"/>
        </w:rPr>
      </w:r>
      <w:r w:rsidR="00837790"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15</w:t>
      </w:r>
      <w:r w:rsidR="00837790" w:rsidRPr="00CB093C">
        <w:rPr>
          <w:rFonts w:ascii="Arial" w:hAnsi="Arial" w:cs="Arial"/>
          <w:szCs w:val="22"/>
        </w:rPr>
        <w:fldChar w:fldCharType="end"/>
      </w:r>
      <w:r w:rsidR="00837790" w:rsidRPr="00CB093C">
        <w:rPr>
          <w:rFonts w:ascii="Arial" w:hAnsi="Arial" w:cs="Arial"/>
          <w:szCs w:val="22"/>
        </w:rPr>
        <w:t xml:space="preserve">, </w:t>
      </w:r>
      <w:r w:rsidR="00837790" w:rsidRPr="00CB093C">
        <w:rPr>
          <w:rFonts w:ascii="Arial" w:hAnsi="Arial" w:cs="Arial"/>
          <w:szCs w:val="22"/>
        </w:rPr>
        <w:fldChar w:fldCharType="begin"/>
      </w:r>
      <w:r w:rsidR="00837790" w:rsidRPr="00CB093C">
        <w:rPr>
          <w:rFonts w:ascii="Arial" w:hAnsi="Arial" w:cs="Arial"/>
          <w:szCs w:val="22"/>
        </w:rPr>
        <w:instrText xml:space="preserve"> REF _Ref442456518 \h </w:instrText>
      </w:r>
      <w:r w:rsidR="00CB093C" w:rsidRPr="00CB093C">
        <w:rPr>
          <w:rFonts w:ascii="Arial" w:hAnsi="Arial" w:cs="Arial"/>
          <w:szCs w:val="22"/>
        </w:rPr>
        <w:instrText xml:space="preserve"> \* MERGEFORMAT </w:instrText>
      </w:r>
      <w:r w:rsidR="00837790" w:rsidRPr="00CB093C">
        <w:rPr>
          <w:rFonts w:ascii="Arial" w:hAnsi="Arial" w:cs="Arial"/>
          <w:szCs w:val="22"/>
        </w:rPr>
      </w:r>
      <w:r w:rsidR="00837790"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17</w:t>
      </w:r>
      <w:r w:rsidR="00837790" w:rsidRPr="00CB093C">
        <w:rPr>
          <w:rFonts w:ascii="Arial" w:hAnsi="Arial" w:cs="Arial"/>
          <w:szCs w:val="22"/>
        </w:rPr>
        <w:fldChar w:fldCharType="end"/>
      </w:r>
      <w:r w:rsidR="00837790" w:rsidRPr="00CB093C">
        <w:rPr>
          <w:rFonts w:ascii="Arial" w:hAnsi="Arial" w:cs="Arial"/>
          <w:szCs w:val="22"/>
        </w:rPr>
        <w:t xml:space="preserve">b). Based on the average score against the seagrass guidelines (determined at the site level), the abundance of inshore seagrass in the </w:t>
      </w:r>
      <w:r w:rsidR="00F206BF" w:rsidRPr="00CB093C">
        <w:rPr>
          <w:rFonts w:ascii="Arial" w:hAnsi="Arial" w:cs="Arial"/>
          <w:szCs w:val="22"/>
        </w:rPr>
        <w:t>Reef</w:t>
      </w:r>
      <w:r w:rsidR="00837790" w:rsidRPr="00CB093C">
        <w:rPr>
          <w:rFonts w:ascii="Arial" w:hAnsi="Arial" w:cs="Arial"/>
          <w:szCs w:val="22"/>
        </w:rPr>
        <w:t xml:space="preserve"> over the </w:t>
      </w:r>
      <w:r w:rsidR="003654C6">
        <w:rPr>
          <w:rFonts w:ascii="Arial" w:hAnsi="Arial" w:cs="Arial"/>
          <w:color w:val="000000" w:themeColor="text1"/>
          <w:szCs w:val="22"/>
        </w:rPr>
        <w:t>2017–18</w:t>
      </w:r>
      <w:r w:rsidR="00837790" w:rsidRPr="00CB093C">
        <w:rPr>
          <w:rFonts w:ascii="Arial" w:hAnsi="Arial" w:cs="Arial"/>
          <w:color w:val="000000" w:themeColor="text1"/>
          <w:szCs w:val="22"/>
        </w:rPr>
        <w:t xml:space="preserve"> period declined for the second year in a row but remained in a moderate grade (</w:t>
      </w:r>
      <w:r w:rsidR="00837790" w:rsidRPr="00CB093C">
        <w:rPr>
          <w:rFonts w:ascii="Arial" w:hAnsi="Arial" w:cs="Arial"/>
          <w:szCs w:val="22"/>
        </w:rPr>
        <w:fldChar w:fldCharType="begin"/>
      </w:r>
      <w:r w:rsidR="00837790" w:rsidRPr="00CB093C">
        <w:rPr>
          <w:rFonts w:ascii="Arial" w:hAnsi="Arial" w:cs="Arial"/>
          <w:szCs w:val="22"/>
        </w:rPr>
        <w:instrText xml:space="preserve"> REF _Ref536800910 \h </w:instrText>
      </w:r>
      <w:r w:rsidR="00CB093C" w:rsidRPr="00CB093C">
        <w:rPr>
          <w:rFonts w:ascii="Arial" w:hAnsi="Arial" w:cs="Arial"/>
          <w:szCs w:val="22"/>
        </w:rPr>
        <w:instrText xml:space="preserve"> \* MERGEFORMAT </w:instrText>
      </w:r>
      <w:r w:rsidR="00837790" w:rsidRPr="00CB093C">
        <w:rPr>
          <w:rFonts w:ascii="Arial" w:hAnsi="Arial" w:cs="Arial"/>
          <w:szCs w:val="22"/>
        </w:rPr>
      </w:r>
      <w:r w:rsidR="00837790"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15</w:t>
      </w:r>
      <w:r w:rsidR="00837790" w:rsidRPr="00CB093C">
        <w:rPr>
          <w:rFonts w:ascii="Arial" w:hAnsi="Arial" w:cs="Arial"/>
          <w:szCs w:val="22"/>
        </w:rPr>
        <w:fldChar w:fldCharType="end"/>
      </w:r>
      <w:r w:rsidR="00837790" w:rsidRPr="00CB093C">
        <w:rPr>
          <w:rFonts w:ascii="Arial" w:hAnsi="Arial" w:cs="Arial"/>
          <w:color w:val="000000" w:themeColor="text1"/>
          <w:szCs w:val="22"/>
        </w:rPr>
        <w:t xml:space="preserve">). </w:t>
      </w:r>
      <w:r w:rsidRPr="00CB093C">
        <w:rPr>
          <w:rFonts w:ascii="Arial" w:hAnsi="Arial" w:cs="Arial"/>
          <w:szCs w:val="22"/>
          <w:lang w:eastAsia="x-none"/>
        </w:rPr>
        <w:t xml:space="preserve"> </w:t>
      </w:r>
    </w:p>
    <w:p w14:paraId="4D7E5923" w14:textId="4D9FF7E5" w:rsidR="0035787B" w:rsidRPr="00CB093C" w:rsidRDefault="00837790" w:rsidP="00AD06D4">
      <w:pPr>
        <w:pStyle w:val="ListParagraph"/>
        <w:numPr>
          <w:ilvl w:val="0"/>
          <w:numId w:val="29"/>
        </w:numPr>
        <w:autoSpaceDE w:val="0"/>
        <w:autoSpaceDN w:val="0"/>
        <w:adjustRightInd w:val="0"/>
        <w:rPr>
          <w:rFonts w:ascii="Arial" w:hAnsi="Arial" w:cs="Arial"/>
          <w:szCs w:val="22"/>
          <w:lang w:eastAsia="en-AU"/>
        </w:rPr>
      </w:pPr>
      <w:r w:rsidRPr="00CB093C">
        <w:rPr>
          <w:rFonts w:ascii="Arial" w:hAnsi="Arial" w:cs="Arial"/>
          <w:szCs w:val="22"/>
          <w:lang w:eastAsia="x-none"/>
        </w:rPr>
        <w:t xml:space="preserve">The </w:t>
      </w:r>
      <w:r w:rsidR="003654C6">
        <w:rPr>
          <w:rFonts w:ascii="Arial" w:hAnsi="Arial" w:cs="Arial"/>
          <w:szCs w:val="22"/>
          <w:lang w:eastAsia="x-none"/>
        </w:rPr>
        <w:t>2017–18</w:t>
      </w:r>
      <w:r w:rsidRPr="00CB093C">
        <w:rPr>
          <w:rFonts w:ascii="Arial" w:hAnsi="Arial" w:cs="Arial"/>
          <w:szCs w:val="22"/>
          <w:lang w:eastAsia="x-none"/>
        </w:rPr>
        <w:t xml:space="preserve"> year was</w:t>
      </w:r>
      <w:r w:rsidR="00A97774" w:rsidRPr="00CB093C">
        <w:rPr>
          <w:rFonts w:ascii="Arial" w:hAnsi="Arial" w:cs="Arial"/>
          <w:szCs w:val="22"/>
          <w:lang w:eastAsia="x-none"/>
        </w:rPr>
        <w:t xml:space="preserve"> the fourth consecutive year of declining reproductive effort (</w:t>
      </w:r>
      <w:r w:rsidR="00A97774" w:rsidRPr="00CB093C">
        <w:rPr>
          <w:rFonts w:ascii="Arial" w:hAnsi="Arial" w:cs="Arial"/>
          <w:szCs w:val="22"/>
        </w:rPr>
        <w:fldChar w:fldCharType="begin"/>
      </w:r>
      <w:r w:rsidR="00A97774" w:rsidRPr="00CB093C">
        <w:rPr>
          <w:rFonts w:ascii="Arial" w:hAnsi="Arial" w:cs="Arial"/>
          <w:szCs w:val="22"/>
        </w:rPr>
        <w:instrText xml:space="preserve"> REF _Ref536800910 \h </w:instrText>
      </w:r>
      <w:r w:rsidR="00CB093C" w:rsidRPr="00CB093C">
        <w:rPr>
          <w:rFonts w:ascii="Arial" w:hAnsi="Arial" w:cs="Arial"/>
          <w:szCs w:val="22"/>
        </w:rPr>
        <w:instrText xml:space="preserve"> \* MERGEFORMAT </w:instrText>
      </w:r>
      <w:r w:rsidR="00A97774" w:rsidRPr="00CB093C">
        <w:rPr>
          <w:rFonts w:ascii="Arial" w:hAnsi="Arial" w:cs="Arial"/>
          <w:szCs w:val="22"/>
        </w:rPr>
      </w:r>
      <w:r w:rsidR="00A97774"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15</w:t>
      </w:r>
      <w:r w:rsidR="00A97774" w:rsidRPr="00CB093C">
        <w:rPr>
          <w:rFonts w:ascii="Arial" w:hAnsi="Arial" w:cs="Arial"/>
          <w:szCs w:val="22"/>
        </w:rPr>
        <w:fldChar w:fldCharType="end"/>
      </w:r>
      <w:r w:rsidR="00A97774" w:rsidRPr="00CB093C">
        <w:rPr>
          <w:rFonts w:ascii="Arial" w:hAnsi="Arial" w:cs="Arial"/>
          <w:szCs w:val="22"/>
        </w:rPr>
        <w:t>)</w:t>
      </w:r>
      <w:r w:rsidR="00A97774" w:rsidRPr="00CB093C">
        <w:rPr>
          <w:rFonts w:ascii="Arial" w:hAnsi="Arial" w:cs="Arial"/>
          <w:szCs w:val="22"/>
          <w:lang w:eastAsia="x-none"/>
        </w:rPr>
        <w:t xml:space="preserve">. </w:t>
      </w:r>
      <w:r w:rsidR="00AC1C6D" w:rsidRPr="00CB093C">
        <w:rPr>
          <w:rFonts w:ascii="Arial" w:hAnsi="Arial" w:cs="Arial"/>
          <w:szCs w:val="22"/>
        </w:rPr>
        <w:t xml:space="preserve">Reef-wide reproductive effort in </w:t>
      </w:r>
      <w:r w:rsidR="003654C6">
        <w:rPr>
          <w:rFonts w:ascii="Arial" w:hAnsi="Arial" w:cs="Arial"/>
          <w:szCs w:val="22"/>
        </w:rPr>
        <w:t>2017–18</w:t>
      </w:r>
      <w:r w:rsidR="00C81636" w:rsidRPr="00CB093C">
        <w:rPr>
          <w:rFonts w:ascii="Arial" w:hAnsi="Arial" w:cs="Arial"/>
          <w:szCs w:val="22"/>
        </w:rPr>
        <w:t xml:space="preserve"> </w:t>
      </w:r>
      <w:r w:rsidR="00AC1C6D" w:rsidRPr="00CB093C">
        <w:rPr>
          <w:rFonts w:ascii="Arial" w:hAnsi="Arial" w:cs="Arial"/>
          <w:szCs w:val="22"/>
        </w:rPr>
        <w:t>remained very poor</w:t>
      </w:r>
      <w:r w:rsidR="0035787B" w:rsidRPr="00CB093C">
        <w:rPr>
          <w:rFonts w:ascii="Arial" w:hAnsi="Arial" w:cs="Arial"/>
          <w:szCs w:val="22"/>
        </w:rPr>
        <w:t xml:space="preserve"> (</w:t>
      </w:r>
      <w:r w:rsidR="0035787B" w:rsidRPr="00CB093C">
        <w:rPr>
          <w:rFonts w:ascii="Arial" w:hAnsi="Arial" w:cs="Arial"/>
          <w:szCs w:val="22"/>
        </w:rPr>
        <w:fldChar w:fldCharType="begin"/>
      </w:r>
      <w:r w:rsidR="0035787B" w:rsidRPr="00CB093C">
        <w:rPr>
          <w:rFonts w:ascii="Arial" w:hAnsi="Arial" w:cs="Arial"/>
          <w:szCs w:val="22"/>
        </w:rPr>
        <w:instrText xml:space="preserve"> REF _Ref536800910 \h </w:instrText>
      </w:r>
      <w:r w:rsidR="00CB093C" w:rsidRPr="00CB093C">
        <w:rPr>
          <w:rFonts w:ascii="Arial" w:hAnsi="Arial" w:cs="Arial"/>
          <w:szCs w:val="22"/>
        </w:rPr>
        <w:instrText xml:space="preserve"> \* MERGEFORMAT </w:instrText>
      </w:r>
      <w:r w:rsidR="0035787B" w:rsidRPr="00CB093C">
        <w:rPr>
          <w:rFonts w:ascii="Arial" w:hAnsi="Arial" w:cs="Arial"/>
          <w:szCs w:val="22"/>
        </w:rPr>
      </w:r>
      <w:r w:rsidR="0035787B"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15</w:t>
      </w:r>
      <w:r w:rsidR="0035787B" w:rsidRPr="00CB093C">
        <w:rPr>
          <w:rFonts w:ascii="Arial" w:hAnsi="Arial" w:cs="Arial"/>
          <w:szCs w:val="22"/>
        </w:rPr>
        <w:fldChar w:fldCharType="end"/>
      </w:r>
      <w:r w:rsidR="0035787B" w:rsidRPr="00CB093C">
        <w:rPr>
          <w:rFonts w:ascii="Arial" w:hAnsi="Arial" w:cs="Arial"/>
          <w:szCs w:val="22"/>
        </w:rPr>
        <w:t>)</w:t>
      </w:r>
      <w:r w:rsidR="00AC1C6D" w:rsidRPr="00CB093C">
        <w:rPr>
          <w:rFonts w:ascii="Arial" w:hAnsi="Arial" w:cs="Arial"/>
          <w:szCs w:val="22"/>
        </w:rPr>
        <w:t xml:space="preserve">. </w:t>
      </w:r>
      <w:r w:rsidR="0035787B" w:rsidRPr="00CB093C">
        <w:rPr>
          <w:rFonts w:ascii="Arial" w:hAnsi="Arial" w:cs="Arial"/>
          <w:szCs w:val="22"/>
        </w:rPr>
        <w:t xml:space="preserve">Low reproductive effort will hinder replenishment of the depauperate seed banks, and seed </w:t>
      </w:r>
      <w:r w:rsidR="0035787B" w:rsidRPr="00CB093C">
        <w:rPr>
          <w:rFonts w:ascii="Arial" w:hAnsi="Arial" w:cs="Arial"/>
          <w:szCs w:val="22"/>
        </w:rPr>
        <w:lastRenderedPageBreak/>
        <w:t xml:space="preserve">banks are therefore likely to remain low in coming years. Most meadows can be considered vulnerable to further disturbances because of their limited capacity to recover from seed (i.e. low resilience). </w:t>
      </w:r>
    </w:p>
    <w:p w14:paraId="032E7C18" w14:textId="2003FDB5" w:rsidR="0035787B" w:rsidRPr="00CB093C" w:rsidRDefault="00837790" w:rsidP="00AD06D4">
      <w:pPr>
        <w:pStyle w:val="ListParagraph"/>
        <w:numPr>
          <w:ilvl w:val="0"/>
          <w:numId w:val="29"/>
        </w:numPr>
        <w:autoSpaceDE w:val="0"/>
        <w:autoSpaceDN w:val="0"/>
        <w:adjustRightInd w:val="0"/>
        <w:rPr>
          <w:rFonts w:ascii="Arial" w:hAnsi="Arial" w:cs="Arial"/>
          <w:iCs/>
          <w:color w:val="000000" w:themeColor="text1"/>
          <w:szCs w:val="22"/>
        </w:rPr>
      </w:pPr>
      <w:r w:rsidRPr="00CB093C">
        <w:rPr>
          <w:rFonts w:ascii="Arial" w:hAnsi="Arial" w:cs="Arial"/>
          <w:szCs w:val="22"/>
          <w:lang w:eastAsia="x-none"/>
        </w:rPr>
        <w:t xml:space="preserve">The regression in tissue nutrients follows </w:t>
      </w:r>
      <w:r w:rsidR="001C4E89" w:rsidRPr="00CB093C">
        <w:rPr>
          <w:rFonts w:ascii="Arial" w:hAnsi="Arial" w:cs="Arial"/>
          <w:szCs w:val="22"/>
          <w:lang w:eastAsia="x-none"/>
        </w:rPr>
        <w:t>an improving trend since 2010–</w:t>
      </w:r>
      <w:r w:rsidR="00056F8D" w:rsidRPr="00CB093C">
        <w:rPr>
          <w:rFonts w:ascii="Arial" w:hAnsi="Arial" w:cs="Arial"/>
          <w:szCs w:val="22"/>
          <w:lang w:eastAsia="x-none"/>
        </w:rPr>
        <w:t>20</w:t>
      </w:r>
      <w:r w:rsidR="001C4E89" w:rsidRPr="00CB093C">
        <w:rPr>
          <w:rFonts w:ascii="Arial" w:hAnsi="Arial" w:cs="Arial"/>
          <w:szCs w:val="22"/>
          <w:lang w:eastAsia="x-none"/>
        </w:rPr>
        <w:t>11</w:t>
      </w:r>
      <w:r w:rsidR="009A783A" w:rsidRPr="00CB093C">
        <w:rPr>
          <w:rFonts w:ascii="Arial" w:hAnsi="Arial" w:cs="Arial"/>
          <w:szCs w:val="22"/>
          <w:lang w:eastAsia="x-none"/>
        </w:rPr>
        <w:t xml:space="preserve"> </w:t>
      </w:r>
      <w:r w:rsidRPr="00CB093C">
        <w:rPr>
          <w:rFonts w:ascii="Arial" w:hAnsi="Arial" w:cs="Arial"/>
          <w:szCs w:val="22"/>
          <w:lang w:eastAsia="x-none"/>
        </w:rPr>
        <w:t>(</w:t>
      </w:r>
      <w:r w:rsidRPr="00CB093C">
        <w:rPr>
          <w:rFonts w:ascii="Arial" w:hAnsi="Arial" w:cs="Arial"/>
          <w:szCs w:val="22"/>
        </w:rPr>
        <w:fldChar w:fldCharType="begin"/>
      </w:r>
      <w:r w:rsidRPr="00CB093C">
        <w:rPr>
          <w:rFonts w:ascii="Arial" w:hAnsi="Arial" w:cs="Arial"/>
          <w:szCs w:val="22"/>
        </w:rPr>
        <w:instrText xml:space="preserve"> REF _Ref536800910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15</w:t>
      </w:r>
      <w:r w:rsidRPr="00CB093C">
        <w:rPr>
          <w:rFonts w:ascii="Arial" w:hAnsi="Arial" w:cs="Arial"/>
          <w:szCs w:val="22"/>
        </w:rPr>
        <w:fldChar w:fldCharType="end"/>
      </w:r>
      <w:r w:rsidRPr="00CB093C">
        <w:rPr>
          <w:rFonts w:ascii="Arial" w:hAnsi="Arial" w:cs="Arial"/>
          <w:szCs w:val="22"/>
        </w:rPr>
        <w:t>)</w:t>
      </w:r>
      <w:r w:rsidRPr="00CB093C">
        <w:rPr>
          <w:rFonts w:ascii="Arial" w:hAnsi="Arial" w:cs="Arial"/>
          <w:szCs w:val="22"/>
          <w:lang w:eastAsia="x-none"/>
        </w:rPr>
        <w:t xml:space="preserve">. </w:t>
      </w:r>
      <w:r w:rsidR="0035787B" w:rsidRPr="00CB093C">
        <w:rPr>
          <w:rFonts w:ascii="Arial" w:hAnsi="Arial" w:cs="Arial"/>
          <w:szCs w:val="22"/>
        </w:rPr>
        <w:t>The seagrass leaf tissue nutrient indicator (C:N ratio) decrease</w:t>
      </w:r>
      <w:r w:rsidR="001C4E89" w:rsidRPr="00CB093C">
        <w:rPr>
          <w:rFonts w:ascii="Arial" w:hAnsi="Arial" w:cs="Arial"/>
          <w:szCs w:val="22"/>
        </w:rPr>
        <w:t>d</w:t>
      </w:r>
      <w:r w:rsidR="0035787B" w:rsidRPr="00CB093C">
        <w:rPr>
          <w:rFonts w:ascii="Arial" w:hAnsi="Arial" w:cs="Arial"/>
          <w:szCs w:val="22"/>
        </w:rPr>
        <w:t xml:space="preserve"> in late 2017 from the previous year, but remained poor for the eleventh consecutive year (</w:t>
      </w:r>
      <w:r w:rsidR="0035787B" w:rsidRPr="00CB093C">
        <w:rPr>
          <w:rFonts w:ascii="Arial" w:hAnsi="Arial" w:cs="Arial"/>
          <w:szCs w:val="22"/>
        </w:rPr>
        <w:fldChar w:fldCharType="begin"/>
      </w:r>
      <w:r w:rsidR="0035787B" w:rsidRPr="00CB093C">
        <w:rPr>
          <w:rFonts w:ascii="Arial" w:hAnsi="Arial" w:cs="Arial"/>
          <w:szCs w:val="22"/>
        </w:rPr>
        <w:instrText xml:space="preserve"> REF _Ref536800910 \h </w:instrText>
      </w:r>
      <w:r w:rsidR="00CB093C" w:rsidRPr="00CB093C">
        <w:rPr>
          <w:rFonts w:ascii="Arial" w:hAnsi="Arial" w:cs="Arial"/>
          <w:szCs w:val="22"/>
        </w:rPr>
        <w:instrText xml:space="preserve"> \* MERGEFORMAT </w:instrText>
      </w:r>
      <w:r w:rsidR="0035787B" w:rsidRPr="00CB093C">
        <w:rPr>
          <w:rFonts w:ascii="Arial" w:hAnsi="Arial" w:cs="Arial"/>
          <w:szCs w:val="22"/>
        </w:rPr>
      </w:r>
      <w:r w:rsidR="0035787B"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15</w:t>
      </w:r>
      <w:r w:rsidR="0035787B" w:rsidRPr="00CB093C">
        <w:rPr>
          <w:rFonts w:ascii="Arial" w:hAnsi="Arial" w:cs="Arial"/>
          <w:szCs w:val="22"/>
        </w:rPr>
        <w:fldChar w:fldCharType="end"/>
      </w:r>
      <w:r w:rsidR="0035787B" w:rsidRPr="00CB093C">
        <w:rPr>
          <w:rFonts w:ascii="Arial" w:hAnsi="Arial" w:cs="Arial"/>
          <w:szCs w:val="22"/>
        </w:rPr>
        <w:t>). This indicates an elevation in the availability of nitrogen at some locations, relative to the rate at which the leaves are growing and incorporating carbon. In most locations</w:t>
      </w:r>
      <w:r w:rsidR="003713E3" w:rsidRPr="00CB093C">
        <w:rPr>
          <w:rFonts w:ascii="Arial" w:hAnsi="Arial" w:cs="Arial"/>
          <w:szCs w:val="22"/>
        </w:rPr>
        <w:t>,</w:t>
      </w:r>
      <w:r w:rsidR="0035787B" w:rsidRPr="00CB093C">
        <w:rPr>
          <w:rFonts w:ascii="Arial" w:hAnsi="Arial" w:cs="Arial"/>
          <w:szCs w:val="22"/>
        </w:rPr>
        <w:t xml:space="preserve"> </w:t>
      </w:r>
      <w:r w:rsidR="00194413" w:rsidRPr="00CB093C">
        <w:rPr>
          <w:rFonts w:ascii="Arial" w:hAnsi="Arial" w:cs="Arial"/>
          <w:color w:val="000000" w:themeColor="text1"/>
          <w:szCs w:val="22"/>
        </w:rPr>
        <w:t>δ</w:t>
      </w:r>
      <w:r w:rsidR="00194413" w:rsidRPr="00CB093C">
        <w:rPr>
          <w:rFonts w:ascii="Arial" w:hAnsi="Arial" w:cs="Arial"/>
          <w:color w:val="000000" w:themeColor="text1"/>
          <w:szCs w:val="22"/>
          <w:vertAlign w:val="superscript"/>
        </w:rPr>
        <w:t>15</w:t>
      </w:r>
      <w:r w:rsidR="00194413" w:rsidRPr="00CB093C">
        <w:rPr>
          <w:rFonts w:ascii="Arial" w:hAnsi="Arial" w:cs="Arial"/>
          <w:color w:val="000000" w:themeColor="text1"/>
          <w:szCs w:val="22"/>
        </w:rPr>
        <w:t>N values suggest diverse sources of nitrogen affecting nitrogen availability</w:t>
      </w:r>
      <w:r w:rsidR="0035787B" w:rsidRPr="00CB093C">
        <w:rPr>
          <w:rFonts w:ascii="Arial" w:hAnsi="Arial" w:cs="Arial"/>
          <w:iCs/>
          <w:color w:val="000000" w:themeColor="text1"/>
          <w:szCs w:val="22"/>
        </w:rPr>
        <w:t>.</w:t>
      </w:r>
    </w:p>
    <w:p w14:paraId="4094D5F9" w14:textId="52A2FA44" w:rsidR="00CE334D" w:rsidRPr="00CB093C" w:rsidRDefault="00CE334D" w:rsidP="00D2585E">
      <w:pPr>
        <w:autoSpaceDE w:val="0"/>
        <w:autoSpaceDN w:val="0"/>
        <w:adjustRightInd w:val="0"/>
        <w:rPr>
          <w:rFonts w:ascii="Arial" w:hAnsi="Arial" w:cs="Arial"/>
          <w:szCs w:val="22"/>
          <w:lang w:eastAsia="en-AU"/>
        </w:rPr>
      </w:pPr>
      <w:r w:rsidRPr="00CB093C">
        <w:rPr>
          <w:rFonts w:ascii="Arial" w:hAnsi="Arial" w:cs="Arial"/>
          <w:szCs w:val="22"/>
          <w:lang w:eastAsia="en-AU"/>
        </w:rPr>
        <w:t>Trends in seagrass abundance and tissue nutrients demonstrate that until 2016–</w:t>
      </w:r>
      <w:r w:rsidR="00056F8D" w:rsidRPr="00CB093C">
        <w:rPr>
          <w:rFonts w:ascii="Arial" w:hAnsi="Arial" w:cs="Arial"/>
          <w:szCs w:val="22"/>
          <w:lang w:eastAsia="en-AU"/>
        </w:rPr>
        <w:t>20</w:t>
      </w:r>
      <w:r w:rsidRPr="00CB093C">
        <w:rPr>
          <w:rFonts w:ascii="Arial" w:hAnsi="Arial" w:cs="Arial"/>
          <w:szCs w:val="22"/>
          <w:lang w:eastAsia="en-AU"/>
        </w:rPr>
        <w:t xml:space="preserve">17, the system was on a recovering trajectory. However in </w:t>
      </w:r>
      <w:r w:rsidR="003654C6">
        <w:rPr>
          <w:rFonts w:ascii="Arial" w:hAnsi="Arial" w:cs="Arial"/>
          <w:szCs w:val="22"/>
          <w:lang w:eastAsia="en-AU"/>
        </w:rPr>
        <w:t>2017–18</w:t>
      </w:r>
      <w:r w:rsidRPr="00CB093C">
        <w:rPr>
          <w:rFonts w:ascii="Arial" w:hAnsi="Arial" w:cs="Arial"/>
          <w:szCs w:val="22"/>
          <w:lang w:eastAsia="en-AU"/>
        </w:rPr>
        <w:t>, declines in abundance, tissue nutrients and continued very low reproductive effort throughout most of the Reef, may signal that inshore seagrass resilience has decreased and, recovery processes may be further hampered following future disturbances.</w:t>
      </w:r>
    </w:p>
    <w:p w14:paraId="3B0CB1DC" w14:textId="77777777" w:rsidR="00FF5EB0" w:rsidRPr="00CB093C" w:rsidRDefault="00FF5EB0" w:rsidP="00FF5EB0">
      <w:pPr>
        <w:tabs>
          <w:tab w:val="left" w:pos="6804"/>
        </w:tabs>
        <w:rPr>
          <w:rFonts w:ascii="Arial" w:hAnsi="Arial" w:cs="Arial"/>
          <w:color w:val="000000" w:themeColor="text1"/>
          <w:szCs w:val="22"/>
        </w:rPr>
      </w:pPr>
    </w:p>
    <w:p w14:paraId="711012D8" w14:textId="77777777" w:rsidR="00FF5EB0" w:rsidRPr="00CB093C" w:rsidRDefault="00FF5EB0" w:rsidP="00FF5EB0">
      <w:pPr>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15DC3D0B" wp14:editId="5BF6BFB0">
            <wp:extent cx="4746452" cy="3027446"/>
            <wp:effectExtent l="0" t="0" r="0" b="1905"/>
            <wp:docPr id="20" name="Picture 20" descr="Line plot of Reef-wide seagrass condition index (± standard error) with contributing indicator scores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NDEX_GBR_2016.png"/>
                    <pic:cNvPicPr/>
                  </pic:nvPicPr>
                  <pic:blipFill>
                    <a:blip r:embed="rId32">
                      <a:extLst>
                        <a:ext uri="{28A0092B-C50C-407E-A947-70E740481C1C}">
                          <a14:useLocalDpi xmlns:a14="http://schemas.microsoft.com/office/drawing/2010/main" val="0"/>
                        </a:ext>
                      </a:extLst>
                    </a:blip>
                    <a:stretch>
                      <a:fillRect/>
                    </a:stretch>
                  </pic:blipFill>
                  <pic:spPr>
                    <a:xfrm>
                      <a:off x="0" y="0"/>
                      <a:ext cx="4746452" cy="3027446"/>
                    </a:xfrm>
                    <a:prstGeom prst="rect">
                      <a:avLst/>
                    </a:prstGeom>
                  </pic:spPr>
                </pic:pic>
              </a:graphicData>
            </a:graphic>
          </wp:inline>
        </w:drawing>
      </w:r>
    </w:p>
    <w:p w14:paraId="10AFE514" w14:textId="09AE855E" w:rsidR="00FF5EB0" w:rsidRPr="00CB093C" w:rsidRDefault="00FF5EB0" w:rsidP="00FF5EB0">
      <w:pPr>
        <w:pStyle w:val="Caption"/>
        <w:rPr>
          <w:rFonts w:ascii="Arial" w:hAnsi="Arial" w:cs="Arial"/>
          <w:i/>
          <w:vanish/>
          <w:color w:val="000000"/>
          <w:szCs w:val="22"/>
          <w:specVanish/>
        </w:rPr>
      </w:pPr>
      <w:bookmarkStart w:id="177" w:name="_Ref536800910"/>
      <w:bookmarkStart w:id="178" w:name="_Toc6402780"/>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15</w:t>
      </w:r>
      <w:r w:rsidRPr="00CB093C">
        <w:rPr>
          <w:rFonts w:ascii="Arial" w:hAnsi="Arial" w:cs="Arial"/>
          <w:szCs w:val="22"/>
        </w:rPr>
        <w:fldChar w:fldCharType="end"/>
      </w:r>
      <w:bookmarkEnd w:id="177"/>
      <w:r w:rsidRPr="00CB093C">
        <w:rPr>
          <w:rFonts w:ascii="Arial" w:hAnsi="Arial" w:cs="Arial"/>
          <w:szCs w:val="22"/>
        </w:rPr>
        <w:t xml:space="preserve">. </w:t>
      </w:r>
      <w:r w:rsidRPr="00CB093C">
        <w:rPr>
          <w:rFonts w:ascii="Arial" w:hAnsi="Arial" w:cs="Arial"/>
          <w:i/>
          <w:szCs w:val="22"/>
        </w:rPr>
        <w:t>Reef-wide seagrass condition index (±SE) with contributing indicator scores over the life of the MMP</w:t>
      </w:r>
      <w:bookmarkEnd w:id="178"/>
    </w:p>
    <w:p w14:paraId="44273DC1" w14:textId="75F4A0F3" w:rsidR="004C777E" w:rsidRPr="00CB093C" w:rsidRDefault="00FF5EB0" w:rsidP="00D2585E">
      <w:pPr>
        <w:pStyle w:val="Caption"/>
        <w:rPr>
          <w:rFonts w:ascii="Arial" w:hAnsi="Arial" w:cs="Arial"/>
          <w:szCs w:val="22"/>
          <w:lang w:eastAsia="en-AU"/>
        </w:rPr>
      </w:pPr>
      <w:r w:rsidRPr="00CB093C">
        <w:rPr>
          <w:rFonts w:ascii="Arial" w:hAnsi="Arial" w:cs="Arial"/>
          <w:i/>
          <w:szCs w:val="22"/>
        </w:rPr>
        <w:t>. The index is derived from the aggregate of metric scores for indicators of seagrass community health.</w:t>
      </w:r>
      <w:r w:rsidRPr="00CB093C">
        <w:rPr>
          <w:rFonts w:ascii="Arial" w:hAnsi="Arial" w:cs="Arial"/>
          <w:i/>
          <w:vanish/>
          <w:color w:val="000000"/>
          <w:szCs w:val="22"/>
          <w:specVanish/>
        </w:rPr>
        <w:t xml:space="preserve"> </w:t>
      </w:r>
      <w:r w:rsidR="00543DFF" w:rsidRPr="00CB093C">
        <w:rPr>
          <w:rFonts w:ascii="Arial" w:hAnsi="Arial" w:cs="Arial"/>
          <w:i/>
          <w:color w:val="000000"/>
          <w:szCs w:val="22"/>
        </w:rPr>
        <w:t>I</w:t>
      </w:r>
      <w:r w:rsidR="00543DFF" w:rsidRPr="00CB093C">
        <w:rPr>
          <w:rFonts w:ascii="Arial" w:hAnsi="Arial" w:cs="Arial"/>
          <w:i/>
          <w:szCs w:val="22"/>
        </w:rPr>
        <w:t xml:space="preserve">ndex scores scaled from 0–100 and graded: </w:t>
      </w:r>
      <w:r w:rsidR="00543DFF" w:rsidRPr="00CB093C">
        <w:rPr>
          <w:rFonts w:ascii="Arial" w:hAnsi="Arial" w:cs="Arial"/>
          <w:color w:val="008000"/>
          <w:szCs w:val="22"/>
        </w:rPr>
        <w:t>●</w:t>
      </w:r>
      <w:r w:rsidR="00543DFF" w:rsidRPr="00CB093C">
        <w:rPr>
          <w:rFonts w:ascii="Arial" w:hAnsi="Arial" w:cs="Arial"/>
          <w:i/>
          <w:szCs w:val="22"/>
        </w:rPr>
        <w:t xml:space="preserve"> = very good (81-100), </w:t>
      </w:r>
      <w:r w:rsidR="00543DFF" w:rsidRPr="00CB093C">
        <w:rPr>
          <w:rFonts w:ascii="Arial" w:hAnsi="Arial" w:cs="Arial"/>
          <w:color w:val="92D050"/>
          <w:szCs w:val="22"/>
        </w:rPr>
        <w:t>●</w:t>
      </w:r>
      <w:r w:rsidR="00543DFF" w:rsidRPr="00CB093C">
        <w:rPr>
          <w:rFonts w:ascii="Arial" w:hAnsi="Arial" w:cs="Arial"/>
          <w:i/>
          <w:szCs w:val="22"/>
        </w:rPr>
        <w:t xml:space="preserve"> = good (61 - 80), </w:t>
      </w:r>
      <w:r w:rsidR="00543DFF" w:rsidRPr="00CB093C">
        <w:rPr>
          <w:rFonts w:ascii="Arial" w:hAnsi="Arial" w:cs="Arial"/>
          <w:color w:val="FFFF00"/>
          <w:szCs w:val="22"/>
        </w:rPr>
        <w:t>●</w:t>
      </w:r>
      <w:r w:rsidR="00543DFF" w:rsidRPr="00CB093C">
        <w:rPr>
          <w:rFonts w:ascii="Arial" w:hAnsi="Arial" w:cs="Arial"/>
          <w:i/>
          <w:szCs w:val="22"/>
        </w:rPr>
        <w:t xml:space="preserve"> = moderate (41 - 60), </w:t>
      </w:r>
      <w:r w:rsidR="00543DFF" w:rsidRPr="00CB093C">
        <w:rPr>
          <w:rFonts w:ascii="Arial" w:hAnsi="Arial" w:cs="Arial"/>
          <w:i/>
          <w:color w:val="FFC000"/>
          <w:szCs w:val="22"/>
        </w:rPr>
        <w:t>●</w:t>
      </w:r>
      <w:r w:rsidR="00543DFF" w:rsidRPr="00CB093C">
        <w:rPr>
          <w:rFonts w:ascii="Arial" w:hAnsi="Arial" w:cs="Arial"/>
          <w:i/>
          <w:szCs w:val="22"/>
        </w:rPr>
        <w:t xml:space="preserve"> = poor (21 - 40), </w:t>
      </w:r>
      <w:r w:rsidR="00543DFF" w:rsidRPr="00CB093C">
        <w:rPr>
          <w:rFonts w:ascii="Arial" w:hAnsi="Arial" w:cs="Arial"/>
          <w:i/>
          <w:color w:val="FF0000"/>
          <w:szCs w:val="22"/>
        </w:rPr>
        <w:t>●</w:t>
      </w:r>
      <w:r w:rsidR="00543DFF" w:rsidRPr="00CB093C">
        <w:rPr>
          <w:rFonts w:ascii="Arial" w:hAnsi="Arial" w:cs="Arial"/>
          <w:i/>
          <w:szCs w:val="22"/>
        </w:rPr>
        <w:t> = very poor (0 - 20).</w:t>
      </w:r>
      <w:r w:rsidR="00543DFF" w:rsidRPr="00CB093C">
        <w:rPr>
          <w:rFonts w:ascii="Arial" w:hAnsi="Arial" w:cs="Arial"/>
          <w:i/>
          <w:color w:val="000000"/>
          <w:szCs w:val="22"/>
        </w:rPr>
        <w:t xml:space="preserve"> NB: Scores</w:t>
      </w:r>
      <w:r w:rsidR="00543DFF" w:rsidRPr="00CB093C">
        <w:rPr>
          <w:rFonts w:ascii="Arial" w:hAnsi="Arial" w:cs="Arial"/>
          <w:i/>
          <w:szCs w:val="22"/>
        </w:rPr>
        <w:t xml:space="preserve"> are unitless.</w:t>
      </w:r>
    </w:p>
    <w:p w14:paraId="28937E16" w14:textId="77777777" w:rsidR="0035787B" w:rsidRPr="00CB093C" w:rsidRDefault="0035787B" w:rsidP="00D2585E">
      <w:pPr>
        <w:autoSpaceDE w:val="0"/>
        <w:autoSpaceDN w:val="0"/>
        <w:adjustRightInd w:val="0"/>
        <w:rPr>
          <w:rFonts w:ascii="Arial" w:hAnsi="Arial" w:cs="Arial"/>
          <w:color w:val="000000" w:themeColor="text1"/>
          <w:szCs w:val="22"/>
        </w:rPr>
      </w:pPr>
    </w:p>
    <w:p w14:paraId="044D3B6E" w14:textId="1E76FE1C" w:rsidR="007C5F6F" w:rsidRPr="00CB093C" w:rsidRDefault="007C5F6F" w:rsidP="0015509E">
      <w:pPr>
        <w:pStyle w:val="Heading2"/>
        <w:rPr>
          <w:color w:val="000000" w:themeColor="text1"/>
        </w:rPr>
      </w:pPr>
      <w:bookmarkStart w:id="179" w:name="_Toc11394717"/>
      <w:r w:rsidRPr="00CB093C">
        <w:lastRenderedPageBreak/>
        <w:t xml:space="preserve">Trends in seagrass condition </w:t>
      </w:r>
      <w:r w:rsidRPr="00CB093C">
        <w:rPr>
          <w:color w:val="000000" w:themeColor="text1"/>
        </w:rPr>
        <w:t>indicators</w:t>
      </w:r>
      <w:r w:rsidR="00AD6834" w:rsidRPr="00CB093C">
        <w:rPr>
          <w:color w:val="000000" w:themeColor="text1"/>
        </w:rPr>
        <w:t xml:space="preserve"> between regions</w:t>
      </w:r>
      <w:bookmarkEnd w:id="179"/>
    </w:p>
    <w:p w14:paraId="7EBABF18" w14:textId="1753DFE1" w:rsidR="00E26672" w:rsidRPr="00CB093C" w:rsidRDefault="00E26672" w:rsidP="00D2585E">
      <w:pPr>
        <w:rPr>
          <w:rFonts w:ascii="Arial" w:hAnsi="Arial" w:cs="Arial"/>
          <w:szCs w:val="22"/>
        </w:rPr>
      </w:pPr>
      <w:r w:rsidRPr="00CB093C">
        <w:rPr>
          <w:rFonts w:ascii="Arial" w:hAnsi="Arial" w:cs="Arial"/>
          <w:szCs w:val="22"/>
        </w:rPr>
        <w:t xml:space="preserve">The Reef-wide score for seagrass is derived from the average of seagrass indicator scores in each of six Regions, weighted by </w:t>
      </w:r>
      <w:r w:rsidR="00F507B9" w:rsidRPr="00CB093C">
        <w:rPr>
          <w:rFonts w:ascii="Arial" w:hAnsi="Arial" w:cs="Arial"/>
          <w:szCs w:val="22"/>
        </w:rPr>
        <w:t xml:space="preserve">seagrass </w:t>
      </w:r>
      <w:r w:rsidRPr="00CB093C">
        <w:rPr>
          <w:rFonts w:ascii="Arial" w:hAnsi="Arial" w:cs="Arial"/>
          <w:szCs w:val="22"/>
        </w:rPr>
        <w:t xml:space="preserve">area. </w:t>
      </w:r>
      <w:r w:rsidR="003E6134" w:rsidRPr="00CB093C">
        <w:rPr>
          <w:rFonts w:ascii="Arial" w:hAnsi="Arial" w:cs="Arial"/>
          <w:szCs w:val="22"/>
          <w:lang w:eastAsia="x-none"/>
        </w:rPr>
        <w:t xml:space="preserve">In </w:t>
      </w:r>
      <w:r w:rsidR="003654C6">
        <w:rPr>
          <w:rFonts w:ascii="Arial" w:hAnsi="Arial" w:cs="Arial"/>
          <w:szCs w:val="22"/>
          <w:lang w:eastAsia="x-none"/>
        </w:rPr>
        <w:t>2017–18</w:t>
      </w:r>
      <w:r w:rsidR="003E6134" w:rsidRPr="00CB093C">
        <w:rPr>
          <w:rFonts w:ascii="Arial" w:hAnsi="Arial" w:cs="Arial"/>
          <w:szCs w:val="22"/>
          <w:lang w:eastAsia="x-none"/>
        </w:rPr>
        <w:t xml:space="preserve"> all but one NRM region (Wet Tropics) declined in seagrass condition (</w:t>
      </w:r>
      <w:r w:rsidR="00FA665D" w:rsidRPr="00CB093C">
        <w:rPr>
          <w:rFonts w:ascii="Arial" w:hAnsi="Arial" w:cs="Arial"/>
          <w:szCs w:val="22"/>
          <w:highlight w:val="yellow"/>
        </w:rPr>
        <w:fldChar w:fldCharType="begin"/>
      </w:r>
      <w:r w:rsidR="00FA665D" w:rsidRPr="00CB093C">
        <w:rPr>
          <w:rFonts w:ascii="Arial" w:hAnsi="Arial" w:cs="Arial"/>
          <w:szCs w:val="22"/>
          <w:highlight w:val="yellow"/>
        </w:rPr>
        <w:instrText xml:space="preserve"> REF _Ref536860481 \h </w:instrText>
      </w:r>
      <w:r w:rsidR="00CB093C" w:rsidRPr="00CB093C">
        <w:rPr>
          <w:rFonts w:ascii="Arial" w:hAnsi="Arial" w:cs="Arial"/>
          <w:szCs w:val="22"/>
          <w:highlight w:val="yellow"/>
        </w:rPr>
        <w:instrText xml:space="preserve"> \* MERGEFORMAT </w:instrText>
      </w:r>
      <w:r w:rsidR="00FA665D" w:rsidRPr="00CB093C">
        <w:rPr>
          <w:rFonts w:ascii="Arial" w:hAnsi="Arial" w:cs="Arial"/>
          <w:szCs w:val="22"/>
          <w:highlight w:val="yellow"/>
        </w:rPr>
      </w:r>
      <w:r w:rsidR="00FA665D" w:rsidRPr="00CB093C">
        <w:rPr>
          <w:rFonts w:ascii="Arial" w:hAnsi="Arial" w:cs="Arial"/>
          <w:szCs w:val="22"/>
          <w:highlight w:val="yellow"/>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16</w:t>
      </w:r>
      <w:r w:rsidR="00FA665D" w:rsidRPr="00CB093C">
        <w:rPr>
          <w:rFonts w:ascii="Arial" w:hAnsi="Arial" w:cs="Arial"/>
          <w:szCs w:val="22"/>
          <w:highlight w:val="yellow"/>
        </w:rPr>
        <w:fldChar w:fldCharType="end"/>
      </w:r>
      <w:r w:rsidR="003E6134" w:rsidRPr="00CB093C">
        <w:rPr>
          <w:rFonts w:ascii="Arial" w:hAnsi="Arial" w:cs="Arial"/>
          <w:szCs w:val="22"/>
          <w:lang w:eastAsia="x-none"/>
        </w:rPr>
        <w:t>), although t</w:t>
      </w:r>
      <w:r w:rsidRPr="00CB093C">
        <w:rPr>
          <w:rFonts w:ascii="Arial" w:hAnsi="Arial" w:cs="Arial"/>
          <w:szCs w:val="22"/>
        </w:rPr>
        <w:t xml:space="preserve">rends </w:t>
      </w:r>
      <w:r w:rsidR="00D1356E" w:rsidRPr="00CB093C">
        <w:rPr>
          <w:rFonts w:ascii="Arial" w:hAnsi="Arial" w:cs="Arial"/>
          <w:szCs w:val="22"/>
        </w:rPr>
        <w:t>in indicators between</w:t>
      </w:r>
      <w:r w:rsidRPr="00CB093C">
        <w:rPr>
          <w:rFonts w:ascii="Arial" w:hAnsi="Arial" w:cs="Arial"/>
          <w:szCs w:val="22"/>
        </w:rPr>
        <w:t xml:space="preserve"> the six Regions are not uniform</w:t>
      </w:r>
      <w:r w:rsidR="00F507B9" w:rsidRPr="00CB093C">
        <w:rPr>
          <w:rFonts w:ascii="Arial" w:hAnsi="Arial" w:cs="Arial"/>
          <w:szCs w:val="22"/>
        </w:rPr>
        <w:t>:</w:t>
      </w:r>
    </w:p>
    <w:p w14:paraId="6896A804" w14:textId="7E78ECD1" w:rsidR="00E26672" w:rsidRPr="00CB093C" w:rsidRDefault="00E26672" w:rsidP="00AD06D4">
      <w:pPr>
        <w:pStyle w:val="ListParagraph"/>
        <w:numPr>
          <w:ilvl w:val="0"/>
          <w:numId w:val="30"/>
        </w:numPr>
        <w:rPr>
          <w:rFonts w:ascii="Arial" w:hAnsi="Arial" w:cs="Arial"/>
          <w:szCs w:val="22"/>
        </w:rPr>
      </w:pPr>
      <w:r w:rsidRPr="00CB093C">
        <w:rPr>
          <w:rFonts w:ascii="Arial" w:hAnsi="Arial" w:cs="Arial"/>
          <w:szCs w:val="22"/>
        </w:rPr>
        <w:t xml:space="preserve">The seagrass abundance score was poor in the </w:t>
      </w:r>
      <w:r w:rsidR="003654C6">
        <w:rPr>
          <w:rFonts w:ascii="Arial" w:hAnsi="Arial" w:cs="Arial"/>
          <w:szCs w:val="22"/>
        </w:rPr>
        <w:t>2017–18</w:t>
      </w:r>
      <w:r w:rsidRPr="00CB093C">
        <w:rPr>
          <w:rFonts w:ascii="Arial" w:hAnsi="Arial" w:cs="Arial"/>
          <w:szCs w:val="22"/>
        </w:rPr>
        <w:t xml:space="preserve"> monitoring period in all regions except the Burdekin, which remained good (</w:t>
      </w:r>
      <w:r w:rsidR="003E6134" w:rsidRPr="00CB093C">
        <w:rPr>
          <w:rFonts w:ascii="Arial" w:hAnsi="Arial" w:cs="Arial"/>
          <w:szCs w:val="22"/>
        </w:rPr>
        <w:fldChar w:fldCharType="begin"/>
      </w:r>
      <w:r w:rsidR="003E6134" w:rsidRPr="00CB093C">
        <w:rPr>
          <w:rFonts w:ascii="Arial" w:hAnsi="Arial" w:cs="Arial"/>
          <w:szCs w:val="22"/>
        </w:rPr>
        <w:instrText xml:space="preserve"> REF _Ref536860481 \h </w:instrText>
      </w:r>
      <w:r w:rsidR="00044C08" w:rsidRPr="00CB093C">
        <w:rPr>
          <w:rFonts w:ascii="Arial" w:hAnsi="Arial" w:cs="Arial"/>
          <w:szCs w:val="22"/>
        </w:rPr>
        <w:instrText xml:space="preserve"> \* MERGEFORMAT </w:instrText>
      </w:r>
      <w:r w:rsidR="003E6134" w:rsidRPr="00CB093C">
        <w:rPr>
          <w:rFonts w:ascii="Arial" w:hAnsi="Arial" w:cs="Arial"/>
          <w:szCs w:val="22"/>
        </w:rPr>
      </w:r>
      <w:r w:rsidR="003E6134"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16</w:t>
      </w:r>
      <w:r w:rsidR="003E6134" w:rsidRPr="00CB093C">
        <w:rPr>
          <w:rFonts w:ascii="Arial" w:hAnsi="Arial" w:cs="Arial"/>
          <w:szCs w:val="22"/>
        </w:rPr>
        <w:fldChar w:fldCharType="end"/>
      </w:r>
      <w:r w:rsidRPr="00CB093C">
        <w:rPr>
          <w:rFonts w:ascii="Arial" w:hAnsi="Arial" w:cs="Arial"/>
          <w:szCs w:val="22"/>
        </w:rPr>
        <w:t xml:space="preserve">). There were increases in the abundance score compared to the previous year in the Wet Tropics, Fitzroy and Burnett Mary NRM regions, but they remained in the poor category. Furthermore, the score declined from moderate in the Cape York region. </w:t>
      </w:r>
    </w:p>
    <w:p w14:paraId="44AFC618" w14:textId="379B81AE" w:rsidR="00E26672" w:rsidRPr="00CB093C" w:rsidRDefault="00E26672" w:rsidP="00AD06D4">
      <w:pPr>
        <w:pStyle w:val="ListParagraph"/>
        <w:numPr>
          <w:ilvl w:val="0"/>
          <w:numId w:val="30"/>
        </w:numPr>
        <w:spacing w:after="0"/>
        <w:rPr>
          <w:rFonts w:ascii="Arial" w:hAnsi="Arial" w:cs="Arial"/>
          <w:color w:val="000000" w:themeColor="text1"/>
          <w:szCs w:val="22"/>
        </w:rPr>
      </w:pPr>
      <w:r w:rsidRPr="00CB093C">
        <w:rPr>
          <w:rFonts w:ascii="Arial" w:hAnsi="Arial" w:cs="Arial"/>
          <w:color w:val="000000" w:themeColor="text1"/>
          <w:szCs w:val="22"/>
        </w:rPr>
        <w:t xml:space="preserve">Reproductive scores were poor in the Wet Tropics (improving from very poor due primarily to Yule Point) and Burdekin NRMs in </w:t>
      </w:r>
      <w:r w:rsidR="003654C6">
        <w:rPr>
          <w:rFonts w:ascii="Arial" w:hAnsi="Arial" w:cs="Arial"/>
          <w:color w:val="000000" w:themeColor="text1"/>
          <w:szCs w:val="22"/>
        </w:rPr>
        <w:t>2017–18</w:t>
      </w:r>
      <w:r w:rsidRPr="00CB093C">
        <w:rPr>
          <w:rFonts w:ascii="Arial" w:hAnsi="Arial" w:cs="Arial"/>
          <w:color w:val="000000" w:themeColor="text1"/>
          <w:szCs w:val="22"/>
        </w:rPr>
        <w:t xml:space="preserve">, and very poor in the other four regions </w:t>
      </w:r>
      <w:r w:rsidRPr="00CB093C">
        <w:rPr>
          <w:rFonts w:ascii="Arial" w:hAnsi="Arial" w:cs="Arial"/>
          <w:szCs w:val="22"/>
        </w:rPr>
        <w:t>(</w:t>
      </w:r>
      <w:r w:rsidR="00F507B9" w:rsidRPr="00CB093C">
        <w:rPr>
          <w:rFonts w:ascii="Arial" w:hAnsi="Arial" w:cs="Arial"/>
          <w:szCs w:val="22"/>
        </w:rPr>
        <w:fldChar w:fldCharType="begin"/>
      </w:r>
      <w:r w:rsidR="00F507B9" w:rsidRPr="00CB093C">
        <w:rPr>
          <w:rFonts w:ascii="Arial" w:hAnsi="Arial" w:cs="Arial"/>
          <w:szCs w:val="22"/>
        </w:rPr>
        <w:instrText xml:space="preserve"> REF _Ref536860481 \h  \* MERGEFORMAT </w:instrText>
      </w:r>
      <w:r w:rsidR="00F507B9" w:rsidRPr="00CB093C">
        <w:rPr>
          <w:rFonts w:ascii="Arial" w:hAnsi="Arial" w:cs="Arial"/>
          <w:szCs w:val="22"/>
        </w:rPr>
      </w:r>
      <w:r w:rsidR="00F507B9"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16</w:t>
      </w:r>
      <w:r w:rsidR="00F507B9" w:rsidRPr="00CB093C">
        <w:rPr>
          <w:rFonts w:ascii="Arial" w:hAnsi="Arial" w:cs="Arial"/>
          <w:szCs w:val="22"/>
        </w:rPr>
        <w:fldChar w:fldCharType="end"/>
      </w:r>
      <w:r w:rsidRPr="00CB093C">
        <w:rPr>
          <w:rFonts w:ascii="Arial" w:hAnsi="Arial" w:cs="Arial"/>
          <w:szCs w:val="22"/>
        </w:rPr>
        <w:t>)</w:t>
      </w:r>
      <w:r w:rsidRPr="00CB093C">
        <w:rPr>
          <w:rFonts w:ascii="Arial" w:hAnsi="Arial" w:cs="Arial"/>
          <w:color w:val="000000" w:themeColor="text1"/>
          <w:szCs w:val="22"/>
        </w:rPr>
        <w:t xml:space="preserve">. Reproductive effort across the regions this year declined in </w:t>
      </w:r>
      <w:r w:rsidR="00637325">
        <w:rPr>
          <w:rFonts w:ascii="Arial" w:hAnsi="Arial" w:cs="Arial"/>
          <w:color w:val="000000" w:themeColor="text1"/>
          <w:szCs w:val="22"/>
        </w:rPr>
        <w:t>Mackay-Whitsunday</w:t>
      </w:r>
      <w:r w:rsidRPr="00CB093C">
        <w:rPr>
          <w:rFonts w:ascii="Arial" w:hAnsi="Arial" w:cs="Arial"/>
          <w:color w:val="000000" w:themeColor="text1"/>
          <w:szCs w:val="22"/>
        </w:rPr>
        <w:t xml:space="preserve"> NRM, and was relatively stable in all other NRMs </w:t>
      </w:r>
      <w:r w:rsidRPr="00CB093C">
        <w:rPr>
          <w:rFonts w:ascii="Arial" w:hAnsi="Arial" w:cs="Arial"/>
          <w:szCs w:val="22"/>
        </w:rPr>
        <w:t>(</w:t>
      </w:r>
      <w:r w:rsidR="003E6134" w:rsidRPr="00CB093C">
        <w:rPr>
          <w:rFonts w:ascii="Arial" w:hAnsi="Arial" w:cs="Arial"/>
          <w:szCs w:val="22"/>
        </w:rPr>
        <w:fldChar w:fldCharType="begin"/>
      </w:r>
      <w:r w:rsidR="003E6134" w:rsidRPr="00CB093C">
        <w:rPr>
          <w:rFonts w:ascii="Arial" w:hAnsi="Arial" w:cs="Arial"/>
          <w:szCs w:val="22"/>
        </w:rPr>
        <w:instrText xml:space="preserve"> REF _Ref536860481 \h </w:instrText>
      </w:r>
      <w:r w:rsidR="00044C08" w:rsidRPr="00CB093C">
        <w:rPr>
          <w:rFonts w:ascii="Arial" w:hAnsi="Arial" w:cs="Arial"/>
          <w:szCs w:val="22"/>
        </w:rPr>
        <w:instrText xml:space="preserve"> \* MERGEFORMAT </w:instrText>
      </w:r>
      <w:r w:rsidR="003E6134" w:rsidRPr="00CB093C">
        <w:rPr>
          <w:rFonts w:ascii="Arial" w:hAnsi="Arial" w:cs="Arial"/>
          <w:szCs w:val="22"/>
        </w:rPr>
      </w:r>
      <w:r w:rsidR="003E6134"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16</w:t>
      </w:r>
      <w:r w:rsidR="003E6134" w:rsidRPr="00CB093C">
        <w:rPr>
          <w:rFonts w:ascii="Arial" w:hAnsi="Arial" w:cs="Arial"/>
          <w:szCs w:val="22"/>
        </w:rPr>
        <w:fldChar w:fldCharType="end"/>
      </w:r>
      <w:r w:rsidRPr="00CB093C">
        <w:rPr>
          <w:rFonts w:ascii="Arial" w:hAnsi="Arial" w:cs="Arial"/>
          <w:szCs w:val="22"/>
        </w:rPr>
        <w:t>)</w:t>
      </w:r>
      <w:r w:rsidRPr="00CB093C">
        <w:rPr>
          <w:rFonts w:ascii="Arial" w:hAnsi="Arial" w:cs="Arial"/>
          <w:color w:val="000000" w:themeColor="text1"/>
          <w:szCs w:val="22"/>
        </w:rPr>
        <w:t xml:space="preserve">. </w:t>
      </w:r>
    </w:p>
    <w:p w14:paraId="264F6548" w14:textId="252BF594" w:rsidR="00E26672" w:rsidRPr="00CB093C" w:rsidRDefault="00E26672" w:rsidP="00AD06D4">
      <w:pPr>
        <w:pStyle w:val="ListParagraph"/>
        <w:numPr>
          <w:ilvl w:val="0"/>
          <w:numId w:val="30"/>
        </w:numPr>
        <w:rPr>
          <w:rFonts w:ascii="Arial" w:hAnsi="Arial" w:cs="Arial"/>
          <w:szCs w:val="22"/>
        </w:rPr>
      </w:pPr>
      <w:r w:rsidRPr="00CB093C">
        <w:rPr>
          <w:rFonts w:ascii="Arial" w:hAnsi="Arial" w:cs="Arial"/>
          <w:szCs w:val="22"/>
        </w:rPr>
        <w:t>Seagrass nutrient status scores (using only C:N) reduced in all regions except the Wet Tropics, furthermore the score was poor in all regions except for the Burdekin which was moderate (</w:t>
      </w:r>
      <w:r w:rsidR="003E6134" w:rsidRPr="00CB093C">
        <w:rPr>
          <w:rFonts w:ascii="Arial" w:hAnsi="Arial" w:cs="Arial"/>
          <w:szCs w:val="22"/>
        </w:rPr>
        <w:fldChar w:fldCharType="begin"/>
      </w:r>
      <w:r w:rsidR="003E6134" w:rsidRPr="00CB093C">
        <w:rPr>
          <w:rFonts w:ascii="Arial" w:hAnsi="Arial" w:cs="Arial"/>
          <w:szCs w:val="22"/>
        </w:rPr>
        <w:instrText xml:space="preserve"> REF _Ref536860481 \h </w:instrText>
      </w:r>
      <w:r w:rsidR="00044C08" w:rsidRPr="00CB093C">
        <w:rPr>
          <w:rFonts w:ascii="Arial" w:hAnsi="Arial" w:cs="Arial"/>
          <w:szCs w:val="22"/>
        </w:rPr>
        <w:instrText xml:space="preserve"> \* MERGEFORMAT </w:instrText>
      </w:r>
      <w:r w:rsidR="003E6134" w:rsidRPr="00CB093C">
        <w:rPr>
          <w:rFonts w:ascii="Arial" w:hAnsi="Arial" w:cs="Arial"/>
          <w:szCs w:val="22"/>
        </w:rPr>
      </w:r>
      <w:r w:rsidR="003E6134"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16</w:t>
      </w:r>
      <w:r w:rsidR="003E6134" w:rsidRPr="00CB093C">
        <w:rPr>
          <w:rFonts w:ascii="Arial" w:hAnsi="Arial" w:cs="Arial"/>
          <w:szCs w:val="22"/>
        </w:rPr>
        <w:fldChar w:fldCharType="end"/>
      </w:r>
      <w:r w:rsidRPr="00CB093C">
        <w:rPr>
          <w:rFonts w:ascii="Arial" w:hAnsi="Arial" w:cs="Arial"/>
          <w:szCs w:val="22"/>
        </w:rPr>
        <w:t>). The C:N score was the lowest since monitoring began in the Fitzroy and Burnett Mary regions, but this has been influenced by changes in sites in both regions.</w:t>
      </w:r>
    </w:p>
    <w:p w14:paraId="52A5FBE9" w14:textId="76CD083C" w:rsidR="00CE334D" w:rsidRPr="00CB093C" w:rsidRDefault="00D1356E" w:rsidP="00CE334D">
      <w:pPr>
        <w:autoSpaceDE w:val="0"/>
        <w:autoSpaceDN w:val="0"/>
        <w:adjustRightInd w:val="0"/>
        <w:rPr>
          <w:rFonts w:ascii="Arial" w:hAnsi="Arial" w:cs="Arial"/>
          <w:szCs w:val="22"/>
        </w:rPr>
      </w:pPr>
      <w:r w:rsidRPr="00CB093C">
        <w:rPr>
          <w:rFonts w:ascii="Arial" w:hAnsi="Arial" w:cs="Arial"/>
          <w:szCs w:val="22"/>
        </w:rPr>
        <w:t xml:space="preserve">Inshore seagrass condition scores across the </w:t>
      </w:r>
      <w:r w:rsidR="00CE334D" w:rsidRPr="00CB093C">
        <w:rPr>
          <w:rFonts w:ascii="Arial" w:hAnsi="Arial" w:cs="Arial"/>
          <w:szCs w:val="22"/>
        </w:rPr>
        <w:t>R</w:t>
      </w:r>
      <w:r w:rsidRPr="00CB093C">
        <w:rPr>
          <w:rFonts w:ascii="Arial" w:hAnsi="Arial" w:cs="Arial"/>
          <w:szCs w:val="22"/>
        </w:rPr>
        <w:t>egions reflect a system that is bei</w:t>
      </w:r>
      <w:r w:rsidR="00E80206" w:rsidRPr="00CB093C">
        <w:rPr>
          <w:rFonts w:ascii="Arial" w:hAnsi="Arial" w:cs="Arial"/>
          <w:szCs w:val="22"/>
        </w:rPr>
        <w:t>n</w:t>
      </w:r>
      <w:r w:rsidRPr="00CB093C">
        <w:rPr>
          <w:rFonts w:ascii="Arial" w:hAnsi="Arial" w:cs="Arial"/>
          <w:szCs w:val="22"/>
        </w:rPr>
        <w:t xml:space="preserve">g impacted </w:t>
      </w:r>
      <w:r w:rsidRPr="00CB093C">
        <w:rPr>
          <w:rFonts w:ascii="Arial" w:hAnsi="Arial" w:cs="Arial"/>
          <w:szCs w:val="22"/>
          <w:lang w:eastAsia="en-AU"/>
        </w:rPr>
        <w:t>by heatwaves, cyclones, and elevated discharge from rivers.</w:t>
      </w:r>
      <w:r w:rsidR="00CE334D" w:rsidRPr="00CB093C">
        <w:rPr>
          <w:rFonts w:ascii="Arial" w:hAnsi="Arial" w:cs="Arial"/>
          <w:szCs w:val="22"/>
          <w:lang w:eastAsia="en-AU"/>
        </w:rPr>
        <w:t xml:space="preserve"> </w:t>
      </w:r>
      <w:r w:rsidR="00CE334D" w:rsidRPr="00CB093C">
        <w:rPr>
          <w:rFonts w:ascii="Arial" w:hAnsi="Arial" w:cs="Arial"/>
          <w:szCs w:val="22"/>
        </w:rPr>
        <w:t>R</w:t>
      </w:r>
      <w:r w:rsidR="00CE334D" w:rsidRPr="00CB093C">
        <w:rPr>
          <w:rFonts w:ascii="Arial" w:hAnsi="Arial" w:cs="Arial"/>
          <w:szCs w:val="22"/>
          <w:lang w:eastAsia="en-AU"/>
        </w:rPr>
        <w:t xml:space="preserve">egional differences in condition and indicator scores appear </w:t>
      </w:r>
      <w:r w:rsidR="00CE334D" w:rsidRPr="00CB093C">
        <w:rPr>
          <w:rFonts w:ascii="Arial" w:hAnsi="Arial" w:cs="Arial"/>
          <w:szCs w:val="22"/>
        </w:rPr>
        <w:t xml:space="preserve">due to the legacy of </w:t>
      </w:r>
      <w:r w:rsidR="00CE334D" w:rsidRPr="00CB093C">
        <w:rPr>
          <w:rFonts w:ascii="Arial" w:hAnsi="Arial" w:cs="Arial"/>
          <w:szCs w:val="22"/>
          <w:lang w:eastAsia="en-AU"/>
        </w:rPr>
        <w:t>significant environmental conditions</w:t>
      </w:r>
      <w:r w:rsidR="00CE334D" w:rsidRPr="00CB093C">
        <w:rPr>
          <w:rFonts w:ascii="Arial" w:hAnsi="Arial" w:cs="Arial"/>
          <w:szCs w:val="22"/>
        </w:rPr>
        <w:t xml:space="preserve"> i</w:t>
      </w:r>
      <w:r w:rsidR="00CE334D" w:rsidRPr="00CB093C">
        <w:rPr>
          <w:rFonts w:ascii="Arial" w:hAnsi="Arial" w:cs="Arial"/>
          <w:szCs w:val="22"/>
          <w:lang w:eastAsia="en-AU"/>
        </w:rPr>
        <w:t>n 2016–</w:t>
      </w:r>
      <w:r w:rsidR="00F507B9" w:rsidRPr="00CB093C">
        <w:rPr>
          <w:rFonts w:ascii="Arial" w:hAnsi="Arial" w:cs="Arial"/>
          <w:szCs w:val="22"/>
          <w:lang w:eastAsia="en-AU"/>
        </w:rPr>
        <w:t>20</w:t>
      </w:r>
      <w:r w:rsidR="00CE334D" w:rsidRPr="00CB093C">
        <w:rPr>
          <w:rFonts w:ascii="Arial" w:hAnsi="Arial" w:cs="Arial"/>
          <w:szCs w:val="22"/>
          <w:lang w:eastAsia="en-AU"/>
        </w:rPr>
        <w:t xml:space="preserve">17 (e.g. cyclone Debbie in </w:t>
      </w:r>
      <w:r w:rsidR="00637325">
        <w:rPr>
          <w:rFonts w:ascii="Arial" w:hAnsi="Arial" w:cs="Arial"/>
          <w:szCs w:val="22"/>
          <w:lang w:eastAsia="en-AU"/>
        </w:rPr>
        <w:t>Mackay-Whitsunday</w:t>
      </w:r>
      <w:r w:rsidR="00CE334D" w:rsidRPr="00CB093C">
        <w:rPr>
          <w:rFonts w:ascii="Arial" w:hAnsi="Arial" w:cs="Arial"/>
          <w:szCs w:val="22"/>
          <w:lang w:eastAsia="en-AU"/>
        </w:rPr>
        <w:t xml:space="preserve">, </w:t>
      </w:r>
      <w:r w:rsidR="00CE334D" w:rsidRPr="00CB093C">
        <w:rPr>
          <w:rFonts w:ascii="Arial" w:hAnsi="Arial" w:cs="Arial"/>
          <w:szCs w:val="22"/>
        </w:rPr>
        <w:t>above-average riverine discharge throughout the southern and central Reef,</w:t>
      </w:r>
      <w:r w:rsidR="00CE334D" w:rsidRPr="00CB093C">
        <w:rPr>
          <w:rFonts w:ascii="Arial" w:hAnsi="Arial" w:cs="Arial"/>
          <w:szCs w:val="22"/>
          <w:lang w:eastAsia="en-AU"/>
        </w:rPr>
        <w:t xml:space="preserve"> and a</w:t>
      </w:r>
      <w:r w:rsidR="00CE334D" w:rsidRPr="00CB093C">
        <w:rPr>
          <w:rFonts w:ascii="Arial" w:hAnsi="Arial" w:cs="Arial"/>
          <w:szCs w:val="22"/>
        </w:rPr>
        <w:t xml:space="preserve"> marine heatwave in the northern and central Reef</w:t>
      </w:r>
      <w:r w:rsidR="00CE334D" w:rsidRPr="00CB093C">
        <w:rPr>
          <w:rFonts w:ascii="Arial" w:hAnsi="Arial" w:cs="Arial"/>
          <w:szCs w:val="22"/>
          <w:lang w:eastAsia="en-AU"/>
        </w:rPr>
        <w:t>) and/</w:t>
      </w:r>
      <w:r w:rsidR="00CE334D" w:rsidRPr="00CB093C">
        <w:rPr>
          <w:rFonts w:ascii="Arial" w:hAnsi="Arial" w:cs="Arial"/>
          <w:szCs w:val="22"/>
        </w:rPr>
        <w:t xml:space="preserve">or less favourable environmental conditions in </w:t>
      </w:r>
      <w:r w:rsidR="003654C6">
        <w:rPr>
          <w:rFonts w:ascii="Arial" w:hAnsi="Arial" w:cs="Arial"/>
          <w:szCs w:val="22"/>
        </w:rPr>
        <w:t>2017–18</w:t>
      </w:r>
      <w:r w:rsidR="00CE334D" w:rsidRPr="00CB093C">
        <w:rPr>
          <w:rFonts w:ascii="Arial" w:hAnsi="Arial" w:cs="Arial"/>
          <w:szCs w:val="22"/>
        </w:rPr>
        <w:t xml:space="preserve">. </w:t>
      </w:r>
    </w:p>
    <w:p w14:paraId="49DEBF0C" w14:textId="77777777" w:rsidR="003E6134" w:rsidRPr="00CB093C" w:rsidRDefault="003E6134" w:rsidP="003E6134">
      <w:pPr>
        <w:autoSpaceDE w:val="0"/>
        <w:autoSpaceDN w:val="0"/>
        <w:adjustRightInd w:val="0"/>
        <w:rPr>
          <w:rFonts w:ascii="Arial" w:hAnsi="Arial" w:cs="Arial"/>
          <w:color w:val="000000" w:themeColor="text1"/>
          <w:szCs w:val="22"/>
        </w:rPr>
      </w:pPr>
    </w:p>
    <w:p w14:paraId="01541A36" w14:textId="77777777" w:rsidR="003E6134" w:rsidRPr="00CB093C" w:rsidRDefault="003E6134" w:rsidP="003E6134">
      <w:pPr>
        <w:keepNext/>
        <w:widowControl w:val="0"/>
        <w:spacing w:before="0"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7A65AF11" wp14:editId="7BBFB2C1">
            <wp:extent cx="5796707" cy="2369315"/>
            <wp:effectExtent l="0" t="0" r="0" b="0"/>
            <wp:docPr id="24" name="Picture 24" descr="Panel of six line graphs showing regional seagrass condition index (± standard error) with contributing indicator scores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INDEX_regional_2016.png"/>
                    <pic:cNvPicPr/>
                  </pic:nvPicPr>
                  <pic:blipFill>
                    <a:blip r:embed="rId60">
                      <a:extLst>
                        <a:ext uri="{28A0092B-C50C-407E-A947-70E740481C1C}">
                          <a14:useLocalDpi xmlns:a14="http://schemas.microsoft.com/office/drawing/2010/main" val="0"/>
                        </a:ext>
                      </a:extLst>
                    </a:blip>
                    <a:stretch>
                      <a:fillRect/>
                    </a:stretch>
                  </pic:blipFill>
                  <pic:spPr>
                    <a:xfrm>
                      <a:off x="0" y="0"/>
                      <a:ext cx="5796707" cy="2369315"/>
                    </a:xfrm>
                    <a:prstGeom prst="rect">
                      <a:avLst/>
                    </a:prstGeom>
                  </pic:spPr>
                </pic:pic>
              </a:graphicData>
            </a:graphic>
          </wp:inline>
        </w:drawing>
      </w:r>
    </w:p>
    <w:p w14:paraId="127E3DD8" w14:textId="44BE38FC" w:rsidR="003E6134" w:rsidRPr="00CB093C" w:rsidRDefault="003E6134" w:rsidP="003E6134">
      <w:pPr>
        <w:pStyle w:val="Caption"/>
        <w:rPr>
          <w:rFonts w:ascii="Arial" w:hAnsi="Arial" w:cs="Arial"/>
          <w:i/>
          <w:vanish/>
          <w:color w:val="000000"/>
          <w:szCs w:val="22"/>
          <w:specVanish/>
        </w:rPr>
      </w:pPr>
      <w:bookmarkStart w:id="180" w:name="_Ref536860481"/>
      <w:bookmarkStart w:id="181" w:name="_Toc6402781"/>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16</w:t>
      </w:r>
      <w:r w:rsidRPr="00CB093C">
        <w:rPr>
          <w:rFonts w:ascii="Arial" w:hAnsi="Arial" w:cs="Arial"/>
          <w:color w:val="000000"/>
          <w:szCs w:val="22"/>
        </w:rPr>
        <w:fldChar w:fldCharType="end"/>
      </w:r>
      <w:bookmarkEnd w:id="180"/>
      <w:r w:rsidRPr="00CB093C">
        <w:rPr>
          <w:rFonts w:ascii="Arial" w:hAnsi="Arial" w:cs="Arial"/>
          <w:color w:val="000000"/>
          <w:szCs w:val="22"/>
        </w:rPr>
        <w:t xml:space="preserve">. </w:t>
      </w:r>
      <w:r w:rsidRPr="00CB093C">
        <w:rPr>
          <w:rFonts w:ascii="Arial" w:hAnsi="Arial" w:cs="Arial"/>
          <w:i/>
          <w:color w:val="000000"/>
          <w:szCs w:val="22"/>
        </w:rPr>
        <w:t>S</w:t>
      </w:r>
      <w:r w:rsidRPr="00CB093C">
        <w:rPr>
          <w:rFonts w:ascii="Arial" w:hAnsi="Arial" w:cs="Arial"/>
          <w:i/>
          <w:szCs w:val="22"/>
        </w:rPr>
        <w:t xml:space="preserve">eagrass condition index (±SE) with contributing indicator scores </w:t>
      </w:r>
      <w:r w:rsidRPr="00CB093C">
        <w:rPr>
          <w:rFonts w:ascii="Arial" w:hAnsi="Arial" w:cs="Arial"/>
          <w:i/>
          <w:color w:val="000000"/>
          <w:szCs w:val="22"/>
        </w:rPr>
        <w:t xml:space="preserve">for each NRM region </w:t>
      </w:r>
      <w:r w:rsidRPr="00CB093C">
        <w:rPr>
          <w:rFonts w:ascii="Arial" w:hAnsi="Arial" w:cs="Arial"/>
          <w:i/>
          <w:szCs w:val="22"/>
        </w:rPr>
        <w:t>over the life of the MMP</w:t>
      </w:r>
      <w:bookmarkEnd w:id="181"/>
    </w:p>
    <w:p w14:paraId="17C2FB2F" w14:textId="23E56E5B" w:rsidR="00D1356E" w:rsidRPr="00CB093C" w:rsidRDefault="003E6134" w:rsidP="003E6134">
      <w:pPr>
        <w:autoSpaceDE w:val="0"/>
        <w:autoSpaceDN w:val="0"/>
        <w:adjustRightInd w:val="0"/>
        <w:rPr>
          <w:rFonts w:ascii="Arial" w:hAnsi="Arial" w:cs="Arial"/>
          <w:szCs w:val="22"/>
          <w:lang w:eastAsia="en-AU"/>
        </w:rPr>
      </w:pPr>
      <w:r w:rsidRPr="00CB093C">
        <w:rPr>
          <w:rFonts w:ascii="Arial" w:hAnsi="Arial" w:cs="Arial"/>
          <w:i/>
          <w:szCs w:val="22"/>
        </w:rPr>
        <w:t>. The index is derived from the aggregate of metric scores for indicators of seagrass community health.</w:t>
      </w:r>
      <w:r w:rsidRPr="00CB093C">
        <w:rPr>
          <w:rFonts w:ascii="Arial" w:hAnsi="Arial" w:cs="Arial"/>
          <w:i/>
          <w:vanish/>
          <w:color w:val="000000"/>
          <w:szCs w:val="22"/>
          <w:specVanish/>
        </w:rPr>
        <w:t xml:space="preserve"> </w:t>
      </w:r>
      <w:r w:rsidRPr="00CB093C">
        <w:rPr>
          <w:rFonts w:ascii="Arial" w:hAnsi="Arial" w:cs="Arial"/>
          <w:i/>
          <w:szCs w:val="22"/>
        </w:rPr>
        <w:t xml:space="preserve">Values are indexed scores scaled from </w:t>
      </w:r>
      <w:r w:rsidR="00543DFF" w:rsidRPr="00CB093C">
        <w:rPr>
          <w:rFonts w:ascii="Arial" w:hAnsi="Arial" w:cs="Arial"/>
          <w:i/>
          <w:szCs w:val="22"/>
        </w:rPr>
        <w:t xml:space="preserve">0–100 and graded: </w:t>
      </w:r>
      <w:r w:rsidR="00543DFF" w:rsidRPr="00CB093C">
        <w:rPr>
          <w:rFonts w:ascii="Arial" w:hAnsi="Arial" w:cs="Arial"/>
          <w:color w:val="008000"/>
          <w:szCs w:val="22"/>
        </w:rPr>
        <w:t>●</w:t>
      </w:r>
      <w:r w:rsidR="00543DFF" w:rsidRPr="00CB093C">
        <w:rPr>
          <w:rFonts w:ascii="Arial" w:hAnsi="Arial" w:cs="Arial"/>
          <w:i/>
          <w:szCs w:val="22"/>
        </w:rPr>
        <w:t xml:space="preserve"> = very good (81-100), </w:t>
      </w:r>
      <w:r w:rsidR="00543DFF" w:rsidRPr="00CB093C">
        <w:rPr>
          <w:rFonts w:ascii="Arial" w:hAnsi="Arial" w:cs="Arial"/>
          <w:color w:val="92D050"/>
          <w:szCs w:val="22"/>
        </w:rPr>
        <w:t>●</w:t>
      </w:r>
      <w:r w:rsidR="00543DFF" w:rsidRPr="00CB093C">
        <w:rPr>
          <w:rFonts w:ascii="Arial" w:hAnsi="Arial" w:cs="Arial"/>
          <w:i/>
          <w:szCs w:val="22"/>
        </w:rPr>
        <w:t xml:space="preserve"> = good (61 - 80), </w:t>
      </w:r>
      <w:r w:rsidR="00543DFF" w:rsidRPr="00CB093C">
        <w:rPr>
          <w:rFonts w:ascii="Arial" w:hAnsi="Arial" w:cs="Arial"/>
          <w:color w:val="FFFF00"/>
          <w:szCs w:val="22"/>
        </w:rPr>
        <w:t>●</w:t>
      </w:r>
      <w:r w:rsidR="00543DFF" w:rsidRPr="00CB093C">
        <w:rPr>
          <w:rFonts w:ascii="Arial" w:hAnsi="Arial" w:cs="Arial"/>
          <w:i/>
          <w:szCs w:val="22"/>
        </w:rPr>
        <w:t xml:space="preserve"> = moderate (41 - 60), </w:t>
      </w:r>
      <w:r w:rsidR="00543DFF" w:rsidRPr="00CB093C">
        <w:rPr>
          <w:rFonts w:ascii="Arial" w:hAnsi="Arial" w:cs="Arial"/>
          <w:i/>
          <w:color w:val="FFC000"/>
          <w:szCs w:val="22"/>
        </w:rPr>
        <w:t>●</w:t>
      </w:r>
      <w:r w:rsidR="00543DFF" w:rsidRPr="00CB093C">
        <w:rPr>
          <w:rFonts w:ascii="Arial" w:hAnsi="Arial" w:cs="Arial"/>
          <w:i/>
          <w:szCs w:val="22"/>
        </w:rPr>
        <w:t xml:space="preserve"> = poor (21 - 40), </w:t>
      </w:r>
      <w:r w:rsidR="00543DFF" w:rsidRPr="00CB093C">
        <w:rPr>
          <w:rFonts w:ascii="Arial" w:hAnsi="Arial" w:cs="Arial"/>
          <w:i/>
          <w:color w:val="FF0000"/>
          <w:szCs w:val="22"/>
        </w:rPr>
        <w:t>●</w:t>
      </w:r>
      <w:r w:rsidR="00543DFF" w:rsidRPr="00CB093C">
        <w:rPr>
          <w:rFonts w:ascii="Arial" w:hAnsi="Arial" w:cs="Arial"/>
          <w:i/>
          <w:szCs w:val="22"/>
        </w:rPr>
        <w:t> = very poor (0 - 20).</w:t>
      </w:r>
      <w:r w:rsidR="00543DFF" w:rsidRPr="00CB093C">
        <w:rPr>
          <w:rFonts w:ascii="Arial" w:hAnsi="Arial" w:cs="Arial"/>
          <w:i/>
          <w:color w:val="000000"/>
          <w:szCs w:val="22"/>
        </w:rPr>
        <w:t xml:space="preserve"> NB: Scores</w:t>
      </w:r>
      <w:r w:rsidR="00543DFF" w:rsidRPr="00CB093C">
        <w:rPr>
          <w:rFonts w:ascii="Arial" w:hAnsi="Arial" w:cs="Arial"/>
          <w:i/>
          <w:szCs w:val="22"/>
        </w:rPr>
        <w:t xml:space="preserve"> are unitless.</w:t>
      </w:r>
    </w:p>
    <w:p w14:paraId="48381671" w14:textId="1DB1FCC5" w:rsidR="00CE334D" w:rsidRPr="00CB093C" w:rsidRDefault="00CE334D" w:rsidP="003E6134">
      <w:pPr>
        <w:autoSpaceDE w:val="0"/>
        <w:autoSpaceDN w:val="0"/>
        <w:adjustRightInd w:val="0"/>
        <w:rPr>
          <w:rFonts w:ascii="Arial" w:hAnsi="Arial" w:cs="Arial"/>
          <w:szCs w:val="22"/>
          <w:lang w:eastAsia="en-AU"/>
        </w:rPr>
      </w:pPr>
    </w:p>
    <w:p w14:paraId="503ADD8B" w14:textId="3AB88A5F" w:rsidR="00A14E50" w:rsidRPr="00CB093C" w:rsidRDefault="00A14E50" w:rsidP="003E6134">
      <w:pPr>
        <w:autoSpaceDE w:val="0"/>
        <w:autoSpaceDN w:val="0"/>
        <w:adjustRightInd w:val="0"/>
        <w:rPr>
          <w:rFonts w:ascii="Arial" w:hAnsi="Arial" w:cs="Arial"/>
          <w:szCs w:val="22"/>
          <w:lang w:eastAsia="en-AU"/>
        </w:rPr>
      </w:pPr>
      <w:r w:rsidRPr="00CB093C">
        <w:rPr>
          <w:rFonts w:ascii="Arial" w:hAnsi="Arial" w:cs="Arial"/>
          <w:szCs w:val="22"/>
          <w:lang w:eastAsia="en-AU"/>
        </w:rPr>
        <w:t xml:space="preserve">The long-term trends in the seagrass condition index, and the raw data for each of the indicators are shown in </w:t>
      </w:r>
      <w:r w:rsidRPr="00CB093C">
        <w:rPr>
          <w:rFonts w:ascii="Arial" w:hAnsi="Arial" w:cs="Arial"/>
          <w:szCs w:val="22"/>
          <w:lang w:eastAsia="en-AU"/>
        </w:rPr>
        <w:fldChar w:fldCharType="begin"/>
      </w:r>
      <w:r w:rsidRPr="00CB093C">
        <w:rPr>
          <w:rFonts w:ascii="Arial" w:hAnsi="Arial" w:cs="Arial"/>
          <w:szCs w:val="22"/>
          <w:lang w:eastAsia="en-AU"/>
        </w:rPr>
        <w:instrText xml:space="preserve"> REF _Ref442456518 \h </w:instrText>
      </w:r>
      <w:r w:rsidR="00CB093C" w:rsidRPr="00CB093C">
        <w:rPr>
          <w:rFonts w:ascii="Arial" w:hAnsi="Arial" w:cs="Arial"/>
          <w:szCs w:val="22"/>
          <w:lang w:eastAsia="en-AU"/>
        </w:rPr>
        <w:instrText xml:space="preserve"> \* MERGEFORMAT </w:instrText>
      </w:r>
      <w:r w:rsidRPr="00CB093C">
        <w:rPr>
          <w:rFonts w:ascii="Arial" w:hAnsi="Arial" w:cs="Arial"/>
          <w:szCs w:val="22"/>
          <w:lang w:eastAsia="en-AU"/>
        </w:rPr>
      </w:r>
      <w:r w:rsidRPr="00CB093C">
        <w:rPr>
          <w:rFonts w:ascii="Arial" w:hAnsi="Arial" w:cs="Arial"/>
          <w:szCs w:val="22"/>
          <w:lang w:eastAsia="en-AU"/>
        </w:rPr>
        <w:fldChar w:fldCharType="separate"/>
      </w:r>
      <w:r w:rsidR="005F00D4" w:rsidRPr="00CB093C">
        <w:rPr>
          <w:rFonts w:ascii="Arial" w:hAnsi="Arial" w:cs="Arial"/>
          <w:szCs w:val="22"/>
        </w:rPr>
        <w:t xml:space="preserve">Figure </w:t>
      </w:r>
      <w:r w:rsidR="005F00D4">
        <w:rPr>
          <w:rFonts w:ascii="Arial" w:hAnsi="Arial" w:cs="Arial"/>
          <w:noProof/>
          <w:szCs w:val="22"/>
        </w:rPr>
        <w:t>17</w:t>
      </w:r>
      <w:r w:rsidRPr="00CB093C">
        <w:rPr>
          <w:rFonts w:ascii="Arial" w:hAnsi="Arial" w:cs="Arial"/>
          <w:szCs w:val="22"/>
          <w:lang w:eastAsia="en-AU"/>
        </w:rPr>
        <w:fldChar w:fldCharType="end"/>
      </w:r>
      <w:r w:rsidRPr="00CB093C">
        <w:rPr>
          <w:rFonts w:ascii="Arial" w:hAnsi="Arial" w:cs="Arial"/>
          <w:szCs w:val="22"/>
          <w:lang w:eastAsia="en-AU"/>
        </w:rPr>
        <w:t xml:space="preserve">. </w:t>
      </w:r>
      <w:r w:rsidR="00733F3D" w:rsidRPr="00CB093C">
        <w:rPr>
          <w:rFonts w:ascii="Arial" w:hAnsi="Arial" w:cs="Arial"/>
          <w:szCs w:val="22"/>
          <w:lang w:eastAsia="en-AU"/>
        </w:rPr>
        <w:t>Generalised additive models are presented for per</w:t>
      </w:r>
      <w:r w:rsidR="00F507B9" w:rsidRPr="00CB093C">
        <w:rPr>
          <w:rFonts w:ascii="Arial" w:hAnsi="Arial" w:cs="Arial"/>
          <w:szCs w:val="22"/>
          <w:lang w:eastAsia="en-AU"/>
        </w:rPr>
        <w:t> </w:t>
      </w:r>
      <w:r w:rsidR="00733F3D" w:rsidRPr="00CB093C">
        <w:rPr>
          <w:rFonts w:ascii="Arial" w:hAnsi="Arial" w:cs="Arial"/>
          <w:szCs w:val="22"/>
          <w:lang w:eastAsia="en-AU"/>
        </w:rPr>
        <w:t>cent cover and tissue nutrients to show long-term trends</w:t>
      </w:r>
      <w:r w:rsidR="00201995" w:rsidRPr="00CB093C">
        <w:rPr>
          <w:rFonts w:ascii="Arial" w:hAnsi="Arial" w:cs="Arial"/>
          <w:szCs w:val="22"/>
          <w:lang w:eastAsia="en-AU"/>
        </w:rPr>
        <w:t xml:space="preserve"> in these indicators</w:t>
      </w:r>
      <w:r w:rsidR="00733F3D" w:rsidRPr="00CB093C">
        <w:rPr>
          <w:rFonts w:ascii="Arial" w:hAnsi="Arial" w:cs="Arial"/>
          <w:szCs w:val="22"/>
          <w:lang w:eastAsia="en-AU"/>
        </w:rPr>
        <w:t>. These models could not be constructed on the reproductive data due to the large number of zeroes</w:t>
      </w:r>
      <w:r w:rsidR="00B84F63" w:rsidRPr="00CB093C">
        <w:rPr>
          <w:rFonts w:ascii="Arial" w:hAnsi="Arial" w:cs="Arial"/>
          <w:szCs w:val="22"/>
          <w:lang w:eastAsia="en-AU"/>
        </w:rPr>
        <w:t>. I</w:t>
      </w:r>
      <w:r w:rsidR="00733F3D" w:rsidRPr="00CB093C">
        <w:rPr>
          <w:rFonts w:ascii="Arial" w:hAnsi="Arial" w:cs="Arial"/>
          <w:szCs w:val="22"/>
          <w:lang w:eastAsia="en-AU"/>
        </w:rPr>
        <w:t>nstead</w:t>
      </w:r>
      <w:r w:rsidR="00B84F63" w:rsidRPr="00CB093C">
        <w:rPr>
          <w:rFonts w:ascii="Arial" w:hAnsi="Arial" w:cs="Arial"/>
          <w:szCs w:val="22"/>
          <w:lang w:eastAsia="en-AU"/>
        </w:rPr>
        <w:t>,</w:t>
      </w:r>
      <w:r w:rsidR="00733F3D" w:rsidRPr="00CB093C">
        <w:rPr>
          <w:rFonts w:ascii="Arial" w:hAnsi="Arial" w:cs="Arial"/>
          <w:szCs w:val="22"/>
          <w:lang w:eastAsia="en-AU"/>
        </w:rPr>
        <w:t xml:space="preserve"> reproductive effort is displayed as mean and standard errors</w:t>
      </w:r>
      <w:r w:rsidR="00B84F63" w:rsidRPr="00CB093C">
        <w:rPr>
          <w:rFonts w:ascii="Arial" w:hAnsi="Arial" w:cs="Arial"/>
          <w:szCs w:val="22"/>
          <w:lang w:eastAsia="en-AU"/>
        </w:rPr>
        <w:t>, which highlights the large seasonal vari</w:t>
      </w:r>
      <w:r w:rsidR="00F507B9" w:rsidRPr="00CB093C">
        <w:rPr>
          <w:rFonts w:ascii="Arial" w:hAnsi="Arial" w:cs="Arial"/>
          <w:szCs w:val="22"/>
          <w:lang w:eastAsia="en-AU"/>
        </w:rPr>
        <w:t>ability in reproductive effort.</w:t>
      </w:r>
    </w:p>
    <w:p w14:paraId="2AC1B98E" w14:textId="74A637DA" w:rsidR="00CE334D" w:rsidRPr="00CB093C" w:rsidRDefault="00CE334D" w:rsidP="003E6134">
      <w:pPr>
        <w:autoSpaceDE w:val="0"/>
        <w:autoSpaceDN w:val="0"/>
        <w:adjustRightInd w:val="0"/>
        <w:rPr>
          <w:rFonts w:ascii="Arial" w:hAnsi="Arial" w:cs="Arial"/>
          <w:szCs w:val="22"/>
          <w:lang w:eastAsia="en-AU"/>
        </w:rPr>
      </w:pPr>
    </w:p>
    <w:p w14:paraId="24667E2D" w14:textId="77777777" w:rsidR="00E13FC5" w:rsidRPr="00CB093C" w:rsidRDefault="00E13FC5" w:rsidP="00E13FC5">
      <w:pPr>
        <w:keepNext/>
        <w:widowControl w:val="0"/>
        <w:jc w:val="center"/>
        <w:rPr>
          <w:rFonts w:ascii="Arial" w:hAnsi="Arial" w:cs="Arial"/>
          <w:szCs w:val="22"/>
          <w:lang w:val="en-GB"/>
        </w:rPr>
      </w:pPr>
      <w:r w:rsidRPr="00CB093C">
        <w:rPr>
          <w:rFonts w:ascii="Arial" w:hAnsi="Arial" w:cs="Arial"/>
          <w:noProof/>
          <w:szCs w:val="22"/>
          <w:lang w:val="en-US"/>
        </w:rPr>
        <w:lastRenderedPageBreak/>
        <w:drawing>
          <wp:inline distT="0" distB="0" distL="0" distR="0" wp14:anchorId="03026E4E" wp14:editId="7FF95900">
            <wp:extent cx="5626439" cy="5317093"/>
            <wp:effectExtent l="0" t="0" r="0" b="0"/>
            <wp:docPr id="237" name="Picture 237" descr="Set of four box plot graphs showing seagrass percent cover measures per quadrat from meadows monitored from June 1999 to May 2017 (sites and habitats pooled)&#10;Generalised Additive Model plot of seagrass abundance (% cover) for each habitat type across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GBR wide with Habitat_GAM_Dec16.png"/>
                    <pic:cNvPicPr/>
                  </pic:nvPicPr>
                  <pic:blipFill>
                    <a:blip r:embed="rId61">
                      <a:extLst>
                        <a:ext uri="{28A0092B-C50C-407E-A947-70E740481C1C}">
                          <a14:useLocalDpi xmlns:a14="http://schemas.microsoft.com/office/drawing/2010/main" val="0"/>
                        </a:ext>
                      </a:extLst>
                    </a:blip>
                    <a:stretch>
                      <a:fillRect/>
                    </a:stretch>
                  </pic:blipFill>
                  <pic:spPr>
                    <a:xfrm>
                      <a:off x="0" y="0"/>
                      <a:ext cx="5626439" cy="5317093"/>
                    </a:xfrm>
                    <a:prstGeom prst="rect">
                      <a:avLst/>
                    </a:prstGeom>
                  </pic:spPr>
                </pic:pic>
              </a:graphicData>
            </a:graphic>
          </wp:inline>
        </w:drawing>
      </w:r>
    </w:p>
    <w:p w14:paraId="23BDA1EF" w14:textId="2574C7B1" w:rsidR="000C5E7B" w:rsidRPr="00CB093C" w:rsidRDefault="00E13FC5" w:rsidP="000C5E7B">
      <w:pPr>
        <w:rPr>
          <w:rFonts w:ascii="Arial" w:hAnsi="Arial" w:cs="Arial"/>
          <w:i/>
          <w:vanish/>
          <w:szCs w:val="22"/>
          <w:specVanish/>
        </w:rPr>
      </w:pPr>
      <w:bookmarkStart w:id="182" w:name="_Ref442456518"/>
      <w:bookmarkStart w:id="183" w:name="_Toc6402782"/>
      <w:r w:rsidRPr="00CB093C">
        <w:rPr>
          <w:rFonts w:ascii="Arial" w:hAnsi="Arial" w:cs="Arial"/>
          <w:szCs w:val="22"/>
        </w:rPr>
        <w:t xml:space="preserve">Figure </w:t>
      </w:r>
      <w:r w:rsidRPr="00CB093C">
        <w:rPr>
          <w:rFonts w:ascii="Arial" w:hAnsi="Arial" w:cs="Arial"/>
          <w:noProof/>
          <w:szCs w:val="22"/>
        </w:rPr>
        <w:fldChar w:fldCharType="begin"/>
      </w:r>
      <w:r w:rsidRPr="00CB093C">
        <w:rPr>
          <w:rFonts w:ascii="Arial" w:hAnsi="Arial" w:cs="Arial"/>
          <w:noProof/>
          <w:szCs w:val="22"/>
        </w:rPr>
        <w:instrText xml:space="preserve"> SEQ Figure \* ARABIC </w:instrText>
      </w:r>
      <w:r w:rsidRPr="00CB093C">
        <w:rPr>
          <w:rFonts w:ascii="Arial" w:hAnsi="Arial" w:cs="Arial"/>
          <w:noProof/>
          <w:szCs w:val="22"/>
        </w:rPr>
        <w:fldChar w:fldCharType="separate"/>
      </w:r>
      <w:r w:rsidR="005F00D4">
        <w:rPr>
          <w:rFonts w:ascii="Arial" w:hAnsi="Arial" w:cs="Arial"/>
          <w:noProof/>
          <w:szCs w:val="22"/>
        </w:rPr>
        <w:t>17</w:t>
      </w:r>
      <w:r w:rsidRPr="00CB093C">
        <w:rPr>
          <w:rFonts w:ascii="Arial" w:hAnsi="Arial" w:cs="Arial"/>
          <w:noProof/>
          <w:szCs w:val="22"/>
        </w:rPr>
        <w:fldChar w:fldCharType="end"/>
      </w:r>
      <w:bookmarkEnd w:id="182"/>
      <w:r w:rsidRPr="00CB093C">
        <w:rPr>
          <w:rFonts w:ascii="Arial" w:hAnsi="Arial" w:cs="Arial"/>
          <w:szCs w:val="22"/>
        </w:rPr>
        <w:t xml:space="preserve">. </w:t>
      </w:r>
      <w:r w:rsidR="00FE0557" w:rsidRPr="00CB093C">
        <w:rPr>
          <w:rFonts w:ascii="Arial" w:hAnsi="Arial" w:cs="Arial"/>
          <w:i/>
          <w:szCs w:val="22"/>
        </w:rPr>
        <w:t>Trend</w:t>
      </w:r>
      <w:r w:rsidR="002E28DA" w:rsidRPr="00CB093C">
        <w:rPr>
          <w:rFonts w:ascii="Arial" w:hAnsi="Arial" w:cs="Arial"/>
          <w:i/>
          <w:szCs w:val="22"/>
        </w:rPr>
        <w:t xml:space="preserve">s in the </w:t>
      </w:r>
      <w:r w:rsidR="000C5E7B" w:rsidRPr="00CB093C">
        <w:rPr>
          <w:rFonts w:ascii="Arial" w:hAnsi="Arial" w:cs="Arial"/>
          <w:i/>
          <w:szCs w:val="22"/>
        </w:rPr>
        <w:t xml:space="preserve">seagrass </w:t>
      </w:r>
      <w:r w:rsidR="007A70FE" w:rsidRPr="00CB093C">
        <w:rPr>
          <w:rFonts w:ascii="Arial" w:hAnsi="Arial" w:cs="Arial"/>
          <w:i/>
          <w:szCs w:val="22"/>
        </w:rPr>
        <w:t>condition</w:t>
      </w:r>
      <w:r w:rsidR="00011B59" w:rsidRPr="00CB093C">
        <w:rPr>
          <w:rFonts w:ascii="Arial" w:hAnsi="Arial" w:cs="Arial"/>
          <w:i/>
          <w:szCs w:val="22"/>
        </w:rPr>
        <w:t xml:space="preserve"> </w:t>
      </w:r>
      <w:r w:rsidR="002E28DA" w:rsidRPr="00CB093C">
        <w:rPr>
          <w:rFonts w:ascii="Arial" w:hAnsi="Arial" w:cs="Arial"/>
          <w:i/>
          <w:szCs w:val="22"/>
        </w:rPr>
        <w:t>index and indi</w:t>
      </w:r>
      <w:r w:rsidR="00FE0557" w:rsidRPr="00CB093C">
        <w:rPr>
          <w:rFonts w:ascii="Arial" w:hAnsi="Arial" w:cs="Arial"/>
          <w:i/>
          <w:szCs w:val="22"/>
        </w:rPr>
        <w:t>cators used to calculate the index</w:t>
      </w:r>
      <w:bookmarkEnd w:id="183"/>
      <w:r w:rsidR="000C5E7B" w:rsidRPr="00CB093C">
        <w:rPr>
          <w:rFonts w:ascii="Arial" w:hAnsi="Arial" w:cs="Arial"/>
          <w:i/>
          <w:vanish/>
          <w:szCs w:val="22"/>
          <w:specVanish/>
        </w:rPr>
        <w:t xml:space="preserve"> </w:t>
      </w:r>
    </w:p>
    <w:p w14:paraId="24138B85" w14:textId="708E35BD" w:rsidR="008F7D8B" w:rsidRPr="00CB093C" w:rsidRDefault="000C5E7B" w:rsidP="00332CF2">
      <w:pPr>
        <w:rPr>
          <w:rFonts w:ascii="Arial" w:hAnsi="Arial" w:cs="Arial"/>
          <w:szCs w:val="22"/>
        </w:rPr>
      </w:pPr>
      <w:r w:rsidRPr="00CB093C">
        <w:rPr>
          <w:rFonts w:ascii="Arial" w:hAnsi="Arial" w:cs="Arial"/>
          <w:i/>
          <w:szCs w:val="22"/>
        </w:rPr>
        <w:t xml:space="preserve"> </w:t>
      </w:r>
      <w:r w:rsidR="00FE0557" w:rsidRPr="00CB093C">
        <w:rPr>
          <w:rFonts w:ascii="Arial" w:hAnsi="Arial" w:cs="Arial"/>
          <w:i/>
          <w:szCs w:val="22"/>
        </w:rPr>
        <w:t>including</w:t>
      </w:r>
      <w:r w:rsidR="002E28DA" w:rsidRPr="00CB093C">
        <w:rPr>
          <w:rFonts w:ascii="Arial" w:hAnsi="Arial" w:cs="Arial"/>
          <w:i/>
          <w:szCs w:val="22"/>
        </w:rPr>
        <w:t>:</w:t>
      </w:r>
      <w:r w:rsidR="00FE0557" w:rsidRPr="00CB093C">
        <w:rPr>
          <w:rFonts w:ascii="Arial" w:hAnsi="Arial" w:cs="Arial"/>
          <w:i/>
          <w:szCs w:val="22"/>
        </w:rPr>
        <w:t xml:space="preserve"> a. </w:t>
      </w:r>
      <w:r w:rsidR="00F206BF" w:rsidRPr="00CB093C">
        <w:rPr>
          <w:rFonts w:ascii="Arial" w:hAnsi="Arial" w:cs="Arial"/>
          <w:i/>
          <w:szCs w:val="22"/>
        </w:rPr>
        <w:t>Reef</w:t>
      </w:r>
      <w:r w:rsidR="00FE0557" w:rsidRPr="00CB093C">
        <w:rPr>
          <w:rFonts w:ascii="Arial" w:hAnsi="Arial" w:cs="Arial"/>
          <w:i/>
          <w:szCs w:val="22"/>
        </w:rPr>
        <w:t>-wide s</w:t>
      </w:r>
      <w:r w:rsidR="008E04B7" w:rsidRPr="00CB093C">
        <w:rPr>
          <w:rFonts w:ascii="Arial" w:hAnsi="Arial" w:cs="Arial"/>
          <w:i/>
          <w:szCs w:val="22"/>
        </w:rPr>
        <w:t>eagrass index</w:t>
      </w:r>
      <w:r w:rsidR="00FE0557" w:rsidRPr="00CB093C">
        <w:rPr>
          <w:rFonts w:ascii="Arial" w:hAnsi="Arial" w:cs="Arial"/>
          <w:i/>
          <w:szCs w:val="22"/>
        </w:rPr>
        <w:t xml:space="preserve"> (circles) and regional trends (lines); b.</w:t>
      </w:r>
      <w:r w:rsidR="008E04B7" w:rsidRPr="00CB093C">
        <w:rPr>
          <w:rFonts w:ascii="Arial" w:hAnsi="Arial" w:cs="Arial"/>
          <w:i/>
          <w:szCs w:val="22"/>
        </w:rPr>
        <w:t xml:space="preserve"> </w:t>
      </w:r>
      <w:r w:rsidR="00FE0557" w:rsidRPr="00CB093C">
        <w:rPr>
          <w:rFonts w:ascii="Arial" w:hAnsi="Arial" w:cs="Arial"/>
          <w:i/>
          <w:szCs w:val="22"/>
        </w:rPr>
        <w:t>t</w:t>
      </w:r>
      <w:r w:rsidR="00E13FC5" w:rsidRPr="00CB093C">
        <w:rPr>
          <w:rFonts w:ascii="Arial" w:hAnsi="Arial" w:cs="Arial"/>
          <w:i/>
          <w:szCs w:val="22"/>
        </w:rPr>
        <w:t>rends in seagrass abundance (</w:t>
      </w:r>
      <w:r w:rsidR="00882B72" w:rsidRPr="00CB093C">
        <w:rPr>
          <w:rFonts w:ascii="Arial" w:hAnsi="Arial" w:cs="Arial"/>
          <w:i/>
          <w:szCs w:val="22"/>
        </w:rPr>
        <w:t>%</w:t>
      </w:r>
      <w:r w:rsidR="00E13FC5" w:rsidRPr="00CB093C">
        <w:rPr>
          <w:rFonts w:ascii="Arial" w:hAnsi="Arial" w:cs="Arial"/>
          <w:i/>
          <w:szCs w:val="22"/>
        </w:rPr>
        <w:t xml:space="preserve"> cover) represented by a GAM plot</w:t>
      </w:r>
      <w:r w:rsidR="00FE0557" w:rsidRPr="00CB093C">
        <w:rPr>
          <w:rFonts w:ascii="Arial" w:hAnsi="Arial" w:cs="Arial"/>
          <w:i/>
          <w:szCs w:val="22"/>
        </w:rPr>
        <w:t xml:space="preserve"> as </w:t>
      </w:r>
      <w:r w:rsidR="00E13FC5" w:rsidRPr="00CB093C">
        <w:rPr>
          <w:rFonts w:ascii="Arial" w:hAnsi="Arial" w:cs="Arial"/>
          <w:i/>
          <w:szCs w:val="22"/>
        </w:rPr>
        <w:t>dark lines with shaded areas defining 95</w:t>
      </w:r>
      <w:r w:rsidR="00030036" w:rsidRPr="00CB093C">
        <w:rPr>
          <w:rFonts w:ascii="Arial" w:hAnsi="Arial" w:cs="Arial"/>
          <w:i/>
          <w:szCs w:val="22"/>
        </w:rPr>
        <w:t>%</w:t>
      </w:r>
      <w:r w:rsidR="00E13FC5" w:rsidRPr="00CB093C">
        <w:rPr>
          <w:rFonts w:ascii="Arial" w:hAnsi="Arial" w:cs="Arial"/>
          <w:i/>
          <w:szCs w:val="22"/>
        </w:rPr>
        <w:t xml:space="preserve"> confidence intervals of those trends</w:t>
      </w:r>
      <w:r w:rsidR="00FE0557" w:rsidRPr="00CB093C">
        <w:rPr>
          <w:rFonts w:ascii="Arial" w:hAnsi="Arial" w:cs="Arial"/>
          <w:i/>
          <w:szCs w:val="22"/>
        </w:rPr>
        <w:t xml:space="preserve"> (</w:t>
      </w:r>
      <w:r w:rsidR="00F206BF" w:rsidRPr="00CB093C">
        <w:rPr>
          <w:rFonts w:ascii="Arial" w:hAnsi="Arial" w:cs="Arial"/>
          <w:i/>
          <w:szCs w:val="22"/>
        </w:rPr>
        <w:t>Reef</w:t>
      </w:r>
      <w:r w:rsidR="00FE0557" w:rsidRPr="00CB093C">
        <w:rPr>
          <w:rFonts w:ascii="Arial" w:hAnsi="Arial" w:cs="Arial"/>
          <w:i/>
          <w:szCs w:val="22"/>
        </w:rPr>
        <w:t>), and coloured lines representing NRM trends; c. reproductive structures (gam is not possible due to high count of zeroes); and d. tissue nutrient content represented by a GAM plot as dark lines with shaded areas defining 95</w:t>
      </w:r>
      <w:r w:rsidR="00030036" w:rsidRPr="00CB093C">
        <w:rPr>
          <w:rFonts w:ascii="Arial" w:hAnsi="Arial" w:cs="Arial"/>
          <w:i/>
          <w:szCs w:val="22"/>
        </w:rPr>
        <w:t>%</w:t>
      </w:r>
      <w:r w:rsidR="00FE0557" w:rsidRPr="00CB093C">
        <w:rPr>
          <w:rFonts w:ascii="Arial" w:hAnsi="Arial" w:cs="Arial"/>
          <w:i/>
          <w:szCs w:val="22"/>
        </w:rPr>
        <w:t xml:space="preserve"> confidence intervals of those trends (</w:t>
      </w:r>
      <w:r w:rsidR="00F206BF" w:rsidRPr="00CB093C">
        <w:rPr>
          <w:rFonts w:ascii="Arial" w:hAnsi="Arial" w:cs="Arial"/>
          <w:i/>
          <w:szCs w:val="22"/>
        </w:rPr>
        <w:t>Reef</w:t>
      </w:r>
      <w:r w:rsidR="00FE0557" w:rsidRPr="00CB093C">
        <w:rPr>
          <w:rFonts w:ascii="Arial" w:hAnsi="Arial" w:cs="Arial"/>
          <w:i/>
          <w:szCs w:val="22"/>
        </w:rPr>
        <w:t>), and coloured lines representing NRM trends</w:t>
      </w:r>
      <w:r w:rsidR="00E13FC5" w:rsidRPr="00CB093C">
        <w:rPr>
          <w:rFonts w:ascii="Arial" w:hAnsi="Arial" w:cs="Arial"/>
          <w:i/>
          <w:szCs w:val="22"/>
        </w:rPr>
        <w:t>.</w:t>
      </w:r>
      <w:r w:rsidR="00E13FC5" w:rsidRPr="00CB093C">
        <w:rPr>
          <w:rFonts w:ascii="Arial" w:hAnsi="Arial" w:cs="Arial"/>
          <w:i/>
          <w:szCs w:val="22"/>
          <w:lang w:val="en-GB"/>
        </w:rPr>
        <w:t xml:space="preserve"> </w:t>
      </w:r>
    </w:p>
    <w:p w14:paraId="0626B337" w14:textId="77777777" w:rsidR="00422273" w:rsidRPr="00CB093C" w:rsidRDefault="00422273" w:rsidP="00332CF2">
      <w:pPr>
        <w:rPr>
          <w:rFonts w:ascii="Arial" w:hAnsi="Arial" w:cs="Arial"/>
          <w:szCs w:val="22"/>
        </w:rPr>
      </w:pPr>
    </w:p>
    <w:p w14:paraId="75E27D1C" w14:textId="6F7B6229" w:rsidR="007C5F6F" w:rsidRPr="00CB093C" w:rsidRDefault="007C5F6F" w:rsidP="0015509E">
      <w:pPr>
        <w:pStyle w:val="Heading2"/>
        <w:rPr>
          <w:color w:val="000000" w:themeColor="text1"/>
        </w:rPr>
      </w:pPr>
      <w:bookmarkStart w:id="184" w:name="_Toc11394718"/>
      <w:r w:rsidRPr="00CB093C">
        <w:lastRenderedPageBreak/>
        <w:t xml:space="preserve">Trends in seagrass condition </w:t>
      </w:r>
      <w:r w:rsidRPr="00CB093C">
        <w:rPr>
          <w:color w:val="000000" w:themeColor="text1"/>
        </w:rPr>
        <w:t>indicators by habitat type</w:t>
      </w:r>
      <w:bookmarkEnd w:id="184"/>
    </w:p>
    <w:p w14:paraId="01ED005C" w14:textId="36DA47D7" w:rsidR="00FA665D" w:rsidRPr="00CB093C" w:rsidRDefault="00FA665D" w:rsidP="00AD06D4">
      <w:pPr>
        <w:pStyle w:val="Heading3"/>
        <w:numPr>
          <w:ilvl w:val="2"/>
          <w:numId w:val="4"/>
        </w:numPr>
        <w:rPr>
          <w:rFonts w:ascii="Arial" w:hAnsi="Arial" w:cs="Arial"/>
          <w:sz w:val="22"/>
          <w:szCs w:val="22"/>
        </w:rPr>
      </w:pPr>
      <w:bookmarkStart w:id="185" w:name="_Toc11394719"/>
      <w:r w:rsidRPr="00CB093C">
        <w:rPr>
          <w:rFonts w:ascii="Arial" w:hAnsi="Arial" w:cs="Arial"/>
          <w:sz w:val="22"/>
          <w:szCs w:val="22"/>
        </w:rPr>
        <w:t>Seagrass abundance, composition and extent</w:t>
      </w:r>
      <w:bookmarkEnd w:id="185"/>
      <w:r w:rsidRPr="00CB093C">
        <w:rPr>
          <w:rFonts w:ascii="Arial" w:hAnsi="Arial" w:cs="Arial"/>
          <w:sz w:val="22"/>
          <w:szCs w:val="22"/>
        </w:rPr>
        <w:t xml:space="preserve"> </w:t>
      </w:r>
    </w:p>
    <w:p w14:paraId="5C120885" w14:textId="078201D3" w:rsidR="00C96B39" w:rsidRPr="00CB093C" w:rsidRDefault="00837790" w:rsidP="00044C08">
      <w:pPr>
        <w:rPr>
          <w:rFonts w:ascii="Arial" w:hAnsi="Arial" w:cs="Arial"/>
          <w:color w:val="000000" w:themeColor="text1"/>
          <w:szCs w:val="22"/>
          <w:lang w:val="en-GB"/>
        </w:rPr>
      </w:pPr>
      <w:r w:rsidRPr="00CB093C">
        <w:rPr>
          <w:rFonts w:ascii="Arial" w:hAnsi="Arial" w:cs="Arial"/>
          <w:color w:val="000000" w:themeColor="text1"/>
          <w:szCs w:val="22"/>
          <w:lang w:val="en-GB"/>
        </w:rPr>
        <w:t xml:space="preserve">Seagrass abundance scores have fluctuated since monitoring was established. </w:t>
      </w:r>
      <w:r w:rsidR="00044C08" w:rsidRPr="00CB093C">
        <w:rPr>
          <w:rFonts w:ascii="Arial" w:hAnsi="Arial" w:cs="Arial"/>
          <w:color w:val="000000" w:themeColor="text1"/>
          <w:szCs w:val="22"/>
          <w:lang w:val="en-GB"/>
        </w:rPr>
        <w:t xml:space="preserve">An examination of long-term abundances across the </w:t>
      </w:r>
      <w:r w:rsidR="00C34F17" w:rsidRPr="00CB093C">
        <w:rPr>
          <w:rFonts w:ascii="Arial" w:hAnsi="Arial" w:cs="Arial"/>
          <w:color w:val="000000" w:themeColor="text1"/>
          <w:szCs w:val="22"/>
          <w:lang w:val="en-GB"/>
        </w:rPr>
        <w:t xml:space="preserve">Reef </w:t>
      </w:r>
      <w:r w:rsidR="00044C08" w:rsidRPr="00CB093C">
        <w:rPr>
          <w:rFonts w:ascii="Arial" w:hAnsi="Arial" w:cs="Arial"/>
          <w:color w:val="000000" w:themeColor="text1"/>
          <w:szCs w:val="22"/>
          <w:lang w:val="en-GB"/>
        </w:rPr>
        <w:t>indicates</w:t>
      </w:r>
      <w:r w:rsidR="00C96B39" w:rsidRPr="00CB093C">
        <w:rPr>
          <w:rFonts w:ascii="Arial" w:hAnsi="Arial" w:cs="Arial"/>
          <w:color w:val="000000" w:themeColor="text1"/>
          <w:szCs w:val="22"/>
          <w:lang w:val="en-GB"/>
        </w:rPr>
        <w:t>:</w:t>
      </w:r>
    </w:p>
    <w:p w14:paraId="1EB137CB" w14:textId="48660195" w:rsidR="00C96B39" w:rsidRPr="00CB093C" w:rsidRDefault="00E96B99" w:rsidP="00AD06D4">
      <w:pPr>
        <w:pStyle w:val="ListParagraph"/>
        <w:numPr>
          <w:ilvl w:val="0"/>
          <w:numId w:val="34"/>
        </w:numPr>
        <w:rPr>
          <w:rFonts w:ascii="Arial" w:hAnsi="Arial" w:cs="Arial"/>
          <w:color w:val="000000" w:themeColor="text1"/>
          <w:szCs w:val="22"/>
          <w:lang w:val="en-GB"/>
        </w:rPr>
      </w:pPr>
      <w:r w:rsidRPr="00CB093C">
        <w:rPr>
          <w:rFonts w:ascii="Arial" w:hAnsi="Arial" w:cs="Arial"/>
          <w:color w:val="000000" w:themeColor="text1"/>
          <w:szCs w:val="22"/>
          <w:lang w:val="en-GB"/>
        </w:rPr>
        <w:t>no</w:t>
      </w:r>
      <w:r w:rsidR="00044C08" w:rsidRPr="00CB093C">
        <w:rPr>
          <w:rFonts w:ascii="Arial" w:hAnsi="Arial" w:cs="Arial"/>
          <w:color w:val="000000" w:themeColor="text1"/>
          <w:szCs w:val="22"/>
          <w:lang w:val="en-GB"/>
        </w:rPr>
        <w:t xml:space="preserve"> significant trends at 72% of long-term monitoring sites, however 10% of sites signficantly increased in abundance and 18% decreased (</w:t>
      </w:r>
      <w:r w:rsidR="00044C08" w:rsidRPr="00CB093C">
        <w:rPr>
          <w:rFonts w:ascii="Arial" w:hAnsi="Arial" w:cs="Arial"/>
          <w:color w:val="000000" w:themeColor="text1"/>
          <w:szCs w:val="22"/>
          <w:lang w:val="en-GB"/>
        </w:rPr>
        <w:fldChar w:fldCharType="begin"/>
      </w:r>
      <w:r w:rsidR="00044C08" w:rsidRPr="00CB093C">
        <w:rPr>
          <w:rFonts w:ascii="Arial" w:hAnsi="Arial" w:cs="Arial"/>
          <w:color w:val="000000" w:themeColor="text1"/>
          <w:szCs w:val="22"/>
          <w:lang w:val="en-GB"/>
        </w:rPr>
        <w:instrText xml:space="preserve"> REF _Ref511310034 \r \h </w:instrText>
      </w:r>
      <w:r w:rsidR="00CB093C" w:rsidRPr="00CB093C">
        <w:rPr>
          <w:rFonts w:ascii="Arial" w:hAnsi="Arial" w:cs="Arial"/>
          <w:color w:val="000000" w:themeColor="text1"/>
          <w:szCs w:val="22"/>
          <w:lang w:val="en-GB"/>
        </w:rPr>
        <w:instrText xml:space="preserve"> \* MERGEFORMAT </w:instrText>
      </w:r>
      <w:r w:rsidR="00044C08" w:rsidRPr="00CB093C">
        <w:rPr>
          <w:rFonts w:ascii="Arial" w:hAnsi="Arial" w:cs="Arial"/>
          <w:color w:val="000000" w:themeColor="text1"/>
          <w:szCs w:val="22"/>
          <w:lang w:val="en-GB"/>
        </w:rPr>
      </w:r>
      <w:r w:rsidR="00044C08" w:rsidRPr="00CB093C">
        <w:rPr>
          <w:rFonts w:ascii="Arial" w:hAnsi="Arial" w:cs="Arial"/>
          <w:color w:val="000000" w:themeColor="text1"/>
          <w:szCs w:val="22"/>
          <w:lang w:val="en-GB"/>
        </w:rPr>
        <w:fldChar w:fldCharType="separate"/>
      </w:r>
      <w:r w:rsidR="005F00D4">
        <w:rPr>
          <w:rFonts w:ascii="Arial" w:hAnsi="Arial" w:cs="Arial"/>
          <w:color w:val="000000" w:themeColor="text1"/>
          <w:szCs w:val="22"/>
          <w:lang w:val="en-GB"/>
        </w:rPr>
        <w:t>Appendix 4</w:t>
      </w:r>
      <w:r w:rsidR="00044C08" w:rsidRPr="00CB093C">
        <w:rPr>
          <w:rFonts w:ascii="Arial" w:hAnsi="Arial" w:cs="Arial"/>
          <w:color w:val="000000" w:themeColor="text1"/>
          <w:szCs w:val="22"/>
          <w:lang w:val="en-GB"/>
        </w:rPr>
        <w:fldChar w:fldCharType="end"/>
      </w:r>
      <w:r w:rsidR="00044C08" w:rsidRPr="00CB093C">
        <w:rPr>
          <w:rFonts w:ascii="Arial" w:hAnsi="Arial" w:cs="Arial"/>
          <w:color w:val="000000" w:themeColor="text1"/>
          <w:szCs w:val="22"/>
          <w:lang w:val="en-GB"/>
        </w:rPr>
        <w:t xml:space="preserve">, </w:t>
      </w:r>
      <w:r w:rsidR="00044C08" w:rsidRPr="00CB093C">
        <w:rPr>
          <w:rFonts w:ascii="Arial" w:hAnsi="Arial" w:cs="Arial"/>
          <w:color w:val="000000" w:themeColor="text1"/>
          <w:szCs w:val="22"/>
          <w:lang w:val="en-GB"/>
        </w:rPr>
        <w:fldChar w:fldCharType="begin"/>
      </w:r>
      <w:r w:rsidR="00044C08" w:rsidRPr="00CB093C">
        <w:rPr>
          <w:rFonts w:ascii="Arial" w:hAnsi="Arial" w:cs="Arial"/>
          <w:color w:val="000000" w:themeColor="text1"/>
          <w:szCs w:val="22"/>
          <w:lang w:val="en-GB"/>
        </w:rPr>
        <w:instrText xml:space="preserve"> REF _Ref511310045 \h </w:instrText>
      </w:r>
      <w:r w:rsidR="00CB093C" w:rsidRPr="00CB093C">
        <w:rPr>
          <w:rFonts w:ascii="Arial" w:hAnsi="Arial" w:cs="Arial"/>
          <w:color w:val="000000" w:themeColor="text1"/>
          <w:szCs w:val="22"/>
          <w:lang w:val="en-GB"/>
        </w:rPr>
        <w:instrText xml:space="preserve"> \* MERGEFORMAT </w:instrText>
      </w:r>
      <w:r w:rsidR="00044C08" w:rsidRPr="00CB093C">
        <w:rPr>
          <w:rFonts w:ascii="Arial" w:hAnsi="Arial" w:cs="Arial"/>
          <w:color w:val="000000" w:themeColor="text1"/>
          <w:szCs w:val="22"/>
          <w:lang w:val="en-GB"/>
        </w:rPr>
      </w:r>
      <w:r w:rsidR="00044C08" w:rsidRPr="00CB093C">
        <w:rPr>
          <w:rFonts w:ascii="Arial" w:hAnsi="Arial" w:cs="Arial"/>
          <w:color w:val="000000" w:themeColor="text1"/>
          <w:szCs w:val="22"/>
          <w:lang w:val="en-GB"/>
        </w:rPr>
        <w:fldChar w:fldCharType="separate"/>
      </w:r>
      <w:r w:rsidR="005F00D4" w:rsidRPr="00CB093C">
        <w:rPr>
          <w:rFonts w:ascii="Arial" w:hAnsi="Arial" w:cs="Arial"/>
          <w:szCs w:val="22"/>
        </w:rPr>
        <w:t xml:space="preserve">Table </w:t>
      </w:r>
      <w:r w:rsidR="005F00D4">
        <w:rPr>
          <w:rFonts w:ascii="Arial" w:hAnsi="Arial" w:cs="Arial"/>
          <w:noProof/>
          <w:szCs w:val="22"/>
        </w:rPr>
        <w:t>23</w:t>
      </w:r>
      <w:r w:rsidR="00044C08" w:rsidRPr="00CB093C">
        <w:rPr>
          <w:rFonts w:ascii="Arial" w:hAnsi="Arial" w:cs="Arial"/>
          <w:color w:val="000000" w:themeColor="text1"/>
          <w:szCs w:val="22"/>
          <w:lang w:val="en-GB"/>
        </w:rPr>
        <w:fldChar w:fldCharType="end"/>
      </w:r>
      <w:r w:rsidR="00044C08" w:rsidRPr="00CB093C">
        <w:rPr>
          <w:rFonts w:ascii="Arial" w:hAnsi="Arial" w:cs="Arial"/>
          <w:color w:val="000000" w:themeColor="text1"/>
          <w:szCs w:val="22"/>
          <w:lang w:val="en-GB"/>
        </w:rPr>
        <w:t>)</w:t>
      </w:r>
    </w:p>
    <w:p w14:paraId="0BCD3585" w14:textId="158F3CDD" w:rsidR="00044C08" w:rsidRPr="00CB093C" w:rsidRDefault="00044C08" w:rsidP="00AD06D4">
      <w:pPr>
        <w:pStyle w:val="ListParagraph"/>
        <w:numPr>
          <w:ilvl w:val="0"/>
          <w:numId w:val="34"/>
        </w:numPr>
        <w:rPr>
          <w:rFonts w:ascii="Arial" w:hAnsi="Arial" w:cs="Arial"/>
          <w:color w:val="000000" w:themeColor="text1"/>
          <w:szCs w:val="22"/>
          <w:lang w:val="en-GB"/>
        </w:rPr>
      </w:pPr>
      <w:r w:rsidRPr="00CB093C">
        <w:rPr>
          <w:rFonts w:ascii="Arial" w:hAnsi="Arial" w:cs="Arial"/>
          <w:color w:val="000000" w:themeColor="text1"/>
          <w:szCs w:val="22"/>
          <w:lang w:val="en-GB"/>
        </w:rPr>
        <w:t>the rate of change in abundance was higher at sites increasing (</w:t>
      </w:r>
      <w:r w:rsidRPr="00CB093C">
        <w:rPr>
          <w:rFonts w:ascii="Arial" w:hAnsi="Arial" w:cs="Arial"/>
          <w:color w:val="000000" w:themeColor="text1"/>
          <w:szCs w:val="22"/>
          <w:lang w:val="en-US"/>
        </w:rPr>
        <w:t>1.1 ±0.5%, sampling event</w:t>
      </w:r>
      <w:r w:rsidRPr="00CB093C">
        <w:rPr>
          <w:rFonts w:ascii="Arial" w:hAnsi="Arial" w:cs="Arial"/>
          <w:color w:val="000000" w:themeColor="text1"/>
          <w:szCs w:val="22"/>
          <w:vertAlign w:val="superscript"/>
          <w:lang w:val="en-US"/>
        </w:rPr>
        <w:t>-1</w:t>
      </w:r>
      <w:r w:rsidRPr="00CB093C">
        <w:rPr>
          <w:rFonts w:ascii="Arial" w:hAnsi="Arial" w:cs="Arial"/>
          <w:color w:val="000000" w:themeColor="text1"/>
          <w:szCs w:val="22"/>
          <w:lang w:val="en-GB"/>
        </w:rPr>
        <w:t>) than decreasing (</w:t>
      </w:r>
      <w:r w:rsidRPr="00CB093C">
        <w:rPr>
          <w:rFonts w:ascii="Arial" w:hAnsi="Arial" w:cs="Arial"/>
          <w:color w:val="000000" w:themeColor="text1"/>
          <w:szCs w:val="22"/>
          <w:lang w:val="en-US"/>
        </w:rPr>
        <w:t>-0.3  ±</w:t>
      </w:r>
      <w:r w:rsidR="00FC0037" w:rsidRPr="00CB093C">
        <w:rPr>
          <w:rFonts w:ascii="Arial" w:hAnsi="Arial" w:cs="Arial"/>
          <w:color w:val="000000" w:themeColor="text1"/>
          <w:szCs w:val="22"/>
          <w:lang w:val="en-US"/>
        </w:rPr>
        <w:t xml:space="preserve"> </w:t>
      </w:r>
      <w:r w:rsidRPr="00CB093C">
        <w:rPr>
          <w:rFonts w:ascii="Arial" w:hAnsi="Arial" w:cs="Arial"/>
          <w:color w:val="000000" w:themeColor="text1"/>
          <w:szCs w:val="22"/>
          <w:lang w:val="en-US"/>
        </w:rPr>
        <w:t>0.07%, sampling event</w:t>
      </w:r>
      <w:r w:rsidRPr="00CB093C">
        <w:rPr>
          <w:rFonts w:ascii="Arial" w:hAnsi="Arial" w:cs="Arial"/>
          <w:color w:val="000000" w:themeColor="text1"/>
          <w:szCs w:val="22"/>
          <w:vertAlign w:val="superscript"/>
          <w:lang w:val="en-US"/>
        </w:rPr>
        <w:t>-1</w:t>
      </w:r>
      <w:r w:rsidRPr="00CB093C">
        <w:rPr>
          <w:rFonts w:ascii="Arial" w:hAnsi="Arial" w:cs="Arial"/>
          <w:color w:val="000000" w:themeColor="text1"/>
          <w:szCs w:val="22"/>
          <w:lang w:val="en-GB"/>
        </w:rPr>
        <w:t>) (</w:t>
      </w:r>
      <w:r w:rsidRPr="00CB093C">
        <w:rPr>
          <w:rFonts w:ascii="Arial" w:hAnsi="Arial" w:cs="Arial"/>
          <w:color w:val="000000" w:themeColor="text1"/>
          <w:szCs w:val="22"/>
          <w:lang w:val="en-GB"/>
        </w:rPr>
        <w:fldChar w:fldCharType="begin"/>
      </w:r>
      <w:r w:rsidRPr="00CB093C">
        <w:rPr>
          <w:rFonts w:ascii="Arial" w:hAnsi="Arial" w:cs="Arial"/>
          <w:color w:val="000000" w:themeColor="text1"/>
          <w:szCs w:val="22"/>
          <w:lang w:val="en-GB"/>
        </w:rPr>
        <w:instrText xml:space="preserve"> REF _Ref511310034 \r \h </w:instrText>
      </w:r>
      <w:r w:rsidR="00CB093C" w:rsidRPr="00CB093C">
        <w:rPr>
          <w:rFonts w:ascii="Arial" w:hAnsi="Arial" w:cs="Arial"/>
          <w:color w:val="000000" w:themeColor="text1"/>
          <w:szCs w:val="22"/>
          <w:lang w:val="en-GB"/>
        </w:rPr>
        <w:instrText xml:space="preserve"> \* MERGEFORMAT </w:instrText>
      </w:r>
      <w:r w:rsidRPr="00CB093C">
        <w:rPr>
          <w:rFonts w:ascii="Arial" w:hAnsi="Arial" w:cs="Arial"/>
          <w:color w:val="000000" w:themeColor="text1"/>
          <w:szCs w:val="22"/>
          <w:lang w:val="en-GB"/>
        </w:rPr>
      </w:r>
      <w:r w:rsidRPr="00CB093C">
        <w:rPr>
          <w:rFonts w:ascii="Arial" w:hAnsi="Arial" w:cs="Arial"/>
          <w:color w:val="000000" w:themeColor="text1"/>
          <w:szCs w:val="22"/>
          <w:lang w:val="en-GB"/>
        </w:rPr>
        <w:fldChar w:fldCharType="separate"/>
      </w:r>
      <w:r w:rsidR="005F00D4">
        <w:rPr>
          <w:rFonts w:ascii="Arial" w:hAnsi="Arial" w:cs="Arial"/>
          <w:color w:val="000000" w:themeColor="text1"/>
          <w:szCs w:val="22"/>
          <w:lang w:val="en-GB"/>
        </w:rPr>
        <w:t>Appendix 4</w:t>
      </w:r>
      <w:r w:rsidRPr="00CB093C">
        <w:rPr>
          <w:rFonts w:ascii="Arial" w:hAnsi="Arial" w:cs="Arial"/>
          <w:color w:val="000000" w:themeColor="text1"/>
          <w:szCs w:val="22"/>
          <w:lang w:val="en-GB"/>
        </w:rPr>
        <w:fldChar w:fldCharType="end"/>
      </w:r>
      <w:r w:rsidRPr="00CB093C">
        <w:rPr>
          <w:rFonts w:ascii="Arial" w:hAnsi="Arial" w:cs="Arial"/>
          <w:color w:val="000000" w:themeColor="text1"/>
          <w:szCs w:val="22"/>
          <w:lang w:val="en-GB"/>
        </w:rPr>
        <w:t xml:space="preserve">, </w:t>
      </w:r>
      <w:r w:rsidRPr="00CB093C">
        <w:rPr>
          <w:rFonts w:ascii="Arial" w:hAnsi="Arial" w:cs="Arial"/>
          <w:color w:val="000000" w:themeColor="text1"/>
          <w:szCs w:val="22"/>
          <w:lang w:val="en-GB"/>
        </w:rPr>
        <w:fldChar w:fldCharType="begin"/>
      </w:r>
      <w:r w:rsidRPr="00CB093C">
        <w:rPr>
          <w:rFonts w:ascii="Arial" w:hAnsi="Arial" w:cs="Arial"/>
          <w:color w:val="000000" w:themeColor="text1"/>
          <w:szCs w:val="22"/>
          <w:lang w:val="en-GB"/>
        </w:rPr>
        <w:instrText xml:space="preserve"> REF _Ref511310045 \h </w:instrText>
      </w:r>
      <w:r w:rsidR="00CB093C" w:rsidRPr="00CB093C">
        <w:rPr>
          <w:rFonts w:ascii="Arial" w:hAnsi="Arial" w:cs="Arial"/>
          <w:color w:val="000000" w:themeColor="text1"/>
          <w:szCs w:val="22"/>
          <w:lang w:val="en-GB"/>
        </w:rPr>
        <w:instrText xml:space="preserve"> \* MERGEFORMAT </w:instrText>
      </w:r>
      <w:r w:rsidRPr="00CB093C">
        <w:rPr>
          <w:rFonts w:ascii="Arial" w:hAnsi="Arial" w:cs="Arial"/>
          <w:color w:val="000000" w:themeColor="text1"/>
          <w:szCs w:val="22"/>
          <w:lang w:val="en-GB"/>
        </w:rPr>
      </w:r>
      <w:r w:rsidRPr="00CB093C">
        <w:rPr>
          <w:rFonts w:ascii="Arial" w:hAnsi="Arial" w:cs="Arial"/>
          <w:color w:val="000000" w:themeColor="text1"/>
          <w:szCs w:val="22"/>
          <w:lang w:val="en-GB"/>
        </w:rPr>
        <w:fldChar w:fldCharType="separate"/>
      </w:r>
      <w:r w:rsidR="005F00D4" w:rsidRPr="00CB093C">
        <w:rPr>
          <w:rFonts w:ascii="Arial" w:hAnsi="Arial" w:cs="Arial"/>
          <w:szCs w:val="22"/>
        </w:rPr>
        <w:t xml:space="preserve">Table </w:t>
      </w:r>
      <w:r w:rsidR="005F00D4">
        <w:rPr>
          <w:rFonts w:ascii="Arial" w:hAnsi="Arial" w:cs="Arial"/>
          <w:noProof/>
          <w:szCs w:val="22"/>
        </w:rPr>
        <w:t>23</w:t>
      </w:r>
      <w:r w:rsidRPr="00CB093C">
        <w:rPr>
          <w:rFonts w:ascii="Arial" w:hAnsi="Arial" w:cs="Arial"/>
          <w:color w:val="000000" w:themeColor="text1"/>
          <w:szCs w:val="22"/>
          <w:lang w:val="en-GB"/>
        </w:rPr>
        <w:fldChar w:fldCharType="end"/>
      </w:r>
      <w:r w:rsidRPr="00CB093C">
        <w:rPr>
          <w:rFonts w:ascii="Arial" w:hAnsi="Arial" w:cs="Arial"/>
          <w:color w:val="000000" w:themeColor="text1"/>
          <w:szCs w:val="22"/>
          <w:lang w:val="en-GB"/>
        </w:rPr>
        <w:t>)</w:t>
      </w:r>
    </w:p>
    <w:p w14:paraId="75EB759A" w14:textId="5AAF1993" w:rsidR="00837790" w:rsidRPr="00CB093C" w:rsidRDefault="00C96B39" w:rsidP="00AD06D4">
      <w:pPr>
        <w:pStyle w:val="ListParagraph"/>
        <w:numPr>
          <w:ilvl w:val="0"/>
          <w:numId w:val="34"/>
        </w:numPr>
        <w:spacing w:after="0"/>
        <w:rPr>
          <w:rFonts w:ascii="Arial" w:hAnsi="Arial" w:cs="Arial"/>
          <w:color w:val="000000" w:themeColor="text1"/>
          <w:szCs w:val="22"/>
          <w:lang w:val="en-GB"/>
        </w:rPr>
      </w:pPr>
      <w:r w:rsidRPr="00CB093C">
        <w:rPr>
          <w:rFonts w:ascii="Arial" w:hAnsi="Arial" w:cs="Arial"/>
          <w:color w:val="000000" w:themeColor="text1"/>
          <w:szCs w:val="22"/>
          <w:lang w:val="en-GB"/>
        </w:rPr>
        <w:t>t</w:t>
      </w:r>
      <w:r w:rsidR="00837790" w:rsidRPr="00CB093C">
        <w:rPr>
          <w:rFonts w:ascii="Arial" w:hAnsi="Arial" w:cs="Arial"/>
          <w:color w:val="000000" w:themeColor="text1"/>
          <w:szCs w:val="22"/>
          <w:lang w:val="en-GB"/>
        </w:rPr>
        <w:t xml:space="preserve">he most variable </w:t>
      </w:r>
      <w:r w:rsidR="00F206BF" w:rsidRPr="00CB093C">
        <w:rPr>
          <w:rFonts w:ascii="Arial" w:hAnsi="Arial" w:cs="Arial"/>
          <w:color w:val="000000" w:themeColor="text1"/>
          <w:szCs w:val="22"/>
          <w:lang w:val="en-GB"/>
        </w:rPr>
        <w:t>Reef</w:t>
      </w:r>
      <w:r w:rsidR="00837790" w:rsidRPr="00CB093C">
        <w:rPr>
          <w:rFonts w:ascii="Arial" w:hAnsi="Arial" w:cs="Arial"/>
          <w:color w:val="000000" w:themeColor="text1"/>
          <w:szCs w:val="22"/>
          <w:lang w:val="en-GB"/>
        </w:rPr>
        <w:t xml:space="preserve"> seagrass habitat in abundance (since 2005) was subtidal reef (CV=87 </w:t>
      </w:r>
      <w:r w:rsidR="00882B72" w:rsidRPr="00CB093C">
        <w:rPr>
          <w:rFonts w:ascii="Arial" w:hAnsi="Arial" w:cs="Arial"/>
          <w:color w:val="000000" w:themeColor="text1"/>
          <w:szCs w:val="22"/>
          <w:lang w:val="en-GB"/>
        </w:rPr>
        <w:t>%</w:t>
      </w:r>
      <w:r w:rsidR="00837790" w:rsidRPr="00CB093C">
        <w:rPr>
          <w:rFonts w:ascii="Arial" w:hAnsi="Arial" w:cs="Arial"/>
          <w:color w:val="000000" w:themeColor="text1"/>
          <w:szCs w:val="22"/>
          <w:lang w:val="en-GB"/>
        </w:rPr>
        <w:t xml:space="preserve">), followed closely by intertidal reef (CV=73.6 </w:t>
      </w:r>
      <w:r w:rsidR="00882B72" w:rsidRPr="00CB093C">
        <w:rPr>
          <w:rFonts w:ascii="Arial" w:hAnsi="Arial" w:cs="Arial"/>
          <w:color w:val="000000" w:themeColor="text1"/>
          <w:szCs w:val="22"/>
          <w:lang w:val="en-GB"/>
        </w:rPr>
        <w:t>%</w:t>
      </w:r>
      <w:r w:rsidR="00837790" w:rsidRPr="00CB093C">
        <w:rPr>
          <w:rFonts w:ascii="Arial" w:hAnsi="Arial" w:cs="Arial"/>
          <w:color w:val="000000" w:themeColor="text1"/>
          <w:szCs w:val="22"/>
          <w:lang w:val="en-GB"/>
        </w:rPr>
        <w:t xml:space="preserve">), estuary (CV=66.5 </w:t>
      </w:r>
      <w:r w:rsidR="00882B72" w:rsidRPr="00CB093C">
        <w:rPr>
          <w:rFonts w:ascii="Arial" w:hAnsi="Arial" w:cs="Arial"/>
          <w:color w:val="000000" w:themeColor="text1"/>
          <w:szCs w:val="22"/>
          <w:lang w:val="en-GB"/>
        </w:rPr>
        <w:t>%</w:t>
      </w:r>
      <w:r w:rsidR="00837790" w:rsidRPr="00CB093C">
        <w:rPr>
          <w:rFonts w:ascii="Arial" w:hAnsi="Arial" w:cs="Arial"/>
          <w:color w:val="000000" w:themeColor="text1"/>
          <w:szCs w:val="22"/>
          <w:lang w:val="en-GB"/>
        </w:rPr>
        <w:t xml:space="preserve">) and lastly intertidal coast (CV=57.9 </w:t>
      </w:r>
      <w:r w:rsidR="00882B72" w:rsidRPr="00CB093C">
        <w:rPr>
          <w:rFonts w:ascii="Arial" w:hAnsi="Arial" w:cs="Arial"/>
          <w:color w:val="000000" w:themeColor="text1"/>
          <w:szCs w:val="22"/>
          <w:lang w:val="en-GB"/>
        </w:rPr>
        <w:t>%</w:t>
      </w:r>
      <w:r w:rsidR="00044C08" w:rsidRPr="00CB093C">
        <w:rPr>
          <w:rFonts w:ascii="Arial" w:hAnsi="Arial" w:cs="Arial"/>
          <w:color w:val="000000" w:themeColor="text1"/>
          <w:szCs w:val="22"/>
          <w:lang w:val="en-GB"/>
        </w:rPr>
        <w:t>).</w:t>
      </w:r>
    </w:p>
    <w:p w14:paraId="0699A79E" w14:textId="06EBBF3C" w:rsidR="00A00BC4" w:rsidRPr="00CB093C" w:rsidRDefault="00B518CD" w:rsidP="00332CF2">
      <w:pPr>
        <w:spacing w:after="0"/>
        <w:rPr>
          <w:rFonts w:ascii="Arial" w:hAnsi="Arial" w:cs="Arial"/>
          <w:color w:val="000000" w:themeColor="text1"/>
          <w:szCs w:val="22"/>
        </w:rPr>
      </w:pPr>
      <w:r w:rsidRPr="00CB093C">
        <w:rPr>
          <w:rFonts w:ascii="Arial" w:hAnsi="Arial" w:cs="Arial"/>
          <w:color w:val="000000" w:themeColor="text1"/>
          <w:szCs w:val="22"/>
        </w:rPr>
        <w:t>Since 1999, the</w:t>
      </w:r>
      <w:r w:rsidR="00EB0A7F" w:rsidRPr="00CB093C">
        <w:rPr>
          <w:rFonts w:ascii="Arial" w:hAnsi="Arial" w:cs="Arial"/>
          <w:color w:val="000000" w:themeColor="text1"/>
          <w:szCs w:val="22"/>
        </w:rPr>
        <w:t xml:space="preserve"> </w:t>
      </w:r>
      <w:r w:rsidR="00181000" w:rsidRPr="00CB093C">
        <w:rPr>
          <w:rFonts w:ascii="Arial" w:hAnsi="Arial" w:cs="Arial"/>
          <w:color w:val="000000" w:themeColor="text1"/>
          <w:szCs w:val="22"/>
        </w:rPr>
        <w:t>median</w:t>
      </w:r>
      <w:r w:rsidRPr="00CB093C">
        <w:rPr>
          <w:rFonts w:ascii="Arial" w:hAnsi="Arial" w:cs="Arial"/>
          <w:color w:val="000000" w:themeColor="text1"/>
          <w:szCs w:val="22"/>
        </w:rPr>
        <w:t xml:space="preserve"> percentage cover values for the </w:t>
      </w:r>
      <w:r w:rsidR="00F206BF" w:rsidRPr="00CB093C">
        <w:rPr>
          <w:rFonts w:ascii="Arial" w:hAnsi="Arial" w:cs="Arial"/>
          <w:color w:val="000000" w:themeColor="text1"/>
          <w:szCs w:val="22"/>
        </w:rPr>
        <w:t>Reef</w:t>
      </w:r>
      <w:r w:rsidRPr="00CB093C">
        <w:rPr>
          <w:rFonts w:ascii="Arial" w:hAnsi="Arial" w:cs="Arial"/>
          <w:color w:val="000000" w:themeColor="text1"/>
          <w:szCs w:val="22"/>
        </w:rPr>
        <w:t xml:space="preserve"> were mostly below 25</w:t>
      </w:r>
      <w:r w:rsidR="00175C85" w:rsidRPr="00CB093C">
        <w:rPr>
          <w:rFonts w:ascii="Arial" w:hAnsi="Arial" w:cs="Arial"/>
          <w:color w:val="000000" w:themeColor="text1"/>
          <w:szCs w:val="22"/>
        </w:rPr>
        <w:t>%</w:t>
      </w:r>
      <w:r w:rsidRPr="00CB093C">
        <w:rPr>
          <w:rFonts w:ascii="Arial" w:hAnsi="Arial" w:cs="Arial"/>
          <w:color w:val="000000" w:themeColor="text1"/>
          <w:szCs w:val="22"/>
        </w:rPr>
        <w:t xml:space="preserve"> cover, and depending on habitat, </w:t>
      </w:r>
      <w:r w:rsidR="00EB0A7F" w:rsidRPr="00CB093C">
        <w:rPr>
          <w:rFonts w:ascii="Arial" w:hAnsi="Arial" w:cs="Arial"/>
          <w:color w:val="000000" w:themeColor="text1"/>
          <w:szCs w:val="22"/>
        </w:rPr>
        <w:t>the 75</w:t>
      </w:r>
      <w:r w:rsidR="00EB0A7F" w:rsidRPr="00CB093C">
        <w:rPr>
          <w:rFonts w:ascii="Arial" w:hAnsi="Arial" w:cs="Arial"/>
          <w:color w:val="000000" w:themeColor="text1"/>
          <w:szCs w:val="22"/>
          <w:vertAlign w:val="superscript"/>
        </w:rPr>
        <w:t>th</w:t>
      </w:r>
      <w:r w:rsidR="00EB0A7F" w:rsidRPr="00CB093C">
        <w:rPr>
          <w:rFonts w:ascii="Arial" w:hAnsi="Arial" w:cs="Arial"/>
          <w:color w:val="000000" w:themeColor="text1"/>
          <w:szCs w:val="22"/>
        </w:rPr>
        <w:t xml:space="preserve"> percentile </w:t>
      </w:r>
      <w:r w:rsidRPr="00CB093C">
        <w:rPr>
          <w:rFonts w:ascii="Arial" w:hAnsi="Arial" w:cs="Arial"/>
          <w:color w:val="000000" w:themeColor="text1"/>
          <w:szCs w:val="22"/>
        </w:rPr>
        <w:t>occasionally extend</w:t>
      </w:r>
      <w:r w:rsidR="00EB0A7F" w:rsidRPr="00CB093C">
        <w:rPr>
          <w:rFonts w:ascii="Arial" w:hAnsi="Arial" w:cs="Arial"/>
          <w:color w:val="000000" w:themeColor="text1"/>
          <w:szCs w:val="22"/>
        </w:rPr>
        <w:t>ed</w:t>
      </w:r>
      <w:r w:rsidRPr="00CB093C">
        <w:rPr>
          <w:rFonts w:ascii="Arial" w:hAnsi="Arial" w:cs="Arial"/>
          <w:color w:val="000000" w:themeColor="text1"/>
          <w:szCs w:val="22"/>
        </w:rPr>
        <w:t xml:space="preserve"> beyond 50</w:t>
      </w:r>
      <w:r w:rsidR="00175C85" w:rsidRPr="00CB093C">
        <w:rPr>
          <w:rFonts w:ascii="Arial" w:hAnsi="Arial" w:cs="Arial"/>
          <w:color w:val="000000" w:themeColor="text1"/>
          <w:szCs w:val="22"/>
        </w:rPr>
        <w:t>%</w:t>
      </w:r>
      <w:r w:rsidR="00EB0A7F" w:rsidRPr="00CB093C">
        <w:rPr>
          <w:rFonts w:ascii="Arial" w:hAnsi="Arial" w:cs="Arial"/>
          <w:color w:val="000000" w:themeColor="text1"/>
          <w:szCs w:val="22"/>
        </w:rPr>
        <w:t xml:space="preserve"> cover</w:t>
      </w:r>
      <w:r w:rsidRPr="00CB093C">
        <w:rPr>
          <w:rFonts w:ascii="Arial" w:hAnsi="Arial" w:cs="Arial"/>
          <w:color w:val="000000" w:themeColor="text1"/>
          <w:szCs w:val="22"/>
        </w:rPr>
        <w:t xml:space="preserve"> (</w:t>
      </w:r>
      <w:r w:rsidR="001851D6" w:rsidRPr="00CB093C">
        <w:rPr>
          <w:rFonts w:ascii="Arial" w:hAnsi="Arial" w:cs="Arial"/>
          <w:color w:val="000000" w:themeColor="text1"/>
          <w:szCs w:val="22"/>
        </w:rPr>
        <w:fldChar w:fldCharType="begin"/>
      </w:r>
      <w:r w:rsidR="001851D6" w:rsidRPr="00CB093C">
        <w:rPr>
          <w:rFonts w:ascii="Arial" w:hAnsi="Arial" w:cs="Arial"/>
          <w:color w:val="000000" w:themeColor="text1"/>
          <w:szCs w:val="22"/>
        </w:rPr>
        <w:instrText xml:space="preserve"> REF _Ref442456293 \h </w:instrText>
      </w:r>
      <w:r w:rsidR="00580DDA" w:rsidRPr="00CB093C">
        <w:rPr>
          <w:rFonts w:ascii="Arial" w:hAnsi="Arial" w:cs="Arial"/>
          <w:color w:val="000000" w:themeColor="text1"/>
          <w:szCs w:val="22"/>
        </w:rPr>
        <w:instrText xml:space="preserve"> \* MERGEFORMAT </w:instrText>
      </w:r>
      <w:r w:rsidR="001851D6" w:rsidRPr="00CB093C">
        <w:rPr>
          <w:rFonts w:ascii="Arial" w:hAnsi="Arial" w:cs="Arial"/>
          <w:color w:val="000000" w:themeColor="text1"/>
          <w:szCs w:val="22"/>
        </w:rPr>
      </w:r>
      <w:r w:rsidR="001851D6"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18</w:t>
      </w:r>
      <w:r w:rsidR="001851D6"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These long-term percentage cover values were similar to the </w:t>
      </w:r>
      <w:r w:rsidR="00F206BF" w:rsidRPr="00CB093C">
        <w:rPr>
          <w:rFonts w:ascii="Arial" w:hAnsi="Arial" w:cs="Arial"/>
          <w:color w:val="000000" w:themeColor="text1"/>
          <w:szCs w:val="22"/>
        </w:rPr>
        <w:t>Reef</w:t>
      </w:r>
      <w:r w:rsidRPr="00CB093C">
        <w:rPr>
          <w:rFonts w:ascii="Arial" w:hAnsi="Arial" w:cs="Arial"/>
          <w:color w:val="000000" w:themeColor="text1"/>
          <w:szCs w:val="22"/>
        </w:rPr>
        <w:t xml:space="preserve"> historical baselines, where surveys from Cape York to Hervey Bay (between November 1984 and November 1988) reported most (three-quarters) of the </w:t>
      </w:r>
      <w:r w:rsidR="00882B72" w:rsidRPr="00CB093C">
        <w:rPr>
          <w:rFonts w:ascii="Arial" w:hAnsi="Arial" w:cs="Arial"/>
          <w:color w:val="000000" w:themeColor="text1"/>
          <w:szCs w:val="22"/>
        </w:rPr>
        <w:t>%</w:t>
      </w:r>
      <w:r w:rsidRPr="00CB093C">
        <w:rPr>
          <w:rFonts w:ascii="Arial" w:hAnsi="Arial" w:cs="Arial"/>
          <w:color w:val="000000" w:themeColor="text1"/>
          <w:szCs w:val="22"/>
        </w:rPr>
        <w:t xml:space="preserve"> cover values fell below 50</w:t>
      </w:r>
      <w:r w:rsidR="00175C85" w:rsidRPr="00CB093C">
        <w:rPr>
          <w:rFonts w:ascii="Arial" w:hAnsi="Arial" w:cs="Arial"/>
          <w:color w:val="000000" w:themeColor="text1"/>
          <w:szCs w:val="22"/>
        </w:rPr>
        <w:t>%</w:t>
      </w:r>
      <w:r w:rsidRPr="00CB093C">
        <w:rPr>
          <w:rFonts w:ascii="Arial" w:hAnsi="Arial" w:cs="Arial"/>
          <w:color w:val="000000" w:themeColor="text1"/>
          <w:szCs w:val="22"/>
        </w:rPr>
        <w:t xml:space="preserve"> (</w:t>
      </w:r>
      <w:hyperlink w:anchor="_ENREF_86" w:tooltip="Lee Long, 1993 #682"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Lee Long</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1993</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The findings negate the assumption that seagrass meadows of the </w:t>
      </w:r>
      <w:r w:rsidR="003158FC" w:rsidRPr="00CB093C">
        <w:rPr>
          <w:rFonts w:ascii="Arial" w:hAnsi="Arial" w:cs="Arial"/>
          <w:color w:val="000000" w:themeColor="text1"/>
          <w:szCs w:val="22"/>
        </w:rPr>
        <w:t>Reef</w:t>
      </w:r>
      <w:r w:rsidRPr="00CB093C">
        <w:rPr>
          <w:rFonts w:ascii="Arial" w:hAnsi="Arial" w:cs="Arial"/>
          <w:color w:val="000000" w:themeColor="text1"/>
          <w:szCs w:val="22"/>
        </w:rPr>
        <w:t xml:space="preserve"> should have abundances closer to 100</w:t>
      </w:r>
      <w:r w:rsidR="00175C85" w:rsidRPr="00CB093C">
        <w:rPr>
          <w:rFonts w:ascii="Arial" w:hAnsi="Arial" w:cs="Arial"/>
          <w:color w:val="000000" w:themeColor="text1"/>
          <w:szCs w:val="22"/>
        </w:rPr>
        <w:t>%</w:t>
      </w:r>
      <w:r w:rsidRPr="00CB093C">
        <w:rPr>
          <w:rFonts w:ascii="Arial" w:hAnsi="Arial" w:cs="Arial"/>
          <w:color w:val="000000" w:themeColor="text1"/>
          <w:szCs w:val="22"/>
        </w:rPr>
        <w:t xml:space="preserve"> before they are categorised as good.</w:t>
      </w:r>
    </w:p>
    <w:p w14:paraId="41565870" w14:textId="514DA1F5" w:rsidR="000E536F" w:rsidRPr="00CB093C" w:rsidRDefault="000E536F" w:rsidP="000E536F">
      <w:pPr>
        <w:spacing w:after="0"/>
        <w:rPr>
          <w:rFonts w:ascii="Arial" w:hAnsi="Arial" w:cs="Arial"/>
          <w:color w:val="000000" w:themeColor="text1"/>
          <w:szCs w:val="22"/>
        </w:rPr>
      </w:pPr>
    </w:p>
    <w:p w14:paraId="4FC00821" w14:textId="58B6D80A" w:rsidR="00B518CD" w:rsidRPr="00CB093C" w:rsidRDefault="000F28E4" w:rsidP="00B518CD">
      <w:pPr>
        <w:keepNext/>
        <w:widowControl w:val="0"/>
        <w:spacing w:before="0"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798ACCE6" wp14:editId="5D75DE24">
            <wp:extent cx="5727700" cy="3236835"/>
            <wp:effectExtent l="0" t="0" r="6350" b="1905"/>
            <wp:docPr id="52" name="Picture 52" descr="Panel of eight graphs, displayed in four by two matrix, showing seagrass percent cover measures per quadrat from meadows monitored from June 1999 to May 2018 (sites and habitats pooled). Top row displays the data as box plots and the bottom row as trends in seagrass abundance represented by a GAM plot and coloured lines representing NRM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Combined box and gam abundance.eps"/>
                    <pic:cNvPicPr/>
                  </pic:nvPicPr>
                  <pic:blipFill>
                    <a:blip r:embed="rId62">
                      <a:extLst>
                        <a:ext uri="{28A0092B-C50C-407E-A947-70E740481C1C}">
                          <a14:useLocalDpi xmlns:a14="http://schemas.microsoft.com/office/drawing/2010/main" val="0"/>
                        </a:ext>
                      </a:extLst>
                    </a:blip>
                    <a:stretch>
                      <a:fillRect/>
                    </a:stretch>
                  </pic:blipFill>
                  <pic:spPr>
                    <a:xfrm>
                      <a:off x="0" y="0"/>
                      <a:ext cx="5727700" cy="3236835"/>
                    </a:xfrm>
                    <a:prstGeom prst="rect">
                      <a:avLst/>
                    </a:prstGeom>
                  </pic:spPr>
                </pic:pic>
              </a:graphicData>
            </a:graphic>
          </wp:inline>
        </w:drawing>
      </w:r>
    </w:p>
    <w:p w14:paraId="1504A884" w14:textId="364211C1" w:rsidR="00B518CD" w:rsidRPr="00CB093C" w:rsidRDefault="00B518CD" w:rsidP="00B518CD">
      <w:pPr>
        <w:rPr>
          <w:rFonts w:ascii="Arial" w:hAnsi="Arial" w:cs="Arial"/>
          <w:i/>
          <w:vanish/>
          <w:szCs w:val="22"/>
          <w:specVanish/>
        </w:rPr>
      </w:pPr>
      <w:bookmarkStart w:id="186" w:name="_Ref442456293"/>
      <w:bookmarkStart w:id="187" w:name="_Toc6402783"/>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18</w:t>
      </w:r>
      <w:r w:rsidR="00C506C7" w:rsidRPr="00CB093C">
        <w:rPr>
          <w:rFonts w:ascii="Arial" w:hAnsi="Arial" w:cs="Arial"/>
          <w:noProof/>
          <w:szCs w:val="22"/>
        </w:rPr>
        <w:fldChar w:fldCharType="end"/>
      </w:r>
      <w:bookmarkEnd w:id="186"/>
      <w:r w:rsidRPr="00CB093C">
        <w:rPr>
          <w:rFonts w:ascii="Arial" w:hAnsi="Arial" w:cs="Arial"/>
          <w:szCs w:val="22"/>
        </w:rPr>
        <w:t xml:space="preserve">. </w:t>
      </w:r>
      <w:r w:rsidRPr="00CB093C">
        <w:rPr>
          <w:rFonts w:ascii="Arial" w:hAnsi="Arial" w:cs="Arial"/>
          <w:i/>
          <w:szCs w:val="22"/>
        </w:rPr>
        <w:t xml:space="preserve">Seagrass </w:t>
      </w:r>
      <w:r w:rsidR="00543DFF" w:rsidRPr="00CB093C">
        <w:rPr>
          <w:rFonts w:ascii="Arial" w:hAnsi="Arial" w:cs="Arial"/>
          <w:i/>
          <w:szCs w:val="22"/>
        </w:rPr>
        <w:t>per cent</w:t>
      </w:r>
      <w:r w:rsidRPr="00CB093C">
        <w:rPr>
          <w:rFonts w:ascii="Arial" w:hAnsi="Arial" w:cs="Arial"/>
          <w:i/>
          <w:szCs w:val="22"/>
        </w:rPr>
        <w:t xml:space="preserve"> cover measures per quadrat from meadows monitored from Ju</w:t>
      </w:r>
      <w:r w:rsidR="002F06F8" w:rsidRPr="00CB093C">
        <w:rPr>
          <w:rFonts w:ascii="Arial" w:hAnsi="Arial" w:cs="Arial"/>
          <w:i/>
          <w:szCs w:val="22"/>
        </w:rPr>
        <w:t>ne</w:t>
      </w:r>
      <w:r w:rsidRPr="00CB093C">
        <w:rPr>
          <w:rFonts w:ascii="Arial" w:hAnsi="Arial" w:cs="Arial"/>
          <w:i/>
          <w:szCs w:val="22"/>
        </w:rPr>
        <w:t xml:space="preserve"> 1999 to </w:t>
      </w:r>
      <w:r w:rsidR="002F06F8" w:rsidRPr="00CB093C">
        <w:rPr>
          <w:rFonts w:ascii="Arial" w:hAnsi="Arial" w:cs="Arial"/>
          <w:i/>
          <w:szCs w:val="22"/>
        </w:rPr>
        <w:t>May</w:t>
      </w:r>
      <w:r w:rsidRPr="00CB093C">
        <w:rPr>
          <w:rFonts w:ascii="Arial" w:hAnsi="Arial" w:cs="Arial"/>
          <w:i/>
          <w:szCs w:val="22"/>
        </w:rPr>
        <w:t xml:space="preserve"> 201</w:t>
      </w:r>
      <w:r w:rsidR="000E536F" w:rsidRPr="00CB093C">
        <w:rPr>
          <w:rFonts w:ascii="Arial" w:hAnsi="Arial" w:cs="Arial"/>
          <w:i/>
          <w:szCs w:val="22"/>
        </w:rPr>
        <w:t>8</w:t>
      </w:r>
      <w:r w:rsidRPr="00CB093C">
        <w:rPr>
          <w:rFonts w:ascii="Arial" w:hAnsi="Arial" w:cs="Arial"/>
          <w:i/>
          <w:szCs w:val="22"/>
        </w:rPr>
        <w:t xml:space="preserve"> (sites and habitats pooled).</w:t>
      </w:r>
      <w:bookmarkEnd w:id="187"/>
      <w:r w:rsidRPr="00CB093C">
        <w:rPr>
          <w:rFonts w:ascii="Arial" w:hAnsi="Arial" w:cs="Arial"/>
          <w:i/>
          <w:szCs w:val="22"/>
        </w:rPr>
        <w:t xml:space="preserve"> </w:t>
      </w:r>
    </w:p>
    <w:p w14:paraId="6EC19137" w14:textId="2908B5A5" w:rsidR="00B518CD" w:rsidRPr="00CB093C" w:rsidRDefault="00B518CD" w:rsidP="00B518CD">
      <w:pPr>
        <w:rPr>
          <w:rFonts w:ascii="Arial" w:hAnsi="Arial" w:cs="Arial"/>
          <w:i/>
          <w:szCs w:val="22"/>
          <w:lang w:val="en-GB"/>
        </w:rPr>
      </w:pPr>
      <w:r w:rsidRPr="00CB093C">
        <w:rPr>
          <w:rFonts w:ascii="Arial" w:hAnsi="Arial" w:cs="Arial"/>
          <w:i/>
          <w:szCs w:val="22"/>
          <w:lang w:val="en-GB"/>
        </w:rPr>
        <w:t xml:space="preserve"> </w:t>
      </w:r>
      <w:r w:rsidRPr="00CB093C">
        <w:rPr>
          <w:rFonts w:ascii="Arial" w:hAnsi="Arial" w:cs="Arial"/>
          <w:i/>
          <w:szCs w:val="22"/>
        </w:rPr>
        <w:t>The box represents the interquartile range of values, where the boundary of the box closest to zero indicates the 25</w:t>
      </w:r>
      <w:r w:rsidRPr="00CB093C">
        <w:rPr>
          <w:rFonts w:ascii="Arial" w:hAnsi="Arial" w:cs="Arial"/>
          <w:i/>
          <w:szCs w:val="22"/>
          <w:vertAlign w:val="superscript"/>
        </w:rPr>
        <w:t>th</w:t>
      </w:r>
      <w:r w:rsidRPr="00CB093C">
        <w:rPr>
          <w:rFonts w:ascii="Arial" w:hAnsi="Arial" w:cs="Arial"/>
          <w:i/>
          <w:szCs w:val="22"/>
        </w:rPr>
        <w:t xml:space="preserve"> percentile, a line within the box marks the median, and the boundary of the box farthest from zero indicates the 75</w:t>
      </w:r>
      <w:r w:rsidRPr="00CB093C">
        <w:rPr>
          <w:rFonts w:ascii="Arial" w:hAnsi="Arial" w:cs="Arial"/>
          <w:i/>
          <w:szCs w:val="22"/>
          <w:vertAlign w:val="superscript"/>
        </w:rPr>
        <w:t>th</w:t>
      </w:r>
      <w:r w:rsidRPr="00CB093C">
        <w:rPr>
          <w:rFonts w:ascii="Arial" w:hAnsi="Arial" w:cs="Arial"/>
          <w:i/>
          <w:szCs w:val="22"/>
        </w:rPr>
        <w:t xml:space="preserve"> percentile. Whiskers (error bars) above and below the box indicate the 90</w:t>
      </w:r>
      <w:r w:rsidRPr="00CB093C">
        <w:rPr>
          <w:rFonts w:ascii="Arial" w:hAnsi="Arial" w:cs="Arial"/>
          <w:i/>
          <w:szCs w:val="22"/>
          <w:vertAlign w:val="superscript"/>
        </w:rPr>
        <w:t>th</w:t>
      </w:r>
      <w:r w:rsidRPr="00CB093C">
        <w:rPr>
          <w:rFonts w:ascii="Arial" w:hAnsi="Arial" w:cs="Arial"/>
          <w:i/>
          <w:szCs w:val="22"/>
        </w:rPr>
        <w:t xml:space="preserve"> and 10</w:t>
      </w:r>
      <w:r w:rsidRPr="00CB093C">
        <w:rPr>
          <w:rFonts w:ascii="Arial" w:hAnsi="Arial" w:cs="Arial"/>
          <w:i/>
          <w:szCs w:val="22"/>
          <w:vertAlign w:val="superscript"/>
        </w:rPr>
        <w:t>th</w:t>
      </w:r>
      <w:r w:rsidRPr="00CB093C">
        <w:rPr>
          <w:rFonts w:ascii="Arial" w:hAnsi="Arial" w:cs="Arial"/>
          <w:i/>
          <w:szCs w:val="22"/>
        </w:rPr>
        <w:t xml:space="preserve"> percentiles, and the dots represent outlying points.</w:t>
      </w:r>
      <w:r w:rsidRPr="00CB093C">
        <w:rPr>
          <w:rFonts w:ascii="Arial" w:hAnsi="Arial" w:cs="Arial"/>
          <w:i/>
          <w:szCs w:val="22"/>
          <w:lang w:val="en-GB"/>
        </w:rPr>
        <w:t xml:space="preserve"> </w:t>
      </w:r>
      <w:r w:rsidR="000E536F" w:rsidRPr="00CB093C">
        <w:rPr>
          <w:rFonts w:ascii="Arial" w:hAnsi="Arial" w:cs="Arial"/>
          <w:i/>
          <w:szCs w:val="22"/>
        </w:rPr>
        <w:t>G</w:t>
      </w:r>
      <w:r w:rsidR="00175C85" w:rsidRPr="00CB093C">
        <w:rPr>
          <w:rFonts w:ascii="Arial" w:hAnsi="Arial" w:cs="Arial"/>
          <w:i/>
          <w:szCs w:val="22"/>
        </w:rPr>
        <w:t>AM</w:t>
      </w:r>
      <w:r w:rsidR="000E536F" w:rsidRPr="00CB093C">
        <w:rPr>
          <w:rFonts w:ascii="Arial" w:hAnsi="Arial" w:cs="Arial"/>
          <w:i/>
          <w:szCs w:val="22"/>
        </w:rPr>
        <w:t xml:space="preserve"> plots (bottom), also showing trends for each NRM. </w:t>
      </w:r>
    </w:p>
    <w:p w14:paraId="510D7B11" w14:textId="77777777" w:rsidR="000E536F" w:rsidRPr="00CB093C" w:rsidRDefault="000E536F" w:rsidP="00AC7188">
      <w:pPr>
        <w:rPr>
          <w:rFonts w:ascii="Arial" w:hAnsi="Arial" w:cs="Arial"/>
          <w:color w:val="000000" w:themeColor="text1"/>
          <w:szCs w:val="22"/>
        </w:rPr>
      </w:pPr>
    </w:p>
    <w:p w14:paraId="68AB10C0" w14:textId="506E24AE" w:rsidR="006B6091" w:rsidRPr="00CB093C" w:rsidRDefault="00E77C82" w:rsidP="00AC7188">
      <w:pPr>
        <w:rPr>
          <w:rFonts w:ascii="Arial" w:hAnsi="Arial" w:cs="Arial"/>
          <w:color w:val="000000" w:themeColor="text1"/>
          <w:szCs w:val="22"/>
          <w:lang w:val="en-GB"/>
        </w:rPr>
      </w:pPr>
      <w:r w:rsidRPr="00CB093C">
        <w:rPr>
          <w:rFonts w:ascii="Arial" w:hAnsi="Arial" w:cs="Arial"/>
          <w:color w:val="000000" w:themeColor="text1"/>
          <w:szCs w:val="22"/>
        </w:rPr>
        <w:t>I</w:t>
      </w:r>
      <w:r w:rsidR="00C47D0A" w:rsidRPr="00CB093C">
        <w:rPr>
          <w:rFonts w:ascii="Arial" w:hAnsi="Arial" w:cs="Arial"/>
          <w:color w:val="000000" w:themeColor="text1"/>
          <w:szCs w:val="22"/>
        </w:rPr>
        <w:t xml:space="preserve">n </w:t>
      </w:r>
      <w:r w:rsidR="003654C6">
        <w:rPr>
          <w:rFonts w:ascii="Arial" w:hAnsi="Arial" w:cs="Arial"/>
          <w:color w:val="000000" w:themeColor="text1"/>
          <w:szCs w:val="22"/>
        </w:rPr>
        <w:t>2017–18</w:t>
      </w:r>
      <w:r w:rsidR="008F7D8B" w:rsidRPr="00CB093C">
        <w:rPr>
          <w:rFonts w:ascii="Arial" w:hAnsi="Arial" w:cs="Arial"/>
          <w:color w:val="000000" w:themeColor="text1"/>
          <w:szCs w:val="22"/>
        </w:rPr>
        <w:t>,</w:t>
      </w:r>
      <w:r w:rsidR="00C47D0A" w:rsidRPr="00CB093C">
        <w:rPr>
          <w:rFonts w:ascii="Arial" w:hAnsi="Arial" w:cs="Arial"/>
          <w:color w:val="000000" w:themeColor="text1"/>
          <w:szCs w:val="22"/>
        </w:rPr>
        <w:t xml:space="preserve"> coastal sites had the highest average abundance</w:t>
      </w:r>
      <w:r w:rsidR="00FE191E" w:rsidRPr="00CB093C">
        <w:rPr>
          <w:rFonts w:ascii="Arial" w:hAnsi="Arial" w:cs="Arial"/>
          <w:color w:val="000000" w:themeColor="text1"/>
          <w:szCs w:val="22"/>
        </w:rPr>
        <w:t xml:space="preserve"> of the habitat types</w:t>
      </w:r>
      <w:r w:rsidR="00B518CD" w:rsidRPr="00CB093C">
        <w:rPr>
          <w:rFonts w:ascii="Arial" w:hAnsi="Arial" w:cs="Arial"/>
          <w:color w:val="000000" w:themeColor="text1"/>
          <w:szCs w:val="22"/>
        </w:rPr>
        <w:t xml:space="preserve">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_Ref442456293 \h </w:instrText>
      </w:r>
      <w:r w:rsidR="00580DDA" w:rsidRPr="00CB093C">
        <w:rPr>
          <w:rFonts w:ascii="Arial" w:hAnsi="Arial" w:cs="Arial"/>
          <w:color w:val="000000" w:themeColor="text1"/>
          <w:szCs w:val="22"/>
        </w:rPr>
        <w:instrText xml:space="preserve">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18</w:t>
      </w:r>
      <w:r w:rsidRPr="00CB093C">
        <w:rPr>
          <w:rFonts w:ascii="Arial" w:hAnsi="Arial" w:cs="Arial"/>
          <w:color w:val="000000" w:themeColor="text1"/>
          <w:szCs w:val="22"/>
        </w:rPr>
        <w:fldChar w:fldCharType="end"/>
      </w:r>
      <w:r w:rsidRPr="00CB093C">
        <w:rPr>
          <w:rFonts w:ascii="Arial" w:hAnsi="Arial" w:cs="Arial"/>
          <w:color w:val="000000" w:themeColor="text1"/>
          <w:szCs w:val="22"/>
        </w:rPr>
        <w:t>)</w:t>
      </w:r>
      <w:r w:rsidR="00B518CD" w:rsidRPr="00CB093C">
        <w:rPr>
          <w:rFonts w:ascii="Arial" w:hAnsi="Arial" w:cs="Arial"/>
          <w:color w:val="000000" w:themeColor="text1"/>
          <w:szCs w:val="22"/>
        </w:rPr>
        <w:t xml:space="preserve">. Over the past decade, the patterns of seagrass abundance in each </w:t>
      </w:r>
      <w:r w:rsidR="003158FC" w:rsidRPr="00CB093C">
        <w:rPr>
          <w:rFonts w:ascii="Arial" w:hAnsi="Arial" w:cs="Arial"/>
          <w:color w:val="000000" w:themeColor="text1"/>
          <w:szCs w:val="22"/>
        </w:rPr>
        <w:t>Reef</w:t>
      </w:r>
      <w:r w:rsidR="00B518CD" w:rsidRPr="00CB093C">
        <w:rPr>
          <w:rFonts w:ascii="Arial" w:hAnsi="Arial" w:cs="Arial"/>
          <w:color w:val="000000" w:themeColor="text1"/>
          <w:szCs w:val="22"/>
        </w:rPr>
        <w:t xml:space="preserve"> habitat have </w:t>
      </w:r>
      <w:r w:rsidRPr="00CB093C">
        <w:rPr>
          <w:rFonts w:ascii="Arial" w:hAnsi="Arial" w:cs="Arial"/>
          <w:color w:val="000000" w:themeColor="text1"/>
          <w:szCs w:val="22"/>
        </w:rPr>
        <w:t xml:space="preserve">been similar </w:t>
      </w:r>
      <w:r w:rsidR="008F7D8B" w:rsidRPr="00CB093C">
        <w:rPr>
          <w:rFonts w:ascii="Arial" w:hAnsi="Arial" w:cs="Arial"/>
          <w:color w:val="000000" w:themeColor="text1"/>
          <w:szCs w:val="22"/>
        </w:rPr>
        <w:t>between</w:t>
      </w:r>
      <w:r w:rsidRPr="00CB093C">
        <w:rPr>
          <w:rFonts w:ascii="Arial" w:hAnsi="Arial" w:cs="Arial"/>
          <w:color w:val="000000" w:themeColor="text1"/>
          <w:szCs w:val="22"/>
        </w:rPr>
        <w:t xml:space="preserve"> coastal and reef sites</w:t>
      </w:r>
      <w:r w:rsidR="008F7D8B" w:rsidRPr="00CB093C">
        <w:rPr>
          <w:rFonts w:ascii="Arial" w:hAnsi="Arial" w:cs="Arial"/>
          <w:color w:val="000000" w:themeColor="text1"/>
          <w:szCs w:val="22"/>
        </w:rPr>
        <w:t>;</w:t>
      </w:r>
      <w:r w:rsidRPr="00CB093C">
        <w:rPr>
          <w:rFonts w:ascii="Arial" w:hAnsi="Arial" w:cs="Arial"/>
          <w:color w:val="000000" w:themeColor="text1"/>
          <w:szCs w:val="22"/>
        </w:rPr>
        <w:t xml:space="preserve"> </w:t>
      </w:r>
      <w:r w:rsidR="00AC7188" w:rsidRPr="00CB093C">
        <w:rPr>
          <w:rFonts w:ascii="Arial" w:hAnsi="Arial" w:cs="Arial"/>
          <w:color w:val="000000" w:themeColor="text1"/>
          <w:szCs w:val="22"/>
          <w:lang w:val="en-GB"/>
        </w:rPr>
        <w:t xml:space="preserve">gradually increasing from 2001 to 2008 (with a mild depression in 2006-07 as a consequence of </w:t>
      </w:r>
      <w:r w:rsidR="00FE191E" w:rsidRPr="00CB093C">
        <w:rPr>
          <w:rFonts w:ascii="Arial" w:hAnsi="Arial" w:cs="Arial"/>
          <w:color w:val="000000" w:themeColor="text1"/>
          <w:szCs w:val="22"/>
          <w:lang w:val="en-GB"/>
        </w:rPr>
        <w:t xml:space="preserve">cyclone </w:t>
      </w:r>
      <w:r w:rsidR="00AC7188" w:rsidRPr="00CB093C">
        <w:rPr>
          <w:rFonts w:ascii="Arial" w:hAnsi="Arial" w:cs="Arial"/>
          <w:color w:val="000000" w:themeColor="text1"/>
          <w:szCs w:val="22"/>
          <w:lang w:val="en-GB"/>
        </w:rPr>
        <w:t>Larry)</w:t>
      </w:r>
      <w:r w:rsidR="00C153A9" w:rsidRPr="00CB093C">
        <w:rPr>
          <w:rFonts w:ascii="Arial" w:hAnsi="Arial" w:cs="Arial"/>
          <w:color w:val="000000" w:themeColor="text1"/>
          <w:szCs w:val="22"/>
          <w:lang w:val="en-GB"/>
        </w:rPr>
        <w:t>, t</w:t>
      </w:r>
      <w:r w:rsidR="00AC7188" w:rsidRPr="00CB093C">
        <w:rPr>
          <w:rFonts w:ascii="Arial" w:hAnsi="Arial" w:cs="Arial"/>
          <w:color w:val="000000" w:themeColor="text1"/>
          <w:szCs w:val="22"/>
          <w:lang w:val="en-GB"/>
        </w:rPr>
        <w:t xml:space="preserve">hen </w:t>
      </w:r>
      <w:r w:rsidR="00AC7188" w:rsidRPr="00CB093C">
        <w:rPr>
          <w:rFonts w:ascii="Arial" w:hAnsi="Arial" w:cs="Arial"/>
          <w:color w:val="000000" w:themeColor="text1"/>
          <w:szCs w:val="22"/>
        </w:rPr>
        <w:t>declin</w:t>
      </w:r>
      <w:r w:rsidR="00C153A9" w:rsidRPr="00CB093C">
        <w:rPr>
          <w:rFonts w:ascii="Arial" w:hAnsi="Arial" w:cs="Arial"/>
          <w:color w:val="000000" w:themeColor="text1"/>
          <w:szCs w:val="22"/>
        </w:rPr>
        <w:t>ing</w:t>
      </w:r>
      <w:r w:rsidRPr="00CB093C">
        <w:rPr>
          <w:rFonts w:ascii="Arial" w:hAnsi="Arial" w:cs="Arial"/>
          <w:color w:val="000000" w:themeColor="text1"/>
          <w:szCs w:val="22"/>
        </w:rPr>
        <w:t xml:space="preserve"> from 2</w:t>
      </w:r>
      <w:r w:rsidR="00AC7188" w:rsidRPr="00CB093C">
        <w:rPr>
          <w:rFonts w:ascii="Arial" w:hAnsi="Arial" w:cs="Arial"/>
          <w:color w:val="000000" w:themeColor="text1"/>
          <w:szCs w:val="22"/>
        </w:rPr>
        <w:t xml:space="preserve">009 to 2011 due to above average rainfall and river discharge </w:t>
      </w:r>
      <w:r w:rsidR="00B518CD" w:rsidRPr="00CB093C">
        <w:rPr>
          <w:rFonts w:ascii="Arial" w:hAnsi="Arial" w:cs="Arial"/>
          <w:color w:val="000000" w:themeColor="text1"/>
          <w:szCs w:val="22"/>
        </w:rPr>
        <w:t>(</w:t>
      </w:r>
      <w:r w:rsidR="001851D6" w:rsidRPr="00CB093C">
        <w:rPr>
          <w:rFonts w:ascii="Arial" w:hAnsi="Arial" w:cs="Arial"/>
          <w:color w:val="000000" w:themeColor="text1"/>
          <w:szCs w:val="22"/>
        </w:rPr>
        <w:fldChar w:fldCharType="begin"/>
      </w:r>
      <w:r w:rsidR="001851D6" w:rsidRPr="00CB093C">
        <w:rPr>
          <w:rFonts w:ascii="Arial" w:hAnsi="Arial" w:cs="Arial"/>
          <w:color w:val="000000" w:themeColor="text1"/>
          <w:szCs w:val="22"/>
        </w:rPr>
        <w:instrText xml:space="preserve"> REF _Ref442456518 \h </w:instrText>
      </w:r>
      <w:r w:rsidR="00580DDA" w:rsidRPr="00CB093C">
        <w:rPr>
          <w:rFonts w:ascii="Arial" w:hAnsi="Arial" w:cs="Arial"/>
          <w:color w:val="000000" w:themeColor="text1"/>
          <w:szCs w:val="22"/>
        </w:rPr>
        <w:instrText xml:space="preserve"> \* MERGEFORMAT </w:instrText>
      </w:r>
      <w:r w:rsidR="001851D6" w:rsidRPr="00CB093C">
        <w:rPr>
          <w:rFonts w:ascii="Arial" w:hAnsi="Arial" w:cs="Arial"/>
          <w:color w:val="000000" w:themeColor="text1"/>
          <w:szCs w:val="22"/>
        </w:rPr>
      </w:r>
      <w:r w:rsidR="001851D6"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17</w:t>
      </w:r>
      <w:r w:rsidR="001851D6"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w:t>
      </w:r>
      <w:r w:rsidR="00AC7188" w:rsidRPr="00CB093C">
        <w:rPr>
          <w:rFonts w:ascii="Arial" w:hAnsi="Arial" w:cs="Arial"/>
          <w:color w:val="000000" w:themeColor="text1"/>
          <w:szCs w:val="22"/>
          <w:lang w:val="en-GB"/>
        </w:rPr>
        <w:t>The extreme weather events of early 2011 (</w:t>
      </w:r>
      <w:r w:rsidR="007A70FE" w:rsidRPr="00CB093C">
        <w:rPr>
          <w:rFonts w:ascii="Arial" w:hAnsi="Arial" w:cs="Arial"/>
          <w:color w:val="000000" w:themeColor="text1"/>
          <w:szCs w:val="22"/>
          <w:lang w:val="en-GB"/>
        </w:rPr>
        <w:t>e.g.</w:t>
      </w:r>
      <w:r w:rsidR="00011B59" w:rsidRPr="00CB093C">
        <w:rPr>
          <w:rFonts w:ascii="Arial" w:hAnsi="Arial" w:cs="Arial"/>
          <w:color w:val="000000" w:themeColor="text1"/>
          <w:szCs w:val="22"/>
          <w:lang w:val="en-GB"/>
        </w:rPr>
        <w:t xml:space="preserve">, </w:t>
      </w:r>
      <w:r w:rsidR="00AC7188" w:rsidRPr="00CB093C">
        <w:rPr>
          <w:rFonts w:ascii="Arial" w:hAnsi="Arial" w:cs="Arial"/>
          <w:color w:val="000000" w:themeColor="text1"/>
          <w:szCs w:val="22"/>
          <w:lang w:val="en-GB"/>
        </w:rPr>
        <w:t xml:space="preserve">TC Yasi) resulted in further substantial decline in inshore seagrass meadows throughout much of the </w:t>
      </w:r>
      <w:r w:rsidR="003158FC" w:rsidRPr="00CB093C">
        <w:rPr>
          <w:rFonts w:ascii="Arial" w:hAnsi="Arial" w:cs="Arial"/>
          <w:color w:val="000000" w:themeColor="text1"/>
          <w:szCs w:val="22"/>
          <w:lang w:val="en-GB"/>
        </w:rPr>
        <w:t>Reef</w:t>
      </w:r>
      <w:r w:rsidR="00AC7188" w:rsidRPr="00CB093C">
        <w:rPr>
          <w:rFonts w:ascii="Arial" w:hAnsi="Arial" w:cs="Arial"/>
          <w:color w:val="000000" w:themeColor="text1"/>
          <w:szCs w:val="22"/>
          <w:lang w:val="en-GB"/>
        </w:rPr>
        <w:t xml:space="preserve">. </w:t>
      </w:r>
    </w:p>
    <w:p w14:paraId="756DEEA6" w14:textId="4626E00D" w:rsidR="006B6091" w:rsidRPr="00CB093C" w:rsidRDefault="007A70FE" w:rsidP="00AC7188">
      <w:pPr>
        <w:rPr>
          <w:rFonts w:ascii="Arial" w:hAnsi="Arial" w:cs="Arial"/>
          <w:color w:val="000000" w:themeColor="text1"/>
          <w:szCs w:val="22"/>
        </w:rPr>
      </w:pPr>
      <w:r w:rsidRPr="00CB093C">
        <w:rPr>
          <w:rFonts w:ascii="Arial" w:hAnsi="Arial" w:cs="Arial"/>
          <w:color w:val="000000" w:themeColor="text1"/>
          <w:szCs w:val="22"/>
        </w:rPr>
        <w:t>Estuarine</w:t>
      </w:r>
      <w:r w:rsidR="00E77C82" w:rsidRPr="00CB093C">
        <w:rPr>
          <w:rFonts w:ascii="Arial" w:hAnsi="Arial" w:cs="Arial"/>
          <w:color w:val="000000" w:themeColor="text1"/>
          <w:szCs w:val="22"/>
        </w:rPr>
        <w:t xml:space="preserve"> habitats, which are monitored only in the south</w:t>
      </w:r>
      <w:r w:rsidR="00C153A9" w:rsidRPr="00CB093C">
        <w:rPr>
          <w:rFonts w:ascii="Arial" w:hAnsi="Arial" w:cs="Arial"/>
          <w:color w:val="000000" w:themeColor="text1"/>
          <w:szCs w:val="22"/>
        </w:rPr>
        <w:t>ern</w:t>
      </w:r>
      <w:r w:rsidR="00E77C82" w:rsidRPr="00CB093C">
        <w:rPr>
          <w:rFonts w:ascii="Arial" w:hAnsi="Arial" w:cs="Arial"/>
          <w:color w:val="000000" w:themeColor="text1"/>
          <w:szCs w:val="22"/>
        </w:rPr>
        <w:t xml:space="preserve"> </w:t>
      </w:r>
      <w:r w:rsidR="003158FC" w:rsidRPr="00CB093C">
        <w:rPr>
          <w:rFonts w:ascii="Arial" w:hAnsi="Arial" w:cs="Arial"/>
          <w:color w:val="000000" w:themeColor="text1"/>
          <w:szCs w:val="22"/>
        </w:rPr>
        <w:t>Reef</w:t>
      </w:r>
      <w:r w:rsidR="00E77C82" w:rsidRPr="00CB093C">
        <w:rPr>
          <w:rFonts w:ascii="Arial" w:hAnsi="Arial" w:cs="Arial"/>
          <w:color w:val="000000" w:themeColor="text1"/>
          <w:szCs w:val="22"/>
        </w:rPr>
        <w:t xml:space="preserve">, reached record </w:t>
      </w:r>
      <w:r w:rsidR="00882B72" w:rsidRPr="00CB093C">
        <w:rPr>
          <w:rFonts w:ascii="Arial" w:hAnsi="Arial" w:cs="Arial"/>
          <w:color w:val="000000" w:themeColor="text1"/>
          <w:szCs w:val="22"/>
        </w:rPr>
        <w:t>%</w:t>
      </w:r>
      <w:r w:rsidR="00E77C82" w:rsidRPr="00CB093C">
        <w:rPr>
          <w:rFonts w:ascii="Arial" w:hAnsi="Arial" w:cs="Arial"/>
          <w:color w:val="000000" w:themeColor="text1"/>
          <w:szCs w:val="22"/>
        </w:rPr>
        <w:t xml:space="preserve"> cover in 2002 to 2003, </w:t>
      </w:r>
      <w:r w:rsidR="002E6856" w:rsidRPr="00CB093C">
        <w:rPr>
          <w:rFonts w:ascii="Arial" w:hAnsi="Arial" w:cs="Arial"/>
          <w:color w:val="000000" w:themeColor="text1"/>
          <w:szCs w:val="22"/>
        </w:rPr>
        <w:t>but have remained low since 2005</w:t>
      </w:r>
      <w:r w:rsidR="00B2619F" w:rsidRPr="00CB093C">
        <w:rPr>
          <w:rFonts w:ascii="Arial" w:hAnsi="Arial" w:cs="Arial"/>
          <w:color w:val="000000" w:themeColor="text1"/>
          <w:szCs w:val="22"/>
        </w:rPr>
        <w:t>–</w:t>
      </w:r>
      <w:r w:rsidR="002E6856" w:rsidRPr="00CB093C">
        <w:rPr>
          <w:rFonts w:ascii="Arial" w:hAnsi="Arial" w:cs="Arial"/>
          <w:color w:val="000000" w:themeColor="text1"/>
          <w:szCs w:val="22"/>
        </w:rPr>
        <w:t xml:space="preserve">06. </w:t>
      </w:r>
      <w:r w:rsidR="006B6091" w:rsidRPr="00CB093C">
        <w:rPr>
          <w:rFonts w:ascii="Arial" w:hAnsi="Arial" w:cs="Arial"/>
          <w:color w:val="000000" w:themeColor="text1"/>
          <w:szCs w:val="22"/>
        </w:rPr>
        <w:t xml:space="preserve">Trends </w:t>
      </w:r>
      <w:r w:rsidR="00B518CD" w:rsidRPr="00CB093C">
        <w:rPr>
          <w:rFonts w:ascii="Arial" w:hAnsi="Arial" w:cs="Arial"/>
          <w:color w:val="000000" w:themeColor="text1"/>
          <w:szCs w:val="22"/>
        </w:rPr>
        <w:t xml:space="preserve">have fluctuated </w:t>
      </w:r>
      <w:r w:rsidR="002E6856" w:rsidRPr="00CB093C">
        <w:rPr>
          <w:rFonts w:ascii="Arial" w:hAnsi="Arial" w:cs="Arial"/>
          <w:color w:val="000000" w:themeColor="text1"/>
          <w:szCs w:val="22"/>
        </w:rPr>
        <w:t xml:space="preserve">at a site level </w:t>
      </w:r>
      <w:r w:rsidR="00B518CD" w:rsidRPr="00CB093C">
        <w:rPr>
          <w:rFonts w:ascii="Arial" w:hAnsi="Arial" w:cs="Arial"/>
          <w:color w:val="000000" w:themeColor="text1"/>
          <w:szCs w:val="22"/>
        </w:rPr>
        <w:t>in estuary habitats, most often at smaller localised scales where there have been some acute event related changes (</w:t>
      </w:r>
      <w:hyperlink w:anchor="_ENREF_99" w:tooltip="McKenzie, 2012 #9287"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&lt;EndNote&gt;&lt;Cite&gt;&lt;Author&gt;McKenzie&lt;/Author&gt;&lt;Year&gt;2012&lt;/Year&gt;&lt;RecNum&gt;9287&lt;/RecNum&gt;&lt;DisplayText&gt;McKenzie&lt;style face="italic"&gt; et al.&lt;/style&gt; 2012&lt;/DisplayText&gt;&lt;record&gt;&lt;rec-number&gt;9287&lt;/rec-number&gt;&lt;foreign-keys&gt;&lt;key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McKenzie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2012</w:t>
        </w:r>
        <w:r w:rsidR="00513C39" w:rsidRPr="00CB093C">
          <w:rPr>
            <w:rFonts w:ascii="Arial" w:hAnsi="Arial" w:cs="Arial"/>
            <w:color w:val="000000" w:themeColor="text1"/>
            <w:szCs w:val="22"/>
          </w:rPr>
          <w:fldChar w:fldCharType="end"/>
        </w:r>
      </w:hyperlink>
      <w:r w:rsidR="00B518CD" w:rsidRPr="00CB093C">
        <w:rPr>
          <w:rFonts w:ascii="Arial" w:hAnsi="Arial" w:cs="Arial"/>
          <w:color w:val="000000" w:themeColor="text1"/>
          <w:szCs w:val="22"/>
        </w:rPr>
        <w:t>).</w:t>
      </w:r>
    </w:p>
    <w:p w14:paraId="015CF6B1" w14:textId="20959ABD" w:rsidR="006B6091" w:rsidRPr="00CB093C" w:rsidRDefault="00AC7188" w:rsidP="00AC7188">
      <w:pPr>
        <w:rPr>
          <w:rFonts w:ascii="Arial" w:hAnsi="Arial" w:cs="Arial"/>
          <w:color w:val="000000" w:themeColor="text1"/>
          <w:szCs w:val="22"/>
          <w:lang w:val="en-GB"/>
        </w:rPr>
      </w:pPr>
      <w:r w:rsidRPr="00CB093C">
        <w:rPr>
          <w:rFonts w:ascii="Arial" w:hAnsi="Arial" w:cs="Arial"/>
          <w:color w:val="000000" w:themeColor="text1"/>
          <w:szCs w:val="22"/>
          <w:lang w:val="en-GB"/>
        </w:rPr>
        <w:lastRenderedPageBreak/>
        <w:t>Post 2011, seagrasses have progressively recovered, although by 2016</w:t>
      </w:r>
      <w:r w:rsidR="009203FC" w:rsidRPr="00CB093C">
        <w:rPr>
          <w:rFonts w:ascii="Arial" w:hAnsi="Arial" w:cs="Arial"/>
          <w:color w:val="000000" w:themeColor="text1"/>
          <w:szCs w:val="22"/>
          <w:lang w:val="en-GB"/>
        </w:rPr>
        <w:t>–</w:t>
      </w:r>
      <w:r w:rsidR="00B2619F" w:rsidRPr="00CB093C">
        <w:rPr>
          <w:rFonts w:ascii="Arial" w:hAnsi="Arial" w:cs="Arial"/>
          <w:color w:val="000000" w:themeColor="text1"/>
          <w:szCs w:val="22"/>
          <w:lang w:val="en-GB"/>
        </w:rPr>
        <w:t>20</w:t>
      </w:r>
      <w:r w:rsidRPr="00CB093C">
        <w:rPr>
          <w:rFonts w:ascii="Arial" w:hAnsi="Arial" w:cs="Arial"/>
          <w:color w:val="000000" w:themeColor="text1"/>
          <w:szCs w:val="22"/>
          <w:lang w:val="en-GB"/>
        </w:rPr>
        <w:t>17 still remained below the 2008 levels, except in coastal sites which have recovered (</w:t>
      </w:r>
      <w:r w:rsidR="001851D6" w:rsidRPr="00CB093C">
        <w:rPr>
          <w:rFonts w:ascii="Arial" w:hAnsi="Arial" w:cs="Arial"/>
          <w:color w:val="000000" w:themeColor="text1"/>
          <w:szCs w:val="22"/>
          <w:lang w:val="en-GB"/>
        </w:rPr>
        <w:fldChar w:fldCharType="begin"/>
      </w:r>
      <w:r w:rsidR="001851D6" w:rsidRPr="00CB093C">
        <w:rPr>
          <w:rFonts w:ascii="Arial" w:hAnsi="Arial" w:cs="Arial"/>
          <w:color w:val="000000" w:themeColor="text1"/>
          <w:szCs w:val="22"/>
          <w:lang w:val="en-GB"/>
        </w:rPr>
        <w:instrText xml:space="preserve"> REF _Ref442456518 \h </w:instrText>
      </w:r>
      <w:r w:rsidR="00580DDA" w:rsidRPr="00CB093C">
        <w:rPr>
          <w:rFonts w:ascii="Arial" w:hAnsi="Arial" w:cs="Arial"/>
          <w:color w:val="000000" w:themeColor="text1"/>
          <w:szCs w:val="22"/>
          <w:lang w:val="en-GB"/>
        </w:rPr>
        <w:instrText xml:space="preserve"> \* MERGEFORMAT </w:instrText>
      </w:r>
      <w:r w:rsidR="001851D6" w:rsidRPr="00CB093C">
        <w:rPr>
          <w:rFonts w:ascii="Arial" w:hAnsi="Arial" w:cs="Arial"/>
          <w:color w:val="000000" w:themeColor="text1"/>
          <w:szCs w:val="22"/>
          <w:lang w:val="en-GB"/>
        </w:rPr>
      </w:r>
      <w:r w:rsidR="001851D6" w:rsidRPr="00CB093C">
        <w:rPr>
          <w:rFonts w:ascii="Arial" w:hAnsi="Arial" w:cs="Arial"/>
          <w:color w:val="000000" w:themeColor="text1"/>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17</w:t>
      </w:r>
      <w:r w:rsidR="001851D6" w:rsidRPr="00CB093C">
        <w:rPr>
          <w:rFonts w:ascii="Arial" w:hAnsi="Arial" w:cs="Arial"/>
          <w:color w:val="000000" w:themeColor="text1"/>
          <w:szCs w:val="22"/>
          <w:lang w:val="en-GB"/>
        </w:rPr>
        <w:fldChar w:fldCharType="end"/>
      </w:r>
      <w:r w:rsidRPr="00CB093C">
        <w:rPr>
          <w:rFonts w:ascii="Arial" w:hAnsi="Arial" w:cs="Arial"/>
          <w:color w:val="000000" w:themeColor="text1"/>
          <w:szCs w:val="22"/>
          <w:lang w:val="en-GB"/>
        </w:rPr>
        <w:t xml:space="preserve">). </w:t>
      </w:r>
    </w:p>
    <w:p w14:paraId="163A1F5A" w14:textId="123E4399" w:rsidR="006B6091" w:rsidRPr="00CB093C" w:rsidRDefault="006B6091" w:rsidP="005F7B5A">
      <w:pPr>
        <w:rPr>
          <w:rFonts w:ascii="Arial" w:hAnsi="Arial" w:cs="Arial"/>
          <w:color w:val="000000" w:themeColor="text1"/>
          <w:szCs w:val="22"/>
          <w:lang w:val="en-GB"/>
        </w:rPr>
      </w:pPr>
      <w:r w:rsidRPr="00CB093C">
        <w:rPr>
          <w:rFonts w:ascii="Arial" w:hAnsi="Arial" w:cs="Arial"/>
          <w:color w:val="000000" w:themeColor="text1"/>
          <w:szCs w:val="22"/>
          <w:lang w:val="en-GB"/>
        </w:rPr>
        <w:t xml:space="preserve">In </w:t>
      </w:r>
      <w:r w:rsidR="003654C6">
        <w:rPr>
          <w:rFonts w:ascii="Arial" w:hAnsi="Arial" w:cs="Arial"/>
          <w:color w:val="000000" w:themeColor="text1"/>
          <w:szCs w:val="22"/>
          <w:lang w:val="en-GB"/>
        </w:rPr>
        <w:t>2017–18</w:t>
      </w:r>
      <w:r w:rsidRPr="00CB093C">
        <w:rPr>
          <w:rFonts w:ascii="Arial" w:hAnsi="Arial" w:cs="Arial"/>
          <w:color w:val="000000" w:themeColor="text1"/>
          <w:szCs w:val="22"/>
          <w:lang w:val="en-GB"/>
        </w:rPr>
        <w:t xml:space="preserve">, </w:t>
      </w:r>
      <w:r w:rsidR="002B1351" w:rsidRPr="00CB093C">
        <w:rPr>
          <w:rFonts w:ascii="Arial" w:hAnsi="Arial" w:cs="Arial"/>
          <w:color w:val="000000" w:themeColor="text1"/>
          <w:szCs w:val="22"/>
          <w:lang w:val="en-GB"/>
        </w:rPr>
        <w:t>Reef</w:t>
      </w:r>
      <w:r w:rsidRPr="00CB093C">
        <w:rPr>
          <w:rFonts w:ascii="Arial" w:hAnsi="Arial" w:cs="Arial"/>
          <w:color w:val="000000" w:themeColor="text1"/>
          <w:szCs w:val="22"/>
          <w:lang w:val="en-GB"/>
        </w:rPr>
        <w:t>-wide meadow extent was similar to the previous year, however these remain lower than the baseline (2005), 2014 and 2015 (</w:t>
      </w:r>
      <w:r w:rsidRPr="00CB093C">
        <w:rPr>
          <w:rFonts w:ascii="Arial" w:hAnsi="Arial" w:cs="Arial"/>
          <w:color w:val="000000" w:themeColor="text1"/>
          <w:szCs w:val="22"/>
          <w:lang w:val="en-GB"/>
        </w:rPr>
        <w:fldChar w:fldCharType="begin"/>
      </w:r>
      <w:r w:rsidRPr="00CB093C">
        <w:rPr>
          <w:rFonts w:ascii="Arial" w:hAnsi="Arial" w:cs="Arial"/>
          <w:color w:val="000000" w:themeColor="text1"/>
          <w:szCs w:val="22"/>
          <w:lang w:val="en-GB"/>
        </w:rPr>
        <w:instrText xml:space="preserve"> REF _Ref534197389 \h </w:instrText>
      </w:r>
      <w:r w:rsidR="00CB093C" w:rsidRPr="00CB093C">
        <w:rPr>
          <w:rFonts w:ascii="Arial" w:hAnsi="Arial" w:cs="Arial"/>
          <w:color w:val="000000" w:themeColor="text1"/>
          <w:szCs w:val="22"/>
          <w:lang w:val="en-GB"/>
        </w:rPr>
        <w:instrText xml:space="preserve"> \* MERGEFORMAT </w:instrText>
      </w:r>
      <w:r w:rsidRPr="00CB093C">
        <w:rPr>
          <w:rFonts w:ascii="Arial" w:hAnsi="Arial" w:cs="Arial"/>
          <w:color w:val="000000" w:themeColor="text1"/>
          <w:szCs w:val="22"/>
          <w:lang w:val="en-GB"/>
        </w:rPr>
      </w:r>
      <w:r w:rsidRPr="00CB093C">
        <w:rPr>
          <w:rFonts w:ascii="Arial" w:hAnsi="Arial" w:cs="Arial"/>
          <w:color w:val="000000" w:themeColor="text1"/>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19</w:t>
      </w:r>
      <w:r w:rsidRPr="00CB093C">
        <w:rPr>
          <w:rFonts w:ascii="Arial" w:hAnsi="Arial" w:cs="Arial"/>
          <w:color w:val="000000" w:themeColor="text1"/>
          <w:szCs w:val="22"/>
          <w:lang w:val="en-GB"/>
        </w:rPr>
        <w:fldChar w:fldCharType="end"/>
      </w:r>
      <w:r w:rsidRPr="00CB093C">
        <w:rPr>
          <w:rFonts w:ascii="Arial" w:hAnsi="Arial" w:cs="Arial"/>
          <w:color w:val="000000" w:themeColor="text1"/>
          <w:szCs w:val="22"/>
          <w:lang w:val="en-GB"/>
        </w:rPr>
        <w:t>).</w:t>
      </w:r>
    </w:p>
    <w:p w14:paraId="6DFB04D0" w14:textId="39F2E3DD" w:rsidR="00D55485" w:rsidRPr="00CB093C" w:rsidRDefault="005F7B5A" w:rsidP="00D55485">
      <w:pPr>
        <w:rPr>
          <w:rFonts w:ascii="Arial" w:hAnsi="Arial" w:cs="Arial"/>
          <w:szCs w:val="22"/>
        </w:rPr>
      </w:pPr>
      <w:r w:rsidRPr="00CB093C">
        <w:rPr>
          <w:rFonts w:ascii="Arial" w:hAnsi="Arial" w:cs="Arial"/>
          <w:color w:val="000000" w:themeColor="text1"/>
          <w:szCs w:val="22"/>
          <w:lang w:val="en-GB"/>
        </w:rPr>
        <w:t xml:space="preserve">Since </w:t>
      </w:r>
      <w:r w:rsidR="00C153A9" w:rsidRPr="00CB093C">
        <w:rPr>
          <w:rFonts w:ascii="Arial" w:hAnsi="Arial" w:cs="Arial"/>
          <w:color w:val="000000" w:themeColor="text1"/>
          <w:szCs w:val="22"/>
          <w:lang w:val="en-GB"/>
        </w:rPr>
        <w:t>the MMP</w:t>
      </w:r>
      <w:r w:rsidRPr="00CB093C">
        <w:rPr>
          <w:rFonts w:ascii="Arial" w:hAnsi="Arial" w:cs="Arial"/>
          <w:color w:val="000000" w:themeColor="text1"/>
          <w:szCs w:val="22"/>
          <w:lang w:val="en-GB"/>
        </w:rPr>
        <w:t xml:space="preserve"> was established in 2005, meadow extent </w:t>
      </w:r>
      <w:r w:rsidR="003A6198" w:rsidRPr="00CB093C">
        <w:rPr>
          <w:rFonts w:ascii="Arial" w:hAnsi="Arial" w:cs="Arial"/>
          <w:color w:val="000000" w:themeColor="text1"/>
          <w:szCs w:val="22"/>
          <w:lang w:val="en-GB"/>
        </w:rPr>
        <w:t xml:space="preserve">across </w:t>
      </w:r>
      <w:r w:rsidR="00C153A9" w:rsidRPr="00CB093C">
        <w:rPr>
          <w:rFonts w:ascii="Arial" w:hAnsi="Arial" w:cs="Arial"/>
          <w:color w:val="000000" w:themeColor="text1"/>
          <w:szCs w:val="22"/>
          <w:lang w:val="en-GB"/>
        </w:rPr>
        <w:t xml:space="preserve">inshore </w:t>
      </w:r>
      <w:r w:rsidRPr="00CB093C">
        <w:rPr>
          <w:rFonts w:ascii="Arial" w:hAnsi="Arial" w:cs="Arial"/>
          <w:color w:val="000000" w:themeColor="text1"/>
          <w:szCs w:val="22"/>
          <w:lang w:val="en-GB"/>
        </w:rPr>
        <w:t>monitoring sites declined in early 2011, recovering within 3</w:t>
      </w:r>
      <w:r w:rsidR="009203FC" w:rsidRPr="00CB093C">
        <w:rPr>
          <w:rFonts w:ascii="Arial" w:hAnsi="Arial" w:cs="Arial"/>
          <w:color w:val="000000" w:themeColor="text1"/>
          <w:szCs w:val="22"/>
          <w:lang w:val="en-GB"/>
        </w:rPr>
        <w:t>–</w:t>
      </w:r>
      <w:r w:rsidRPr="00CB093C">
        <w:rPr>
          <w:rFonts w:ascii="Arial" w:hAnsi="Arial" w:cs="Arial"/>
          <w:color w:val="000000" w:themeColor="text1"/>
          <w:szCs w:val="22"/>
          <w:lang w:val="en-GB"/>
        </w:rPr>
        <w:t>4 years (</w:t>
      </w:r>
      <w:r w:rsidRPr="00CB093C">
        <w:rPr>
          <w:rFonts w:ascii="Arial" w:hAnsi="Arial" w:cs="Arial"/>
          <w:color w:val="000000" w:themeColor="text1"/>
          <w:szCs w:val="22"/>
          <w:lang w:val="en-GB"/>
        </w:rPr>
        <w:fldChar w:fldCharType="begin"/>
      </w:r>
      <w:r w:rsidRPr="00CB093C">
        <w:rPr>
          <w:rFonts w:ascii="Arial" w:hAnsi="Arial" w:cs="Arial"/>
          <w:color w:val="000000" w:themeColor="text1"/>
          <w:szCs w:val="22"/>
          <w:lang w:val="en-GB"/>
        </w:rPr>
        <w:instrText xml:space="preserve"> REF _Ref534197389 \h </w:instrText>
      </w:r>
      <w:r w:rsidR="00CB093C" w:rsidRPr="00CB093C">
        <w:rPr>
          <w:rFonts w:ascii="Arial" w:hAnsi="Arial" w:cs="Arial"/>
          <w:color w:val="000000" w:themeColor="text1"/>
          <w:szCs w:val="22"/>
          <w:lang w:val="en-GB"/>
        </w:rPr>
        <w:instrText xml:space="preserve"> \* MERGEFORMAT </w:instrText>
      </w:r>
      <w:r w:rsidRPr="00CB093C">
        <w:rPr>
          <w:rFonts w:ascii="Arial" w:hAnsi="Arial" w:cs="Arial"/>
          <w:color w:val="000000" w:themeColor="text1"/>
          <w:szCs w:val="22"/>
          <w:lang w:val="en-GB"/>
        </w:rPr>
      </w:r>
      <w:r w:rsidRPr="00CB093C">
        <w:rPr>
          <w:rFonts w:ascii="Arial" w:hAnsi="Arial" w:cs="Arial"/>
          <w:color w:val="000000" w:themeColor="text1"/>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19</w:t>
      </w:r>
      <w:r w:rsidRPr="00CB093C">
        <w:rPr>
          <w:rFonts w:ascii="Arial" w:hAnsi="Arial" w:cs="Arial"/>
          <w:color w:val="000000" w:themeColor="text1"/>
          <w:szCs w:val="22"/>
          <w:lang w:val="en-GB"/>
        </w:rPr>
        <w:fldChar w:fldCharType="end"/>
      </w:r>
      <w:r w:rsidRPr="00CB093C">
        <w:rPr>
          <w:rFonts w:ascii="Arial" w:hAnsi="Arial" w:cs="Arial"/>
          <w:color w:val="000000" w:themeColor="text1"/>
          <w:szCs w:val="22"/>
          <w:lang w:val="en-GB"/>
        </w:rPr>
        <w:t>). Similar to seagrass abundance, th</w:t>
      </w:r>
      <w:r w:rsidR="00433555" w:rsidRPr="00CB093C">
        <w:rPr>
          <w:rFonts w:ascii="Arial" w:hAnsi="Arial" w:cs="Arial"/>
          <w:color w:val="000000" w:themeColor="text1"/>
          <w:szCs w:val="22"/>
          <w:lang w:val="en-GB"/>
        </w:rPr>
        <w:t>is</w:t>
      </w:r>
      <w:r w:rsidRPr="00CB093C">
        <w:rPr>
          <w:rFonts w:ascii="Arial" w:hAnsi="Arial" w:cs="Arial"/>
          <w:color w:val="000000" w:themeColor="text1"/>
          <w:szCs w:val="22"/>
          <w:lang w:val="en-GB"/>
        </w:rPr>
        <w:t xml:space="preserve"> decline in extent w</w:t>
      </w:r>
      <w:r w:rsidR="00433555" w:rsidRPr="00CB093C">
        <w:rPr>
          <w:rFonts w:ascii="Arial" w:hAnsi="Arial" w:cs="Arial"/>
          <w:color w:val="000000" w:themeColor="text1"/>
          <w:szCs w:val="22"/>
          <w:lang w:val="en-GB"/>
        </w:rPr>
        <w:t>as</w:t>
      </w:r>
      <w:r w:rsidRPr="00CB093C">
        <w:rPr>
          <w:rFonts w:ascii="Arial" w:hAnsi="Arial" w:cs="Arial"/>
          <w:color w:val="000000" w:themeColor="text1"/>
          <w:szCs w:val="22"/>
          <w:lang w:val="en-GB"/>
        </w:rPr>
        <w:t xml:space="preserve"> a consequence of extreme weather and associated flooding. Since 2014, the meadows across the </w:t>
      </w:r>
      <w:r w:rsidR="003158FC" w:rsidRPr="00CB093C">
        <w:rPr>
          <w:rFonts w:ascii="Arial" w:hAnsi="Arial" w:cs="Arial"/>
          <w:color w:val="000000" w:themeColor="text1"/>
          <w:szCs w:val="22"/>
          <w:lang w:val="en-GB"/>
        </w:rPr>
        <w:t>Reef</w:t>
      </w:r>
      <w:r w:rsidRPr="00CB093C">
        <w:rPr>
          <w:rFonts w:ascii="Arial" w:hAnsi="Arial" w:cs="Arial"/>
          <w:color w:val="000000" w:themeColor="text1"/>
          <w:szCs w:val="22"/>
          <w:lang w:val="en-GB"/>
        </w:rPr>
        <w:t xml:space="preserve"> have varied </w:t>
      </w:r>
      <w:r w:rsidR="00433555" w:rsidRPr="00CB093C">
        <w:rPr>
          <w:rFonts w:ascii="Arial" w:hAnsi="Arial" w:cs="Arial"/>
          <w:color w:val="000000" w:themeColor="text1"/>
          <w:szCs w:val="22"/>
          <w:lang w:val="en-GB"/>
        </w:rPr>
        <w:t xml:space="preserve">in extent </w:t>
      </w:r>
      <w:r w:rsidRPr="00CB093C">
        <w:rPr>
          <w:rFonts w:ascii="Arial" w:hAnsi="Arial" w:cs="Arial"/>
          <w:color w:val="000000" w:themeColor="text1"/>
          <w:szCs w:val="22"/>
          <w:lang w:val="en-GB"/>
        </w:rPr>
        <w:t xml:space="preserve">within and between years. </w:t>
      </w:r>
      <w:r w:rsidR="004A534B" w:rsidRPr="00CB093C">
        <w:rPr>
          <w:rFonts w:ascii="Arial" w:hAnsi="Arial" w:cs="Arial"/>
          <w:color w:val="000000" w:themeColor="text1"/>
          <w:szCs w:val="22"/>
          <w:lang w:val="en-GB"/>
        </w:rPr>
        <w:t xml:space="preserve">The changes in extent over the last three years </w:t>
      </w:r>
      <w:r w:rsidR="00DF0165" w:rsidRPr="00CB093C">
        <w:rPr>
          <w:rFonts w:ascii="Arial" w:hAnsi="Arial" w:cs="Arial"/>
          <w:color w:val="000000" w:themeColor="text1"/>
          <w:szCs w:val="22"/>
          <w:lang w:val="en-GB"/>
        </w:rPr>
        <w:t>appear a consequence of severe weather</w:t>
      </w:r>
      <w:r w:rsidR="004A534B" w:rsidRPr="00CB093C">
        <w:rPr>
          <w:rFonts w:ascii="Arial" w:hAnsi="Arial" w:cs="Arial"/>
          <w:color w:val="000000" w:themeColor="text1"/>
          <w:szCs w:val="22"/>
          <w:lang w:val="en-GB"/>
        </w:rPr>
        <w:t xml:space="preserve"> </w:t>
      </w:r>
      <w:r w:rsidR="00DF0165" w:rsidRPr="00CB093C">
        <w:rPr>
          <w:rFonts w:ascii="Arial" w:hAnsi="Arial" w:cs="Arial"/>
          <w:color w:val="000000" w:themeColor="text1"/>
          <w:szCs w:val="22"/>
          <w:lang w:val="en-GB"/>
        </w:rPr>
        <w:t xml:space="preserve">events (e.g. cyclones) and regional climate (frequency of strong wind days). </w:t>
      </w:r>
    </w:p>
    <w:p w14:paraId="51F4A130" w14:textId="77777777" w:rsidR="00D55485" w:rsidRPr="00CB093C" w:rsidRDefault="00D55485" w:rsidP="00D55485">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drawing>
          <wp:inline distT="0" distB="0" distL="0" distR="0" wp14:anchorId="06884211" wp14:editId="21A8E336">
            <wp:extent cx="3960000" cy="2282400"/>
            <wp:effectExtent l="0" t="0" r="2540" b="3810"/>
            <wp:docPr id="11" name="Picture 11" descr="Bar chart showing change in average relative spatial extent of seagrass distribution at monitoring sites across inshore Reef over lifr of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xtent_Oct18.png"/>
                    <pic:cNvPicPr/>
                  </pic:nvPicPr>
                  <pic:blipFill>
                    <a:blip r:embed="rId63">
                      <a:extLst>
                        <a:ext uri="{28A0092B-C50C-407E-A947-70E740481C1C}">
                          <a14:useLocalDpi xmlns:a14="http://schemas.microsoft.com/office/drawing/2010/main" val="0"/>
                        </a:ext>
                      </a:extLst>
                    </a:blip>
                    <a:stretch>
                      <a:fillRect/>
                    </a:stretch>
                  </pic:blipFill>
                  <pic:spPr>
                    <a:xfrm>
                      <a:off x="0" y="0"/>
                      <a:ext cx="3960000" cy="2282400"/>
                    </a:xfrm>
                    <a:prstGeom prst="rect">
                      <a:avLst/>
                    </a:prstGeom>
                  </pic:spPr>
                </pic:pic>
              </a:graphicData>
            </a:graphic>
          </wp:inline>
        </w:drawing>
      </w:r>
    </w:p>
    <w:p w14:paraId="30D89192" w14:textId="743A51E9" w:rsidR="00D55485" w:rsidRPr="00CB093C" w:rsidRDefault="00D55485" w:rsidP="00D55485">
      <w:pPr>
        <w:rPr>
          <w:rFonts w:ascii="Arial" w:hAnsi="Arial" w:cs="Arial"/>
          <w:i/>
          <w:vanish/>
          <w:szCs w:val="22"/>
          <w:specVanish/>
        </w:rPr>
      </w:pPr>
      <w:bookmarkStart w:id="188" w:name="_Ref534197389"/>
      <w:bookmarkStart w:id="189" w:name="_Toc6402784"/>
      <w:r w:rsidRPr="00CB093C">
        <w:rPr>
          <w:rFonts w:ascii="Arial" w:hAnsi="Arial" w:cs="Arial"/>
          <w:szCs w:val="22"/>
        </w:rPr>
        <w:t xml:space="preserve">Figure </w:t>
      </w:r>
      <w:r w:rsidRPr="00CB093C">
        <w:rPr>
          <w:rFonts w:ascii="Arial" w:hAnsi="Arial" w:cs="Arial"/>
          <w:noProof/>
          <w:szCs w:val="22"/>
        </w:rPr>
        <w:fldChar w:fldCharType="begin"/>
      </w:r>
      <w:r w:rsidRPr="00CB093C">
        <w:rPr>
          <w:rFonts w:ascii="Arial" w:hAnsi="Arial" w:cs="Arial"/>
          <w:noProof/>
          <w:szCs w:val="22"/>
        </w:rPr>
        <w:instrText xml:space="preserve"> SEQ Figure \* ARABIC </w:instrText>
      </w:r>
      <w:r w:rsidRPr="00CB093C">
        <w:rPr>
          <w:rFonts w:ascii="Arial" w:hAnsi="Arial" w:cs="Arial"/>
          <w:noProof/>
          <w:szCs w:val="22"/>
        </w:rPr>
        <w:fldChar w:fldCharType="separate"/>
      </w:r>
      <w:r w:rsidR="005F00D4">
        <w:rPr>
          <w:rFonts w:ascii="Arial" w:hAnsi="Arial" w:cs="Arial"/>
          <w:noProof/>
          <w:szCs w:val="22"/>
        </w:rPr>
        <w:t>19</w:t>
      </w:r>
      <w:r w:rsidRPr="00CB093C">
        <w:rPr>
          <w:rFonts w:ascii="Arial" w:hAnsi="Arial" w:cs="Arial"/>
          <w:noProof/>
          <w:szCs w:val="22"/>
        </w:rPr>
        <w:fldChar w:fldCharType="end"/>
      </w:r>
      <w:bookmarkEnd w:id="188"/>
      <w:r w:rsidRPr="00CB093C">
        <w:rPr>
          <w:rFonts w:ascii="Arial" w:hAnsi="Arial" w:cs="Arial"/>
          <w:szCs w:val="22"/>
        </w:rPr>
        <w:t xml:space="preserve">. </w:t>
      </w:r>
      <w:r w:rsidRPr="00CB093C">
        <w:rPr>
          <w:rFonts w:ascii="Arial" w:hAnsi="Arial" w:cs="Arial"/>
          <w:i/>
          <w:szCs w:val="22"/>
        </w:rPr>
        <w:t xml:space="preserve">Average relative spatial extent of seagrass distribution at monitoring sites across inshore </w:t>
      </w:r>
      <w:r w:rsidR="003158FC" w:rsidRPr="00CB093C">
        <w:rPr>
          <w:rFonts w:ascii="Arial" w:hAnsi="Arial" w:cs="Arial"/>
          <w:i/>
          <w:szCs w:val="22"/>
        </w:rPr>
        <w:t>Reef</w:t>
      </w:r>
      <w:bookmarkEnd w:id="189"/>
    </w:p>
    <w:p w14:paraId="7F554D6D" w14:textId="77777777" w:rsidR="00D55485" w:rsidRPr="00CB093C" w:rsidRDefault="00D55485" w:rsidP="00D55485">
      <w:pPr>
        <w:pStyle w:val="Caption"/>
        <w:rPr>
          <w:rFonts w:ascii="Arial" w:hAnsi="Arial" w:cs="Arial"/>
          <w:i/>
          <w:szCs w:val="22"/>
        </w:rPr>
      </w:pPr>
      <w:r w:rsidRPr="00CB093C">
        <w:rPr>
          <w:rFonts w:ascii="Arial" w:hAnsi="Arial" w:cs="Arial"/>
          <w:i/>
          <w:szCs w:val="22"/>
        </w:rPr>
        <w:t xml:space="preserve"> (locations, habitats and NRM pooled).</w:t>
      </w:r>
    </w:p>
    <w:p w14:paraId="2A3B534A" w14:textId="77777777" w:rsidR="00D55485" w:rsidRPr="00CB093C" w:rsidRDefault="00D55485" w:rsidP="00D55485">
      <w:pPr>
        <w:rPr>
          <w:rFonts w:ascii="Arial" w:hAnsi="Arial" w:cs="Arial"/>
          <w:szCs w:val="22"/>
          <w:lang w:val="en-GB"/>
        </w:rPr>
      </w:pPr>
    </w:p>
    <w:p w14:paraId="690856DB" w14:textId="072F1569" w:rsidR="00FE10CD" w:rsidRPr="00CB093C" w:rsidRDefault="00FE10CD" w:rsidP="0089405C">
      <w:pPr>
        <w:spacing w:after="0"/>
        <w:rPr>
          <w:rFonts w:ascii="Arial" w:hAnsi="Arial" w:cs="Arial"/>
          <w:szCs w:val="22"/>
          <w:lang w:val="en-GB"/>
        </w:rPr>
      </w:pPr>
      <w:r w:rsidRPr="00CB093C">
        <w:rPr>
          <w:rFonts w:ascii="Arial" w:hAnsi="Arial" w:cs="Arial"/>
          <w:color w:val="000000" w:themeColor="text1"/>
          <w:szCs w:val="22"/>
        </w:rPr>
        <w:t>After the extreme weather events in 2009 to 2011 that caused widespread declines in seagrass area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_Ref534197389 \h </w:instrText>
      </w:r>
      <w:r w:rsidR="00CB093C" w:rsidRPr="00CB093C">
        <w:rPr>
          <w:rFonts w:ascii="Arial" w:hAnsi="Arial" w:cs="Arial"/>
          <w:color w:val="000000" w:themeColor="text1"/>
          <w:szCs w:val="22"/>
        </w:rPr>
        <w:instrText xml:space="preserve">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19</w:t>
      </w:r>
      <w:r w:rsidRPr="00CB093C">
        <w:rPr>
          <w:rFonts w:ascii="Arial" w:hAnsi="Arial" w:cs="Arial"/>
          <w:color w:val="000000" w:themeColor="text1"/>
          <w:szCs w:val="22"/>
        </w:rPr>
        <w:fldChar w:fldCharType="end"/>
      </w:r>
      <w:r w:rsidRPr="00CB093C">
        <w:rPr>
          <w:rFonts w:ascii="Arial" w:hAnsi="Arial" w:cs="Arial"/>
          <w:color w:val="000000" w:themeColor="text1"/>
          <w:szCs w:val="22"/>
        </w:rPr>
        <w:t>) and abundance, there was increasing proliferation of species displaying colonising traits</w:t>
      </w:r>
      <w:r w:rsidR="00C153A9" w:rsidRPr="00CB093C">
        <w:rPr>
          <w:rFonts w:ascii="Arial" w:hAnsi="Arial" w:cs="Arial"/>
          <w:color w:val="000000" w:themeColor="text1"/>
          <w:szCs w:val="22"/>
        </w:rPr>
        <w:t>,</w:t>
      </w:r>
      <w:r w:rsidRPr="00CB093C">
        <w:rPr>
          <w:rFonts w:ascii="Arial" w:hAnsi="Arial" w:cs="Arial"/>
          <w:color w:val="000000" w:themeColor="text1"/>
          <w:szCs w:val="22"/>
        </w:rPr>
        <w:t xml:space="preserve"> such as </w:t>
      </w:r>
      <w:r w:rsidRPr="00CB093C">
        <w:rPr>
          <w:rFonts w:ascii="Arial" w:hAnsi="Arial" w:cs="Arial"/>
          <w:i/>
          <w:color w:val="000000" w:themeColor="text1"/>
          <w:szCs w:val="22"/>
        </w:rPr>
        <w:t>Halophila ovalis</w:t>
      </w:r>
      <w:r w:rsidR="00C153A9" w:rsidRPr="00CB093C">
        <w:rPr>
          <w:rFonts w:ascii="Arial" w:hAnsi="Arial" w:cs="Arial"/>
          <w:i/>
          <w:color w:val="000000" w:themeColor="text1"/>
          <w:szCs w:val="22"/>
        </w:rPr>
        <w:t>,</w:t>
      </w:r>
      <w:r w:rsidRPr="00CB093C">
        <w:rPr>
          <w:rFonts w:ascii="Arial" w:hAnsi="Arial" w:cs="Arial"/>
          <w:i/>
          <w:color w:val="000000" w:themeColor="text1"/>
          <w:szCs w:val="22"/>
        </w:rPr>
        <w:t xml:space="preserve"> </w:t>
      </w:r>
      <w:r w:rsidRPr="00CB093C">
        <w:rPr>
          <w:rFonts w:ascii="Arial" w:hAnsi="Arial" w:cs="Arial"/>
          <w:color w:val="000000" w:themeColor="text1"/>
          <w:szCs w:val="22"/>
        </w:rPr>
        <w:t>at coast and reef sites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_Ref442456558 \h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20</w:t>
      </w:r>
      <w:r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w:t>
      </w:r>
      <w:r w:rsidR="00F923C0" w:rsidRPr="00CB093C">
        <w:rPr>
          <w:rFonts w:ascii="Arial" w:hAnsi="Arial" w:cs="Arial"/>
          <w:color w:val="000000" w:themeColor="text1"/>
          <w:szCs w:val="22"/>
        </w:rPr>
        <w:t xml:space="preserve">Over </w:t>
      </w:r>
      <w:r w:rsidRPr="00CB093C">
        <w:rPr>
          <w:rFonts w:ascii="Arial" w:hAnsi="Arial" w:cs="Arial"/>
          <w:color w:val="000000" w:themeColor="text1"/>
          <w:szCs w:val="22"/>
        </w:rPr>
        <w:t xml:space="preserve">the </w:t>
      </w:r>
      <w:r w:rsidR="003654C6">
        <w:rPr>
          <w:rFonts w:ascii="Arial" w:hAnsi="Arial" w:cs="Arial"/>
          <w:color w:val="000000" w:themeColor="text1"/>
          <w:szCs w:val="22"/>
        </w:rPr>
        <w:t>2017–18</w:t>
      </w:r>
      <w:r w:rsidRPr="00CB093C">
        <w:rPr>
          <w:rFonts w:ascii="Arial" w:hAnsi="Arial" w:cs="Arial"/>
          <w:color w:val="000000" w:themeColor="text1"/>
          <w:szCs w:val="22"/>
        </w:rPr>
        <w:t xml:space="preserve"> monitoring period, the proportion of species displaying colonising traits remained around or lower than the </w:t>
      </w:r>
      <w:r w:rsidR="003158FC" w:rsidRPr="00CB093C">
        <w:rPr>
          <w:rFonts w:ascii="Arial" w:hAnsi="Arial" w:cs="Arial"/>
          <w:color w:val="000000" w:themeColor="text1"/>
          <w:szCs w:val="22"/>
        </w:rPr>
        <w:t>Reef</w:t>
      </w:r>
      <w:r w:rsidRPr="00CB093C">
        <w:rPr>
          <w:rFonts w:ascii="Arial" w:hAnsi="Arial" w:cs="Arial"/>
          <w:color w:val="000000" w:themeColor="text1"/>
          <w:szCs w:val="22"/>
        </w:rPr>
        <w:t xml:space="preserve">-wide average for each habitat type in coastal and estuarine habitats in favour of species displaying opportunistic or persistent traits (sensu </w:t>
      </w:r>
      <w:hyperlink w:anchor="_ENREF_75" w:tooltip="Kilminster, 2015 #10294"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Kilminster</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2015</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The displacement of colonising species is a natural part of the meadow progression expected during the recovery of seagrass meadows. </w:t>
      </w:r>
      <w:r w:rsidR="00286A15" w:rsidRPr="00CB093C">
        <w:rPr>
          <w:rFonts w:ascii="Arial" w:hAnsi="Arial" w:cs="Arial"/>
          <w:color w:val="000000" w:themeColor="text1"/>
          <w:szCs w:val="22"/>
        </w:rPr>
        <w:t xml:space="preserve">This is a positive sign of recovery for these habitats/meadows. </w:t>
      </w:r>
    </w:p>
    <w:p w14:paraId="0F1D73F0" w14:textId="77777777" w:rsidR="00B518CD" w:rsidRPr="00CB093C" w:rsidRDefault="004A3BBC" w:rsidP="0008242F">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7DD6C186" wp14:editId="46E87250">
            <wp:extent cx="5761945" cy="1267859"/>
            <wp:effectExtent l="0" t="0" r="0" b="8890"/>
            <wp:docPr id="238" name="Picture 238" descr="Panel of five graphs showing proportion of total seagrass abundance composed of species displaying colonising traits (e.g. Halophila ovalis) in each inshore seagrass habitat (sites pooled) for the GBR (regions pooled)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GBR_colonising_2016.png"/>
                    <pic:cNvPicPr/>
                  </pic:nvPicPr>
                  <pic:blipFill>
                    <a:blip r:embed="rId64">
                      <a:extLst>
                        <a:ext uri="{28A0092B-C50C-407E-A947-70E740481C1C}">
                          <a14:useLocalDpi xmlns:a14="http://schemas.microsoft.com/office/drawing/2010/main" val="0"/>
                        </a:ext>
                      </a:extLst>
                    </a:blip>
                    <a:stretch>
                      <a:fillRect/>
                    </a:stretch>
                  </pic:blipFill>
                  <pic:spPr>
                    <a:xfrm>
                      <a:off x="0" y="0"/>
                      <a:ext cx="5761945" cy="1267859"/>
                    </a:xfrm>
                    <a:prstGeom prst="rect">
                      <a:avLst/>
                    </a:prstGeom>
                  </pic:spPr>
                </pic:pic>
              </a:graphicData>
            </a:graphic>
          </wp:inline>
        </w:drawing>
      </w:r>
    </w:p>
    <w:p w14:paraId="4F8BAE9A" w14:textId="7CA04355" w:rsidR="000C5E7B" w:rsidRPr="00CB093C" w:rsidRDefault="00B518CD" w:rsidP="000C5E7B">
      <w:pPr>
        <w:rPr>
          <w:rFonts w:ascii="Arial" w:hAnsi="Arial" w:cs="Arial"/>
          <w:i/>
          <w:vanish/>
          <w:szCs w:val="22"/>
          <w:specVanish/>
        </w:rPr>
      </w:pPr>
      <w:bookmarkStart w:id="190" w:name="_Ref442456558"/>
      <w:bookmarkStart w:id="191" w:name="_Toc6402785"/>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20</w:t>
      </w:r>
      <w:r w:rsidR="0073595B" w:rsidRPr="00CB093C">
        <w:rPr>
          <w:rFonts w:ascii="Arial" w:hAnsi="Arial" w:cs="Arial"/>
          <w:szCs w:val="22"/>
        </w:rPr>
        <w:fldChar w:fldCharType="end"/>
      </w:r>
      <w:bookmarkEnd w:id="190"/>
      <w:r w:rsidRPr="00CB093C">
        <w:rPr>
          <w:rFonts w:ascii="Arial" w:hAnsi="Arial" w:cs="Arial"/>
          <w:szCs w:val="22"/>
        </w:rPr>
        <w:t xml:space="preserve">. </w:t>
      </w:r>
      <w:r w:rsidRPr="00CB093C">
        <w:rPr>
          <w:rFonts w:ascii="Arial" w:hAnsi="Arial" w:cs="Arial"/>
          <w:i/>
          <w:szCs w:val="22"/>
        </w:rPr>
        <w:t xml:space="preserve">Proportion of total seagrass abundance composed of </w:t>
      </w:r>
      <w:r w:rsidR="007D4D28" w:rsidRPr="00CB093C">
        <w:rPr>
          <w:rFonts w:ascii="Arial" w:hAnsi="Arial" w:cs="Arial"/>
          <w:i/>
          <w:szCs w:val="22"/>
        </w:rPr>
        <w:t>species displaying colonising traits</w:t>
      </w:r>
      <w:bookmarkEnd w:id="191"/>
    </w:p>
    <w:p w14:paraId="21B0B2F2" w14:textId="4F5920C5" w:rsidR="00B518CD" w:rsidRPr="00CB093C" w:rsidRDefault="007D4D28" w:rsidP="00E57745">
      <w:pPr>
        <w:rPr>
          <w:rFonts w:ascii="Arial" w:hAnsi="Arial" w:cs="Arial"/>
          <w:i/>
          <w:szCs w:val="22"/>
        </w:rPr>
      </w:pPr>
      <w:r w:rsidRPr="00CB093C">
        <w:rPr>
          <w:rFonts w:ascii="Arial" w:hAnsi="Arial" w:cs="Arial"/>
          <w:i/>
          <w:szCs w:val="22"/>
        </w:rPr>
        <w:t xml:space="preserve"> (e.g. </w:t>
      </w:r>
      <w:r w:rsidR="00B518CD" w:rsidRPr="00CB093C">
        <w:rPr>
          <w:rFonts w:ascii="Arial" w:hAnsi="Arial" w:cs="Arial"/>
          <w:szCs w:val="22"/>
        </w:rPr>
        <w:t>Halophila ovalis</w:t>
      </w:r>
      <w:r w:rsidR="00B518CD" w:rsidRPr="00CB093C">
        <w:rPr>
          <w:rFonts w:ascii="Arial" w:hAnsi="Arial" w:cs="Arial"/>
          <w:i/>
          <w:szCs w:val="22"/>
        </w:rPr>
        <w:t>) in</w:t>
      </w:r>
      <w:r w:rsidR="0008242F" w:rsidRPr="00CB093C">
        <w:rPr>
          <w:rFonts w:ascii="Arial" w:hAnsi="Arial" w:cs="Arial"/>
          <w:i/>
          <w:szCs w:val="22"/>
        </w:rPr>
        <w:t>:</w:t>
      </w:r>
      <w:r w:rsidR="00B518CD" w:rsidRPr="00CB093C">
        <w:rPr>
          <w:rFonts w:ascii="Arial" w:hAnsi="Arial" w:cs="Arial"/>
          <w:i/>
          <w:szCs w:val="22"/>
        </w:rPr>
        <w:t xml:space="preserve"> a) estuary intertidal, b) coastal intertidal, c) </w:t>
      </w:r>
      <w:r w:rsidR="000F7D14" w:rsidRPr="00CB093C">
        <w:rPr>
          <w:rFonts w:ascii="Arial" w:hAnsi="Arial" w:cs="Arial"/>
          <w:i/>
          <w:szCs w:val="22"/>
        </w:rPr>
        <w:t xml:space="preserve">coast subtidal, d) </w:t>
      </w:r>
      <w:r w:rsidR="00B518CD" w:rsidRPr="00CB093C">
        <w:rPr>
          <w:rFonts w:ascii="Arial" w:hAnsi="Arial" w:cs="Arial"/>
          <w:i/>
          <w:szCs w:val="22"/>
        </w:rPr>
        <w:t xml:space="preserve">reef intertidal and </w:t>
      </w:r>
      <w:r w:rsidR="000F7D14" w:rsidRPr="00CB093C">
        <w:rPr>
          <w:rFonts w:ascii="Arial" w:hAnsi="Arial" w:cs="Arial"/>
          <w:i/>
          <w:szCs w:val="22"/>
        </w:rPr>
        <w:t>e</w:t>
      </w:r>
      <w:r w:rsidR="00B518CD" w:rsidRPr="00CB093C">
        <w:rPr>
          <w:rFonts w:ascii="Arial" w:hAnsi="Arial" w:cs="Arial"/>
          <w:i/>
          <w:szCs w:val="22"/>
        </w:rPr>
        <w:t xml:space="preserve">) reef subtidal habitats (sites pooled) for the </w:t>
      </w:r>
      <w:r w:rsidR="003158FC" w:rsidRPr="00CB093C">
        <w:rPr>
          <w:rFonts w:ascii="Arial" w:hAnsi="Arial" w:cs="Arial"/>
          <w:i/>
          <w:szCs w:val="22"/>
        </w:rPr>
        <w:t>Reef</w:t>
      </w:r>
      <w:r w:rsidR="00B518CD" w:rsidRPr="00CB093C">
        <w:rPr>
          <w:rFonts w:ascii="Arial" w:hAnsi="Arial" w:cs="Arial"/>
          <w:i/>
          <w:szCs w:val="22"/>
        </w:rPr>
        <w:t xml:space="preserve"> (regions pooled) each monitoring period</w:t>
      </w:r>
      <w:r w:rsidR="00E57745" w:rsidRPr="00CB093C">
        <w:rPr>
          <w:rFonts w:ascii="Arial" w:hAnsi="Arial" w:cs="Arial"/>
          <w:i/>
          <w:szCs w:val="22"/>
        </w:rPr>
        <w:t>.</w:t>
      </w:r>
      <w:r w:rsidR="00B518CD" w:rsidRPr="00CB093C">
        <w:rPr>
          <w:rFonts w:ascii="Arial" w:hAnsi="Arial" w:cs="Arial"/>
          <w:i/>
          <w:szCs w:val="22"/>
        </w:rPr>
        <w:t xml:space="preserve"> Dashed line illustrates </w:t>
      </w:r>
      <w:r w:rsidR="003158FC" w:rsidRPr="00CB093C">
        <w:rPr>
          <w:rFonts w:ascii="Arial" w:hAnsi="Arial" w:cs="Arial"/>
          <w:i/>
          <w:szCs w:val="22"/>
        </w:rPr>
        <w:t>Reef</w:t>
      </w:r>
      <w:r w:rsidRPr="00CB093C">
        <w:rPr>
          <w:rFonts w:ascii="Arial" w:hAnsi="Arial" w:cs="Arial"/>
          <w:i/>
          <w:szCs w:val="22"/>
        </w:rPr>
        <w:t xml:space="preserve"> </w:t>
      </w:r>
      <w:r w:rsidR="00B518CD" w:rsidRPr="00CB093C">
        <w:rPr>
          <w:rFonts w:ascii="Arial" w:hAnsi="Arial" w:cs="Arial"/>
          <w:i/>
          <w:szCs w:val="22"/>
        </w:rPr>
        <w:t>average proportion of colonising species in each habitat type.</w:t>
      </w:r>
    </w:p>
    <w:p w14:paraId="7C8998A6" w14:textId="77777777" w:rsidR="00FA665D" w:rsidRPr="00CB093C" w:rsidRDefault="00FA665D" w:rsidP="00FA665D">
      <w:pPr>
        <w:rPr>
          <w:rFonts w:ascii="Arial" w:hAnsi="Arial" w:cs="Arial"/>
          <w:szCs w:val="22"/>
        </w:rPr>
      </w:pPr>
    </w:p>
    <w:p w14:paraId="45B224F2" w14:textId="11AB13FC" w:rsidR="00FA665D" w:rsidRPr="00CB093C" w:rsidRDefault="00FA665D" w:rsidP="00AD06D4">
      <w:pPr>
        <w:pStyle w:val="Heading3"/>
        <w:numPr>
          <w:ilvl w:val="2"/>
          <w:numId w:val="4"/>
        </w:numPr>
        <w:rPr>
          <w:rFonts w:ascii="Arial" w:hAnsi="Arial" w:cs="Arial"/>
          <w:sz w:val="22"/>
          <w:szCs w:val="22"/>
        </w:rPr>
      </w:pPr>
      <w:bookmarkStart w:id="192" w:name="_Toc11394720"/>
      <w:r w:rsidRPr="00CB093C">
        <w:rPr>
          <w:rFonts w:ascii="Arial" w:hAnsi="Arial" w:cs="Arial"/>
          <w:sz w:val="22"/>
          <w:szCs w:val="22"/>
        </w:rPr>
        <w:t xml:space="preserve">Seagrass </w:t>
      </w:r>
      <w:r w:rsidR="00706DAA" w:rsidRPr="00CB093C">
        <w:rPr>
          <w:rFonts w:ascii="Arial" w:hAnsi="Arial" w:cs="Arial"/>
          <w:sz w:val="22"/>
          <w:szCs w:val="22"/>
        </w:rPr>
        <w:t>reproductive status</w:t>
      </w:r>
      <w:bookmarkEnd w:id="192"/>
      <w:r w:rsidRPr="00CB093C">
        <w:rPr>
          <w:rFonts w:ascii="Arial" w:hAnsi="Arial" w:cs="Arial"/>
          <w:sz w:val="22"/>
          <w:szCs w:val="22"/>
        </w:rPr>
        <w:t xml:space="preserve"> </w:t>
      </w:r>
    </w:p>
    <w:p w14:paraId="6996277F" w14:textId="2BABB6BF" w:rsidR="00FB2F04" w:rsidRPr="00CB093C" w:rsidRDefault="00B644C8" w:rsidP="00C153A9">
      <w:pPr>
        <w:autoSpaceDE w:val="0"/>
        <w:autoSpaceDN w:val="0"/>
        <w:adjustRightInd w:val="0"/>
        <w:spacing w:after="0"/>
        <w:rPr>
          <w:rFonts w:ascii="Arial" w:hAnsi="Arial" w:cs="Arial"/>
          <w:szCs w:val="22"/>
        </w:rPr>
      </w:pPr>
      <w:r w:rsidRPr="00CB093C">
        <w:rPr>
          <w:rFonts w:ascii="Arial" w:hAnsi="Arial" w:cs="Arial"/>
          <w:szCs w:val="22"/>
        </w:rPr>
        <w:t>S</w:t>
      </w:r>
      <w:r w:rsidR="00B5775F" w:rsidRPr="00CB093C">
        <w:rPr>
          <w:rFonts w:ascii="Arial" w:hAnsi="Arial" w:cs="Arial"/>
          <w:szCs w:val="22"/>
        </w:rPr>
        <w:t xml:space="preserve">eagrass reproductive effort remained very </w:t>
      </w:r>
      <w:r w:rsidRPr="00CB093C">
        <w:rPr>
          <w:rFonts w:ascii="Arial" w:hAnsi="Arial" w:cs="Arial"/>
          <w:szCs w:val="22"/>
        </w:rPr>
        <w:t>low in reef intertidal and subtidal habitat</w:t>
      </w:r>
      <w:r w:rsidR="00542322" w:rsidRPr="00CB093C">
        <w:rPr>
          <w:rFonts w:ascii="Arial" w:hAnsi="Arial" w:cs="Arial"/>
          <w:szCs w:val="22"/>
        </w:rPr>
        <w:t>s</w:t>
      </w:r>
      <w:r w:rsidRPr="00CB093C">
        <w:rPr>
          <w:rFonts w:ascii="Arial" w:hAnsi="Arial" w:cs="Arial"/>
          <w:szCs w:val="22"/>
        </w:rPr>
        <w:t xml:space="preserve"> and in estuar</w:t>
      </w:r>
      <w:r w:rsidR="00542322" w:rsidRPr="00CB093C">
        <w:rPr>
          <w:rFonts w:ascii="Arial" w:hAnsi="Arial" w:cs="Arial"/>
          <w:szCs w:val="22"/>
        </w:rPr>
        <w:t>ine</w:t>
      </w:r>
      <w:r w:rsidRPr="00CB093C">
        <w:rPr>
          <w:rFonts w:ascii="Arial" w:hAnsi="Arial" w:cs="Arial"/>
          <w:szCs w:val="22"/>
        </w:rPr>
        <w:t xml:space="preserve"> habitat</w:t>
      </w:r>
      <w:r w:rsidR="00542322" w:rsidRPr="00CB093C">
        <w:rPr>
          <w:rFonts w:ascii="Arial" w:hAnsi="Arial" w:cs="Arial"/>
          <w:szCs w:val="22"/>
        </w:rPr>
        <w:t xml:space="preserve">s. By contrast, </w:t>
      </w:r>
      <w:r w:rsidRPr="00CB093C">
        <w:rPr>
          <w:rFonts w:ascii="Arial" w:hAnsi="Arial" w:cs="Arial"/>
          <w:szCs w:val="22"/>
        </w:rPr>
        <w:t xml:space="preserve">there </w:t>
      </w:r>
      <w:r w:rsidR="00542322" w:rsidRPr="00CB093C">
        <w:rPr>
          <w:rFonts w:ascii="Arial" w:hAnsi="Arial" w:cs="Arial"/>
          <w:szCs w:val="22"/>
        </w:rPr>
        <w:t>were</w:t>
      </w:r>
      <w:r w:rsidRPr="00CB093C">
        <w:rPr>
          <w:rFonts w:ascii="Arial" w:hAnsi="Arial" w:cs="Arial"/>
          <w:szCs w:val="22"/>
        </w:rPr>
        <w:t xml:space="preserve"> increases in </w:t>
      </w:r>
      <w:r w:rsidR="00542322" w:rsidRPr="00CB093C">
        <w:rPr>
          <w:rFonts w:ascii="Arial" w:hAnsi="Arial" w:cs="Arial"/>
          <w:szCs w:val="22"/>
        </w:rPr>
        <w:t xml:space="preserve">reproductive effort in </w:t>
      </w:r>
      <w:r w:rsidRPr="00CB093C">
        <w:rPr>
          <w:rFonts w:ascii="Arial" w:hAnsi="Arial" w:cs="Arial"/>
          <w:szCs w:val="22"/>
        </w:rPr>
        <w:t>coastal habitat</w:t>
      </w:r>
      <w:r w:rsidR="004161CD" w:rsidRPr="00CB093C">
        <w:rPr>
          <w:rFonts w:ascii="Arial" w:hAnsi="Arial" w:cs="Arial"/>
          <w:szCs w:val="22"/>
        </w:rPr>
        <w:t xml:space="preserve"> during the dry season, albeit with a high degree of variability depending on site</w:t>
      </w:r>
      <w:r w:rsidRPr="00CB093C">
        <w:rPr>
          <w:rFonts w:ascii="Arial" w:hAnsi="Arial" w:cs="Arial"/>
          <w:szCs w:val="22"/>
        </w:rPr>
        <w:t xml:space="preserve">. </w:t>
      </w:r>
      <w:r w:rsidR="00FB2F04" w:rsidRPr="00CB093C">
        <w:rPr>
          <w:rFonts w:ascii="Arial" w:hAnsi="Arial" w:cs="Arial"/>
          <w:szCs w:val="22"/>
        </w:rPr>
        <w:t xml:space="preserve">This </w:t>
      </w:r>
      <w:r w:rsidRPr="00CB093C">
        <w:rPr>
          <w:rFonts w:ascii="Arial" w:hAnsi="Arial" w:cs="Arial"/>
          <w:szCs w:val="22"/>
        </w:rPr>
        <w:t xml:space="preserve">resulted in the reproductive effort score remaining very poor in the </w:t>
      </w:r>
      <w:r w:rsidR="00BA45B7">
        <w:rPr>
          <w:rFonts w:ascii="Arial" w:hAnsi="Arial" w:cs="Arial"/>
          <w:szCs w:val="22"/>
        </w:rPr>
        <w:t>Reef</w:t>
      </w:r>
      <w:r w:rsidRPr="00CB093C">
        <w:rPr>
          <w:rFonts w:ascii="Arial" w:hAnsi="Arial" w:cs="Arial"/>
          <w:szCs w:val="22"/>
        </w:rPr>
        <w:t xml:space="preserve">. </w:t>
      </w:r>
    </w:p>
    <w:p w14:paraId="72FC847F" w14:textId="41AF1AFC" w:rsidR="00D1356E" w:rsidRPr="00CB093C" w:rsidRDefault="00D1356E" w:rsidP="00D1356E">
      <w:pPr>
        <w:autoSpaceDE w:val="0"/>
        <w:autoSpaceDN w:val="0"/>
        <w:adjustRightInd w:val="0"/>
        <w:rPr>
          <w:rFonts w:ascii="Arial" w:hAnsi="Arial" w:cs="Arial"/>
          <w:szCs w:val="22"/>
          <w:lang w:eastAsia="en-AU"/>
        </w:rPr>
      </w:pPr>
      <w:r w:rsidRPr="00CB093C">
        <w:rPr>
          <w:rFonts w:ascii="Arial" w:hAnsi="Arial" w:cs="Arial"/>
          <w:szCs w:val="22"/>
        </w:rPr>
        <w:t xml:space="preserve">Reproductive effort had gradually been increasing at estuary, coastal and reef subtidal habitats since 2011, however, this year it decreased </w:t>
      </w:r>
      <w:r w:rsidR="0048112B" w:rsidRPr="00CB093C">
        <w:rPr>
          <w:rFonts w:ascii="Arial" w:hAnsi="Arial" w:cs="Arial"/>
          <w:szCs w:val="22"/>
        </w:rPr>
        <w:t xml:space="preserve">significantly </w:t>
      </w:r>
      <w:r w:rsidR="00A975E8" w:rsidRPr="00CB093C">
        <w:rPr>
          <w:rFonts w:ascii="Arial" w:hAnsi="Arial" w:cs="Arial"/>
          <w:szCs w:val="22"/>
        </w:rPr>
        <w:t xml:space="preserve">in estuaries </w:t>
      </w:r>
      <w:r w:rsidR="0048112B" w:rsidRPr="00CB093C">
        <w:rPr>
          <w:rFonts w:ascii="Arial" w:hAnsi="Arial" w:cs="Arial"/>
          <w:szCs w:val="22"/>
        </w:rPr>
        <w:t xml:space="preserve">(based on </w:t>
      </w:r>
      <w:r w:rsidR="007A06E0" w:rsidRPr="00CB093C">
        <w:rPr>
          <w:rFonts w:ascii="Arial" w:hAnsi="Arial" w:cs="Arial"/>
          <w:szCs w:val="22"/>
        </w:rPr>
        <w:t xml:space="preserve">non-overlapping </w:t>
      </w:r>
      <w:r w:rsidR="0048112B" w:rsidRPr="00CB093C">
        <w:rPr>
          <w:rFonts w:ascii="Arial" w:hAnsi="Arial" w:cs="Arial"/>
          <w:szCs w:val="22"/>
        </w:rPr>
        <w:t>standard error</w:t>
      </w:r>
      <w:r w:rsidR="007A06E0" w:rsidRPr="00CB093C">
        <w:rPr>
          <w:rFonts w:ascii="Arial" w:hAnsi="Arial" w:cs="Arial"/>
          <w:szCs w:val="22"/>
        </w:rPr>
        <w:t xml:space="preserve"> bars</w:t>
      </w:r>
      <w:r w:rsidR="00A975E8" w:rsidRPr="00CB093C">
        <w:rPr>
          <w:rFonts w:ascii="Arial" w:hAnsi="Arial" w:cs="Arial"/>
          <w:szCs w:val="22"/>
        </w:rPr>
        <w:t xml:space="preserve"> in the dry season compared to the previous dry season</w:t>
      </w:r>
      <w:r w:rsidR="0048112B" w:rsidRPr="00CB093C">
        <w:rPr>
          <w:rFonts w:ascii="Arial" w:hAnsi="Arial" w:cs="Arial"/>
          <w:szCs w:val="22"/>
        </w:rPr>
        <w:t>)</w:t>
      </w:r>
      <w:r w:rsidR="00A975E8" w:rsidRPr="00CB093C">
        <w:rPr>
          <w:rFonts w:ascii="Arial" w:hAnsi="Arial" w:cs="Arial"/>
          <w:szCs w:val="22"/>
        </w:rPr>
        <w:t xml:space="preserve"> and remained low</w:t>
      </w:r>
      <w:r w:rsidR="0048112B" w:rsidRPr="00CB093C">
        <w:rPr>
          <w:rFonts w:ascii="Arial" w:hAnsi="Arial" w:cs="Arial"/>
          <w:szCs w:val="22"/>
        </w:rPr>
        <w:t xml:space="preserve"> </w:t>
      </w:r>
      <w:r w:rsidR="00A975E8" w:rsidRPr="00CB093C">
        <w:rPr>
          <w:rFonts w:ascii="Arial" w:hAnsi="Arial" w:cs="Arial"/>
          <w:szCs w:val="22"/>
        </w:rPr>
        <w:t xml:space="preserve">in </w:t>
      </w:r>
      <w:r w:rsidRPr="00CB093C">
        <w:rPr>
          <w:rFonts w:ascii="Arial" w:hAnsi="Arial" w:cs="Arial"/>
          <w:szCs w:val="22"/>
        </w:rPr>
        <w:t>subtidal reefs</w:t>
      </w:r>
      <w:r w:rsidR="00A975E8" w:rsidRPr="00CB093C">
        <w:rPr>
          <w:rFonts w:ascii="Arial" w:hAnsi="Arial" w:cs="Arial"/>
          <w:szCs w:val="22"/>
        </w:rPr>
        <w:t>. This occurred</w:t>
      </w:r>
      <w:r w:rsidRPr="00CB093C">
        <w:rPr>
          <w:rFonts w:ascii="Arial" w:hAnsi="Arial" w:cs="Arial"/>
          <w:szCs w:val="22"/>
          <w:lang w:eastAsia="en-AU"/>
        </w:rPr>
        <w:t xml:space="preserve"> </w:t>
      </w:r>
      <w:r w:rsidR="0048112B" w:rsidRPr="00CB093C">
        <w:rPr>
          <w:rFonts w:ascii="Arial" w:hAnsi="Arial" w:cs="Arial"/>
          <w:szCs w:val="22"/>
          <w:lang w:eastAsia="en-AU"/>
        </w:rPr>
        <w:t>in conjunction with</w:t>
      </w:r>
      <w:r w:rsidRPr="00CB093C">
        <w:rPr>
          <w:rFonts w:ascii="Arial" w:hAnsi="Arial" w:cs="Arial"/>
          <w:szCs w:val="22"/>
          <w:lang w:eastAsia="en-AU"/>
        </w:rPr>
        <w:t xml:space="preserve"> declining seagrass </w:t>
      </w:r>
      <w:r w:rsidR="00882B72" w:rsidRPr="00CB093C">
        <w:rPr>
          <w:rFonts w:ascii="Arial" w:hAnsi="Arial" w:cs="Arial"/>
          <w:szCs w:val="22"/>
          <w:lang w:eastAsia="en-AU"/>
        </w:rPr>
        <w:t>%</w:t>
      </w:r>
      <w:r w:rsidRPr="00CB093C">
        <w:rPr>
          <w:rFonts w:ascii="Arial" w:hAnsi="Arial" w:cs="Arial"/>
          <w:szCs w:val="22"/>
          <w:lang w:eastAsia="en-AU"/>
        </w:rPr>
        <w:t xml:space="preserve"> cover</w:t>
      </w:r>
      <w:r w:rsidR="00A975E8" w:rsidRPr="00CB093C">
        <w:rPr>
          <w:rFonts w:ascii="Arial" w:hAnsi="Arial" w:cs="Arial"/>
          <w:szCs w:val="22"/>
          <w:lang w:eastAsia="en-AU"/>
        </w:rPr>
        <w:t xml:space="preserve"> in estuarine and reef habitats</w:t>
      </w:r>
      <w:r w:rsidRPr="00CB093C">
        <w:rPr>
          <w:rFonts w:ascii="Arial" w:hAnsi="Arial" w:cs="Arial"/>
          <w:szCs w:val="22"/>
        </w:rPr>
        <w:t xml:space="preserve">. </w:t>
      </w:r>
      <w:r w:rsidR="004161CD" w:rsidRPr="00CB093C">
        <w:rPr>
          <w:rFonts w:ascii="Arial" w:hAnsi="Arial" w:cs="Arial"/>
          <w:szCs w:val="22"/>
          <w:lang w:eastAsia="en-AU"/>
        </w:rPr>
        <w:t xml:space="preserve">Reproductive effort at reef intertidal habitats declined in 2014 and has remained very low since. </w:t>
      </w:r>
      <w:r w:rsidRPr="00CB093C">
        <w:rPr>
          <w:rFonts w:ascii="Arial" w:hAnsi="Arial" w:cs="Arial"/>
          <w:szCs w:val="22"/>
        </w:rPr>
        <w:t>Contrarily, reproductive effort</w:t>
      </w:r>
      <w:r w:rsidRPr="00CB093C">
        <w:rPr>
          <w:rFonts w:ascii="Arial" w:hAnsi="Arial" w:cs="Arial"/>
          <w:szCs w:val="22"/>
          <w:lang w:eastAsia="en-AU"/>
        </w:rPr>
        <w:t xml:space="preserve"> in coastal habitats reached historically high levels in </w:t>
      </w:r>
      <w:r w:rsidR="003654C6">
        <w:rPr>
          <w:rFonts w:ascii="Arial" w:hAnsi="Arial" w:cs="Arial"/>
          <w:szCs w:val="22"/>
          <w:lang w:eastAsia="en-AU"/>
        </w:rPr>
        <w:t>2017–18</w:t>
      </w:r>
      <w:r w:rsidR="00C81636" w:rsidRPr="00CB093C">
        <w:rPr>
          <w:rFonts w:ascii="Arial" w:hAnsi="Arial" w:cs="Arial"/>
          <w:szCs w:val="22"/>
          <w:lang w:eastAsia="en-AU"/>
        </w:rPr>
        <w:t xml:space="preserve"> </w:t>
      </w:r>
      <w:r w:rsidRPr="00CB093C">
        <w:rPr>
          <w:rFonts w:ascii="Arial" w:hAnsi="Arial" w:cs="Arial"/>
          <w:szCs w:val="22"/>
          <w:lang w:eastAsia="en-AU"/>
        </w:rPr>
        <w:t xml:space="preserve">due to a record number of reproductive structures in the northern Wet Tropics, Burdekin and </w:t>
      </w:r>
      <w:r w:rsidR="00637325">
        <w:rPr>
          <w:rFonts w:ascii="Arial" w:hAnsi="Arial" w:cs="Arial"/>
          <w:szCs w:val="22"/>
          <w:lang w:eastAsia="en-AU"/>
        </w:rPr>
        <w:t>Mackay-Whitsunday</w:t>
      </w:r>
      <w:r w:rsidRPr="00CB093C">
        <w:rPr>
          <w:rFonts w:ascii="Arial" w:hAnsi="Arial" w:cs="Arial"/>
          <w:szCs w:val="22"/>
          <w:lang w:eastAsia="en-AU"/>
        </w:rPr>
        <w:t xml:space="preserve"> regions. Despite these decreases in reproductive effort, seed banks continued to increase at subtidal reef habitats in </w:t>
      </w:r>
      <w:r w:rsidR="003654C6">
        <w:rPr>
          <w:rFonts w:ascii="Arial" w:hAnsi="Arial" w:cs="Arial"/>
          <w:szCs w:val="22"/>
          <w:lang w:eastAsia="en-AU"/>
        </w:rPr>
        <w:t>2017–18</w:t>
      </w:r>
      <w:r w:rsidRPr="00CB093C">
        <w:rPr>
          <w:rFonts w:ascii="Arial" w:hAnsi="Arial" w:cs="Arial"/>
          <w:szCs w:val="22"/>
          <w:lang w:eastAsia="en-AU"/>
        </w:rPr>
        <w:t xml:space="preserve">, a legacy of higher reproductive effort in the previous year. Coastal seed banks have continued to increase and remain high, but at estuary and intertidal reef habitats remain small or near absent. </w:t>
      </w:r>
    </w:p>
    <w:p w14:paraId="3B85A93B" w14:textId="7BD190F1" w:rsidR="0074053C" w:rsidRPr="00CB093C" w:rsidRDefault="0074053C" w:rsidP="00C153A9">
      <w:pPr>
        <w:autoSpaceDE w:val="0"/>
        <w:autoSpaceDN w:val="0"/>
        <w:adjustRightInd w:val="0"/>
        <w:spacing w:after="0"/>
        <w:rPr>
          <w:rFonts w:ascii="Arial" w:hAnsi="Arial" w:cs="Arial"/>
          <w:szCs w:val="22"/>
        </w:rPr>
      </w:pPr>
      <w:r w:rsidRPr="00CB093C">
        <w:rPr>
          <w:rFonts w:ascii="Arial" w:hAnsi="Arial" w:cs="Arial"/>
          <w:szCs w:val="22"/>
          <w:lang w:eastAsia="en-AU"/>
        </w:rPr>
        <w:t xml:space="preserve">Since the implementation of the MMP, </w:t>
      </w:r>
      <w:r w:rsidR="0048112B" w:rsidRPr="00CB093C">
        <w:rPr>
          <w:rFonts w:ascii="Arial" w:hAnsi="Arial" w:cs="Arial"/>
          <w:szCs w:val="22"/>
          <w:lang w:eastAsia="en-AU"/>
        </w:rPr>
        <w:t xml:space="preserve">the maximum reproductive effort and the inter-annual variability in </w:t>
      </w:r>
      <w:r w:rsidRPr="00CB093C">
        <w:rPr>
          <w:rFonts w:ascii="Arial" w:hAnsi="Arial" w:cs="Arial"/>
          <w:szCs w:val="22"/>
          <w:lang w:eastAsia="en-AU"/>
        </w:rPr>
        <w:t xml:space="preserve">reproductive effort has </w:t>
      </w:r>
      <w:r w:rsidR="007A70FE" w:rsidRPr="00CB093C">
        <w:rPr>
          <w:rFonts w:ascii="Arial" w:hAnsi="Arial" w:cs="Arial"/>
          <w:szCs w:val="22"/>
          <w:lang w:eastAsia="en-AU"/>
        </w:rPr>
        <w:t>d</w:t>
      </w:r>
      <w:r w:rsidR="00CE334D" w:rsidRPr="00CB093C">
        <w:rPr>
          <w:rFonts w:ascii="Arial" w:hAnsi="Arial" w:cs="Arial"/>
          <w:szCs w:val="22"/>
          <w:lang w:eastAsia="en-AU"/>
        </w:rPr>
        <w:t>if</w:t>
      </w:r>
      <w:r w:rsidR="007A70FE" w:rsidRPr="00CB093C">
        <w:rPr>
          <w:rFonts w:ascii="Arial" w:hAnsi="Arial" w:cs="Arial"/>
          <w:szCs w:val="22"/>
          <w:lang w:eastAsia="en-AU"/>
        </w:rPr>
        <w:t>fered</w:t>
      </w:r>
      <w:r w:rsidRPr="00CB093C">
        <w:rPr>
          <w:rFonts w:ascii="Arial" w:hAnsi="Arial" w:cs="Arial"/>
          <w:szCs w:val="22"/>
          <w:lang w:eastAsia="en-AU"/>
        </w:rPr>
        <w:t xml:space="preserve"> between habitats</w:t>
      </w:r>
      <w:r w:rsidR="00395F44" w:rsidRPr="00CB093C">
        <w:rPr>
          <w:rFonts w:ascii="Arial" w:hAnsi="Arial" w:cs="Arial"/>
          <w:szCs w:val="22"/>
          <w:lang w:eastAsia="en-AU"/>
        </w:rPr>
        <w:t>,</w:t>
      </w:r>
      <w:r w:rsidRPr="00CB093C">
        <w:rPr>
          <w:rFonts w:ascii="Arial" w:hAnsi="Arial" w:cs="Arial"/>
          <w:szCs w:val="22"/>
          <w:lang w:eastAsia="en-AU"/>
        </w:rPr>
        <w:t xml:space="preserve"> and varied within and between years. </w:t>
      </w:r>
      <w:r w:rsidR="006C56B5" w:rsidRPr="00CB093C">
        <w:rPr>
          <w:rFonts w:ascii="Arial" w:hAnsi="Arial" w:cs="Arial"/>
          <w:szCs w:val="22"/>
          <w:lang w:eastAsia="en-AU"/>
        </w:rPr>
        <w:t>Reef habitats, both intertidal and subtidal reef sites, ha</w:t>
      </w:r>
      <w:r w:rsidRPr="00CB093C">
        <w:rPr>
          <w:rFonts w:ascii="Arial" w:hAnsi="Arial" w:cs="Arial"/>
          <w:szCs w:val="22"/>
          <w:lang w:eastAsia="en-AU"/>
        </w:rPr>
        <w:t>d</w:t>
      </w:r>
      <w:r w:rsidR="006C56B5" w:rsidRPr="00CB093C">
        <w:rPr>
          <w:rFonts w:ascii="Arial" w:hAnsi="Arial" w:cs="Arial"/>
          <w:szCs w:val="22"/>
          <w:lang w:eastAsia="en-AU"/>
        </w:rPr>
        <w:t xml:space="preserve"> the lowest reproductive effort and </w:t>
      </w:r>
      <w:r w:rsidR="00C153A9" w:rsidRPr="00CB093C">
        <w:rPr>
          <w:rFonts w:ascii="Arial" w:hAnsi="Arial" w:cs="Arial"/>
          <w:szCs w:val="22"/>
          <w:lang w:eastAsia="en-AU"/>
        </w:rPr>
        <w:t xml:space="preserve">smallest </w:t>
      </w:r>
      <w:r w:rsidR="006C56B5" w:rsidRPr="00CB093C">
        <w:rPr>
          <w:rFonts w:ascii="Arial" w:hAnsi="Arial" w:cs="Arial"/>
          <w:szCs w:val="22"/>
          <w:lang w:eastAsia="en-AU"/>
        </w:rPr>
        <w:t>seed banks</w:t>
      </w:r>
      <w:r w:rsidRPr="00CB093C">
        <w:rPr>
          <w:rFonts w:ascii="Arial" w:hAnsi="Arial" w:cs="Arial"/>
          <w:szCs w:val="22"/>
          <w:lang w:eastAsia="en-AU"/>
        </w:rPr>
        <w:t xml:space="preserve"> of all habitats</w:t>
      </w:r>
      <w:r w:rsidR="00904051" w:rsidRPr="00CB093C">
        <w:rPr>
          <w:rFonts w:ascii="Arial" w:hAnsi="Arial" w:cs="Arial"/>
          <w:szCs w:val="22"/>
          <w:lang w:eastAsia="en-AU"/>
        </w:rPr>
        <w:t xml:space="preserve"> </w:t>
      </w:r>
      <w:r w:rsidR="006C56B5" w:rsidRPr="00CB093C">
        <w:rPr>
          <w:rFonts w:ascii="Arial" w:hAnsi="Arial" w:cs="Arial"/>
          <w:szCs w:val="22"/>
        </w:rPr>
        <w:t>(</w:t>
      </w:r>
      <w:r w:rsidR="006C56B5" w:rsidRPr="00CB093C">
        <w:rPr>
          <w:rFonts w:ascii="Arial" w:hAnsi="Arial" w:cs="Arial"/>
          <w:szCs w:val="22"/>
        </w:rPr>
        <w:fldChar w:fldCharType="begin"/>
      </w:r>
      <w:r w:rsidR="006C56B5" w:rsidRPr="00CB093C">
        <w:rPr>
          <w:rFonts w:ascii="Arial" w:hAnsi="Arial" w:cs="Arial"/>
          <w:szCs w:val="22"/>
        </w:rPr>
        <w:instrText xml:space="preserve"> REF _Ref442528478 \h </w:instrText>
      </w:r>
      <w:r w:rsidR="00580DDA" w:rsidRPr="00CB093C">
        <w:rPr>
          <w:rFonts w:ascii="Arial" w:hAnsi="Arial" w:cs="Arial"/>
          <w:szCs w:val="22"/>
        </w:rPr>
        <w:instrText xml:space="preserve"> \* MERGEFORMAT </w:instrText>
      </w:r>
      <w:r w:rsidR="006C56B5" w:rsidRPr="00CB093C">
        <w:rPr>
          <w:rFonts w:ascii="Arial" w:hAnsi="Arial" w:cs="Arial"/>
          <w:szCs w:val="22"/>
        </w:rPr>
      </w:r>
      <w:r w:rsidR="006C56B5" w:rsidRPr="00CB093C">
        <w:rPr>
          <w:rFonts w:ascii="Arial" w:hAnsi="Arial" w:cs="Arial"/>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21</w:t>
      </w:r>
      <w:r w:rsidR="006C56B5" w:rsidRPr="00CB093C">
        <w:rPr>
          <w:rFonts w:ascii="Arial" w:hAnsi="Arial" w:cs="Arial"/>
          <w:szCs w:val="22"/>
        </w:rPr>
        <w:fldChar w:fldCharType="end"/>
      </w:r>
      <w:r w:rsidRPr="00CB093C">
        <w:rPr>
          <w:rFonts w:ascii="Arial" w:hAnsi="Arial" w:cs="Arial"/>
          <w:szCs w:val="22"/>
        </w:rPr>
        <w:t xml:space="preserve">, </w:t>
      </w:r>
      <w:r w:rsidRPr="00CB093C">
        <w:rPr>
          <w:rFonts w:ascii="Arial" w:hAnsi="Arial" w:cs="Arial"/>
          <w:szCs w:val="22"/>
        </w:rPr>
        <w:fldChar w:fldCharType="begin"/>
      </w:r>
      <w:r w:rsidRPr="00CB093C">
        <w:rPr>
          <w:rFonts w:ascii="Arial" w:hAnsi="Arial" w:cs="Arial"/>
          <w:szCs w:val="22"/>
        </w:rPr>
        <w:instrText xml:space="preserve"> REF _Ref442528770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22</w:t>
      </w:r>
      <w:r w:rsidRPr="00CB093C">
        <w:rPr>
          <w:rFonts w:ascii="Arial" w:hAnsi="Arial" w:cs="Arial"/>
          <w:szCs w:val="22"/>
        </w:rPr>
        <w:fldChar w:fldCharType="end"/>
      </w:r>
      <w:r w:rsidR="006C56B5" w:rsidRPr="00CB093C">
        <w:rPr>
          <w:rFonts w:ascii="Arial" w:hAnsi="Arial" w:cs="Arial"/>
          <w:szCs w:val="22"/>
        </w:rPr>
        <w:t>)</w:t>
      </w:r>
      <w:r w:rsidR="00A21F7A" w:rsidRPr="00CB093C">
        <w:rPr>
          <w:rFonts w:ascii="Arial" w:hAnsi="Arial" w:cs="Arial"/>
          <w:szCs w:val="22"/>
        </w:rPr>
        <w:t xml:space="preserve">. </w:t>
      </w:r>
    </w:p>
    <w:p w14:paraId="4B3FF631" w14:textId="3B553ED9" w:rsidR="0074053C" w:rsidRPr="00CB093C" w:rsidRDefault="00D53606" w:rsidP="00C153A9">
      <w:pPr>
        <w:autoSpaceDE w:val="0"/>
        <w:autoSpaceDN w:val="0"/>
        <w:adjustRightInd w:val="0"/>
        <w:spacing w:after="0"/>
        <w:rPr>
          <w:rFonts w:ascii="Arial" w:hAnsi="Arial" w:cs="Arial"/>
          <w:szCs w:val="22"/>
          <w:lang w:eastAsia="en-AU"/>
        </w:rPr>
      </w:pPr>
      <w:r w:rsidRPr="00CB093C">
        <w:rPr>
          <w:rFonts w:ascii="Arial" w:hAnsi="Arial" w:cs="Arial"/>
          <w:szCs w:val="22"/>
        </w:rPr>
        <w:lastRenderedPageBreak/>
        <w:t xml:space="preserve">Reproductive effort </w:t>
      </w:r>
      <w:r w:rsidR="00A21F7A" w:rsidRPr="00CB093C">
        <w:rPr>
          <w:rFonts w:ascii="Arial" w:hAnsi="Arial" w:cs="Arial"/>
          <w:szCs w:val="22"/>
        </w:rPr>
        <w:t>has been historically</w:t>
      </w:r>
      <w:r w:rsidR="00B518CD" w:rsidRPr="00CB093C">
        <w:rPr>
          <w:rFonts w:ascii="Arial" w:hAnsi="Arial" w:cs="Arial"/>
          <w:szCs w:val="22"/>
        </w:rPr>
        <w:t xml:space="preserve"> </w:t>
      </w:r>
      <w:r w:rsidR="00B518CD" w:rsidRPr="00CB093C">
        <w:rPr>
          <w:rFonts w:ascii="Arial" w:hAnsi="Arial" w:cs="Arial"/>
          <w:szCs w:val="22"/>
          <w:lang w:eastAsia="en-AU"/>
        </w:rPr>
        <w:t xml:space="preserve">higher in estuary </w:t>
      </w:r>
      <w:r w:rsidR="00A30C31" w:rsidRPr="00CB093C">
        <w:rPr>
          <w:rFonts w:ascii="Arial" w:hAnsi="Arial" w:cs="Arial"/>
          <w:szCs w:val="22"/>
          <w:lang w:eastAsia="en-AU"/>
        </w:rPr>
        <w:t xml:space="preserve">and </w:t>
      </w:r>
      <w:r w:rsidR="008969F5" w:rsidRPr="00CB093C">
        <w:rPr>
          <w:rFonts w:ascii="Arial" w:hAnsi="Arial" w:cs="Arial"/>
          <w:szCs w:val="22"/>
          <w:lang w:eastAsia="en-AU"/>
        </w:rPr>
        <w:t xml:space="preserve">coastal </w:t>
      </w:r>
      <w:r w:rsidR="00A21F7A" w:rsidRPr="00CB093C">
        <w:rPr>
          <w:rFonts w:ascii="Arial" w:hAnsi="Arial" w:cs="Arial"/>
          <w:szCs w:val="22"/>
          <w:lang w:eastAsia="en-AU"/>
        </w:rPr>
        <w:t xml:space="preserve">habitats </w:t>
      </w:r>
      <w:r w:rsidR="008969F5" w:rsidRPr="00CB093C">
        <w:rPr>
          <w:rFonts w:ascii="Arial" w:hAnsi="Arial" w:cs="Arial"/>
          <w:szCs w:val="22"/>
          <w:lang w:eastAsia="en-AU"/>
        </w:rPr>
        <w:t>but gradually</w:t>
      </w:r>
      <w:r w:rsidR="00B518CD" w:rsidRPr="00CB093C">
        <w:rPr>
          <w:rFonts w:ascii="Arial" w:hAnsi="Arial" w:cs="Arial"/>
          <w:szCs w:val="22"/>
          <w:lang w:eastAsia="en-AU"/>
        </w:rPr>
        <w:t xml:space="preserve"> </w:t>
      </w:r>
      <w:r w:rsidR="0074053C" w:rsidRPr="00CB093C">
        <w:rPr>
          <w:rFonts w:ascii="Arial" w:hAnsi="Arial" w:cs="Arial"/>
          <w:szCs w:val="22"/>
          <w:lang w:eastAsia="en-AU"/>
        </w:rPr>
        <w:t xml:space="preserve">decreased from 2006 to 2011 (in concert with decreasing seagrass </w:t>
      </w:r>
      <w:r w:rsidR="00672A63" w:rsidRPr="00CB093C">
        <w:rPr>
          <w:rFonts w:ascii="Arial" w:hAnsi="Arial" w:cs="Arial"/>
          <w:szCs w:val="22"/>
          <w:lang w:eastAsia="en-AU"/>
        </w:rPr>
        <w:t>cover</w:t>
      </w:r>
      <w:r w:rsidR="0074053C" w:rsidRPr="00CB093C">
        <w:rPr>
          <w:rFonts w:ascii="Arial" w:hAnsi="Arial" w:cs="Arial"/>
          <w:szCs w:val="22"/>
          <w:lang w:eastAsia="en-AU"/>
        </w:rPr>
        <w:t>) and has been increasing</w:t>
      </w:r>
      <w:r w:rsidR="00672A63" w:rsidRPr="00CB093C">
        <w:rPr>
          <w:rFonts w:ascii="Arial" w:hAnsi="Arial" w:cs="Arial"/>
          <w:szCs w:val="22"/>
          <w:lang w:eastAsia="en-AU"/>
        </w:rPr>
        <w:t xml:space="preserve"> since</w:t>
      </w:r>
      <w:r w:rsidR="0074053C" w:rsidRPr="00CB093C">
        <w:rPr>
          <w:rFonts w:ascii="Arial" w:hAnsi="Arial" w:cs="Arial"/>
          <w:szCs w:val="22"/>
          <w:lang w:eastAsia="en-AU"/>
        </w:rPr>
        <w:t xml:space="preserve">. </w:t>
      </w:r>
      <w:r w:rsidR="00672A63" w:rsidRPr="00CB093C">
        <w:rPr>
          <w:rFonts w:ascii="Arial" w:hAnsi="Arial" w:cs="Arial"/>
          <w:szCs w:val="22"/>
          <w:lang w:eastAsia="en-AU"/>
        </w:rPr>
        <w:t xml:space="preserve">This increase continued in </w:t>
      </w:r>
      <w:r w:rsidR="003654C6">
        <w:rPr>
          <w:rFonts w:ascii="Arial" w:hAnsi="Arial" w:cs="Arial"/>
          <w:szCs w:val="22"/>
          <w:lang w:eastAsia="en-AU"/>
        </w:rPr>
        <w:t>2017–18</w:t>
      </w:r>
      <w:r w:rsidR="00672A63" w:rsidRPr="00CB093C">
        <w:rPr>
          <w:rFonts w:ascii="Arial" w:hAnsi="Arial" w:cs="Arial"/>
          <w:szCs w:val="22"/>
          <w:lang w:eastAsia="en-AU"/>
        </w:rPr>
        <w:t xml:space="preserve"> at coastal habitats</w:t>
      </w:r>
      <w:r w:rsidR="0074053C" w:rsidRPr="00CB093C">
        <w:rPr>
          <w:rFonts w:ascii="Arial" w:hAnsi="Arial" w:cs="Arial"/>
          <w:szCs w:val="22"/>
          <w:lang w:eastAsia="en-AU"/>
        </w:rPr>
        <w:t xml:space="preserve">, </w:t>
      </w:r>
      <w:r w:rsidR="00672A63" w:rsidRPr="00CB093C">
        <w:rPr>
          <w:rFonts w:ascii="Arial" w:hAnsi="Arial" w:cs="Arial"/>
          <w:szCs w:val="22"/>
          <w:lang w:eastAsia="en-AU"/>
        </w:rPr>
        <w:t xml:space="preserve">however, </w:t>
      </w:r>
      <w:r w:rsidR="0074053C" w:rsidRPr="00CB093C">
        <w:rPr>
          <w:rFonts w:ascii="Arial" w:hAnsi="Arial" w:cs="Arial"/>
          <w:szCs w:val="22"/>
          <w:lang w:eastAsia="en-AU"/>
        </w:rPr>
        <w:t>reproductive effort decreased significantly in</w:t>
      </w:r>
      <w:r w:rsidR="00672A63" w:rsidRPr="00CB093C">
        <w:rPr>
          <w:rFonts w:ascii="Arial" w:hAnsi="Arial" w:cs="Arial"/>
          <w:szCs w:val="22"/>
          <w:lang w:eastAsia="en-AU"/>
        </w:rPr>
        <w:t xml:space="preserve"> estuaries</w:t>
      </w:r>
      <w:r w:rsidR="008969F5" w:rsidRPr="00CB093C">
        <w:rPr>
          <w:rFonts w:ascii="Arial" w:hAnsi="Arial" w:cs="Arial"/>
          <w:szCs w:val="22"/>
          <w:lang w:eastAsia="en-AU"/>
        </w:rPr>
        <w:t xml:space="preserve">. The </w:t>
      </w:r>
      <w:r w:rsidR="00395F44" w:rsidRPr="00CB093C">
        <w:rPr>
          <w:rFonts w:ascii="Arial" w:hAnsi="Arial" w:cs="Arial"/>
          <w:szCs w:val="22"/>
          <w:lang w:eastAsia="en-AU"/>
        </w:rPr>
        <w:t xml:space="preserve">historically high reproductive effort </w:t>
      </w:r>
      <w:r w:rsidR="008969F5" w:rsidRPr="00CB093C">
        <w:rPr>
          <w:rFonts w:ascii="Arial" w:hAnsi="Arial" w:cs="Arial"/>
          <w:szCs w:val="22"/>
          <w:lang w:eastAsia="en-AU"/>
        </w:rPr>
        <w:t xml:space="preserve">in coastal habitats is due to </w:t>
      </w:r>
      <w:r w:rsidR="00395F44" w:rsidRPr="00CB093C">
        <w:rPr>
          <w:rFonts w:ascii="Arial" w:hAnsi="Arial" w:cs="Arial"/>
          <w:szCs w:val="22"/>
          <w:lang w:eastAsia="en-AU"/>
        </w:rPr>
        <w:t xml:space="preserve">a record number of reproductive structures in the northern Wet Tropics (Yule Point), Burdekin (Bushland Beach and Jerona) and </w:t>
      </w:r>
      <w:r w:rsidR="00637325">
        <w:rPr>
          <w:rFonts w:ascii="Arial" w:hAnsi="Arial" w:cs="Arial"/>
          <w:szCs w:val="22"/>
          <w:lang w:eastAsia="en-AU"/>
        </w:rPr>
        <w:t>Mackay-Whitsunday</w:t>
      </w:r>
      <w:r w:rsidR="00672A63" w:rsidRPr="00CB093C">
        <w:rPr>
          <w:rFonts w:ascii="Arial" w:hAnsi="Arial" w:cs="Arial"/>
          <w:szCs w:val="22"/>
          <w:lang w:eastAsia="en-AU"/>
        </w:rPr>
        <w:t xml:space="preserve"> </w:t>
      </w:r>
      <w:r w:rsidR="00395F44" w:rsidRPr="00CB093C">
        <w:rPr>
          <w:rFonts w:ascii="Arial" w:hAnsi="Arial" w:cs="Arial"/>
          <w:szCs w:val="22"/>
          <w:lang w:eastAsia="en-AU"/>
        </w:rPr>
        <w:t xml:space="preserve">(Midge Point). The decline in estuary habitats </w:t>
      </w:r>
      <w:r w:rsidR="00672A63" w:rsidRPr="00CB093C">
        <w:rPr>
          <w:rFonts w:ascii="Arial" w:hAnsi="Arial" w:cs="Arial"/>
          <w:szCs w:val="22"/>
          <w:lang w:eastAsia="en-AU"/>
        </w:rPr>
        <w:t>was most</w:t>
      </w:r>
      <w:r w:rsidR="00395F44" w:rsidRPr="00CB093C">
        <w:rPr>
          <w:rFonts w:ascii="Arial" w:hAnsi="Arial" w:cs="Arial"/>
          <w:szCs w:val="22"/>
          <w:lang w:eastAsia="en-AU"/>
        </w:rPr>
        <w:t xml:space="preserve"> likely due to the </w:t>
      </w:r>
      <w:r w:rsidR="00672A63" w:rsidRPr="00CB093C">
        <w:rPr>
          <w:rFonts w:ascii="Arial" w:hAnsi="Arial" w:cs="Arial"/>
          <w:szCs w:val="22"/>
          <w:lang w:eastAsia="en-AU"/>
        </w:rPr>
        <w:t xml:space="preserve">declines in seagrass </w:t>
      </w:r>
      <w:r w:rsidR="00882B72" w:rsidRPr="00CB093C">
        <w:rPr>
          <w:rFonts w:ascii="Arial" w:hAnsi="Arial" w:cs="Arial"/>
          <w:szCs w:val="22"/>
          <w:lang w:eastAsia="en-AU"/>
        </w:rPr>
        <w:t>%</w:t>
      </w:r>
      <w:r w:rsidR="00672A63" w:rsidRPr="00CB093C">
        <w:rPr>
          <w:rFonts w:ascii="Arial" w:hAnsi="Arial" w:cs="Arial"/>
          <w:szCs w:val="22"/>
          <w:lang w:eastAsia="en-AU"/>
        </w:rPr>
        <w:t xml:space="preserve"> cover. By contrast, reproductive effort at reef intertidal habitats declined in 2014 and has remained very low since.</w:t>
      </w:r>
    </w:p>
    <w:p w14:paraId="4B51CB92" w14:textId="7DB0E77F" w:rsidR="00FB2F04" w:rsidRPr="00CB093C" w:rsidRDefault="00672A63" w:rsidP="00C153A9">
      <w:pPr>
        <w:autoSpaceDE w:val="0"/>
        <w:autoSpaceDN w:val="0"/>
        <w:adjustRightInd w:val="0"/>
        <w:spacing w:after="0"/>
        <w:rPr>
          <w:rFonts w:ascii="Arial" w:hAnsi="Arial" w:cs="Arial"/>
          <w:szCs w:val="22"/>
          <w:lang w:eastAsia="en-AU"/>
        </w:rPr>
      </w:pPr>
      <w:r w:rsidRPr="00CB093C">
        <w:rPr>
          <w:rFonts w:ascii="Arial" w:hAnsi="Arial" w:cs="Arial"/>
          <w:szCs w:val="22"/>
          <w:lang w:eastAsia="en-AU"/>
        </w:rPr>
        <w:t xml:space="preserve">Seed banks across the inshore </w:t>
      </w:r>
      <w:r w:rsidR="003158FC" w:rsidRPr="00CB093C">
        <w:rPr>
          <w:rFonts w:ascii="Arial" w:hAnsi="Arial" w:cs="Arial"/>
          <w:szCs w:val="22"/>
          <w:lang w:eastAsia="en-AU"/>
        </w:rPr>
        <w:t>Reef</w:t>
      </w:r>
      <w:r w:rsidRPr="00CB093C">
        <w:rPr>
          <w:rFonts w:ascii="Arial" w:hAnsi="Arial" w:cs="Arial"/>
          <w:szCs w:val="22"/>
          <w:lang w:eastAsia="en-AU"/>
        </w:rPr>
        <w:t xml:space="preserve"> meadows were higher in late dry and greater in coastal than reef or estuarine habitats over the long-term (&gt;10 years) (</w:t>
      </w:r>
      <w:r w:rsidRPr="00CB093C">
        <w:rPr>
          <w:rFonts w:ascii="Arial" w:hAnsi="Arial" w:cs="Arial"/>
          <w:szCs w:val="22"/>
          <w:lang w:eastAsia="en-AU"/>
        </w:rPr>
        <w:fldChar w:fldCharType="begin"/>
      </w:r>
      <w:r w:rsidRPr="00CB093C">
        <w:rPr>
          <w:rFonts w:ascii="Arial" w:hAnsi="Arial" w:cs="Arial"/>
          <w:szCs w:val="22"/>
          <w:lang w:eastAsia="en-AU"/>
        </w:rPr>
        <w:instrText xml:space="preserve"> REF _Ref442528770 \h  \* MERGEFORMAT </w:instrText>
      </w:r>
      <w:r w:rsidRPr="00CB093C">
        <w:rPr>
          <w:rFonts w:ascii="Arial" w:hAnsi="Arial" w:cs="Arial"/>
          <w:szCs w:val="22"/>
          <w:lang w:eastAsia="en-AU"/>
        </w:rPr>
      </w:r>
      <w:r w:rsidRPr="00CB093C">
        <w:rPr>
          <w:rFonts w:ascii="Arial" w:hAnsi="Arial" w:cs="Arial"/>
          <w:szCs w:val="22"/>
          <w:lang w:eastAsia="en-AU"/>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22</w:t>
      </w:r>
      <w:r w:rsidRPr="00CB093C">
        <w:rPr>
          <w:rFonts w:ascii="Arial" w:hAnsi="Arial" w:cs="Arial"/>
          <w:szCs w:val="22"/>
          <w:lang w:eastAsia="en-AU"/>
        </w:rPr>
        <w:fldChar w:fldCharType="end"/>
      </w:r>
      <w:r w:rsidRPr="00CB093C">
        <w:rPr>
          <w:rFonts w:ascii="Arial" w:hAnsi="Arial" w:cs="Arial"/>
          <w:szCs w:val="22"/>
          <w:lang w:eastAsia="en-AU"/>
        </w:rPr>
        <w:t>). Coastal seed banks declined between 2008 and 2011, and have subsequently increased, but remain below the 2007</w:t>
      </w:r>
      <w:r w:rsidR="009203FC" w:rsidRPr="00CB093C">
        <w:rPr>
          <w:rFonts w:ascii="Arial" w:hAnsi="Arial" w:cs="Arial"/>
          <w:szCs w:val="22"/>
          <w:lang w:eastAsia="en-AU"/>
        </w:rPr>
        <w:t>–</w:t>
      </w:r>
      <w:r w:rsidR="004E4EA4" w:rsidRPr="00CB093C">
        <w:rPr>
          <w:rFonts w:ascii="Arial" w:hAnsi="Arial" w:cs="Arial"/>
          <w:szCs w:val="22"/>
          <w:lang w:eastAsia="en-AU"/>
        </w:rPr>
        <w:t>20</w:t>
      </w:r>
      <w:r w:rsidRPr="00CB093C">
        <w:rPr>
          <w:rFonts w:ascii="Arial" w:hAnsi="Arial" w:cs="Arial"/>
          <w:szCs w:val="22"/>
          <w:lang w:eastAsia="en-AU"/>
        </w:rPr>
        <w:t xml:space="preserve">08 levels. </w:t>
      </w:r>
      <w:r w:rsidR="004478DC" w:rsidRPr="00CB093C">
        <w:rPr>
          <w:rFonts w:ascii="Arial" w:hAnsi="Arial" w:cs="Arial"/>
          <w:szCs w:val="22"/>
          <w:lang w:eastAsia="en-AU"/>
        </w:rPr>
        <w:t xml:space="preserve">Seed banks continued to increase at subtidal reef habitats in </w:t>
      </w:r>
      <w:r w:rsidR="003654C6">
        <w:rPr>
          <w:rFonts w:ascii="Arial" w:hAnsi="Arial" w:cs="Arial"/>
          <w:szCs w:val="22"/>
          <w:lang w:eastAsia="en-AU"/>
        </w:rPr>
        <w:t>2017–18</w:t>
      </w:r>
      <w:r w:rsidR="004478DC" w:rsidRPr="00CB093C">
        <w:rPr>
          <w:rFonts w:ascii="Arial" w:hAnsi="Arial" w:cs="Arial"/>
          <w:szCs w:val="22"/>
          <w:lang w:eastAsia="en-AU"/>
        </w:rPr>
        <w:t xml:space="preserve">, but remain low or near absent at estuary and intertidal reef habitats, respectively. </w:t>
      </w:r>
    </w:p>
    <w:p w14:paraId="75F48827" w14:textId="1C197FC8" w:rsidR="00A00BC4" w:rsidRPr="00CB093C" w:rsidRDefault="004478DC" w:rsidP="00C153A9">
      <w:pPr>
        <w:autoSpaceDE w:val="0"/>
        <w:autoSpaceDN w:val="0"/>
        <w:adjustRightInd w:val="0"/>
        <w:spacing w:after="0"/>
        <w:rPr>
          <w:rFonts w:ascii="Arial" w:hAnsi="Arial" w:cs="Arial"/>
          <w:szCs w:val="22"/>
          <w:lang w:eastAsia="en-AU"/>
        </w:rPr>
      </w:pPr>
      <w:r w:rsidRPr="00CB093C">
        <w:rPr>
          <w:rFonts w:ascii="Arial" w:hAnsi="Arial" w:cs="Arial"/>
          <w:szCs w:val="22"/>
          <w:lang w:eastAsia="en-AU"/>
        </w:rPr>
        <w:t xml:space="preserve">The small seed banks could have been caused by reduced reproductive success (failure to form seeds) or loss of seed bank (germination or grazing). </w:t>
      </w:r>
      <w:r w:rsidR="00672A63" w:rsidRPr="00CB093C">
        <w:rPr>
          <w:rFonts w:ascii="Arial" w:hAnsi="Arial" w:cs="Arial"/>
          <w:szCs w:val="22"/>
          <w:lang w:eastAsia="en-AU"/>
        </w:rPr>
        <w:t xml:space="preserve">The </w:t>
      </w:r>
      <w:r w:rsidR="004F584A" w:rsidRPr="00CB093C">
        <w:rPr>
          <w:rFonts w:ascii="Arial" w:hAnsi="Arial" w:cs="Arial"/>
          <w:szCs w:val="22"/>
          <w:lang w:eastAsia="en-AU"/>
        </w:rPr>
        <w:t xml:space="preserve">low reproductive effort and low density of seeds in the seed bank in </w:t>
      </w:r>
      <w:r w:rsidR="00672A63" w:rsidRPr="00CB093C">
        <w:rPr>
          <w:rFonts w:ascii="Arial" w:hAnsi="Arial" w:cs="Arial"/>
          <w:szCs w:val="22"/>
          <w:lang w:eastAsia="en-AU"/>
        </w:rPr>
        <w:t xml:space="preserve">intertidal </w:t>
      </w:r>
      <w:r w:rsidR="004F584A" w:rsidRPr="00CB093C">
        <w:rPr>
          <w:rFonts w:ascii="Arial" w:hAnsi="Arial" w:cs="Arial"/>
          <w:szCs w:val="22"/>
          <w:lang w:eastAsia="en-AU"/>
        </w:rPr>
        <w:t>reef habitat</w:t>
      </w:r>
      <w:r w:rsidR="00672A63" w:rsidRPr="00CB093C">
        <w:rPr>
          <w:rFonts w:ascii="Arial" w:hAnsi="Arial" w:cs="Arial"/>
          <w:szCs w:val="22"/>
          <w:lang w:eastAsia="en-AU"/>
        </w:rPr>
        <w:t>s</w:t>
      </w:r>
      <w:r w:rsidR="004F584A" w:rsidRPr="00CB093C">
        <w:rPr>
          <w:rFonts w:ascii="Arial" w:hAnsi="Arial" w:cs="Arial"/>
          <w:szCs w:val="22"/>
          <w:lang w:eastAsia="en-AU"/>
        </w:rPr>
        <w:t xml:space="preserve"> in all </w:t>
      </w:r>
      <w:r w:rsidR="00FB2F04" w:rsidRPr="00CB093C">
        <w:rPr>
          <w:rFonts w:ascii="Arial" w:hAnsi="Arial" w:cs="Arial"/>
          <w:szCs w:val="22"/>
          <w:lang w:eastAsia="en-AU"/>
        </w:rPr>
        <w:t xml:space="preserve">regions </w:t>
      </w:r>
      <w:r w:rsidR="004F584A" w:rsidRPr="00CB093C">
        <w:rPr>
          <w:rFonts w:ascii="Arial" w:hAnsi="Arial" w:cs="Arial"/>
          <w:szCs w:val="22"/>
          <w:lang w:eastAsia="en-AU"/>
        </w:rPr>
        <w:t xml:space="preserve">(except Burnett </w:t>
      </w:r>
      <w:r w:rsidR="007A70FE" w:rsidRPr="00CB093C">
        <w:rPr>
          <w:rFonts w:ascii="Arial" w:hAnsi="Arial" w:cs="Arial"/>
          <w:szCs w:val="22"/>
          <w:lang w:eastAsia="en-AU"/>
        </w:rPr>
        <w:t>Mary</w:t>
      </w:r>
      <w:r w:rsidR="004F584A" w:rsidRPr="00CB093C">
        <w:rPr>
          <w:rFonts w:ascii="Arial" w:hAnsi="Arial" w:cs="Arial"/>
          <w:szCs w:val="22"/>
          <w:lang w:eastAsia="en-AU"/>
        </w:rPr>
        <w:t>, where no reef sites are monitored)</w:t>
      </w:r>
      <w:r w:rsidR="00904051" w:rsidRPr="00CB093C">
        <w:rPr>
          <w:rFonts w:ascii="Arial" w:hAnsi="Arial" w:cs="Arial"/>
          <w:szCs w:val="22"/>
          <w:lang w:eastAsia="en-AU"/>
        </w:rPr>
        <w:t xml:space="preserve">, </w:t>
      </w:r>
      <w:r w:rsidR="00672A63" w:rsidRPr="00CB093C">
        <w:rPr>
          <w:rFonts w:ascii="Arial" w:hAnsi="Arial" w:cs="Arial"/>
          <w:szCs w:val="22"/>
          <w:lang w:eastAsia="en-AU"/>
        </w:rPr>
        <w:t>indicates</w:t>
      </w:r>
      <w:r w:rsidR="00904051" w:rsidRPr="00CB093C">
        <w:rPr>
          <w:rFonts w:ascii="Arial" w:hAnsi="Arial" w:cs="Arial"/>
          <w:szCs w:val="22"/>
          <w:lang w:eastAsia="en-AU"/>
        </w:rPr>
        <w:t xml:space="preserve"> a low seed production rate and </w:t>
      </w:r>
      <w:r w:rsidR="00A30C31" w:rsidRPr="00CB093C">
        <w:rPr>
          <w:rFonts w:ascii="Arial" w:hAnsi="Arial" w:cs="Arial"/>
          <w:szCs w:val="22"/>
          <w:lang w:eastAsia="en-AU"/>
        </w:rPr>
        <w:t>vulnerability</w:t>
      </w:r>
      <w:r w:rsidR="004F584A" w:rsidRPr="00CB093C">
        <w:rPr>
          <w:rFonts w:ascii="Arial" w:hAnsi="Arial" w:cs="Arial"/>
          <w:szCs w:val="22"/>
          <w:lang w:eastAsia="en-AU"/>
        </w:rPr>
        <w:t xml:space="preserve"> of these habitats</w:t>
      </w:r>
      <w:r w:rsidR="00A30C31" w:rsidRPr="00CB093C">
        <w:rPr>
          <w:rFonts w:ascii="Arial" w:hAnsi="Arial" w:cs="Arial"/>
          <w:szCs w:val="22"/>
          <w:lang w:eastAsia="en-AU"/>
        </w:rPr>
        <w:t xml:space="preserve"> to future disturbances</w:t>
      </w:r>
      <w:r w:rsidR="004F584A" w:rsidRPr="00CB093C">
        <w:rPr>
          <w:rFonts w:ascii="Arial" w:hAnsi="Arial" w:cs="Arial"/>
          <w:szCs w:val="22"/>
          <w:lang w:eastAsia="en-AU"/>
        </w:rPr>
        <w:t>, as recovery may be hampered</w:t>
      </w:r>
      <w:r w:rsidR="00B518CD" w:rsidRPr="00CB093C">
        <w:rPr>
          <w:rFonts w:ascii="Arial" w:hAnsi="Arial" w:cs="Arial"/>
          <w:szCs w:val="22"/>
          <w:lang w:eastAsia="en-AU"/>
        </w:rPr>
        <w:t>.</w:t>
      </w:r>
      <w:r w:rsidR="00D53606" w:rsidRPr="00CB093C">
        <w:rPr>
          <w:rFonts w:ascii="Arial" w:hAnsi="Arial" w:cs="Arial"/>
          <w:szCs w:val="22"/>
          <w:lang w:eastAsia="en-AU"/>
        </w:rPr>
        <w:t xml:space="preserve"> </w:t>
      </w:r>
    </w:p>
    <w:p w14:paraId="292E6DEC" w14:textId="77777777" w:rsidR="007168E0" w:rsidRPr="00CB093C" w:rsidRDefault="007168E0" w:rsidP="00B518CD">
      <w:pPr>
        <w:autoSpaceDE w:val="0"/>
        <w:autoSpaceDN w:val="0"/>
        <w:adjustRightInd w:val="0"/>
        <w:spacing w:before="0" w:after="0"/>
        <w:rPr>
          <w:rFonts w:ascii="Arial" w:hAnsi="Arial" w:cs="Arial"/>
          <w:color w:val="000000" w:themeColor="text1"/>
          <w:szCs w:val="22"/>
          <w:lang w:eastAsia="en-AU"/>
        </w:rPr>
      </w:pPr>
    </w:p>
    <w:p w14:paraId="411831FC" w14:textId="77777777" w:rsidR="00B518CD" w:rsidRPr="00CB093C" w:rsidRDefault="004A3BBC" w:rsidP="00B518CD">
      <w:pPr>
        <w:keepNext/>
        <w:widowControl w:val="0"/>
        <w:spacing w:before="0"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355FDE37" wp14:editId="4D1E1A4C">
            <wp:extent cx="4940001" cy="3500738"/>
            <wp:effectExtent l="0" t="0" r="0" b="5080"/>
            <wp:docPr id="239" name="Picture 239" descr="Panel of four graphs showing seagrass reproductive effort (number of reproductive structures produced by all seagrass species) during the late dry of each monitoring period,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GBR_repro16.png"/>
                    <pic:cNvPicPr/>
                  </pic:nvPicPr>
                  <pic:blipFill>
                    <a:blip r:embed="rId65"/>
                    <a:stretch>
                      <a:fillRect/>
                    </a:stretch>
                  </pic:blipFill>
                  <pic:spPr>
                    <a:xfrm>
                      <a:off x="0" y="0"/>
                      <a:ext cx="4944032" cy="3503595"/>
                    </a:xfrm>
                    <a:prstGeom prst="rect">
                      <a:avLst/>
                    </a:prstGeom>
                  </pic:spPr>
                </pic:pic>
              </a:graphicData>
            </a:graphic>
          </wp:inline>
        </w:drawing>
      </w:r>
    </w:p>
    <w:p w14:paraId="1B8AC0F4" w14:textId="030BF2BB" w:rsidR="000C5E7B" w:rsidRPr="00CB093C" w:rsidRDefault="00B518CD" w:rsidP="000C5E7B">
      <w:pPr>
        <w:rPr>
          <w:rFonts w:ascii="Arial" w:hAnsi="Arial" w:cs="Arial"/>
          <w:i/>
          <w:vanish/>
          <w:szCs w:val="22"/>
          <w:specVanish/>
        </w:rPr>
      </w:pPr>
      <w:bookmarkStart w:id="193" w:name="_Ref442528478"/>
      <w:bookmarkStart w:id="194" w:name="_Toc6402786"/>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21</w:t>
      </w:r>
      <w:r w:rsidR="0073595B" w:rsidRPr="00CB093C">
        <w:rPr>
          <w:rFonts w:ascii="Arial" w:hAnsi="Arial" w:cs="Arial"/>
          <w:color w:val="000000"/>
          <w:szCs w:val="22"/>
        </w:rPr>
        <w:fldChar w:fldCharType="end"/>
      </w:r>
      <w:bookmarkEnd w:id="193"/>
      <w:r w:rsidRPr="00CB093C">
        <w:rPr>
          <w:rFonts w:ascii="Arial" w:hAnsi="Arial" w:cs="Arial"/>
          <w:color w:val="000000"/>
          <w:szCs w:val="22"/>
        </w:rPr>
        <w:t xml:space="preserve">. </w:t>
      </w:r>
      <w:r w:rsidRPr="00CB093C">
        <w:rPr>
          <w:rFonts w:ascii="Arial" w:hAnsi="Arial" w:cs="Arial"/>
          <w:i/>
          <w:color w:val="000000"/>
          <w:szCs w:val="22"/>
        </w:rPr>
        <w:t>Seagrass reproductive effort (number of reproductive structures produced by all seagrass species) during the late dry of each monitoring period</w:t>
      </w:r>
      <w:bookmarkEnd w:id="194"/>
    </w:p>
    <w:p w14:paraId="58426717" w14:textId="357879AE" w:rsidR="00B518CD" w:rsidRPr="00CB093C" w:rsidRDefault="00B518CD" w:rsidP="000C5E7B">
      <w:pPr>
        <w:rPr>
          <w:rFonts w:ascii="Arial" w:hAnsi="Arial" w:cs="Arial"/>
          <w:i/>
          <w:color w:val="000000"/>
          <w:szCs w:val="22"/>
        </w:rPr>
      </w:pPr>
      <w:r w:rsidRPr="00CB093C">
        <w:rPr>
          <w:rFonts w:ascii="Arial" w:hAnsi="Arial" w:cs="Arial"/>
          <w:i/>
          <w:color w:val="000000"/>
          <w:szCs w:val="22"/>
        </w:rPr>
        <w:t xml:space="preserve"> for a) estuary intertidal; b) coast intertidal; c) reef intertidal; d) reef subtidal.</w:t>
      </w:r>
    </w:p>
    <w:p w14:paraId="7E6E38BE" w14:textId="77777777" w:rsidR="00460D75" w:rsidRPr="00CB093C" w:rsidRDefault="00460D75" w:rsidP="00460D75">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0BD93D03" wp14:editId="06D3044E">
            <wp:extent cx="4882422" cy="3436685"/>
            <wp:effectExtent l="0" t="0" r="0" b="0"/>
            <wp:docPr id="242" name="Picture 242" descr="Panel of four graphs showing average seeds banks (seeds per square metre of sediment surface, all sites and species pooled) in GBR seagrass habit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GBR_seed_banks_2016.png"/>
                    <pic:cNvPicPr/>
                  </pic:nvPicPr>
                  <pic:blipFill>
                    <a:blip r:embed="rId66"/>
                    <a:stretch>
                      <a:fillRect/>
                    </a:stretch>
                  </pic:blipFill>
                  <pic:spPr>
                    <a:xfrm>
                      <a:off x="0" y="0"/>
                      <a:ext cx="4882422" cy="3436685"/>
                    </a:xfrm>
                    <a:prstGeom prst="rect">
                      <a:avLst/>
                    </a:prstGeom>
                  </pic:spPr>
                </pic:pic>
              </a:graphicData>
            </a:graphic>
          </wp:inline>
        </w:drawing>
      </w:r>
    </w:p>
    <w:p w14:paraId="73325F94" w14:textId="4A25EA70" w:rsidR="000C5E7B" w:rsidRPr="00CB093C" w:rsidRDefault="00460D75" w:rsidP="000C5E7B">
      <w:pPr>
        <w:rPr>
          <w:rFonts w:ascii="Arial" w:hAnsi="Arial" w:cs="Arial"/>
          <w:i/>
          <w:vanish/>
          <w:szCs w:val="22"/>
          <w:specVanish/>
        </w:rPr>
      </w:pPr>
      <w:bookmarkStart w:id="195" w:name="_Ref442528770"/>
      <w:bookmarkStart w:id="196" w:name="_Toc6402787"/>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22</w:t>
      </w:r>
      <w:r w:rsidRPr="00CB093C">
        <w:rPr>
          <w:rFonts w:ascii="Arial" w:hAnsi="Arial" w:cs="Arial"/>
          <w:color w:val="000000"/>
          <w:szCs w:val="22"/>
        </w:rPr>
        <w:fldChar w:fldCharType="end"/>
      </w:r>
      <w:bookmarkEnd w:id="195"/>
      <w:r w:rsidRPr="00CB093C">
        <w:rPr>
          <w:rFonts w:ascii="Arial" w:hAnsi="Arial" w:cs="Arial"/>
          <w:color w:val="000000"/>
          <w:szCs w:val="22"/>
        </w:rPr>
        <w:t xml:space="preserve">. </w:t>
      </w:r>
      <w:r w:rsidRPr="00CB093C">
        <w:rPr>
          <w:rFonts w:ascii="Arial" w:hAnsi="Arial" w:cs="Arial"/>
          <w:i/>
          <w:color w:val="000000"/>
          <w:szCs w:val="22"/>
        </w:rPr>
        <w:t xml:space="preserve">Average seeds banks (seeds per square metre of sediment surface, all sites and species pooled) in </w:t>
      </w:r>
      <w:r w:rsidR="003158FC" w:rsidRPr="00CB093C">
        <w:rPr>
          <w:rFonts w:ascii="Arial" w:hAnsi="Arial" w:cs="Arial"/>
          <w:i/>
          <w:color w:val="000000"/>
          <w:szCs w:val="22"/>
        </w:rPr>
        <w:t>Reef</w:t>
      </w:r>
      <w:r w:rsidRPr="00CB093C">
        <w:rPr>
          <w:rFonts w:ascii="Arial" w:hAnsi="Arial" w:cs="Arial"/>
          <w:i/>
          <w:color w:val="000000"/>
          <w:szCs w:val="22"/>
        </w:rPr>
        <w:t xml:space="preserve"> seagrass habitats</w:t>
      </w:r>
      <w:bookmarkEnd w:id="196"/>
    </w:p>
    <w:p w14:paraId="6583C995" w14:textId="1D97ED22" w:rsidR="00460D75" w:rsidRPr="00CB093C" w:rsidRDefault="00460D75" w:rsidP="000C5E7B">
      <w:pPr>
        <w:rPr>
          <w:rFonts w:ascii="Arial" w:hAnsi="Arial" w:cs="Arial"/>
          <w:i/>
          <w:color w:val="000000"/>
          <w:szCs w:val="22"/>
        </w:rPr>
      </w:pPr>
      <w:r w:rsidRPr="00CB093C">
        <w:rPr>
          <w:rFonts w:ascii="Arial" w:hAnsi="Arial" w:cs="Arial"/>
          <w:i/>
          <w:color w:val="000000"/>
          <w:szCs w:val="22"/>
        </w:rPr>
        <w:t>: a) estuary intertidal; b) coast intertidal; c) reef intertidal; d) reef subtidal.</w:t>
      </w:r>
    </w:p>
    <w:p w14:paraId="1E0EAD7D" w14:textId="77777777" w:rsidR="00FA665D" w:rsidRPr="00CB093C" w:rsidRDefault="00FA665D" w:rsidP="007F3CF9">
      <w:pPr>
        <w:rPr>
          <w:rFonts w:ascii="Arial" w:hAnsi="Arial" w:cs="Arial"/>
          <w:szCs w:val="22"/>
        </w:rPr>
      </w:pPr>
    </w:p>
    <w:p w14:paraId="57B48C32" w14:textId="77777777" w:rsidR="00FA665D" w:rsidRPr="00CB093C" w:rsidRDefault="00FA665D" w:rsidP="00FA665D">
      <w:pPr>
        <w:rPr>
          <w:rFonts w:ascii="Arial" w:hAnsi="Arial" w:cs="Arial"/>
          <w:szCs w:val="22"/>
        </w:rPr>
      </w:pPr>
    </w:p>
    <w:p w14:paraId="44734F5A" w14:textId="2DD118C1" w:rsidR="00FA665D" w:rsidRPr="00CB093C" w:rsidRDefault="00FA665D" w:rsidP="00AD06D4">
      <w:pPr>
        <w:pStyle w:val="Heading3"/>
        <w:numPr>
          <w:ilvl w:val="2"/>
          <w:numId w:val="4"/>
        </w:numPr>
        <w:rPr>
          <w:rFonts w:ascii="Arial" w:hAnsi="Arial" w:cs="Arial"/>
          <w:sz w:val="22"/>
          <w:szCs w:val="22"/>
        </w:rPr>
      </w:pPr>
      <w:bookmarkStart w:id="197" w:name="_Toc11394721"/>
      <w:r w:rsidRPr="00CB093C">
        <w:rPr>
          <w:rFonts w:ascii="Arial" w:hAnsi="Arial" w:cs="Arial"/>
          <w:sz w:val="22"/>
          <w:szCs w:val="22"/>
        </w:rPr>
        <w:t>Seagrass leaf tissue nutrients</w:t>
      </w:r>
      <w:bookmarkEnd w:id="197"/>
      <w:r w:rsidRPr="00CB093C">
        <w:rPr>
          <w:rFonts w:ascii="Arial" w:hAnsi="Arial" w:cs="Arial"/>
          <w:sz w:val="22"/>
          <w:szCs w:val="22"/>
        </w:rPr>
        <w:t xml:space="preserve"> </w:t>
      </w:r>
    </w:p>
    <w:p w14:paraId="50BB2343" w14:textId="5B0F5A55" w:rsidR="00BA7C25" w:rsidRPr="00CB093C" w:rsidRDefault="00040E9D" w:rsidP="003B2FBC">
      <w:pPr>
        <w:rPr>
          <w:rFonts w:ascii="Arial" w:hAnsi="Arial" w:cs="Arial"/>
          <w:szCs w:val="22"/>
        </w:rPr>
      </w:pPr>
      <w:r w:rsidRPr="00CB093C">
        <w:rPr>
          <w:rFonts w:ascii="Arial" w:hAnsi="Arial" w:cs="Arial"/>
          <w:szCs w:val="22"/>
        </w:rPr>
        <w:t xml:space="preserve">In </w:t>
      </w:r>
      <w:r w:rsidR="003654C6">
        <w:rPr>
          <w:rFonts w:ascii="Arial" w:hAnsi="Arial" w:cs="Arial"/>
          <w:szCs w:val="22"/>
        </w:rPr>
        <w:t>2017–18</w:t>
      </w:r>
      <w:r w:rsidRPr="00CB093C">
        <w:rPr>
          <w:rFonts w:ascii="Arial" w:hAnsi="Arial" w:cs="Arial"/>
          <w:szCs w:val="22"/>
        </w:rPr>
        <w:t xml:space="preserve">, the ratio of carbon (C) to nitrogen (N) was below the guideline value of 20 in all habitats except reef subtidal habitat. </w:t>
      </w:r>
      <w:r w:rsidR="00BA7C25" w:rsidRPr="00CB093C">
        <w:rPr>
          <w:rFonts w:ascii="Arial" w:hAnsi="Arial" w:cs="Arial"/>
          <w:szCs w:val="22"/>
        </w:rPr>
        <w:t>The</w:t>
      </w:r>
      <w:r w:rsidRPr="00CB093C">
        <w:rPr>
          <w:rFonts w:ascii="Arial" w:hAnsi="Arial" w:cs="Arial"/>
          <w:szCs w:val="22"/>
        </w:rPr>
        <w:t xml:space="preserve"> C:N ratio</w:t>
      </w:r>
      <w:r w:rsidR="00BA7C25" w:rsidRPr="00CB093C">
        <w:rPr>
          <w:rFonts w:ascii="Arial" w:hAnsi="Arial" w:cs="Arial"/>
          <w:szCs w:val="22"/>
        </w:rPr>
        <w:t xml:space="preserve"> is used as an indicator of water quality and seagrass condition because elevated carbon (and elevated C:N) suggests high light availability, while elevated N (lower C:N), indicates elevated nitrogen supply rates relative to growth requirements. </w:t>
      </w:r>
      <w:r w:rsidRPr="00CB093C">
        <w:rPr>
          <w:rFonts w:ascii="Arial" w:hAnsi="Arial" w:cs="Arial"/>
          <w:szCs w:val="22"/>
        </w:rPr>
        <w:t xml:space="preserve">Therefore, in all habitats other than reef subtidal, there was an oversupply of N relative to growth requirements. </w:t>
      </w:r>
    </w:p>
    <w:p w14:paraId="584DCD5C" w14:textId="3D25CAC3" w:rsidR="00BA7C25" w:rsidRPr="00CB093C" w:rsidRDefault="00AE1EB4" w:rsidP="003B2FBC">
      <w:pPr>
        <w:rPr>
          <w:rFonts w:ascii="Arial" w:hAnsi="Arial" w:cs="Arial"/>
          <w:szCs w:val="22"/>
        </w:rPr>
      </w:pPr>
      <w:r w:rsidRPr="00CB093C">
        <w:rPr>
          <w:rFonts w:ascii="Arial" w:hAnsi="Arial" w:cs="Arial"/>
          <w:szCs w:val="22"/>
        </w:rPr>
        <w:t xml:space="preserve">In </w:t>
      </w:r>
      <w:r w:rsidR="003654C6">
        <w:rPr>
          <w:rFonts w:ascii="Arial" w:hAnsi="Arial" w:cs="Arial"/>
          <w:szCs w:val="22"/>
        </w:rPr>
        <w:t>2017–18</w:t>
      </w:r>
      <w:r w:rsidRPr="00CB093C">
        <w:rPr>
          <w:rFonts w:ascii="Arial" w:hAnsi="Arial" w:cs="Arial"/>
          <w:szCs w:val="22"/>
        </w:rPr>
        <w:t xml:space="preserve">, C:N ratio of seagrass leaves decreased at approximately a third of sites from the previous period, </w:t>
      </w:r>
      <w:r w:rsidR="00184076" w:rsidRPr="00CB093C">
        <w:rPr>
          <w:rFonts w:ascii="Arial" w:hAnsi="Arial" w:cs="Arial"/>
          <w:szCs w:val="22"/>
        </w:rPr>
        <w:t xml:space="preserve">but this was not significant due to variation in this trend among regions and sites, </w:t>
      </w:r>
      <w:r w:rsidRPr="00CB093C">
        <w:rPr>
          <w:rFonts w:ascii="Arial" w:hAnsi="Arial" w:cs="Arial"/>
          <w:szCs w:val="22"/>
        </w:rPr>
        <w:t xml:space="preserve">and the number of sites remaining above the threshold of 20 was the lowest in 5 years. </w:t>
      </w:r>
      <w:r w:rsidR="00BA7C25" w:rsidRPr="00CB093C">
        <w:rPr>
          <w:rFonts w:ascii="Arial" w:hAnsi="Arial" w:cs="Arial"/>
          <w:szCs w:val="22"/>
        </w:rPr>
        <w:t xml:space="preserve">The lowest C:N values on average continue at Hamilton Island (10.1), Yule Point (12.8), and Shelburne Bay (12.9). </w:t>
      </w:r>
    </w:p>
    <w:p w14:paraId="11499B9B" w14:textId="249B68FC" w:rsidR="003B2FBC" w:rsidRPr="00CB093C" w:rsidRDefault="00AE1EB4" w:rsidP="003B2FBC">
      <w:pPr>
        <w:rPr>
          <w:rFonts w:ascii="Arial" w:hAnsi="Arial" w:cs="Arial"/>
          <w:szCs w:val="22"/>
        </w:rPr>
      </w:pPr>
      <w:r w:rsidRPr="00CB093C">
        <w:rPr>
          <w:rFonts w:ascii="Arial" w:hAnsi="Arial" w:cs="Arial"/>
          <w:szCs w:val="22"/>
        </w:rPr>
        <w:lastRenderedPageBreak/>
        <w:t>Multiple years of below average rainfall (</w:t>
      </w:r>
      <w:r w:rsidRPr="00CB093C">
        <w:rPr>
          <w:rFonts w:ascii="Arial" w:hAnsi="Arial" w:cs="Arial"/>
          <w:szCs w:val="22"/>
        </w:rPr>
        <w:fldChar w:fldCharType="begin"/>
      </w:r>
      <w:r w:rsidRPr="00CB093C">
        <w:rPr>
          <w:rFonts w:ascii="Arial" w:hAnsi="Arial" w:cs="Arial"/>
          <w:szCs w:val="22"/>
        </w:rPr>
        <w:instrText xml:space="preserve"> REF _Ref442465342 \h  \* MERGEFORMAT </w:instrText>
      </w:r>
      <w:r w:rsidRPr="00CB093C">
        <w:rPr>
          <w:rFonts w:ascii="Arial" w:hAnsi="Arial" w:cs="Arial"/>
          <w:szCs w:val="22"/>
        </w:rPr>
      </w:r>
      <w:r w:rsidRPr="00CB093C">
        <w:rPr>
          <w:rFonts w:ascii="Arial" w:hAnsi="Arial" w:cs="Arial"/>
          <w:szCs w:val="22"/>
        </w:rPr>
        <w:fldChar w:fldCharType="separate"/>
      </w:r>
      <w:r w:rsidR="005F00D4" w:rsidRPr="005F00D4">
        <w:rPr>
          <w:rFonts w:ascii="Arial" w:hAnsi="Arial" w:cs="Arial"/>
          <w:szCs w:val="22"/>
        </w:rPr>
        <w:t xml:space="preserve">Table </w:t>
      </w:r>
      <w:r w:rsidR="005F00D4" w:rsidRPr="005F00D4">
        <w:rPr>
          <w:rFonts w:ascii="Arial" w:hAnsi="Arial" w:cs="Arial"/>
          <w:noProof/>
          <w:szCs w:val="22"/>
        </w:rPr>
        <w:t>9</w:t>
      </w:r>
      <w:r w:rsidRPr="00CB093C">
        <w:rPr>
          <w:rFonts w:ascii="Arial" w:hAnsi="Arial" w:cs="Arial"/>
          <w:szCs w:val="22"/>
        </w:rPr>
        <w:fldChar w:fldCharType="end"/>
      </w:r>
      <w:r w:rsidRPr="00CB093C">
        <w:rPr>
          <w:rFonts w:ascii="Arial" w:hAnsi="Arial" w:cs="Arial"/>
          <w:szCs w:val="22"/>
        </w:rPr>
        <w:t xml:space="preserve">) have been associated with small declines in dissolved inorganic nitrogen concentrations (NOx) particularly since 2014 in some of the basins of the Wet Tropics and Burdekin regions. However, nitrogen availability remains considerably elevated (Waterhouse </w:t>
      </w:r>
      <w:r w:rsidRPr="00CB093C">
        <w:rPr>
          <w:rFonts w:ascii="Arial" w:hAnsi="Arial" w:cs="Arial"/>
          <w:i/>
          <w:szCs w:val="22"/>
        </w:rPr>
        <w:t>et al.</w:t>
      </w:r>
      <w:r w:rsidRPr="00CB093C">
        <w:rPr>
          <w:rFonts w:ascii="Arial" w:hAnsi="Arial" w:cs="Arial"/>
          <w:szCs w:val="22"/>
        </w:rPr>
        <w:t xml:space="preserve"> 2018).</w:t>
      </w:r>
      <w:r w:rsidR="003B7FCC" w:rsidRPr="00CB093C">
        <w:rPr>
          <w:rFonts w:ascii="Arial" w:hAnsi="Arial" w:cs="Arial"/>
          <w:szCs w:val="22"/>
        </w:rPr>
        <w:t>L</w:t>
      </w:r>
      <w:r w:rsidR="003B2FBC" w:rsidRPr="00CB093C">
        <w:rPr>
          <w:rFonts w:ascii="Arial" w:hAnsi="Arial" w:cs="Arial"/>
          <w:szCs w:val="22"/>
        </w:rPr>
        <w:t xml:space="preserve">ight limitation could also be affecting the lower C:N. </w:t>
      </w:r>
      <w:r w:rsidR="003B2FBC" w:rsidRPr="00CB093C">
        <w:rPr>
          <w:rFonts w:ascii="Arial" w:hAnsi="Arial" w:cs="Arial"/>
          <w:color w:val="000000" w:themeColor="text1"/>
          <w:szCs w:val="22"/>
        </w:rPr>
        <w:t>The findings indicate that N has been in elevated supply to seagrasses, which has been maintained despite low river discharge</w:t>
      </w:r>
      <w:r w:rsidR="007F51B8" w:rsidRPr="00CB093C">
        <w:rPr>
          <w:rFonts w:ascii="Arial" w:hAnsi="Arial" w:cs="Arial"/>
          <w:color w:val="000000" w:themeColor="text1"/>
          <w:szCs w:val="22"/>
        </w:rPr>
        <w:t xml:space="preserve"> in most regions prior to 2017.</w:t>
      </w:r>
    </w:p>
    <w:p w14:paraId="1F089386" w14:textId="506F8053" w:rsidR="007C2608" w:rsidRPr="00CB093C" w:rsidRDefault="0095591B" w:rsidP="00C95F13">
      <w:pPr>
        <w:rPr>
          <w:rFonts w:ascii="Arial" w:hAnsi="Arial" w:cs="Arial"/>
          <w:color w:val="000000" w:themeColor="text1"/>
          <w:szCs w:val="22"/>
        </w:rPr>
      </w:pPr>
      <w:r w:rsidRPr="00CB093C">
        <w:rPr>
          <w:rFonts w:ascii="Arial" w:hAnsi="Arial" w:cs="Arial"/>
          <w:color w:val="000000" w:themeColor="text1"/>
          <w:szCs w:val="22"/>
        </w:rPr>
        <w:t>δ</w:t>
      </w:r>
      <w:r w:rsidRPr="00CB093C">
        <w:rPr>
          <w:rFonts w:ascii="Arial" w:hAnsi="Arial" w:cs="Arial"/>
          <w:color w:val="000000" w:themeColor="text1"/>
          <w:szCs w:val="22"/>
          <w:vertAlign w:val="superscript"/>
        </w:rPr>
        <w:t>15</w:t>
      </w:r>
      <w:r w:rsidRPr="00CB093C">
        <w:rPr>
          <w:rFonts w:ascii="Arial" w:hAnsi="Arial" w:cs="Arial"/>
          <w:color w:val="000000" w:themeColor="text1"/>
          <w:szCs w:val="22"/>
        </w:rPr>
        <w:t xml:space="preserve">N </w:t>
      </w:r>
      <w:r w:rsidR="00C95F13" w:rsidRPr="00CB093C">
        <w:rPr>
          <w:rFonts w:ascii="Arial" w:hAnsi="Arial" w:cs="Arial"/>
          <w:color w:val="000000" w:themeColor="text1"/>
          <w:szCs w:val="22"/>
        </w:rPr>
        <w:t xml:space="preserve">values </w:t>
      </w:r>
      <w:r w:rsidRPr="00CB093C">
        <w:rPr>
          <w:rFonts w:ascii="Arial" w:hAnsi="Arial" w:cs="Arial"/>
          <w:color w:val="000000" w:themeColor="text1"/>
          <w:szCs w:val="22"/>
        </w:rPr>
        <w:t>can indicate the source of nitrogen</w:t>
      </w:r>
      <w:r w:rsidR="0045782B" w:rsidRPr="00CB093C">
        <w:rPr>
          <w:rFonts w:ascii="Arial" w:hAnsi="Arial" w:cs="Arial"/>
          <w:color w:val="000000" w:themeColor="text1"/>
          <w:szCs w:val="22"/>
        </w:rPr>
        <w:t>.</w:t>
      </w:r>
      <w:r w:rsidRPr="00CB093C">
        <w:rPr>
          <w:rFonts w:ascii="Arial" w:hAnsi="Arial" w:cs="Arial"/>
          <w:color w:val="000000" w:themeColor="text1"/>
          <w:szCs w:val="22"/>
        </w:rPr>
        <w:t xml:space="preserve"> </w:t>
      </w:r>
      <w:r w:rsidR="0045782B" w:rsidRPr="00CB093C">
        <w:rPr>
          <w:rFonts w:ascii="Arial" w:hAnsi="Arial" w:cs="Arial"/>
          <w:szCs w:val="22"/>
        </w:rPr>
        <w:t xml:space="preserve">Very </w:t>
      </w:r>
      <w:r w:rsidR="0045782B" w:rsidRPr="00CB093C">
        <w:rPr>
          <w:rFonts w:ascii="Arial" w:hAnsi="Arial" w:cs="Arial"/>
          <w:color w:val="000000" w:themeColor="text1"/>
          <w:szCs w:val="22"/>
        </w:rPr>
        <w:t>low (~</w:t>
      </w:r>
      <w:r w:rsidR="007C2608" w:rsidRPr="00CB093C">
        <w:rPr>
          <w:rFonts w:ascii="Arial" w:hAnsi="Arial" w:cs="Arial"/>
          <w:color w:val="000000" w:themeColor="text1"/>
          <w:szCs w:val="22"/>
        </w:rPr>
        <w:t>0‰</w:t>
      </w:r>
      <w:r w:rsidR="0045782B" w:rsidRPr="00CB093C">
        <w:rPr>
          <w:rFonts w:ascii="Arial" w:hAnsi="Arial" w:cs="Arial"/>
          <w:color w:val="000000" w:themeColor="text1"/>
          <w:szCs w:val="22"/>
        </w:rPr>
        <w:t>) or negative values of δ</w:t>
      </w:r>
      <w:r w:rsidR="0045782B" w:rsidRPr="00CB093C">
        <w:rPr>
          <w:rFonts w:ascii="Arial" w:hAnsi="Arial" w:cs="Arial"/>
          <w:color w:val="000000" w:themeColor="text1"/>
          <w:szCs w:val="22"/>
          <w:vertAlign w:val="superscript"/>
        </w:rPr>
        <w:t>15</w:t>
      </w:r>
      <w:r w:rsidR="0045782B" w:rsidRPr="00CB093C">
        <w:rPr>
          <w:rFonts w:ascii="Arial" w:hAnsi="Arial" w:cs="Arial"/>
          <w:color w:val="000000" w:themeColor="text1"/>
          <w:szCs w:val="22"/>
        </w:rPr>
        <w:t>N can indicate nitrogen sourced from nitrogen fixation (</w:t>
      </w:r>
      <w:r w:rsidR="0045782B" w:rsidRPr="00CB093C">
        <w:rPr>
          <w:rFonts w:ascii="Arial" w:hAnsi="Arial" w:cs="Arial"/>
          <w:color w:val="000000" w:themeColor="text1"/>
          <w:szCs w:val="22"/>
        </w:rPr>
        <w:fldChar w:fldCharType="begin"/>
      </w:r>
      <w:r w:rsidR="0045782B" w:rsidRPr="00CB093C">
        <w:rPr>
          <w:rFonts w:ascii="Arial" w:hAnsi="Arial" w:cs="Arial"/>
          <w:color w:val="000000" w:themeColor="text1"/>
          <w:szCs w:val="22"/>
        </w:rPr>
        <w:instrText xml:space="preserve"> ADDIN EN.CITE &lt;EndNote&gt;&lt;Cite&gt;&lt;Author&gt;Owens&lt;/Author&gt;&lt;Year&gt;1988&lt;/Year&gt;&lt;RecNum&gt;10911&lt;/RecNum&gt;&lt;DisplayText&gt;Peterson and Fry 1987; Owens 1988&lt;/DisplayText&gt;&lt;record&gt;&lt;rec-number&gt;10911&lt;/rec-number&gt;&lt;foreign-keys&gt;&lt;key app="EN" db-id="0eve55x9y5vfd6e9dacxtew4eatve2dzds9a" timestamp="1488169659"&gt;10911&lt;/key&gt;&lt;/foreign-keys&gt;&lt;ref-type name="Book Section"&gt;5&lt;/ref-type&gt;&lt;contributors&gt;&lt;authors&gt;&lt;author&gt;Owens, N J P&lt;/author&gt;&lt;/authors&gt;&lt;secondary-authors&gt;&lt;author&gt;Blaxter, J H S&lt;/author&gt;&lt;author&gt;Southward, A J&lt;/author&gt;&lt;/secondary-authors&gt;&lt;/contributors&gt;&lt;titles&gt;&lt;title&gt;Natural Variations in 15N in the Marine Environment&lt;/title&gt;&lt;secondary-title&gt;Advances in Marine Biology&lt;/secondary-title&gt;&lt;/titles&gt;&lt;pages&gt;389-451&lt;/pages&gt;&lt;dates&gt;&lt;year&gt;1988&lt;/year&gt;&lt;/dates&gt;&lt;publisher&gt;Academic Press&lt;/publisher&gt;&lt;urls&gt;&lt;/urls&gt;&lt;/record&gt;&lt;/Cite&gt;&lt;Cite&gt;&lt;Author&gt;Peterson&lt;/Author&gt;&lt;Year&gt;1987&lt;/Year&gt;&lt;RecNum&gt;1082&lt;/RecNum&gt;&lt;record&gt;&lt;rec-number&gt;1082&lt;/rec-number&gt;&lt;foreign-keys&gt;&lt;key app="EN" db-id="0eve55x9y5vfd6e9dacxtew4eatve2dzds9a" timestamp="0"&gt;1082&lt;/key&gt;&lt;/foreign-keys&gt;&lt;ref-type name="Journal Article"&gt;17&lt;/ref-type&gt;&lt;contributors&gt;&lt;authors&gt;&lt;author&gt;Peterson, Bruce J.&lt;/author&gt;&lt;author&gt;Fry, B.&lt;/author&gt;&lt;/authors&gt;&lt;/contributors&gt;&lt;titles&gt;&lt;title&gt;Stable Isotopes in Ecostystem Studies&lt;/title&gt;&lt;secondary-title&gt;Annual Reveiw of Ecological Systematics&lt;/secondary-title&gt;&lt;alt-title&gt;Ann. Rev. Ecol. Syst&lt;/alt-title&gt;&lt;/titles&gt;&lt;pages&gt;293-320&lt;/pages&gt;&lt;volume&gt;18&lt;/volume&gt;&lt;keywords&gt;&lt;keyword&gt;ISOTOPES&lt;/keyword&gt;&lt;/keywords&gt;&lt;dates&gt;&lt;year&gt;1987&lt;/year&gt;&lt;/dates&gt;&lt;label&gt;1159&lt;/label&gt;&lt;urls&gt;&lt;/urls&gt;&lt;custom1&gt;Annex&lt;/custom1&gt;&lt;/record&gt;&lt;/Cite&gt;&lt;/EndNote&gt;</w:instrText>
      </w:r>
      <w:r w:rsidR="0045782B" w:rsidRPr="00CB093C">
        <w:rPr>
          <w:rFonts w:ascii="Arial" w:hAnsi="Arial" w:cs="Arial"/>
          <w:color w:val="000000" w:themeColor="text1"/>
          <w:szCs w:val="22"/>
        </w:rPr>
        <w:fldChar w:fldCharType="separate"/>
      </w:r>
      <w:hyperlink w:anchor="_ENREF_122" w:tooltip="Peterson, 1987 #1082" w:history="1">
        <w:r w:rsidR="00513C39" w:rsidRPr="00CB093C">
          <w:rPr>
            <w:rFonts w:ascii="Arial" w:hAnsi="Arial" w:cs="Arial"/>
            <w:noProof/>
            <w:color w:val="000000" w:themeColor="text1"/>
            <w:szCs w:val="22"/>
          </w:rPr>
          <w:t>Peterson and Fry 1987</w:t>
        </w:r>
      </w:hyperlink>
      <w:r w:rsidR="0045782B" w:rsidRPr="00CB093C">
        <w:rPr>
          <w:rFonts w:ascii="Arial" w:hAnsi="Arial" w:cs="Arial"/>
          <w:noProof/>
          <w:color w:val="000000" w:themeColor="text1"/>
          <w:szCs w:val="22"/>
        </w:rPr>
        <w:t xml:space="preserve">; </w:t>
      </w:r>
      <w:hyperlink w:anchor="_ENREF_121" w:tooltip="Owens, 1988 #10911" w:history="1">
        <w:r w:rsidR="00513C39" w:rsidRPr="00CB093C">
          <w:rPr>
            <w:rFonts w:ascii="Arial" w:hAnsi="Arial" w:cs="Arial"/>
            <w:noProof/>
            <w:color w:val="000000" w:themeColor="text1"/>
            <w:szCs w:val="22"/>
          </w:rPr>
          <w:t>Owens 1988</w:t>
        </w:r>
      </w:hyperlink>
      <w:r w:rsidR="0045782B" w:rsidRPr="00CB093C">
        <w:rPr>
          <w:rFonts w:ascii="Arial" w:hAnsi="Arial" w:cs="Arial"/>
          <w:color w:val="000000" w:themeColor="text1"/>
          <w:szCs w:val="22"/>
        </w:rPr>
        <w:fldChar w:fldCharType="end"/>
      </w:r>
      <w:r w:rsidR="0045782B" w:rsidRPr="00CB093C">
        <w:rPr>
          <w:rFonts w:ascii="Arial" w:hAnsi="Arial" w:cs="Arial"/>
          <w:color w:val="000000" w:themeColor="text1"/>
          <w:szCs w:val="22"/>
        </w:rPr>
        <w:t>), which can supply one third to one half of seagrass demand (</w:t>
      </w:r>
      <w:hyperlink w:anchor="_ENREF_118" w:tooltip="O'Donohue, 1991 #258"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&lt;EndNote&gt;&lt;Cite&gt;&lt;Author&gt;O&amp;apos;Donohue&lt;/Author&gt;&lt;Year&gt;1991&lt;/Year&gt;&lt;RecNum&gt;258&lt;/RecNum&gt;&lt;DisplayText&gt;O&amp;apos;Donohue&lt;style face="italic"&gt; et al.&lt;/style&gt; 1991&lt;/DisplayText&gt;&lt;record&gt;&lt;rec-number&gt;258&lt;/rec-number&gt;&lt;foreign-keys&gt;&lt;key app="EN" db-id="0eve55x9y5vfd6e9dacxtew4eatve2dzds9a" timestamp="0"&gt;258&lt;/key&gt;&lt;/foreign-keys&gt;&lt;ref-type name="Journal Article"&gt;17&lt;/ref-type&gt;&lt;contributors&gt;&lt;authors&gt;&lt;author&gt;O&amp;apos;Donohue, M. J.&lt;/author&gt;&lt;author&gt;Moriarty, D. J. W.&lt;/author&gt;&lt;author&gt;Mac Rae, I. C.&lt;/author&gt;&lt;/authors&gt;&lt;/contributors&gt;&lt;titles&gt;&lt;title&gt;&lt;style face="normal" font="default" size="100%"&gt;Nitrogen fixation in sediments and the rhizosphere of the seagrass &lt;/style&gt;&lt;style face="italic" font="default" size="100%"&gt;Zostera capricorni&lt;/style&gt;&lt;/title&gt;&lt;secondary-title&gt;Microbial Ecology&lt;/secondary-title&gt;&lt;alt-title&gt;Microb. Ecol&lt;/alt-title&gt;&lt;/titles&gt;&lt;periodical&gt;&lt;full-title&gt;Microbial Ecology&lt;/full-title&gt;&lt;/periodical&gt;&lt;pages&gt;53-64&lt;/pages&gt;&lt;volume&gt;22&lt;/volume&gt;&lt;number&gt;1&lt;/number&gt;&lt;keywords&gt;&lt;keyword&gt;GIBIBLIO&lt;/keyword&gt;&lt;keyword&gt;NITROGEN&lt;/keyword&gt;&lt;/keywords&gt;&lt;dates&gt;&lt;year&gt;1991&lt;/year&gt;&lt;/dates&gt;&lt;label&gt;218&lt;/label&gt;&lt;urls&gt;&lt;/urls&gt;&lt;custom1&gt;Annex&lt;/custom1&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O'Donohue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1991</w:t>
        </w:r>
        <w:r w:rsidR="00513C39" w:rsidRPr="00CB093C">
          <w:rPr>
            <w:rFonts w:ascii="Arial" w:hAnsi="Arial" w:cs="Arial"/>
            <w:color w:val="000000" w:themeColor="text1"/>
            <w:szCs w:val="22"/>
          </w:rPr>
          <w:fldChar w:fldCharType="end"/>
        </w:r>
      </w:hyperlink>
      <w:r w:rsidR="0045782B" w:rsidRPr="00CB093C">
        <w:rPr>
          <w:rFonts w:ascii="Arial" w:hAnsi="Arial" w:cs="Arial"/>
          <w:color w:val="000000" w:themeColor="text1"/>
          <w:szCs w:val="22"/>
        </w:rPr>
        <w:t>). Moderate values indicate internal sources from remineralisation (</w:t>
      </w:r>
      <w:r w:rsidR="0045782B" w:rsidRPr="00CB093C">
        <w:rPr>
          <w:rFonts w:ascii="Arial" w:hAnsi="Arial" w:cs="Arial"/>
          <w:color w:val="000000" w:themeColor="text1"/>
          <w:szCs w:val="22"/>
        </w:rPr>
        <w:fldChar w:fldCharType="begin"/>
      </w:r>
      <w:r w:rsidR="0045782B" w:rsidRPr="00CB093C">
        <w:rPr>
          <w:rFonts w:ascii="Arial" w:hAnsi="Arial" w:cs="Arial"/>
          <w:color w:val="000000" w:themeColor="text1"/>
          <w:szCs w:val="22"/>
        </w:rPr>
        <w:instrText xml:space="preserve"> ADDIN EN.CITE &lt;EndNote&gt;&lt;Cite&gt;&lt;Author&gt;Owens&lt;/Author&gt;&lt;Year&gt;1988&lt;/Year&gt;&lt;RecNum&gt;10911&lt;/RecNum&gt;&lt;DisplayText&gt;Peterson and Fry 1987; Owens 1988&lt;/DisplayText&gt;&lt;record&gt;&lt;rec-number&gt;10911&lt;/rec-number&gt;&lt;foreign-keys&gt;&lt;key app="EN" db-id="0eve55x9y5vfd6e9dacxtew4eatve2dzds9a" timestamp="1488169659"&gt;10911&lt;/key&gt;&lt;/foreign-keys&gt;&lt;ref-type name="Book Section"&gt;5&lt;/ref-type&gt;&lt;contributors&gt;&lt;authors&gt;&lt;author&gt;Owens, N J P&lt;/author&gt;&lt;/authors&gt;&lt;secondary-authors&gt;&lt;author&gt;Blaxter, J H S&lt;/author&gt;&lt;author&gt;Southward, A J&lt;/author&gt;&lt;/secondary-authors&gt;&lt;/contributors&gt;&lt;titles&gt;&lt;title&gt;Natural Variations in 15N in the Marine Environment&lt;/title&gt;&lt;secondary-title&gt;Advances in Marine Biology&lt;/secondary-title&gt;&lt;/titles&gt;&lt;pages&gt;389-451&lt;/pages&gt;&lt;dates&gt;&lt;year&gt;1988&lt;/year&gt;&lt;/dates&gt;&lt;publisher&gt;Academic Press&lt;/publisher&gt;&lt;urls&gt;&lt;/urls&gt;&lt;/record&gt;&lt;/Cite&gt;&lt;Cite&gt;&lt;Author&gt;Peterson&lt;/Author&gt;&lt;Year&gt;1987&lt;/Year&gt;&lt;RecNum&gt;1082&lt;/RecNum&gt;&lt;record&gt;&lt;rec-number&gt;1082&lt;/rec-number&gt;&lt;foreign-keys&gt;&lt;key app="EN" db-id="0eve55x9y5vfd6e9dacxtew4eatve2dzds9a" timestamp="0"&gt;1082&lt;/key&gt;&lt;/foreign-keys&gt;&lt;ref-type name="Journal Article"&gt;17&lt;/ref-type&gt;&lt;contributors&gt;&lt;authors&gt;&lt;author&gt;Peterson, Bruce J.&lt;/author&gt;&lt;author&gt;Fry, B.&lt;/author&gt;&lt;/authors&gt;&lt;/contributors&gt;&lt;titles&gt;&lt;title&gt;Stable Isotopes in Ecostystem Studies&lt;/title&gt;&lt;secondary-title&gt;Annual Reveiw of Ecological Systematics&lt;/secondary-title&gt;&lt;alt-title&gt;Ann. Rev. Ecol. Syst&lt;/alt-title&gt;&lt;/titles&gt;&lt;pages&gt;293-320&lt;/pages&gt;&lt;volume&gt;18&lt;/volume&gt;&lt;keywords&gt;&lt;keyword&gt;ISOTOPES&lt;/keyword&gt;&lt;/keywords&gt;&lt;dates&gt;&lt;year&gt;1987&lt;/year&gt;&lt;/dates&gt;&lt;label&gt;1159&lt;/label&gt;&lt;urls&gt;&lt;/urls&gt;&lt;custom1&gt;Annex&lt;/custom1&gt;&lt;/record&gt;&lt;/Cite&gt;&lt;/EndNote&gt;</w:instrText>
      </w:r>
      <w:r w:rsidR="0045782B" w:rsidRPr="00CB093C">
        <w:rPr>
          <w:rFonts w:ascii="Arial" w:hAnsi="Arial" w:cs="Arial"/>
          <w:color w:val="000000" w:themeColor="text1"/>
          <w:szCs w:val="22"/>
        </w:rPr>
        <w:fldChar w:fldCharType="separate"/>
      </w:r>
      <w:hyperlink w:anchor="_ENREF_122" w:tooltip="Peterson, 1987 #1082" w:history="1">
        <w:r w:rsidR="00513C39" w:rsidRPr="00CB093C">
          <w:rPr>
            <w:rFonts w:ascii="Arial" w:hAnsi="Arial" w:cs="Arial"/>
            <w:noProof/>
            <w:color w:val="000000" w:themeColor="text1"/>
            <w:szCs w:val="22"/>
          </w:rPr>
          <w:t>Peterson and Fry 1987</w:t>
        </w:r>
      </w:hyperlink>
      <w:r w:rsidR="0045782B" w:rsidRPr="00CB093C">
        <w:rPr>
          <w:rFonts w:ascii="Arial" w:hAnsi="Arial" w:cs="Arial"/>
          <w:noProof/>
          <w:color w:val="000000" w:themeColor="text1"/>
          <w:szCs w:val="22"/>
        </w:rPr>
        <w:t xml:space="preserve">; </w:t>
      </w:r>
      <w:hyperlink w:anchor="_ENREF_121" w:tooltip="Owens, 1988 #10911" w:history="1">
        <w:r w:rsidR="00513C39" w:rsidRPr="00CB093C">
          <w:rPr>
            <w:rFonts w:ascii="Arial" w:hAnsi="Arial" w:cs="Arial"/>
            <w:noProof/>
            <w:color w:val="000000" w:themeColor="text1"/>
            <w:szCs w:val="22"/>
          </w:rPr>
          <w:t>Owens 1988</w:t>
        </w:r>
      </w:hyperlink>
      <w:r w:rsidR="0045782B" w:rsidRPr="00CB093C">
        <w:rPr>
          <w:rFonts w:ascii="Arial" w:hAnsi="Arial" w:cs="Arial"/>
          <w:color w:val="000000" w:themeColor="text1"/>
          <w:szCs w:val="22"/>
        </w:rPr>
        <w:fldChar w:fldCharType="end"/>
      </w:r>
      <w:r w:rsidR="0045782B" w:rsidRPr="00CB093C">
        <w:rPr>
          <w:rFonts w:ascii="Arial" w:hAnsi="Arial" w:cs="Arial"/>
          <w:color w:val="000000" w:themeColor="text1"/>
          <w:szCs w:val="22"/>
        </w:rPr>
        <w:t>) and higher values (&gt;3‰) can indicate anthropogenic sources (e.g. sewage (</w:t>
      </w:r>
      <w:r w:rsidR="0045782B" w:rsidRPr="00CB093C">
        <w:rPr>
          <w:rFonts w:ascii="Arial" w:hAnsi="Arial" w:cs="Arial"/>
          <w:color w:val="000000" w:themeColor="text1"/>
          <w:szCs w:val="22"/>
        </w:rPr>
        <w:fldChar w:fldCharType="begin">
          <w:fldData xml:space="preserve">PEVuZE5vdGU+PENpdGU+PEF1dGhvcj5Db3N0YW56bzwvQXV0aG9yPjxZZWFyPjIwMDE8L1llYXI+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</w:fldData>
        </w:fldChar>
      </w:r>
      <w:r w:rsidR="00E8388E" w:rsidRPr="00CB093C">
        <w:rPr>
          <w:rFonts w:ascii="Arial" w:hAnsi="Arial" w:cs="Arial"/>
          <w:color w:val="000000" w:themeColor="text1"/>
          <w:szCs w:val="22"/>
        </w:rPr>
        <w:instrText xml:space="preserve"> ADDIN EN.CITE </w:instrText>
      </w:r>
      <w:r w:rsidR="00E8388E" w:rsidRPr="00CB093C">
        <w:rPr>
          <w:rFonts w:ascii="Arial" w:hAnsi="Arial" w:cs="Arial"/>
          <w:color w:val="000000" w:themeColor="text1"/>
          <w:szCs w:val="22"/>
        </w:rPr>
        <w:fldChar w:fldCharType="begin">
          <w:fldData xml:space="preserve">PEVuZE5vdGU+PENpdGU+PEF1dGhvcj5Db3N0YW56bzwvQXV0aG9yPjxZZWFyPjIwMDE8L1llYXI+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</w:fldData>
        </w:fldChar>
      </w:r>
      <w:r w:rsidR="00E8388E" w:rsidRPr="00CB093C">
        <w:rPr>
          <w:rFonts w:ascii="Arial" w:hAnsi="Arial" w:cs="Arial"/>
          <w:color w:val="000000" w:themeColor="text1"/>
          <w:szCs w:val="22"/>
        </w:rPr>
        <w:instrText xml:space="preserve"> ADDIN EN.CITE.DATA </w:instrText>
      </w:r>
      <w:r w:rsidR="00E8388E" w:rsidRPr="00CB093C">
        <w:rPr>
          <w:rFonts w:ascii="Arial" w:hAnsi="Arial" w:cs="Arial"/>
          <w:color w:val="000000" w:themeColor="text1"/>
          <w:szCs w:val="22"/>
        </w:rPr>
      </w:r>
      <w:r w:rsidR="00E8388E" w:rsidRPr="00CB093C">
        <w:rPr>
          <w:rFonts w:ascii="Arial" w:hAnsi="Arial" w:cs="Arial"/>
          <w:color w:val="000000" w:themeColor="text1"/>
          <w:szCs w:val="22"/>
        </w:rPr>
        <w:fldChar w:fldCharType="end"/>
      </w:r>
      <w:r w:rsidR="0045782B" w:rsidRPr="00CB093C">
        <w:rPr>
          <w:rFonts w:ascii="Arial" w:hAnsi="Arial" w:cs="Arial"/>
          <w:color w:val="000000" w:themeColor="text1"/>
          <w:szCs w:val="22"/>
        </w:rPr>
      </w:r>
      <w:r w:rsidR="0045782B" w:rsidRPr="00CB093C">
        <w:rPr>
          <w:rFonts w:ascii="Arial" w:hAnsi="Arial" w:cs="Arial"/>
          <w:color w:val="000000" w:themeColor="text1"/>
          <w:szCs w:val="22"/>
        </w:rPr>
        <w:fldChar w:fldCharType="separate"/>
      </w:r>
      <w:hyperlink w:anchor="_ENREF_39" w:tooltip="Costanzo, 2001 #2582" w:history="1">
        <w:r w:rsidR="00513C39" w:rsidRPr="00CB093C">
          <w:rPr>
            <w:rFonts w:ascii="Arial" w:hAnsi="Arial" w:cs="Arial"/>
            <w:noProof/>
            <w:color w:val="000000" w:themeColor="text1"/>
            <w:szCs w:val="22"/>
          </w:rPr>
          <w:t>Costanzo</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2001</w:t>
        </w:r>
      </w:hyperlink>
      <w:r w:rsidR="00E8388E" w:rsidRPr="00CB093C">
        <w:rPr>
          <w:rFonts w:ascii="Arial" w:hAnsi="Arial" w:cs="Arial"/>
          <w:noProof/>
          <w:color w:val="000000" w:themeColor="text1"/>
          <w:szCs w:val="22"/>
        </w:rPr>
        <w:t xml:space="preserve">; </w:t>
      </w:r>
      <w:hyperlink w:anchor="_ENREF_74" w:tooltip="Jones, 2018 #11505" w:history="1">
        <w:r w:rsidR="00513C39" w:rsidRPr="00CB093C">
          <w:rPr>
            <w:rFonts w:ascii="Arial" w:hAnsi="Arial" w:cs="Arial"/>
            <w:noProof/>
            <w:color w:val="000000" w:themeColor="text1"/>
            <w:szCs w:val="22"/>
          </w:rPr>
          <w:t>Jones</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2018</w:t>
        </w:r>
      </w:hyperlink>
      <w:r w:rsidR="0045782B" w:rsidRPr="00CB093C">
        <w:rPr>
          <w:rFonts w:ascii="Arial" w:hAnsi="Arial" w:cs="Arial"/>
          <w:color w:val="000000" w:themeColor="text1"/>
          <w:szCs w:val="22"/>
        </w:rPr>
        <w:fldChar w:fldCharType="end"/>
      </w:r>
      <w:hyperlink w:anchor="_ENREF_73" w:tooltip="Jones, 2018 #11505" w:history="1"/>
      <w:r w:rsidR="0045782B" w:rsidRPr="00CB093C">
        <w:rPr>
          <w:rFonts w:ascii="Arial" w:hAnsi="Arial" w:cs="Arial"/>
          <w:color w:val="000000" w:themeColor="text1"/>
          <w:szCs w:val="22"/>
        </w:rPr>
        <w:t>) or from fertiliser (</w:t>
      </w:r>
      <w:hyperlink w:anchor="_ENREF_140" w:tooltip="Udy, 1999 #2371"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&lt;EndNote&gt;&lt;Cite&gt;&lt;Author&gt;Udy&lt;/Author&gt;&lt;Year&gt;1999&lt;/Year&gt;&lt;RecNum&gt;2371&lt;/RecNum&gt;&lt;DisplayText&gt;Udy&lt;style face="italic"&gt; et al.&lt;/style&gt; 1999&lt;/DisplayText&gt;&lt;record&gt;&lt;rec-number&gt;2371&lt;/rec-number&gt;&lt;foreign-keys&gt;&lt;key app="EN" db-id="0eve55x9y5vfd6e9dacxtew4eatve2dzds9a" timestamp="0"&gt;2371&lt;/key&gt;&lt;/foreign-keys&gt;&lt;ref-type name="Journal Article"&gt;17&lt;/ref-type&gt;&lt;contributors&gt;&lt;authors&gt;&lt;author&gt;Udy, James W.&lt;/author&gt;&lt;author&gt;Dennison, W. C.&lt;/author&gt;&lt;author&gt;Lee Long, W. J.&lt;/author&gt;&lt;author&gt;McKenzie, Len J.&lt;/author&gt;&lt;/authors&gt;&lt;/contributors&gt;&lt;titles&gt;&lt;title&gt;Responses of seagrass to nutrients in the Great Barrier Reef, Australia.&lt;/title&gt;&lt;secondary-title&gt;Marine Ecology Progress Series&lt;/secondary-title&gt;&lt;/titles&gt;&lt;periodical&gt;&lt;full-title&gt;Marine Ecology Progress Series&lt;/full-title&gt;&lt;/periodical&gt;&lt;pages&gt;257-271&lt;/pages&gt;&lt;volume&gt;185&lt;/volume&gt;&lt;keywords&gt;&lt;keyword&gt;Seagrass, Great Barrier Reef, Nutrients&lt;/keyword&gt;&lt;/keywords&gt;&lt;dates&gt;&lt;year&gt;1999&lt;/year&gt;&lt;pub-dates&gt;&lt;date&gt;August 20&lt;/date&gt;&lt;/pub-dates&gt;&lt;/dates&gt;&lt;urls&gt;&lt;/urls&gt;&lt;custom1&gt;Annex. Len McKenzie Collection&lt;/custom1&gt;&lt;/record&gt;&lt;/Cite&gt;&lt;/EndNote&gt;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Udy</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1999</w:t>
        </w:r>
        <w:r w:rsidR="00513C39" w:rsidRPr="00CB093C">
          <w:rPr>
            <w:rFonts w:ascii="Arial" w:hAnsi="Arial" w:cs="Arial"/>
            <w:color w:val="000000" w:themeColor="text1"/>
            <w:szCs w:val="22"/>
          </w:rPr>
          <w:fldChar w:fldCharType="end"/>
        </w:r>
      </w:hyperlink>
      <w:r w:rsidR="0045782B" w:rsidRPr="00CB093C">
        <w:rPr>
          <w:rFonts w:ascii="Arial" w:hAnsi="Arial" w:cs="Arial"/>
          <w:color w:val="000000" w:themeColor="text1"/>
          <w:szCs w:val="22"/>
        </w:rPr>
        <w:t>)).</w:t>
      </w:r>
      <w:r w:rsidR="007C2608" w:rsidRPr="00CB093C">
        <w:rPr>
          <w:rFonts w:ascii="Arial" w:hAnsi="Arial" w:cs="Arial"/>
          <w:color w:val="000000" w:themeColor="text1"/>
          <w:szCs w:val="22"/>
        </w:rPr>
        <w:t xml:space="preserve"> In general, δ</w:t>
      </w:r>
      <w:r w:rsidR="007C2608" w:rsidRPr="00CB093C">
        <w:rPr>
          <w:rFonts w:ascii="Arial" w:hAnsi="Arial" w:cs="Arial"/>
          <w:color w:val="000000" w:themeColor="text1"/>
          <w:szCs w:val="22"/>
          <w:vertAlign w:val="superscript"/>
        </w:rPr>
        <w:t>15</w:t>
      </w:r>
      <w:r w:rsidR="007C2608" w:rsidRPr="00CB093C">
        <w:rPr>
          <w:rFonts w:ascii="Arial" w:hAnsi="Arial" w:cs="Arial"/>
          <w:color w:val="000000" w:themeColor="text1"/>
          <w:szCs w:val="22"/>
        </w:rPr>
        <w:t>N in seagrass tissues are low but variable (</w:t>
      </w:r>
      <w:r w:rsidR="007C2608" w:rsidRPr="00CB093C">
        <w:rPr>
          <w:rFonts w:ascii="Arial" w:hAnsi="Arial" w:cs="Arial"/>
          <w:szCs w:val="22"/>
        </w:rPr>
        <w:fldChar w:fldCharType="begin"/>
      </w:r>
      <w:r w:rsidR="007C2608" w:rsidRPr="00CB093C">
        <w:rPr>
          <w:rFonts w:ascii="Arial" w:hAnsi="Arial" w:cs="Arial"/>
          <w:color w:val="000000" w:themeColor="text1"/>
          <w:szCs w:val="22"/>
        </w:rPr>
        <w:instrText xml:space="preserve"> REF _Ref271613914 \h </w:instrText>
      </w:r>
      <w:r w:rsidR="007C2608" w:rsidRPr="00CB093C">
        <w:rPr>
          <w:rFonts w:ascii="Arial" w:hAnsi="Arial" w:cs="Arial"/>
          <w:szCs w:val="22"/>
        </w:rPr>
        <w:instrText xml:space="preserve"> \* MERGEFORMAT </w:instrText>
      </w:r>
      <w:r w:rsidR="007C2608" w:rsidRPr="00CB093C">
        <w:rPr>
          <w:rFonts w:ascii="Arial" w:hAnsi="Arial" w:cs="Arial"/>
          <w:szCs w:val="22"/>
        </w:rPr>
      </w:r>
      <w:r w:rsidR="007C2608"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23</w:t>
      </w:r>
      <w:r w:rsidR="007C2608" w:rsidRPr="00CB093C">
        <w:rPr>
          <w:rFonts w:ascii="Arial" w:hAnsi="Arial" w:cs="Arial"/>
          <w:szCs w:val="22"/>
        </w:rPr>
        <w:fldChar w:fldCharType="end"/>
      </w:r>
      <w:r w:rsidR="007C2608" w:rsidRPr="00CB093C">
        <w:rPr>
          <w:rFonts w:ascii="Arial" w:hAnsi="Arial" w:cs="Arial"/>
          <w:color w:val="000000" w:themeColor="text1"/>
          <w:szCs w:val="22"/>
        </w:rPr>
        <w:t>), suggesting multiple sources of nitrogen. There is currently no indication or concern that anthropgenic point sources are strongly influencing seagrass N supply.</w:t>
      </w:r>
    </w:p>
    <w:p w14:paraId="30E7F56B" w14:textId="6D138BAE" w:rsidR="00C95F13" w:rsidRPr="00CB093C" w:rsidRDefault="00C95F13" w:rsidP="00C95F13">
      <w:pPr>
        <w:rPr>
          <w:rFonts w:ascii="Arial" w:hAnsi="Arial" w:cs="Arial"/>
          <w:color w:val="000000" w:themeColor="text1"/>
          <w:szCs w:val="22"/>
        </w:rPr>
      </w:pPr>
      <w:r w:rsidRPr="00CB093C">
        <w:rPr>
          <w:rFonts w:ascii="Arial" w:hAnsi="Arial" w:cs="Arial"/>
          <w:szCs w:val="22"/>
        </w:rPr>
        <w:t xml:space="preserve">The less </w:t>
      </w:r>
      <w:r w:rsidRPr="00CB093C">
        <w:rPr>
          <w:rFonts w:ascii="Arial" w:hAnsi="Arial" w:cs="Arial"/>
          <w:color w:val="000000" w:themeColor="text1"/>
          <w:szCs w:val="22"/>
        </w:rPr>
        <w:t>negative leaf tissue δ</w:t>
      </w:r>
      <w:r w:rsidRPr="00CB093C">
        <w:rPr>
          <w:rFonts w:ascii="Arial" w:hAnsi="Arial" w:cs="Arial"/>
          <w:color w:val="000000" w:themeColor="text1"/>
          <w:szCs w:val="22"/>
          <w:vertAlign w:val="superscript"/>
        </w:rPr>
        <w:t>13</w:t>
      </w:r>
      <w:r w:rsidRPr="00CB093C">
        <w:rPr>
          <w:rFonts w:ascii="Arial" w:hAnsi="Arial" w:cs="Arial"/>
          <w:color w:val="000000" w:themeColor="text1"/>
          <w:szCs w:val="22"/>
        </w:rPr>
        <w:t>C values at reef sites (</w:t>
      </w:r>
      <w:r w:rsidR="008C3F28" w:rsidRPr="00CB093C">
        <w:rPr>
          <w:rFonts w:ascii="Arial" w:hAnsi="Arial" w:cs="Arial"/>
          <w:szCs w:val="22"/>
        </w:rPr>
        <w:fldChar w:fldCharType="begin"/>
      </w:r>
      <w:r w:rsidR="008C3F28" w:rsidRPr="00CB093C">
        <w:rPr>
          <w:rFonts w:ascii="Arial" w:hAnsi="Arial" w:cs="Arial"/>
          <w:color w:val="000000" w:themeColor="text1"/>
          <w:szCs w:val="22"/>
        </w:rPr>
        <w:instrText xml:space="preserve"> REF _Ref271613914 \h </w:instrText>
      </w:r>
      <w:r w:rsidR="00DA741D" w:rsidRPr="00CB093C">
        <w:rPr>
          <w:rFonts w:ascii="Arial" w:hAnsi="Arial" w:cs="Arial"/>
          <w:szCs w:val="22"/>
        </w:rPr>
        <w:instrText xml:space="preserve"> \* MERGEFORMAT </w:instrText>
      </w:r>
      <w:r w:rsidR="008C3F28" w:rsidRPr="00CB093C">
        <w:rPr>
          <w:rFonts w:ascii="Arial" w:hAnsi="Arial" w:cs="Arial"/>
          <w:szCs w:val="22"/>
        </w:rPr>
      </w:r>
      <w:r w:rsidR="008C3F28"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23</w:t>
      </w:r>
      <w:r w:rsidR="008C3F28" w:rsidRPr="00CB093C">
        <w:rPr>
          <w:rFonts w:ascii="Arial" w:hAnsi="Arial" w:cs="Arial"/>
          <w:szCs w:val="22"/>
        </w:rPr>
        <w:fldChar w:fldCharType="end"/>
      </w:r>
      <w:r w:rsidRPr="00CB093C">
        <w:rPr>
          <w:rFonts w:ascii="Arial" w:hAnsi="Arial" w:cs="Arial"/>
          <w:color w:val="000000" w:themeColor="text1"/>
          <w:szCs w:val="22"/>
        </w:rPr>
        <w:t xml:space="preserve">) suggest </w:t>
      </w:r>
      <w:r w:rsidR="00703EDB" w:rsidRPr="00CB093C">
        <w:rPr>
          <w:rFonts w:ascii="Arial" w:hAnsi="Arial" w:cs="Arial"/>
          <w:color w:val="000000" w:themeColor="text1"/>
          <w:szCs w:val="22"/>
        </w:rPr>
        <w:t>higher</w:t>
      </w:r>
      <w:r w:rsidRPr="00CB093C">
        <w:rPr>
          <w:rFonts w:ascii="Arial" w:hAnsi="Arial" w:cs="Arial"/>
          <w:color w:val="000000" w:themeColor="text1"/>
          <w:szCs w:val="22"/>
        </w:rPr>
        <w:t xml:space="preserve"> C uptake (and therefore </w:t>
      </w:r>
      <w:r w:rsidR="00703EDB" w:rsidRPr="00CB093C">
        <w:rPr>
          <w:rFonts w:ascii="Arial" w:hAnsi="Arial" w:cs="Arial"/>
          <w:color w:val="000000" w:themeColor="text1"/>
          <w:szCs w:val="22"/>
        </w:rPr>
        <w:t>less</w:t>
      </w:r>
      <w:r w:rsidRPr="00CB093C">
        <w:rPr>
          <w:rFonts w:ascii="Arial" w:hAnsi="Arial" w:cs="Arial"/>
          <w:color w:val="000000" w:themeColor="text1"/>
          <w:szCs w:val="22"/>
        </w:rPr>
        <w:t xml:space="preserve"> fractionation) (</w:t>
      </w:r>
      <w:hyperlink w:anchor="_ENREF_64" w:tooltip="Grice, 1996 #1346"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&lt;EndNote&gt;&lt;Cite&gt;&lt;Author&gt;Grice&lt;/Author&gt;&lt;Year&gt;1996&lt;/Year&gt;&lt;RecNum&gt;1346&lt;/RecNum&gt;&lt;DisplayText&gt;Grice&lt;style face="italic"&gt; et al.&lt;/style&gt; 1996&lt;/DisplayText&gt;&lt;record&gt;&lt;rec-number&gt;1346&lt;/rec-number&gt;&lt;foreign-keys&gt;&lt;key app="EN" db-id="0eve55x9y5vfd6e9dacxtew4eatve2dzds9a" timestamp="0"&gt;1346&lt;/key&gt;&lt;/foreign-keys&gt;&lt;ref-type name="Journal Article"&gt;17&lt;/ref-type&gt;&lt;contributors&gt;&lt;authors&gt;&lt;author&gt;Grice, AM&lt;/author&gt;&lt;author&gt;Loneragan, NR&lt;/author&gt;&lt;author&gt;Dennison, WC&lt;/author&gt;&lt;/authors&gt;&lt;/contributors&gt;&lt;titles&gt;&lt;title&gt;Light intensity and the interactions between physiology, morphology and stable isotope ratios in five species of seagrass&lt;/title&gt;&lt;secondary-title&gt;Journal of Experimental Marine Biology and Ecology&lt;/secondary-title&gt;&lt;alt-title&gt;J. Exp. Mar. Biol. Ecol.&lt;/alt-title&gt;&lt;/titles&gt;&lt;periodical&gt;&lt;full-title&gt;Journal of Experimental Marine Biology and Ecology&lt;/full-title&gt;&lt;/periodical&gt;&lt;pages&gt;91-110&lt;/pages&gt;&lt;volume&gt;195&lt;/volume&gt;&lt;keywords&gt;&lt;keyword&gt;Carbon, Light, Nitrogen, Seagrass, Stable isotope ratio&lt;/keyword&gt;&lt;/keywords&gt;&lt;dates&gt;&lt;year&gt;1996&lt;/year&gt;&lt;/dates&gt;&lt;urls&gt;&lt;/urls&gt;&lt;custom1&gt;Len McKenzie Collection&lt;/custom1&gt;&lt;/record&gt;&lt;/Cite&gt;&lt;/EndNote&gt;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Grice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1996</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while at coastal sites the more </w:t>
      </w:r>
      <w:r w:rsidRPr="00CB093C">
        <w:rPr>
          <w:rFonts w:ascii="Arial" w:hAnsi="Arial" w:cs="Arial"/>
          <w:szCs w:val="22"/>
        </w:rPr>
        <w:t xml:space="preserve">negative values suggest </w:t>
      </w:r>
      <w:r w:rsidR="00703EDB" w:rsidRPr="00CB093C">
        <w:rPr>
          <w:rFonts w:ascii="Arial" w:hAnsi="Arial" w:cs="Arial"/>
          <w:szCs w:val="22"/>
        </w:rPr>
        <w:t>lower</w:t>
      </w:r>
      <w:r w:rsidRPr="00CB093C">
        <w:rPr>
          <w:rFonts w:ascii="Arial" w:hAnsi="Arial" w:cs="Arial"/>
          <w:szCs w:val="22"/>
        </w:rPr>
        <w:t xml:space="preserve"> C uptake (</w:t>
      </w:r>
      <w:r w:rsidR="008C3F28" w:rsidRPr="00CB093C">
        <w:rPr>
          <w:rFonts w:ascii="Arial" w:hAnsi="Arial" w:cs="Arial"/>
          <w:szCs w:val="22"/>
        </w:rPr>
        <w:fldChar w:fldCharType="begin"/>
      </w:r>
      <w:r w:rsidR="008C3F28" w:rsidRPr="00CB093C">
        <w:rPr>
          <w:rFonts w:ascii="Arial" w:hAnsi="Arial" w:cs="Arial"/>
          <w:color w:val="000000" w:themeColor="text1"/>
          <w:szCs w:val="22"/>
        </w:rPr>
        <w:instrText xml:space="preserve"> REF _Ref271613914 \h </w:instrText>
      </w:r>
      <w:r w:rsidR="00DA741D" w:rsidRPr="00CB093C">
        <w:rPr>
          <w:rFonts w:ascii="Arial" w:hAnsi="Arial" w:cs="Arial"/>
          <w:szCs w:val="22"/>
        </w:rPr>
        <w:instrText xml:space="preserve"> \* MERGEFORMAT </w:instrText>
      </w:r>
      <w:r w:rsidR="008C3F28" w:rsidRPr="00CB093C">
        <w:rPr>
          <w:rFonts w:ascii="Arial" w:hAnsi="Arial" w:cs="Arial"/>
          <w:szCs w:val="22"/>
        </w:rPr>
      </w:r>
      <w:r w:rsidR="008C3F28"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23</w:t>
      </w:r>
      <w:r w:rsidR="008C3F28" w:rsidRPr="00CB093C">
        <w:rPr>
          <w:rFonts w:ascii="Arial" w:hAnsi="Arial" w:cs="Arial"/>
          <w:szCs w:val="22"/>
        </w:rPr>
        <w:fldChar w:fldCharType="end"/>
      </w:r>
      <w:r w:rsidRPr="00CB093C">
        <w:rPr>
          <w:rFonts w:ascii="Arial" w:hAnsi="Arial" w:cs="Arial"/>
          <w:szCs w:val="22"/>
        </w:rPr>
        <w:t xml:space="preserve">). </w:t>
      </w:r>
    </w:p>
    <w:p w14:paraId="546C9084" w14:textId="59086833" w:rsidR="00460D75" w:rsidRPr="00CB093C" w:rsidRDefault="00C95F13" w:rsidP="00C97A63">
      <w:pPr>
        <w:rPr>
          <w:rFonts w:ascii="Arial" w:hAnsi="Arial" w:cs="Arial"/>
          <w:color w:val="000000"/>
          <w:szCs w:val="22"/>
        </w:rPr>
      </w:pPr>
      <w:r w:rsidRPr="00CB093C">
        <w:rPr>
          <w:rFonts w:ascii="Arial" w:hAnsi="Arial" w:cs="Arial"/>
          <w:szCs w:val="22"/>
        </w:rPr>
        <w:br w:type="column"/>
      </w:r>
      <w:r w:rsidR="00460D75" w:rsidRPr="00CB093C">
        <w:rPr>
          <w:rFonts w:ascii="Arial" w:hAnsi="Arial" w:cs="Arial"/>
          <w:noProof/>
          <w:color w:val="000000"/>
          <w:szCs w:val="22"/>
          <w:lang w:val="en-US"/>
        </w:rPr>
        <w:lastRenderedPageBreak/>
        <w:drawing>
          <wp:inline distT="0" distB="0" distL="0" distR="0" wp14:anchorId="289FC8FA" wp14:editId="77A98A22">
            <wp:extent cx="6024970" cy="6997700"/>
            <wp:effectExtent l="0" t="0" r="0" b="0"/>
            <wp:docPr id="243" name="Picture 243" descr="Set of twenty eight scatter plots,displayed in seven by four matrix,  with straight lines and markers showing annual elemental ratios (atomic) of seagrass leaf tissue C:N, N:P, C:P, percent Nitrogen, percent Phosphorous, delta 13 Carbon and delta 15 Nitrogen concentrations for each four GBR seagrass habitat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GBR_N_P_yr_Dec16.png"/>
                    <pic:cNvPicPr/>
                  </pic:nvPicPr>
                  <pic:blipFill>
                    <a:blip r:embed="rId67"/>
                    <a:stretch>
                      <a:fillRect/>
                    </a:stretch>
                  </pic:blipFill>
                  <pic:spPr>
                    <a:xfrm>
                      <a:off x="0" y="0"/>
                      <a:ext cx="6034564" cy="7008843"/>
                    </a:xfrm>
                    <a:prstGeom prst="rect">
                      <a:avLst/>
                    </a:prstGeom>
                  </pic:spPr>
                </pic:pic>
              </a:graphicData>
            </a:graphic>
          </wp:inline>
        </w:drawing>
      </w:r>
    </w:p>
    <w:p w14:paraId="740D39DA" w14:textId="551B85C8" w:rsidR="00C97A63" w:rsidRPr="00CB093C" w:rsidRDefault="00460D75" w:rsidP="00C97A63">
      <w:pPr>
        <w:pStyle w:val="Caption"/>
        <w:rPr>
          <w:rFonts w:ascii="Arial" w:hAnsi="Arial" w:cs="Arial"/>
          <w:i/>
          <w:vanish/>
          <w:color w:val="000000" w:themeColor="text1"/>
          <w:szCs w:val="22"/>
          <w:specVanish/>
        </w:rPr>
      </w:pPr>
      <w:bookmarkStart w:id="198" w:name="_Ref271613914"/>
      <w:bookmarkStart w:id="199" w:name="_Toc6402788"/>
      <w:bookmarkStart w:id="200" w:name="_Toc431493810"/>
      <w:bookmarkStart w:id="201" w:name="_Ref499809046"/>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23</w:t>
      </w:r>
      <w:r w:rsidRPr="00CB093C">
        <w:rPr>
          <w:rFonts w:ascii="Arial" w:hAnsi="Arial" w:cs="Arial"/>
          <w:color w:val="000000"/>
          <w:szCs w:val="22"/>
        </w:rPr>
        <w:fldChar w:fldCharType="end"/>
      </w:r>
      <w:bookmarkEnd w:id="198"/>
      <w:r w:rsidRPr="00CB093C">
        <w:rPr>
          <w:rFonts w:ascii="Arial" w:hAnsi="Arial" w:cs="Arial"/>
          <w:color w:val="000000"/>
          <w:szCs w:val="22"/>
        </w:rPr>
        <w:t xml:space="preserve">. </w:t>
      </w:r>
      <w:r w:rsidR="009F26E3" w:rsidRPr="00CB093C">
        <w:rPr>
          <w:rFonts w:ascii="Arial" w:hAnsi="Arial" w:cs="Arial"/>
          <w:i/>
          <w:color w:val="000000"/>
          <w:szCs w:val="22"/>
          <w:lang w:eastAsia="en-AU"/>
        </w:rPr>
        <w:t>S</w:t>
      </w:r>
      <w:r w:rsidR="00C97A63" w:rsidRPr="00CB093C">
        <w:rPr>
          <w:rFonts w:ascii="Arial" w:hAnsi="Arial" w:cs="Arial"/>
          <w:i/>
          <w:color w:val="000000"/>
          <w:szCs w:val="22"/>
          <w:lang w:eastAsia="en-AU"/>
        </w:rPr>
        <w:t xml:space="preserve">eagrass leaf tissue </w:t>
      </w:r>
      <w:r w:rsidR="00A05DEB" w:rsidRPr="00CB093C">
        <w:rPr>
          <w:rFonts w:ascii="Arial" w:hAnsi="Arial" w:cs="Arial"/>
          <w:i/>
          <w:color w:val="000000"/>
          <w:szCs w:val="22"/>
          <w:lang w:eastAsia="en-AU"/>
        </w:rPr>
        <w:t>nutrient elemental ratios (</w:t>
      </w:r>
      <w:r w:rsidR="00C97A63" w:rsidRPr="00CB093C">
        <w:rPr>
          <w:rFonts w:ascii="Arial" w:hAnsi="Arial" w:cs="Arial"/>
          <w:i/>
          <w:color w:val="000000"/>
          <w:szCs w:val="22"/>
          <w:lang w:eastAsia="en-AU"/>
        </w:rPr>
        <w:t>C:N:P</w:t>
      </w:r>
      <w:r w:rsidR="00A05DEB" w:rsidRPr="00CB093C">
        <w:rPr>
          <w:rFonts w:ascii="Arial" w:hAnsi="Arial" w:cs="Arial"/>
          <w:i/>
          <w:color w:val="000000"/>
          <w:szCs w:val="22"/>
          <w:lang w:eastAsia="en-AU"/>
        </w:rPr>
        <w:t xml:space="preserve">) and </w:t>
      </w:r>
      <w:r w:rsidR="00A05DEB" w:rsidRPr="00CB093C">
        <w:rPr>
          <w:rFonts w:ascii="Arial" w:hAnsi="Arial" w:cs="Arial"/>
          <w:i/>
          <w:color w:val="000000"/>
          <w:szCs w:val="22"/>
          <w:lang w:val="en-US"/>
        </w:rPr>
        <w:t>concentrations (</w:t>
      </w:r>
      <w:r w:rsidR="00A05DEB" w:rsidRPr="00CB093C">
        <w:rPr>
          <w:rFonts w:ascii="Arial" w:hAnsi="Arial" w:cs="Arial"/>
          <w:i/>
          <w:color w:val="000000"/>
          <w:szCs w:val="22"/>
          <w:lang w:eastAsia="en-AU"/>
        </w:rPr>
        <w:t xml:space="preserve">%N, %P, </w:t>
      </w:r>
      <w:r w:rsidR="00A05DEB" w:rsidRPr="00CB093C">
        <w:rPr>
          <w:rFonts w:ascii="Arial" w:hAnsi="Arial" w:cs="Arial"/>
          <w:i/>
          <w:color w:val="000000"/>
          <w:szCs w:val="22"/>
        </w:rPr>
        <w:t>δ</w:t>
      </w:r>
      <w:r w:rsidR="00A05DEB" w:rsidRPr="00CB093C">
        <w:rPr>
          <w:rFonts w:ascii="Arial" w:hAnsi="Arial" w:cs="Arial"/>
          <w:i/>
          <w:color w:val="000000"/>
          <w:szCs w:val="22"/>
          <w:vertAlign w:val="superscript"/>
        </w:rPr>
        <w:t>13</w:t>
      </w:r>
      <w:r w:rsidR="00A05DEB" w:rsidRPr="00CB093C">
        <w:rPr>
          <w:rFonts w:ascii="Arial" w:hAnsi="Arial" w:cs="Arial"/>
          <w:i/>
          <w:color w:val="000000"/>
          <w:szCs w:val="22"/>
        </w:rPr>
        <w:t>C</w:t>
      </w:r>
      <w:r w:rsidR="00A05DEB" w:rsidRPr="00CB093C">
        <w:rPr>
          <w:rFonts w:ascii="Arial" w:hAnsi="Arial" w:cs="Arial"/>
          <w:i/>
          <w:color w:val="000000"/>
          <w:szCs w:val="22"/>
          <w:lang w:val="en-US"/>
        </w:rPr>
        <w:t xml:space="preserve"> and </w:t>
      </w:r>
      <w:r w:rsidR="00A05DEB" w:rsidRPr="00CB093C">
        <w:rPr>
          <w:rFonts w:ascii="Arial" w:hAnsi="Arial" w:cs="Arial"/>
          <w:i/>
          <w:color w:val="000000"/>
          <w:szCs w:val="22"/>
        </w:rPr>
        <w:t>δ</w:t>
      </w:r>
      <w:r w:rsidR="00A05DEB" w:rsidRPr="00CB093C">
        <w:rPr>
          <w:rFonts w:ascii="Arial" w:hAnsi="Arial" w:cs="Arial"/>
          <w:i/>
          <w:color w:val="000000"/>
          <w:szCs w:val="22"/>
          <w:vertAlign w:val="superscript"/>
        </w:rPr>
        <w:t>15</w:t>
      </w:r>
      <w:r w:rsidR="00A05DEB" w:rsidRPr="00CB093C">
        <w:rPr>
          <w:rFonts w:ascii="Arial" w:hAnsi="Arial" w:cs="Arial"/>
          <w:i/>
          <w:color w:val="000000"/>
          <w:szCs w:val="22"/>
        </w:rPr>
        <w:t>N)</w:t>
      </w:r>
      <w:r w:rsidR="00A05DEB" w:rsidRPr="00CB093C">
        <w:rPr>
          <w:rFonts w:ascii="Arial" w:hAnsi="Arial" w:cs="Arial"/>
          <w:i/>
          <w:color w:val="000000"/>
          <w:szCs w:val="22"/>
          <w:lang w:val="en-US"/>
        </w:rPr>
        <w:t xml:space="preserve"> </w:t>
      </w:r>
      <w:r w:rsidR="00C97A63" w:rsidRPr="00CB093C">
        <w:rPr>
          <w:rFonts w:ascii="Arial" w:hAnsi="Arial" w:cs="Arial"/>
          <w:i/>
          <w:color w:val="000000"/>
          <w:szCs w:val="22"/>
          <w:lang w:eastAsia="en-AU"/>
        </w:rPr>
        <w:t xml:space="preserve">for each </w:t>
      </w:r>
      <w:r w:rsidR="007C2608" w:rsidRPr="00CB093C">
        <w:rPr>
          <w:rFonts w:ascii="Arial" w:hAnsi="Arial" w:cs="Arial"/>
          <w:i/>
          <w:color w:val="000000"/>
          <w:szCs w:val="22"/>
          <w:lang w:eastAsia="en-AU"/>
        </w:rPr>
        <w:t>seagrass</w:t>
      </w:r>
      <w:r w:rsidR="00930A4B" w:rsidRPr="00CB093C">
        <w:rPr>
          <w:rFonts w:ascii="Arial" w:hAnsi="Arial" w:cs="Arial"/>
          <w:i/>
          <w:color w:val="000000"/>
          <w:szCs w:val="22"/>
          <w:lang w:eastAsia="en-AU"/>
        </w:rPr>
        <w:t xml:space="preserve"> </w:t>
      </w:r>
      <w:r w:rsidR="00C97A63" w:rsidRPr="00CB093C">
        <w:rPr>
          <w:rFonts w:ascii="Arial" w:hAnsi="Arial" w:cs="Arial"/>
          <w:i/>
          <w:color w:val="000000"/>
          <w:szCs w:val="22"/>
          <w:lang w:eastAsia="en-AU"/>
        </w:rPr>
        <w:t>habitat each year</w:t>
      </w:r>
      <w:bookmarkEnd w:id="199"/>
    </w:p>
    <w:p w14:paraId="6C0DA8EF" w14:textId="0F2E13EB" w:rsidR="00A05DEB" w:rsidRPr="00CB093C" w:rsidRDefault="00C97A63" w:rsidP="00A05DEB">
      <w:pPr>
        <w:rPr>
          <w:rFonts w:ascii="Arial" w:hAnsi="Arial" w:cs="Arial"/>
          <w:i/>
          <w:color w:val="000000"/>
          <w:szCs w:val="22"/>
          <w:lang w:val="en-US"/>
        </w:rPr>
      </w:pPr>
      <w:r w:rsidRPr="00CB093C">
        <w:rPr>
          <w:rFonts w:ascii="Arial" w:hAnsi="Arial" w:cs="Arial"/>
          <w:i/>
          <w:color w:val="000000"/>
          <w:szCs w:val="22"/>
          <w:lang w:eastAsia="en-AU"/>
        </w:rPr>
        <w:t xml:space="preserve"> (± SE) (foundation species pooled). Horizontal shaded band</w:t>
      </w:r>
      <w:r w:rsidR="009F26E3" w:rsidRPr="00CB093C">
        <w:rPr>
          <w:rFonts w:ascii="Arial" w:hAnsi="Arial" w:cs="Arial"/>
          <w:i/>
          <w:color w:val="000000"/>
          <w:szCs w:val="22"/>
          <w:lang w:eastAsia="en-AU"/>
        </w:rPr>
        <w:t>s or dashed lines</w:t>
      </w:r>
      <w:r w:rsidRPr="00CB093C">
        <w:rPr>
          <w:rFonts w:ascii="Arial" w:hAnsi="Arial" w:cs="Arial"/>
          <w:i/>
          <w:color w:val="000000"/>
          <w:szCs w:val="22"/>
          <w:lang w:eastAsia="en-AU"/>
        </w:rPr>
        <w:t xml:space="preserve"> represents the accepted </w:t>
      </w:r>
      <w:r w:rsidR="009F26E3" w:rsidRPr="00CB093C">
        <w:rPr>
          <w:rFonts w:ascii="Arial" w:hAnsi="Arial" w:cs="Arial"/>
          <w:i/>
          <w:color w:val="000000"/>
          <w:szCs w:val="22"/>
          <w:lang w:eastAsia="en-AU"/>
        </w:rPr>
        <w:t xml:space="preserve">seagrass </w:t>
      </w:r>
      <w:r w:rsidRPr="00CB093C">
        <w:rPr>
          <w:rFonts w:ascii="Arial" w:hAnsi="Arial" w:cs="Arial"/>
          <w:i/>
          <w:color w:val="000000"/>
          <w:szCs w:val="22"/>
        </w:rPr>
        <w:t xml:space="preserve">guideline </w:t>
      </w:r>
      <w:r w:rsidR="009F26E3" w:rsidRPr="00CB093C">
        <w:rPr>
          <w:rFonts w:ascii="Arial" w:hAnsi="Arial" w:cs="Arial"/>
          <w:i/>
          <w:color w:val="000000"/>
          <w:szCs w:val="22"/>
          <w:lang w:eastAsia="en-AU"/>
        </w:rPr>
        <w:t>values, where:</w:t>
      </w:r>
      <w:r w:rsidRPr="00CB093C">
        <w:rPr>
          <w:rFonts w:ascii="Arial" w:hAnsi="Arial" w:cs="Arial"/>
          <w:i/>
          <w:color w:val="000000"/>
          <w:szCs w:val="22"/>
          <w:lang w:eastAsia="en-AU"/>
        </w:rPr>
        <w:t xml:space="preserve"> C:N ratios </w:t>
      </w:r>
      <w:r w:rsidR="009F26E3" w:rsidRPr="00CB093C">
        <w:rPr>
          <w:rFonts w:ascii="Arial" w:hAnsi="Arial" w:cs="Arial"/>
          <w:i/>
          <w:color w:val="000000"/>
          <w:szCs w:val="22"/>
          <w:lang w:eastAsia="en-AU"/>
        </w:rPr>
        <w:t>within the band</w:t>
      </w:r>
      <w:r w:rsidRPr="00CB093C">
        <w:rPr>
          <w:rFonts w:ascii="Arial" w:hAnsi="Arial" w:cs="Arial"/>
          <w:i/>
          <w:color w:val="000000"/>
          <w:szCs w:val="22"/>
          <w:lang w:eastAsia="en-AU"/>
        </w:rPr>
        <w:t xml:space="preserve"> may </w:t>
      </w:r>
      <w:r w:rsidRPr="00CB093C">
        <w:rPr>
          <w:rFonts w:ascii="Arial" w:hAnsi="Arial" w:cs="Arial"/>
          <w:i/>
          <w:color w:val="000000"/>
          <w:szCs w:val="22"/>
        </w:rPr>
        <w:t>indicate reduced light availability and/or N enrichment</w:t>
      </w:r>
      <w:r w:rsidR="009F26E3" w:rsidRPr="00CB093C">
        <w:rPr>
          <w:rFonts w:ascii="Arial" w:hAnsi="Arial" w:cs="Arial"/>
          <w:i/>
          <w:color w:val="000000"/>
          <w:szCs w:val="22"/>
        </w:rPr>
        <w:t xml:space="preserve">; </w:t>
      </w:r>
      <w:r w:rsidRPr="00CB093C">
        <w:rPr>
          <w:rFonts w:ascii="Arial" w:hAnsi="Arial" w:cs="Arial"/>
          <w:i/>
          <w:color w:val="000000"/>
          <w:szCs w:val="22"/>
          <w:lang w:eastAsia="en-AU"/>
        </w:rPr>
        <w:t>N:P ratio</w:t>
      </w:r>
      <w:r w:rsidR="009F26E3" w:rsidRPr="00CB093C">
        <w:rPr>
          <w:rFonts w:ascii="Arial" w:hAnsi="Arial" w:cs="Arial"/>
          <w:i/>
          <w:color w:val="000000"/>
          <w:szCs w:val="22"/>
          <w:lang w:eastAsia="en-AU"/>
        </w:rPr>
        <w:t>s</w:t>
      </w:r>
      <w:r w:rsidRPr="00CB093C">
        <w:rPr>
          <w:rFonts w:ascii="Arial" w:hAnsi="Arial" w:cs="Arial"/>
          <w:i/>
          <w:color w:val="000000"/>
          <w:szCs w:val="22"/>
          <w:lang w:eastAsia="en-AU"/>
        </w:rPr>
        <w:t xml:space="preserve"> above th</w:t>
      </w:r>
      <w:r w:rsidR="009F26E3" w:rsidRPr="00CB093C">
        <w:rPr>
          <w:rFonts w:ascii="Arial" w:hAnsi="Arial" w:cs="Arial"/>
          <w:i/>
          <w:color w:val="000000"/>
          <w:szCs w:val="22"/>
          <w:lang w:eastAsia="en-AU"/>
        </w:rPr>
        <w:t>e</w:t>
      </w:r>
      <w:r w:rsidRPr="00CB093C">
        <w:rPr>
          <w:rFonts w:ascii="Arial" w:hAnsi="Arial" w:cs="Arial"/>
          <w:i/>
          <w:color w:val="000000"/>
          <w:szCs w:val="22"/>
          <w:lang w:eastAsia="en-AU"/>
        </w:rPr>
        <w:t xml:space="preserve"> band indicate P limitation, below indicate N limitation </w:t>
      </w:r>
      <w:r w:rsidRPr="00CB093C">
        <w:rPr>
          <w:rFonts w:ascii="Arial" w:hAnsi="Arial" w:cs="Arial"/>
          <w:i/>
          <w:color w:val="000000"/>
          <w:szCs w:val="22"/>
          <w:lang w:eastAsia="en-AU"/>
        </w:rPr>
        <w:lastRenderedPageBreak/>
        <w:t>and within indicates replete</w:t>
      </w:r>
      <w:r w:rsidR="009F26E3" w:rsidRPr="00CB093C">
        <w:rPr>
          <w:rFonts w:ascii="Arial" w:hAnsi="Arial" w:cs="Arial"/>
          <w:i/>
          <w:color w:val="000000"/>
          <w:szCs w:val="22"/>
          <w:lang w:eastAsia="en-AU"/>
        </w:rPr>
        <w:t>, and;</w:t>
      </w:r>
      <w:r w:rsidRPr="00CB093C">
        <w:rPr>
          <w:rFonts w:ascii="Arial" w:hAnsi="Arial" w:cs="Arial"/>
          <w:i/>
          <w:color w:val="000000"/>
          <w:szCs w:val="22"/>
          <w:lang w:eastAsia="en-AU"/>
        </w:rPr>
        <w:t xml:space="preserve"> C:P </w:t>
      </w:r>
      <w:r w:rsidR="009F26E3" w:rsidRPr="00CB093C">
        <w:rPr>
          <w:rFonts w:ascii="Arial" w:hAnsi="Arial" w:cs="Arial"/>
          <w:i/>
          <w:color w:val="000000"/>
          <w:szCs w:val="22"/>
          <w:lang w:eastAsia="en-AU"/>
        </w:rPr>
        <w:t xml:space="preserve">ratios within the band may </w:t>
      </w:r>
      <w:r w:rsidR="009F26E3" w:rsidRPr="00CB093C">
        <w:rPr>
          <w:rFonts w:ascii="Arial" w:hAnsi="Arial" w:cs="Arial"/>
          <w:i/>
          <w:color w:val="000000"/>
          <w:szCs w:val="22"/>
        </w:rPr>
        <w:t xml:space="preserve">indicate </w:t>
      </w:r>
      <w:r w:rsidRPr="00CB093C">
        <w:rPr>
          <w:rFonts w:ascii="Arial" w:hAnsi="Arial" w:cs="Arial"/>
          <w:i/>
          <w:color w:val="000000"/>
          <w:szCs w:val="22"/>
          <w:lang w:eastAsia="en-AU"/>
        </w:rPr>
        <w:t>nutrient rich habitats (large P pool).</w:t>
      </w:r>
      <w:r w:rsidRPr="00CB093C">
        <w:rPr>
          <w:rFonts w:ascii="Arial" w:hAnsi="Arial" w:cs="Arial"/>
          <w:color w:val="000000"/>
          <w:szCs w:val="22"/>
          <w:lang w:eastAsia="en-AU"/>
        </w:rPr>
        <w:t xml:space="preserve"> </w:t>
      </w:r>
      <w:bookmarkEnd w:id="200"/>
      <w:bookmarkEnd w:id="201"/>
      <w:r w:rsidR="00460D75" w:rsidRPr="00CB093C">
        <w:rPr>
          <w:rFonts w:ascii="Arial" w:hAnsi="Arial" w:cs="Arial"/>
          <w:i/>
          <w:color w:val="000000"/>
          <w:szCs w:val="22"/>
        </w:rPr>
        <w:t>Dashed lines</w:t>
      </w:r>
      <w:r w:rsidR="00A05DEB" w:rsidRPr="00CB093C">
        <w:rPr>
          <w:rFonts w:ascii="Arial" w:hAnsi="Arial" w:cs="Arial"/>
          <w:i/>
          <w:color w:val="000000"/>
          <w:szCs w:val="22"/>
        </w:rPr>
        <w:t xml:space="preserve"> </w:t>
      </w:r>
      <w:r w:rsidR="009F26E3" w:rsidRPr="00CB093C">
        <w:rPr>
          <w:rFonts w:ascii="Arial" w:hAnsi="Arial" w:cs="Arial"/>
          <w:i/>
          <w:color w:val="000000"/>
          <w:szCs w:val="22"/>
        </w:rPr>
        <w:t>in %N and %P</w:t>
      </w:r>
      <w:r w:rsidR="00460D75" w:rsidRPr="00CB093C">
        <w:rPr>
          <w:rFonts w:ascii="Arial" w:hAnsi="Arial" w:cs="Arial"/>
          <w:i/>
          <w:color w:val="000000"/>
          <w:szCs w:val="22"/>
        </w:rPr>
        <w:t xml:space="preserve"> indicate global median values of 1.8 </w:t>
      </w:r>
      <w:r w:rsidR="00882B72" w:rsidRPr="00CB093C">
        <w:rPr>
          <w:rFonts w:ascii="Arial" w:hAnsi="Arial" w:cs="Arial"/>
          <w:i/>
          <w:color w:val="000000"/>
          <w:szCs w:val="22"/>
        </w:rPr>
        <w:t>%</w:t>
      </w:r>
      <w:r w:rsidR="00460D75" w:rsidRPr="00CB093C">
        <w:rPr>
          <w:rFonts w:ascii="Arial" w:hAnsi="Arial" w:cs="Arial"/>
          <w:i/>
          <w:color w:val="000000"/>
          <w:szCs w:val="22"/>
        </w:rPr>
        <w:t xml:space="preserve"> and 0.2 </w:t>
      </w:r>
      <w:r w:rsidR="00882B72" w:rsidRPr="00CB093C">
        <w:rPr>
          <w:rFonts w:ascii="Arial" w:hAnsi="Arial" w:cs="Arial"/>
          <w:i/>
          <w:color w:val="000000"/>
          <w:szCs w:val="22"/>
        </w:rPr>
        <w:t>%</w:t>
      </w:r>
      <w:r w:rsidR="00460D75" w:rsidRPr="00CB093C">
        <w:rPr>
          <w:rFonts w:ascii="Arial" w:hAnsi="Arial" w:cs="Arial"/>
          <w:i/>
          <w:color w:val="000000"/>
          <w:szCs w:val="22"/>
        </w:rPr>
        <w:t xml:space="preserve"> for tissue nitrogen and phosphorus, respectively (</w:t>
      </w:r>
      <w:hyperlink w:anchor="_ENREF_50" w:tooltip="Duarte, 1990 #1954" w:history="1">
        <w:r w:rsidR="00513C39" w:rsidRPr="00CB093C">
          <w:rPr>
            <w:rFonts w:ascii="Arial" w:hAnsi="Arial" w:cs="Arial"/>
            <w:i/>
            <w:color w:val="000000"/>
            <w:szCs w:val="22"/>
          </w:rPr>
          <w:fldChar w:fldCharType="begin"/>
        </w:r>
        <w:r w:rsidR="00513C39" w:rsidRPr="00CB093C">
          <w:rPr>
            <w:rFonts w:ascii="Arial" w:hAnsi="Arial" w:cs="Arial"/>
            <w:i/>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513C39" w:rsidRPr="00CB093C">
          <w:rPr>
            <w:rFonts w:ascii="Arial" w:hAnsi="Arial" w:cs="Arial"/>
            <w:i/>
            <w:color w:val="000000"/>
            <w:szCs w:val="22"/>
          </w:rPr>
          <w:fldChar w:fldCharType="separate"/>
        </w:r>
        <w:r w:rsidR="00513C39" w:rsidRPr="00CB093C">
          <w:rPr>
            <w:rFonts w:ascii="Arial" w:hAnsi="Arial" w:cs="Arial"/>
            <w:i/>
            <w:noProof/>
            <w:color w:val="000000"/>
            <w:szCs w:val="22"/>
          </w:rPr>
          <w:t>Duarte 1990</w:t>
        </w:r>
        <w:r w:rsidR="00513C39" w:rsidRPr="00CB093C">
          <w:rPr>
            <w:rFonts w:ascii="Arial" w:hAnsi="Arial" w:cs="Arial"/>
            <w:i/>
            <w:color w:val="000000"/>
            <w:szCs w:val="22"/>
          </w:rPr>
          <w:fldChar w:fldCharType="end"/>
        </w:r>
      </w:hyperlink>
      <w:r w:rsidR="00460D75" w:rsidRPr="00CB093C">
        <w:rPr>
          <w:rFonts w:ascii="Arial" w:hAnsi="Arial" w:cs="Arial"/>
          <w:i/>
          <w:color w:val="000000"/>
          <w:szCs w:val="22"/>
        </w:rPr>
        <w:t>).</w:t>
      </w:r>
    </w:p>
    <w:p w14:paraId="3F76E359" w14:textId="77777777" w:rsidR="00C97A63" w:rsidRPr="00CB093C" w:rsidRDefault="00C97A63" w:rsidP="0085216E">
      <w:pPr>
        <w:spacing w:after="0"/>
        <w:rPr>
          <w:rFonts w:ascii="Arial" w:hAnsi="Arial" w:cs="Arial"/>
          <w:color w:val="000000" w:themeColor="text1"/>
          <w:szCs w:val="22"/>
        </w:rPr>
      </w:pPr>
    </w:p>
    <w:p w14:paraId="7E2E8E9E" w14:textId="77777777" w:rsidR="007C2608" w:rsidRPr="00CB093C" w:rsidRDefault="00956AC3" w:rsidP="00AD06D4">
      <w:pPr>
        <w:pStyle w:val="Heading3"/>
        <w:numPr>
          <w:ilvl w:val="2"/>
          <w:numId w:val="4"/>
        </w:numPr>
        <w:rPr>
          <w:rFonts w:ascii="Arial" w:hAnsi="Arial" w:cs="Arial"/>
          <w:sz w:val="22"/>
          <w:szCs w:val="22"/>
        </w:rPr>
      </w:pPr>
      <w:r w:rsidRPr="00CB093C">
        <w:rPr>
          <w:rFonts w:ascii="Arial" w:hAnsi="Arial" w:cs="Arial"/>
          <w:sz w:val="22"/>
          <w:szCs w:val="22"/>
          <w:lang w:val="en-GB"/>
        </w:rPr>
        <w:br w:type="column"/>
      </w:r>
      <w:bookmarkStart w:id="202" w:name="_Toc11394722"/>
      <w:bookmarkStart w:id="203" w:name="_Toc184101966"/>
      <w:r w:rsidR="007C2608" w:rsidRPr="00CB093C">
        <w:rPr>
          <w:rFonts w:ascii="Arial" w:hAnsi="Arial" w:cs="Arial"/>
          <w:sz w:val="22"/>
          <w:szCs w:val="22"/>
        </w:rPr>
        <w:lastRenderedPageBreak/>
        <w:t>Epiphytes and macroalgae</w:t>
      </w:r>
      <w:bookmarkEnd w:id="202"/>
    </w:p>
    <w:bookmarkEnd w:id="203"/>
    <w:p w14:paraId="2C4AAA68" w14:textId="56A40BFC" w:rsidR="00332CF2" w:rsidRPr="00CB093C" w:rsidRDefault="00332CF2" w:rsidP="00D2585E">
      <w:pPr>
        <w:rPr>
          <w:rFonts w:ascii="Arial" w:hAnsi="Arial" w:cs="Arial"/>
          <w:color w:val="000000" w:themeColor="text1"/>
          <w:szCs w:val="22"/>
        </w:rPr>
      </w:pPr>
      <w:r w:rsidRPr="00CB093C">
        <w:rPr>
          <w:rFonts w:ascii="Arial" w:hAnsi="Arial" w:cs="Arial"/>
          <w:color w:val="000000" w:themeColor="text1"/>
          <w:szCs w:val="22"/>
        </w:rPr>
        <w:t xml:space="preserve">Epiphyte cover </w:t>
      </w:r>
      <w:r w:rsidR="00DC649E" w:rsidRPr="00CB093C">
        <w:rPr>
          <w:rFonts w:ascii="Arial" w:hAnsi="Arial" w:cs="Arial"/>
          <w:color w:val="000000" w:themeColor="text1"/>
          <w:szCs w:val="22"/>
        </w:rPr>
        <w:t xml:space="preserve">on seagrass leaves during </w:t>
      </w:r>
      <w:r w:rsidR="003654C6">
        <w:rPr>
          <w:rFonts w:ascii="Arial" w:hAnsi="Arial" w:cs="Arial"/>
          <w:color w:val="000000" w:themeColor="text1"/>
          <w:szCs w:val="22"/>
        </w:rPr>
        <w:t>2017–18</w:t>
      </w:r>
      <w:r w:rsidR="00DC649E" w:rsidRPr="00CB093C">
        <w:rPr>
          <w:rFonts w:ascii="Arial" w:hAnsi="Arial" w:cs="Arial"/>
          <w:color w:val="000000" w:themeColor="text1"/>
          <w:szCs w:val="22"/>
        </w:rPr>
        <w:t xml:space="preserve"> </w:t>
      </w:r>
      <w:r w:rsidRPr="00CB093C">
        <w:rPr>
          <w:rFonts w:ascii="Arial" w:hAnsi="Arial" w:cs="Arial"/>
          <w:color w:val="000000" w:themeColor="text1"/>
          <w:szCs w:val="22"/>
        </w:rPr>
        <w:t xml:space="preserve">was </w:t>
      </w:r>
      <w:r w:rsidR="00DC649E" w:rsidRPr="00CB093C">
        <w:rPr>
          <w:rFonts w:ascii="Arial" w:hAnsi="Arial" w:cs="Arial"/>
          <w:color w:val="000000" w:themeColor="text1"/>
          <w:szCs w:val="22"/>
        </w:rPr>
        <w:t>below or at</w:t>
      </w:r>
      <w:r w:rsidRPr="00CB093C">
        <w:rPr>
          <w:rFonts w:ascii="Arial" w:hAnsi="Arial" w:cs="Arial"/>
          <w:color w:val="000000" w:themeColor="text1"/>
          <w:szCs w:val="22"/>
        </w:rPr>
        <w:t xml:space="preserve"> the </w:t>
      </w:r>
      <w:r w:rsidR="003B7FCC" w:rsidRPr="00CB093C">
        <w:rPr>
          <w:rFonts w:ascii="Arial" w:hAnsi="Arial" w:cs="Arial"/>
          <w:color w:val="000000" w:themeColor="text1"/>
          <w:szCs w:val="22"/>
        </w:rPr>
        <w:t xml:space="preserve">Reef-wide </w:t>
      </w:r>
      <w:r w:rsidRPr="00CB093C">
        <w:rPr>
          <w:rFonts w:ascii="Arial" w:hAnsi="Arial" w:cs="Arial"/>
          <w:color w:val="000000" w:themeColor="text1"/>
          <w:szCs w:val="22"/>
        </w:rPr>
        <w:t xml:space="preserve">long-term </w:t>
      </w:r>
      <w:r w:rsidR="002965B8" w:rsidRPr="00CB093C">
        <w:rPr>
          <w:rFonts w:ascii="Arial" w:hAnsi="Arial" w:cs="Arial"/>
          <w:color w:val="000000" w:themeColor="text1"/>
          <w:szCs w:val="22"/>
        </w:rPr>
        <w:t>average</w:t>
      </w:r>
      <w:r w:rsidRPr="00CB093C">
        <w:rPr>
          <w:rFonts w:ascii="Arial" w:hAnsi="Arial" w:cs="Arial"/>
          <w:color w:val="000000" w:themeColor="text1"/>
          <w:szCs w:val="22"/>
        </w:rPr>
        <w:t xml:space="preserve"> in all habitats except reef subtidal, where it </w:t>
      </w:r>
      <w:r w:rsidR="00DC649E" w:rsidRPr="00CB093C">
        <w:rPr>
          <w:rFonts w:ascii="Arial" w:hAnsi="Arial" w:cs="Arial"/>
          <w:color w:val="000000" w:themeColor="text1"/>
          <w:szCs w:val="22"/>
        </w:rPr>
        <w:t>has remained</w:t>
      </w:r>
      <w:r w:rsidRPr="00CB093C">
        <w:rPr>
          <w:rFonts w:ascii="Arial" w:hAnsi="Arial" w:cs="Arial"/>
          <w:color w:val="000000" w:themeColor="text1"/>
          <w:szCs w:val="22"/>
        </w:rPr>
        <w:t xml:space="preserve"> above average </w:t>
      </w:r>
      <w:r w:rsidR="00DC649E" w:rsidRPr="00CB093C">
        <w:rPr>
          <w:rFonts w:ascii="Arial" w:hAnsi="Arial" w:cs="Arial"/>
          <w:color w:val="000000" w:themeColor="text1"/>
          <w:szCs w:val="22"/>
        </w:rPr>
        <w:t xml:space="preserve">over the past </w:t>
      </w:r>
      <w:r w:rsidR="003B7FCC" w:rsidRPr="00CB093C">
        <w:rPr>
          <w:rFonts w:ascii="Arial" w:hAnsi="Arial" w:cs="Arial"/>
          <w:color w:val="000000" w:themeColor="text1"/>
          <w:szCs w:val="22"/>
        </w:rPr>
        <w:t xml:space="preserve">four </w:t>
      </w:r>
      <w:r w:rsidR="00DC649E" w:rsidRPr="00CB093C">
        <w:rPr>
          <w:rFonts w:ascii="Arial" w:hAnsi="Arial" w:cs="Arial"/>
          <w:color w:val="000000" w:themeColor="text1"/>
          <w:szCs w:val="22"/>
        </w:rPr>
        <w:t xml:space="preserve">years </w:t>
      </w:r>
      <w:r w:rsidRPr="00CB093C">
        <w:rPr>
          <w:rFonts w:ascii="Arial" w:hAnsi="Arial" w:cs="Arial"/>
          <w:color w:val="000000" w:themeColor="text1"/>
          <w:szCs w:val="22"/>
        </w:rPr>
        <w:t>due to high epiphyte cover at all sites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_Ref379615757 \h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5F00D4">
        <w:rPr>
          <w:rFonts w:ascii="Arial" w:hAnsi="Arial" w:cs="Arial"/>
          <w:color w:val="000000" w:themeColor="text1"/>
          <w:szCs w:val="22"/>
        </w:rPr>
        <w:t xml:space="preserve">Figure </w:t>
      </w:r>
      <w:r w:rsidR="005F00D4" w:rsidRPr="005F00D4">
        <w:rPr>
          <w:rFonts w:ascii="Arial" w:hAnsi="Arial" w:cs="Arial"/>
          <w:noProof/>
          <w:color w:val="000000" w:themeColor="text1"/>
          <w:szCs w:val="22"/>
        </w:rPr>
        <w:t>24</w:t>
      </w:r>
      <w:r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w:t>
      </w:r>
    </w:p>
    <w:p w14:paraId="47783092" w14:textId="77777777" w:rsidR="00332CF2" w:rsidRPr="00CB093C" w:rsidRDefault="00332CF2" w:rsidP="00332CF2">
      <w:pPr>
        <w:keepNext/>
        <w:spacing w:before="0" w:after="0"/>
        <w:jc w:val="center"/>
        <w:rPr>
          <w:rFonts w:ascii="Arial" w:hAnsi="Arial" w:cs="Arial"/>
          <w:szCs w:val="22"/>
        </w:rPr>
      </w:pPr>
      <w:r w:rsidRPr="00CB093C">
        <w:rPr>
          <w:rFonts w:ascii="Arial" w:hAnsi="Arial" w:cs="Arial"/>
          <w:noProof/>
          <w:szCs w:val="22"/>
          <w:lang w:val="en-US"/>
        </w:rPr>
        <w:drawing>
          <wp:inline distT="0" distB="0" distL="0" distR="0" wp14:anchorId="79C0DB99" wp14:editId="19B6E140">
            <wp:extent cx="4917344" cy="3513666"/>
            <wp:effectExtent l="0" t="0" r="0" b="4445"/>
            <wp:docPr id="81" name="Picture 81" descr="Set of four bar charts showing epiphyte abundance (% cover) relative to the long-term average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GBR_epi_difference_2016.png"/>
                    <pic:cNvPicPr/>
                  </pic:nvPicPr>
                  <pic:blipFill>
                    <a:blip r:embed="rId68">
                      <a:extLst>
                        <a:ext uri="{28A0092B-C50C-407E-A947-70E740481C1C}">
                          <a14:useLocalDpi xmlns:a14="http://schemas.microsoft.com/office/drawing/2010/main" val="0"/>
                        </a:ext>
                      </a:extLst>
                    </a:blip>
                    <a:stretch>
                      <a:fillRect/>
                    </a:stretch>
                  </pic:blipFill>
                  <pic:spPr>
                    <a:xfrm>
                      <a:off x="0" y="0"/>
                      <a:ext cx="4931953" cy="3524105"/>
                    </a:xfrm>
                    <a:prstGeom prst="rect">
                      <a:avLst/>
                    </a:prstGeom>
                  </pic:spPr>
                </pic:pic>
              </a:graphicData>
            </a:graphic>
          </wp:inline>
        </w:drawing>
      </w:r>
    </w:p>
    <w:p w14:paraId="68EC343E" w14:textId="0274BC78" w:rsidR="00332CF2" w:rsidRPr="00CB093C" w:rsidRDefault="00332CF2" w:rsidP="00332CF2">
      <w:pPr>
        <w:pStyle w:val="Caption"/>
        <w:jc w:val="both"/>
        <w:rPr>
          <w:rFonts w:ascii="Arial" w:hAnsi="Arial" w:cs="Arial"/>
          <w:i/>
          <w:vanish/>
          <w:color w:val="000000" w:themeColor="text1"/>
          <w:szCs w:val="22"/>
          <w:specVanish/>
        </w:rPr>
      </w:pPr>
      <w:bookmarkStart w:id="204" w:name="_Ref379615757"/>
      <w:bookmarkStart w:id="205" w:name="_Toc431493815"/>
      <w:bookmarkStart w:id="206" w:name="_Toc6402789"/>
      <w:r w:rsidRPr="00CB093C">
        <w:rPr>
          <w:rFonts w:ascii="Arial" w:hAnsi="Arial" w:cs="Arial"/>
          <w:szCs w:val="22"/>
        </w:rPr>
        <w:t xml:space="preserve">Figure </w:t>
      </w:r>
      <w:r w:rsidRPr="00CB093C">
        <w:rPr>
          <w:rFonts w:ascii="Arial" w:hAnsi="Arial" w:cs="Arial"/>
          <w:noProof/>
          <w:szCs w:val="22"/>
        </w:rPr>
        <w:fldChar w:fldCharType="begin"/>
      </w:r>
      <w:r w:rsidRPr="00CB093C">
        <w:rPr>
          <w:rFonts w:ascii="Arial" w:hAnsi="Arial" w:cs="Arial"/>
          <w:noProof/>
          <w:szCs w:val="22"/>
        </w:rPr>
        <w:instrText xml:space="preserve"> SEQ Figure \* ARABIC </w:instrText>
      </w:r>
      <w:r w:rsidRPr="00CB093C">
        <w:rPr>
          <w:rFonts w:ascii="Arial" w:hAnsi="Arial" w:cs="Arial"/>
          <w:noProof/>
          <w:szCs w:val="22"/>
        </w:rPr>
        <w:fldChar w:fldCharType="separate"/>
      </w:r>
      <w:r w:rsidR="005F00D4">
        <w:rPr>
          <w:rFonts w:ascii="Arial" w:hAnsi="Arial" w:cs="Arial"/>
          <w:noProof/>
          <w:szCs w:val="22"/>
        </w:rPr>
        <w:t>24</w:t>
      </w:r>
      <w:r w:rsidRPr="00CB093C">
        <w:rPr>
          <w:rFonts w:ascii="Arial" w:hAnsi="Arial" w:cs="Arial"/>
          <w:noProof/>
          <w:szCs w:val="22"/>
        </w:rPr>
        <w:fldChar w:fldCharType="end"/>
      </w:r>
      <w:bookmarkEnd w:id="204"/>
      <w:r w:rsidRPr="00CB093C">
        <w:rPr>
          <w:rFonts w:ascii="Arial" w:hAnsi="Arial" w:cs="Arial"/>
          <w:szCs w:val="22"/>
        </w:rPr>
        <w:t xml:space="preserve">. </w:t>
      </w:r>
      <w:r w:rsidRPr="00CB093C">
        <w:rPr>
          <w:rFonts w:ascii="Arial" w:hAnsi="Arial" w:cs="Arial"/>
          <w:i/>
          <w:szCs w:val="22"/>
        </w:rPr>
        <w:t xml:space="preserve">Epiphyte abundance (percent cover) relative to the long-term average (the zero axis) for each </w:t>
      </w:r>
      <w:r w:rsidR="003158FC" w:rsidRPr="00CB093C">
        <w:rPr>
          <w:rFonts w:ascii="Arial" w:hAnsi="Arial" w:cs="Arial"/>
          <w:i/>
          <w:szCs w:val="22"/>
        </w:rPr>
        <w:t>Reef</w:t>
      </w:r>
      <w:r w:rsidRPr="00CB093C">
        <w:rPr>
          <w:rFonts w:ascii="Arial" w:hAnsi="Arial" w:cs="Arial"/>
          <w:i/>
          <w:szCs w:val="22"/>
        </w:rPr>
        <w:t xml:space="preserve"> seagrass habitat</w:t>
      </w:r>
      <w:bookmarkEnd w:id="205"/>
      <w:bookmarkEnd w:id="206"/>
      <w:r w:rsidRPr="00CB093C">
        <w:rPr>
          <w:rFonts w:ascii="Arial" w:hAnsi="Arial" w:cs="Arial"/>
          <w:i/>
          <w:szCs w:val="22"/>
        </w:rPr>
        <w:t xml:space="preserve"> </w:t>
      </w:r>
    </w:p>
    <w:p w14:paraId="489D1B3F" w14:textId="7D80A0F2" w:rsidR="00332CF2" w:rsidRPr="00CB093C" w:rsidRDefault="00332CF2" w:rsidP="00332CF2">
      <w:pPr>
        <w:spacing w:before="60"/>
        <w:jc w:val="both"/>
        <w:rPr>
          <w:rFonts w:ascii="Arial" w:hAnsi="Arial" w:cs="Arial"/>
          <w:i/>
          <w:szCs w:val="22"/>
        </w:rPr>
      </w:pPr>
      <w:r w:rsidRPr="00CB093C">
        <w:rPr>
          <w:rFonts w:ascii="Arial" w:hAnsi="Arial" w:cs="Arial"/>
          <w:i/>
          <w:color w:val="000000" w:themeColor="text1"/>
          <w:szCs w:val="22"/>
        </w:rPr>
        <w:t xml:space="preserve"> </w:t>
      </w:r>
      <w:r w:rsidRPr="00CB093C">
        <w:rPr>
          <w:rFonts w:ascii="Arial" w:hAnsi="Arial" w:cs="Arial"/>
          <w:i/>
          <w:szCs w:val="22"/>
        </w:rPr>
        <w:t xml:space="preserve">(sites pooled, ± SE). </w:t>
      </w:r>
      <w:r w:rsidR="003158FC" w:rsidRPr="00CB093C">
        <w:rPr>
          <w:rFonts w:ascii="Arial" w:hAnsi="Arial" w:cs="Arial"/>
          <w:i/>
          <w:szCs w:val="22"/>
        </w:rPr>
        <w:t>Reef</w:t>
      </w:r>
      <w:r w:rsidRPr="00CB093C">
        <w:rPr>
          <w:rFonts w:ascii="Arial" w:hAnsi="Arial" w:cs="Arial"/>
          <w:i/>
          <w:szCs w:val="22"/>
        </w:rPr>
        <w:t xml:space="preserve"> long-term average; estuarine = </w:t>
      </w:r>
      <w:r w:rsidR="008C3F28" w:rsidRPr="00CB093C">
        <w:rPr>
          <w:rFonts w:ascii="Arial" w:hAnsi="Arial" w:cs="Arial"/>
          <w:i/>
          <w:szCs w:val="22"/>
        </w:rPr>
        <w:t>25.1</w:t>
      </w:r>
      <w:r w:rsidRPr="00CB093C">
        <w:rPr>
          <w:rFonts w:ascii="Arial" w:hAnsi="Arial" w:cs="Arial"/>
          <w:i/>
          <w:szCs w:val="22"/>
        </w:rPr>
        <w:t>±</w:t>
      </w:r>
      <w:r w:rsidR="008C3F28" w:rsidRPr="00CB093C">
        <w:rPr>
          <w:rFonts w:ascii="Arial" w:hAnsi="Arial" w:cs="Arial"/>
          <w:i/>
          <w:szCs w:val="22"/>
        </w:rPr>
        <w:t>5.6%</w:t>
      </w:r>
      <w:r w:rsidRPr="00CB093C">
        <w:rPr>
          <w:rFonts w:ascii="Arial" w:hAnsi="Arial" w:cs="Arial"/>
          <w:i/>
          <w:szCs w:val="22"/>
        </w:rPr>
        <w:t xml:space="preserve"> coastal=</w:t>
      </w:r>
      <w:r w:rsidR="008C3F28" w:rsidRPr="00CB093C">
        <w:rPr>
          <w:rFonts w:ascii="Arial" w:hAnsi="Arial" w:cs="Arial"/>
          <w:i/>
          <w:szCs w:val="22"/>
        </w:rPr>
        <w:t>17.8</w:t>
      </w:r>
      <w:r w:rsidRPr="00CB093C">
        <w:rPr>
          <w:rFonts w:ascii="Arial" w:hAnsi="Arial" w:cs="Arial"/>
          <w:i/>
          <w:szCs w:val="22"/>
        </w:rPr>
        <w:t>±</w:t>
      </w:r>
      <w:r w:rsidR="008C3F28" w:rsidRPr="00CB093C">
        <w:rPr>
          <w:rFonts w:ascii="Arial" w:hAnsi="Arial" w:cs="Arial"/>
          <w:i/>
          <w:szCs w:val="22"/>
        </w:rPr>
        <w:t>3.7%</w:t>
      </w:r>
      <w:r w:rsidRPr="00CB093C">
        <w:rPr>
          <w:rFonts w:ascii="Arial" w:hAnsi="Arial" w:cs="Arial"/>
          <w:i/>
          <w:szCs w:val="22"/>
        </w:rPr>
        <w:t>, reef = 2</w:t>
      </w:r>
      <w:r w:rsidR="008C3F28" w:rsidRPr="00CB093C">
        <w:rPr>
          <w:rFonts w:ascii="Arial" w:hAnsi="Arial" w:cs="Arial"/>
          <w:i/>
          <w:szCs w:val="22"/>
        </w:rPr>
        <w:t>2.8</w:t>
      </w:r>
      <w:r w:rsidRPr="00CB093C">
        <w:rPr>
          <w:rFonts w:ascii="Arial" w:hAnsi="Arial" w:cs="Arial"/>
          <w:i/>
          <w:szCs w:val="22"/>
        </w:rPr>
        <w:t>±4.2</w:t>
      </w:r>
      <w:r w:rsidR="008C3F28" w:rsidRPr="00CB093C">
        <w:rPr>
          <w:rFonts w:ascii="Arial" w:hAnsi="Arial" w:cs="Arial"/>
          <w:i/>
          <w:szCs w:val="22"/>
        </w:rPr>
        <w:t>%</w:t>
      </w:r>
      <w:r w:rsidRPr="00CB093C">
        <w:rPr>
          <w:rFonts w:ascii="Arial" w:hAnsi="Arial" w:cs="Arial"/>
          <w:i/>
          <w:szCs w:val="22"/>
        </w:rPr>
        <w:t xml:space="preserve">, subtidal= </w:t>
      </w:r>
      <w:r w:rsidR="008C3F28" w:rsidRPr="00CB093C">
        <w:rPr>
          <w:rFonts w:ascii="Arial" w:hAnsi="Arial" w:cs="Arial"/>
          <w:i/>
          <w:szCs w:val="22"/>
        </w:rPr>
        <w:t>20.6</w:t>
      </w:r>
      <w:r w:rsidRPr="00CB093C">
        <w:rPr>
          <w:rFonts w:ascii="Arial" w:hAnsi="Arial" w:cs="Arial"/>
          <w:i/>
          <w:szCs w:val="22"/>
        </w:rPr>
        <w:t>±</w:t>
      </w:r>
      <w:r w:rsidR="008C3F28" w:rsidRPr="00CB093C">
        <w:rPr>
          <w:rFonts w:ascii="Arial" w:hAnsi="Arial" w:cs="Arial"/>
          <w:i/>
          <w:szCs w:val="22"/>
        </w:rPr>
        <w:t>3.1%</w:t>
      </w:r>
      <w:r w:rsidRPr="00CB093C">
        <w:rPr>
          <w:rFonts w:ascii="Arial" w:hAnsi="Arial" w:cs="Arial"/>
          <w:i/>
          <w:szCs w:val="22"/>
        </w:rPr>
        <w:t xml:space="preserve">. </w:t>
      </w:r>
    </w:p>
    <w:p w14:paraId="66E8B411" w14:textId="77777777" w:rsidR="003B7FCC" w:rsidRPr="00CB093C" w:rsidRDefault="003B7FCC" w:rsidP="00332CF2">
      <w:pPr>
        <w:spacing w:before="60"/>
        <w:jc w:val="both"/>
        <w:rPr>
          <w:rFonts w:ascii="Arial" w:hAnsi="Arial" w:cs="Arial"/>
          <w:i/>
          <w:vanish/>
          <w:szCs w:val="22"/>
        </w:rPr>
      </w:pPr>
    </w:p>
    <w:p w14:paraId="4E2B08DE" w14:textId="65793DB1" w:rsidR="00332CF2" w:rsidRPr="00CB093C" w:rsidRDefault="00DC649E" w:rsidP="0085216E">
      <w:pPr>
        <w:spacing w:after="0"/>
        <w:rPr>
          <w:rFonts w:ascii="Arial" w:hAnsi="Arial" w:cs="Arial"/>
          <w:color w:val="000000" w:themeColor="text1"/>
          <w:szCs w:val="22"/>
        </w:rPr>
      </w:pPr>
      <w:r w:rsidRPr="00CB093C">
        <w:rPr>
          <w:rFonts w:ascii="Arial" w:hAnsi="Arial" w:cs="Arial"/>
          <w:color w:val="000000" w:themeColor="text1"/>
          <w:szCs w:val="22"/>
        </w:rPr>
        <w:t>Macroalgae abundance was</w:t>
      </w:r>
      <w:r w:rsidR="00332CF2" w:rsidRPr="00CB093C">
        <w:rPr>
          <w:rFonts w:ascii="Arial" w:hAnsi="Arial" w:cs="Arial"/>
          <w:color w:val="000000" w:themeColor="text1"/>
          <w:szCs w:val="22"/>
        </w:rPr>
        <w:t xml:space="preserve"> generally low and stable </w:t>
      </w:r>
      <w:r w:rsidRPr="00CB093C">
        <w:rPr>
          <w:rFonts w:ascii="Arial" w:hAnsi="Arial" w:cs="Arial"/>
          <w:color w:val="000000" w:themeColor="text1"/>
          <w:szCs w:val="22"/>
        </w:rPr>
        <w:t>at</w:t>
      </w:r>
      <w:r w:rsidR="00332CF2" w:rsidRPr="00CB093C">
        <w:rPr>
          <w:rFonts w:ascii="Arial" w:hAnsi="Arial" w:cs="Arial"/>
          <w:color w:val="000000" w:themeColor="text1"/>
          <w:szCs w:val="22"/>
        </w:rPr>
        <w:t xml:space="preserve"> </w:t>
      </w:r>
      <w:r w:rsidR="003158FC" w:rsidRPr="00CB093C">
        <w:rPr>
          <w:rFonts w:ascii="Arial" w:hAnsi="Arial" w:cs="Arial"/>
          <w:color w:val="000000" w:themeColor="text1"/>
          <w:szCs w:val="22"/>
        </w:rPr>
        <w:t>Reef</w:t>
      </w:r>
      <w:r w:rsidR="00332CF2" w:rsidRPr="00CB093C">
        <w:rPr>
          <w:rFonts w:ascii="Arial" w:hAnsi="Arial" w:cs="Arial"/>
          <w:color w:val="000000" w:themeColor="text1"/>
          <w:szCs w:val="22"/>
        </w:rPr>
        <w:t xml:space="preserve"> seagrass habitats</w:t>
      </w:r>
      <w:r w:rsidRPr="00CB093C">
        <w:rPr>
          <w:rFonts w:ascii="Arial" w:hAnsi="Arial" w:cs="Arial"/>
          <w:color w:val="000000" w:themeColor="text1"/>
          <w:szCs w:val="22"/>
        </w:rPr>
        <w:t xml:space="preserve">, with </w:t>
      </w:r>
      <w:r w:rsidR="00332CF2" w:rsidRPr="00CB093C">
        <w:rPr>
          <w:rFonts w:ascii="Arial" w:hAnsi="Arial" w:cs="Arial"/>
          <w:color w:val="000000" w:themeColor="text1"/>
          <w:szCs w:val="22"/>
        </w:rPr>
        <w:t xml:space="preserve">little change </w:t>
      </w:r>
      <w:r w:rsidR="003B7FCC" w:rsidRPr="00CB093C">
        <w:rPr>
          <w:rFonts w:ascii="Arial" w:hAnsi="Arial" w:cs="Arial"/>
          <w:color w:val="000000" w:themeColor="text1"/>
          <w:szCs w:val="22"/>
        </w:rPr>
        <w:t>this year</w:t>
      </w:r>
      <w:r w:rsidR="00332CF2" w:rsidRPr="00CB093C">
        <w:rPr>
          <w:rFonts w:ascii="Arial" w:hAnsi="Arial" w:cs="Arial"/>
          <w:color w:val="000000" w:themeColor="text1"/>
          <w:szCs w:val="22"/>
        </w:rPr>
        <w:t xml:space="preserve"> (</w:t>
      </w:r>
      <w:r w:rsidR="00332CF2" w:rsidRPr="00CB093C">
        <w:rPr>
          <w:rFonts w:ascii="Arial" w:hAnsi="Arial" w:cs="Arial"/>
          <w:color w:val="000000" w:themeColor="text1"/>
          <w:szCs w:val="22"/>
        </w:rPr>
        <w:fldChar w:fldCharType="begin"/>
      </w:r>
      <w:r w:rsidR="00332CF2" w:rsidRPr="00CB093C">
        <w:rPr>
          <w:rFonts w:ascii="Arial" w:hAnsi="Arial" w:cs="Arial"/>
          <w:color w:val="000000" w:themeColor="text1"/>
          <w:szCs w:val="22"/>
        </w:rPr>
        <w:instrText xml:space="preserve"> REF _Ref271537893 \h  \* MERGEFORMAT </w:instrText>
      </w:r>
      <w:r w:rsidR="00332CF2" w:rsidRPr="00CB093C">
        <w:rPr>
          <w:rFonts w:ascii="Arial" w:hAnsi="Arial" w:cs="Arial"/>
          <w:color w:val="000000" w:themeColor="text1"/>
          <w:szCs w:val="22"/>
        </w:rPr>
      </w:r>
      <w:r w:rsidR="00332CF2" w:rsidRPr="00CB093C">
        <w:rPr>
          <w:rFonts w:ascii="Arial" w:hAnsi="Arial" w:cs="Arial"/>
          <w:color w:val="000000" w:themeColor="text1"/>
          <w:szCs w:val="22"/>
        </w:rPr>
        <w:fldChar w:fldCharType="separate"/>
      </w:r>
      <w:r w:rsidR="005F00D4" w:rsidRPr="005F00D4">
        <w:rPr>
          <w:rFonts w:ascii="Arial" w:hAnsi="Arial" w:cs="Arial"/>
          <w:color w:val="000000" w:themeColor="text1"/>
          <w:szCs w:val="22"/>
        </w:rPr>
        <w:t>Figure 25</w:t>
      </w:r>
      <w:r w:rsidR="00332CF2" w:rsidRPr="00CB093C">
        <w:rPr>
          <w:rFonts w:ascii="Arial" w:hAnsi="Arial" w:cs="Arial"/>
          <w:color w:val="000000" w:themeColor="text1"/>
          <w:szCs w:val="22"/>
        </w:rPr>
        <w:fldChar w:fldCharType="end"/>
      </w:r>
      <w:r w:rsidR="00332CF2" w:rsidRPr="00CB093C">
        <w:rPr>
          <w:rFonts w:ascii="Arial" w:hAnsi="Arial" w:cs="Arial"/>
          <w:color w:val="000000" w:themeColor="text1"/>
          <w:szCs w:val="22"/>
        </w:rPr>
        <w:t xml:space="preserve">). A </w:t>
      </w:r>
      <w:r w:rsidR="003B6F6E" w:rsidRPr="00CB093C">
        <w:rPr>
          <w:rFonts w:ascii="Arial" w:hAnsi="Arial" w:cs="Arial"/>
          <w:color w:val="000000" w:themeColor="text1"/>
          <w:szCs w:val="22"/>
        </w:rPr>
        <w:t xml:space="preserve">higher than long-term average </w:t>
      </w:r>
      <w:r w:rsidR="00332CF2" w:rsidRPr="00CB093C">
        <w:rPr>
          <w:rFonts w:ascii="Arial" w:hAnsi="Arial" w:cs="Arial"/>
          <w:color w:val="000000" w:themeColor="text1"/>
          <w:szCs w:val="22"/>
        </w:rPr>
        <w:t xml:space="preserve">at reef subtidal habitats during the late dry season </w:t>
      </w:r>
      <w:r w:rsidR="006F2772" w:rsidRPr="00CB093C">
        <w:rPr>
          <w:rFonts w:ascii="Arial" w:hAnsi="Arial" w:cs="Arial"/>
          <w:color w:val="000000" w:themeColor="text1"/>
          <w:szCs w:val="22"/>
        </w:rPr>
        <w:t xml:space="preserve">has been evident </w:t>
      </w:r>
      <w:r w:rsidR="00332CF2" w:rsidRPr="00CB093C">
        <w:rPr>
          <w:rFonts w:ascii="Arial" w:hAnsi="Arial" w:cs="Arial"/>
          <w:color w:val="000000" w:themeColor="text1"/>
          <w:szCs w:val="22"/>
        </w:rPr>
        <w:t>at all sites over the last 3 years.</w:t>
      </w:r>
    </w:p>
    <w:p w14:paraId="64000357" w14:textId="77777777" w:rsidR="00332CF2" w:rsidRPr="00CB093C" w:rsidRDefault="00332CF2" w:rsidP="008A59C6">
      <w:pPr>
        <w:keepNext/>
        <w:spacing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299B32B3" wp14:editId="3BE862D9">
            <wp:extent cx="3960000" cy="2829600"/>
            <wp:effectExtent l="0" t="0" r="2540" b="8890"/>
            <wp:docPr id="79" name="Picture 79" descr="Set of four bar charts showing macroalgae abundance (% cover) relative to the long-term average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GBR_algae_difference_2016.png"/>
                    <pic:cNvPicPr/>
                  </pic:nvPicPr>
                  <pic:blipFill>
                    <a:blip r:embed="rId69">
                      <a:extLst>
                        <a:ext uri="{28A0092B-C50C-407E-A947-70E740481C1C}">
                          <a14:useLocalDpi xmlns:a14="http://schemas.microsoft.com/office/drawing/2010/main" val="0"/>
                        </a:ext>
                      </a:extLst>
                    </a:blip>
                    <a:stretch>
                      <a:fillRect/>
                    </a:stretch>
                  </pic:blipFill>
                  <pic:spPr>
                    <a:xfrm>
                      <a:off x="0" y="0"/>
                      <a:ext cx="3960000" cy="2829600"/>
                    </a:xfrm>
                    <a:prstGeom prst="rect">
                      <a:avLst/>
                    </a:prstGeom>
                  </pic:spPr>
                </pic:pic>
              </a:graphicData>
            </a:graphic>
          </wp:inline>
        </w:drawing>
      </w:r>
    </w:p>
    <w:p w14:paraId="6F8D0083" w14:textId="51A3504E" w:rsidR="00332CF2" w:rsidRPr="00CB093C" w:rsidRDefault="00332CF2" w:rsidP="00332CF2">
      <w:pPr>
        <w:rPr>
          <w:rFonts w:ascii="Arial" w:hAnsi="Arial" w:cs="Arial"/>
          <w:i/>
          <w:vanish/>
          <w:szCs w:val="22"/>
          <w:specVanish/>
        </w:rPr>
      </w:pPr>
      <w:bookmarkStart w:id="207" w:name="_Ref271537893"/>
      <w:bookmarkStart w:id="208" w:name="_Toc431493816"/>
      <w:bookmarkStart w:id="209" w:name="_Toc6402790"/>
      <w:r w:rsidRPr="00CB093C">
        <w:rPr>
          <w:rFonts w:ascii="Arial" w:hAnsi="Arial" w:cs="Arial"/>
          <w:szCs w:val="22"/>
        </w:rPr>
        <w:t xml:space="preserve">Figure </w:t>
      </w:r>
      <w:r w:rsidRPr="00CB093C">
        <w:rPr>
          <w:rFonts w:ascii="Arial" w:hAnsi="Arial" w:cs="Arial"/>
          <w:noProof/>
          <w:szCs w:val="22"/>
        </w:rPr>
        <w:fldChar w:fldCharType="begin"/>
      </w:r>
      <w:r w:rsidRPr="00CB093C">
        <w:rPr>
          <w:rFonts w:ascii="Arial" w:hAnsi="Arial" w:cs="Arial"/>
          <w:noProof/>
          <w:szCs w:val="22"/>
        </w:rPr>
        <w:instrText xml:space="preserve"> SEQ Figure \* ARABIC </w:instrText>
      </w:r>
      <w:r w:rsidRPr="00CB093C">
        <w:rPr>
          <w:rFonts w:ascii="Arial" w:hAnsi="Arial" w:cs="Arial"/>
          <w:noProof/>
          <w:szCs w:val="22"/>
        </w:rPr>
        <w:fldChar w:fldCharType="separate"/>
      </w:r>
      <w:r w:rsidR="005F00D4">
        <w:rPr>
          <w:rFonts w:ascii="Arial" w:hAnsi="Arial" w:cs="Arial"/>
          <w:noProof/>
          <w:szCs w:val="22"/>
        </w:rPr>
        <w:t>25</w:t>
      </w:r>
      <w:r w:rsidRPr="00CB093C">
        <w:rPr>
          <w:rFonts w:ascii="Arial" w:hAnsi="Arial" w:cs="Arial"/>
          <w:noProof/>
          <w:szCs w:val="22"/>
        </w:rPr>
        <w:fldChar w:fldCharType="end"/>
      </w:r>
      <w:bookmarkEnd w:id="207"/>
      <w:r w:rsidRPr="00CB093C">
        <w:rPr>
          <w:rFonts w:ascii="Arial" w:hAnsi="Arial" w:cs="Arial"/>
          <w:szCs w:val="22"/>
        </w:rPr>
        <w:t xml:space="preserve">. </w:t>
      </w:r>
      <w:r w:rsidR="00DC649E" w:rsidRPr="00CB093C">
        <w:rPr>
          <w:rFonts w:ascii="Arial" w:hAnsi="Arial" w:cs="Arial"/>
          <w:i/>
          <w:szCs w:val="22"/>
        </w:rPr>
        <w:t>Macroalgae abundance (per</w:t>
      </w:r>
      <w:r w:rsidRPr="00CB093C">
        <w:rPr>
          <w:rFonts w:ascii="Arial" w:hAnsi="Arial" w:cs="Arial"/>
          <w:i/>
          <w:szCs w:val="22"/>
        </w:rPr>
        <w:t xml:space="preserve">cent cover) relative to the long-term average for each inshore </w:t>
      </w:r>
      <w:r w:rsidR="003158FC" w:rsidRPr="00CB093C">
        <w:rPr>
          <w:rFonts w:ascii="Arial" w:hAnsi="Arial" w:cs="Arial"/>
          <w:i/>
          <w:szCs w:val="22"/>
        </w:rPr>
        <w:t>Reef</w:t>
      </w:r>
      <w:r w:rsidRPr="00CB093C">
        <w:rPr>
          <w:rFonts w:ascii="Arial" w:hAnsi="Arial" w:cs="Arial"/>
          <w:i/>
          <w:szCs w:val="22"/>
        </w:rPr>
        <w:t xml:space="preserve"> seagrass habitat</w:t>
      </w:r>
      <w:bookmarkEnd w:id="208"/>
      <w:bookmarkEnd w:id="209"/>
    </w:p>
    <w:p w14:paraId="0F598E9D" w14:textId="4CA8B31E" w:rsidR="00332CF2" w:rsidRPr="00CB093C" w:rsidRDefault="00332CF2" w:rsidP="00332CF2">
      <w:pPr>
        <w:spacing w:before="60" w:after="0"/>
        <w:rPr>
          <w:rFonts w:ascii="Arial" w:hAnsi="Arial" w:cs="Arial"/>
          <w:i/>
          <w:szCs w:val="22"/>
        </w:rPr>
      </w:pPr>
      <w:r w:rsidRPr="00CB093C">
        <w:rPr>
          <w:rFonts w:ascii="Arial" w:hAnsi="Arial" w:cs="Arial"/>
          <w:i/>
          <w:szCs w:val="22"/>
        </w:rPr>
        <w:t xml:space="preserve">. (sites pooled, ± SE). </w:t>
      </w:r>
      <w:r w:rsidR="003158FC" w:rsidRPr="00CB093C">
        <w:rPr>
          <w:rFonts w:ascii="Arial" w:hAnsi="Arial" w:cs="Arial"/>
          <w:i/>
          <w:szCs w:val="22"/>
        </w:rPr>
        <w:t>Reef</w:t>
      </w:r>
      <w:r w:rsidRPr="00CB093C">
        <w:rPr>
          <w:rFonts w:ascii="Arial" w:hAnsi="Arial" w:cs="Arial"/>
          <w:i/>
          <w:szCs w:val="22"/>
        </w:rPr>
        <w:t xml:space="preserve"> long-term average; estuarine = 2.3±1.</w:t>
      </w:r>
      <w:r w:rsidR="008C3F28" w:rsidRPr="00CB093C">
        <w:rPr>
          <w:rFonts w:ascii="Arial" w:hAnsi="Arial" w:cs="Arial"/>
          <w:i/>
          <w:szCs w:val="22"/>
        </w:rPr>
        <w:t>0%</w:t>
      </w:r>
      <w:r w:rsidRPr="00CB093C">
        <w:rPr>
          <w:rFonts w:ascii="Arial" w:hAnsi="Arial" w:cs="Arial"/>
          <w:i/>
          <w:szCs w:val="22"/>
        </w:rPr>
        <w:t>, coastal=2.</w:t>
      </w:r>
      <w:r w:rsidR="008C3F28" w:rsidRPr="00CB093C">
        <w:rPr>
          <w:rFonts w:ascii="Arial" w:hAnsi="Arial" w:cs="Arial"/>
          <w:i/>
          <w:szCs w:val="22"/>
        </w:rPr>
        <w:t>5</w:t>
      </w:r>
      <w:r w:rsidRPr="00CB093C">
        <w:rPr>
          <w:rFonts w:ascii="Arial" w:hAnsi="Arial" w:cs="Arial"/>
          <w:i/>
          <w:szCs w:val="22"/>
        </w:rPr>
        <w:t>±1.</w:t>
      </w:r>
      <w:r w:rsidR="008C3F28" w:rsidRPr="00CB093C">
        <w:rPr>
          <w:rFonts w:ascii="Arial" w:hAnsi="Arial" w:cs="Arial"/>
          <w:i/>
          <w:szCs w:val="22"/>
        </w:rPr>
        <w:t>2%</w:t>
      </w:r>
      <w:r w:rsidRPr="00CB093C">
        <w:rPr>
          <w:rFonts w:ascii="Arial" w:hAnsi="Arial" w:cs="Arial"/>
          <w:i/>
          <w:szCs w:val="22"/>
        </w:rPr>
        <w:t>, reef = 6.</w:t>
      </w:r>
      <w:r w:rsidR="008C3F28" w:rsidRPr="00CB093C">
        <w:rPr>
          <w:rFonts w:ascii="Arial" w:hAnsi="Arial" w:cs="Arial"/>
          <w:i/>
          <w:szCs w:val="22"/>
        </w:rPr>
        <w:t>9</w:t>
      </w:r>
      <w:r w:rsidRPr="00CB093C">
        <w:rPr>
          <w:rFonts w:ascii="Arial" w:hAnsi="Arial" w:cs="Arial"/>
          <w:i/>
          <w:szCs w:val="22"/>
        </w:rPr>
        <w:t>±</w:t>
      </w:r>
      <w:r w:rsidR="008C3F28" w:rsidRPr="00CB093C">
        <w:rPr>
          <w:rFonts w:ascii="Arial" w:hAnsi="Arial" w:cs="Arial"/>
          <w:i/>
          <w:szCs w:val="22"/>
        </w:rPr>
        <w:t>1.9%</w:t>
      </w:r>
      <w:r w:rsidRPr="00CB093C">
        <w:rPr>
          <w:rFonts w:ascii="Arial" w:hAnsi="Arial" w:cs="Arial"/>
          <w:i/>
          <w:szCs w:val="22"/>
        </w:rPr>
        <w:t xml:space="preserve">, subtidal = </w:t>
      </w:r>
      <w:r w:rsidR="008C3F28" w:rsidRPr="00CB093C">
        <w:rPr>
          <w:rFonts w:ascii="Arial" w:hAnsi="Arial" w:cs="Arial"/>
          <w:i/>
          <w:szCs w:val="22"/>
        </w:rPr>
        <w:t>6.6</w:t>
      </w:r>
      <w:r w:rsidRPr="00CB093C">
        <w:rPr>
          <w:rFonts w:ascii="Arial" w:hAnsi="Arial" w:cs="Arial"/>
          <w:i/>
          <w:szCs w:val="22"/>
        </w:rPr>
        <w:t>±2.</w:t>
      </w:r>
      <w:r w:rsidR="008C3F28" w:rsidRPr="00CB093C">
        <w:rPr>
          <w:rFonts w:ascii="Arial" w:hAnsi="Arial" w:cs="Arial"/>
          <w:i/>
          <w:szCs w:val="22"/>
        </w:rPr>
        <w:t>0%</w:t>
      </w:r>
      <w:r w:rsidRPr="00CB093C">
        <w:rPr>
          <w:rFonts w:ascii="Arial" w:hAnsi="Arial" w:cs="Arial"/>
          <w:i/>
          <w:szCs w:val="22"/>
        </w:rPr>
        <w:t xml:space="preserve">. </w:t>
      </w:r>
    </w:p>
    <w:p w14:paraId="1F44A983" w14:textId="14F22C03" w:rsidR="003A3933" w:rsidRPr="00CB093C" w:rsidRDefault="003A3933">
      <w:pPr>
        <w:spacing w:before="0" w:after="0"/>
        <w:rPr>
          <w:rFonts w:ascii="Arial" w:hAnsi="Arial" w:cs="Arial"/>
          <w:szCs w:val="22"/>
          <w:lang w:val="en-GB"/>
        </w:rPr>
      </w:pPr>
      <w:r w:rsidRPr="00CB093C">
        <w:rPr>
          <w:rFonts w:ascii="Arial" w:hAnsi="Arial" w:cs="Arial"/>
          <w:szCs w:val="22"/>
          <w:lang w:val="en-GB"/>
        </w:rPr>
        <w:br w:type="page"/>
      </w:r>
    </w:p>
    <w:p w14:paraId="7E8F157E" w14:textId="0AB76EB7" w:rsidR="00821B13" w:rsidRPr="00CB093C" w:rsidRDefault="00821B13" w:rsidP="0015509E">
      <w:pPr>
        <w:pStyle w:val="Heading1"/>
      </w:pPr>
      <w:bookmarkStart w:id="210" w:name="_Toc11394723"/>
      <w:r w:rsidRPr="00CB093C">
        <w:lastRenderedPageBreak/>
        <w:t>Regional Reports</w:t>
      </w:r>
      <w:bookmarkEnd w:id="210"/>
      <w:r w:rsidRPr="00CB093C">
        <w:t xml:space="preserve"> </w:t>
      </w:r>
    </w:p>
    <w:p w14:paraId="04A74FF7" w14:textId="77777777" w:rsidR="00CE334D" w:rsidRPr="00CB093C" w:rsidRDefault="00CE334D" w:rsidP="00D2585E">
      <w:pPr>
        <w:spacing w:before="40" w:after="40"/>
        <w:rPr>
          <w:rFonts w:ascii="Arial" w:hAnsi="Arial" w:cs="Arial"/>
          <w:color w:val="000000"/>
          <w:szCs w:val="22"/>
        </w:rPr>
      </w:pPr>
    </w:p>
    <w:p w14:paraId="2CB9EE1A" w14:textId="5C849961" w:rsidR="0045483A" w:rsidRPr="00CB093C" w:rsidRDefault="00CE334D" w:rsidP="00D2585E">
      <w:pPr>
        <w:rPr>
          <w:rFonts w:ascii="Arial" w:hAnsi="Arial" w:cs="Arial"/>
          <w:szCs w:val="22"/>
        </w:rPr>
      </w:pPr>
      <w:r w:rsidRPr="00CB093C">
        <w:rPr>
          <w:rFonts w:ascii="Arial" w:hAnsi="Arial" w:cs="Arial"/>
          <w:szCs w:val="22"/>
        </w:rPr>
        <w:t xml:space="preserve">This section presents detailed results on the condtion and trend of indicators within Regions, </w:t>
      </w:r>
      <w:r w:rsidR="0045483A" w:rsidRPr="00CB093C">
        <w:rPr>
          <w:rFonts w:ascii="Arial" w:hAnsi="Arial" w:cs="Arial"/>
          <w:szCs w:val="22"/>
        </w:rPr>
        <w:t>and relates the results to local environmental factors including:</w:t>
      </w:r>
    </w:p>
    <w:p w14:paraId="22562151" w14:textId="77777777" w:rsidR="00AD0F49" w:rsidRPr="00CB093C" w:rsidRDefault="00AD0F49" w:rsidP="00AD06D4">
      <w:pPr>
        <w:pStyle w:val="ListParagraph"/>
        <w:numPr>
          <w:ilvl w:val="0"/>
          <w:numId w:val="31"/>
        </w:numPr>
        <w:spacing w:after="0"/>
        <w:rPr>
          <w:rFonts w:ascii="Arial" w:hAnsi="Arial" w:cs="Arial"/>
          <w:color w:val="000000" w:themeColor="text1"/>
          <w:szCs w:val="22"/>
        </w:rPr>
      </w:pPr>
      <w:r w:rsidRPr="00CB093C">
        <w:rPr>
          <w:rFonts w:ascii="Arial" w:hAnsi="Arial" w:cs="Arial"/>
          <w:color w:val="000000" w:themeColor="text1"/>
          <w:szCs w:val="22"/>
        </w:rPr>
        <w:t>monthly 3pm wind speed relevant to each monitoring location</w:t>
      </w:r>
    </w:p>
    <w:p w14:paraId="5D48D327" w14:textId="77777777" w:rsidR="00AD0F49" w:rsidRPr="00CB093C" w:rsidRDefault="00AD0F49" w:rsidP="00AD06D4">
      <w:pPr>
        <w:numPr>
          <w:ilvl w:val="0"/>
          <w:numId w:val="31"/>
        </w:numPr>
        <w:spacing w:before="40" w:after="0"/>
        <w:rPr>
          <w:rFonts w:ascii="Arial" w:hAnsi="Arial" w:cs="Arial"/>
          <w:color w:val="000000" w:themeColor="text1"/>
          <w:szCs w:val="22"/>
        </w:rPr>
      </w:pPr>
      <w:r w:rsidRPr="00CB093C">
        <w:rPr>
          <w:rFonts w:ascii="Arial" w:hAnsi="Arial" w:cs="Arial"/>
          <w:color w:val="000000" w:themeColor="text1"/>
          <w:szCs w:val="22"/>
        </w:rPr>
        <w:t>annual daytime tidal exposure at each monitoring site</w:t>
      </w:r>
    </w:p>
    <w:p w14:paraId="4DD957E2" w14:textId="77777777" w:rsidR="00AD0F49" w:rsidRPr="00CB093C" w:rsidRDefault="00AD0F49" w:rsidP="00AD06D4">
      <w:pPr>
        <w:numPr>
          <w:ilvl w:val="0"/>
          <w:numId w:val="31"/>
        </w:numPr>
        <w:spacing w:before="40" w:after="0"/>
        <w:rPr>
          <w:rFonts w:ascii="Arial" w:hAnsi="Arial" w:cs="Arial"/>
          <w:color w:val="000000" w:themeColor="text1"/>
          <w:szCs w:val="22"/>
        </w:rPr>
      </w:pPr>
      <w:r w:rsidRPr="00CB093C">
        <w:rPr>
          <w:rFonts w:ascii="Arial" w:hAnsi="Arial" w:cs="Arial"/>
          <w:color w:val="000000" w:themeColor="text1"/>
          <w:szCs w:val="22"/>
        </w:rPr>
        <w:t>daily light each monitoring location</w:t>
      </w:r>
    </w:p>
    <w:p w14:paraId="260D5557" w14:textId="7F6037AE" w:rsidR="00AD0F49" w:rsidRPr="00CB093C" w:rsidRDefault="00AD0F49" w:rsidP="00AD06D4">
      <w:pPr>
        <w:numPr>
          <w:ilvl w:val="0"/>
          <w:numId w:val="31"/>
        </w:numPr>
        <w:spacing w:before="40" w:after="0"/>
        <w:rPr>
          <w:rFonts w:ascii="Arial" w:hAnsi="Arial" w:cs="Arial"/>
          <w:color w:val="000000" w:themeColor="text1"/>
          <w:szCs w:val="22"/>
        </w:rPr>
      </w:pPr>
      <w:r w:rsidRPr="00CB093C">
        <w:rPr>
          <w:rFonts w:ascii="Arial" w:hAnsi="Arial" w:cs="Arial"/>
          <w:color w:val="000000" w:themeColor="text1"/>
          <w:szCs w:val="22"/>
        </w:rPr>
        <w:t>s</w:t>
      </w:r>
      <w:r w:rsidR="008F2D79" w:rsidRPr="00CB093C">
        <w:rPr>
          <w:rFonts w:ascii="Arial" w:hAnsi="Arial" w:cs="Arial"/>
          <w:color w:val="000000" w:themeColor="text1"/>
          <w:szCs w:val="22"/>
        </w:rPr>
        <w:t>e</w:t>
      </w:r>
      <w:r w:rsidRPr="00CB093C">
        <w:rPr>
          <w:rFonts w:ascii="Arial" w:hAnsi="Arial" w:cs="Arial"/>
          <w:color w:val="000000" w:themeColor="text1"/>
          <w:szCs w:val="22"/>
        </w:rPr>
        <w:t>diment grain size composition at each monitoring site</w:t>
      </w:r>
    </w:p>
    <w:p w14:paraId="688FB515" w14:textId="77777777" w:rsidR="00AD0F49" w:rsidRPr="00CB093C" w:rsidRDefault="00AD0F49" w:rsidP="00AD06D4">
      <w:pPr>
        <w:numPr>
          <w:ilvl w:val="0"/>
          <w:numId w:val="31"/>
        </w:numPr>
        <w:spacing w:before="40" w:after="0"/>
        <w:rPr>
          <w:rFonts w:ascii="Arial" w:hAnsi="Arial" w:cs="Arial"/>
          <w:color w:val="000000" w:themeColor="text1"/>
          <w:szCs w:val="22"/>
        </w:rPr>
      </w:pPr>
      <w:r w:rsidRPr="00CB093C">
        <w:rPr>
          <w:rFonts w:ascii="Arial" w:hAnsi="Arial" w:cs="Arial"/>
          <w:color w:val="000000" w:themeColor="text1"/>
          <w:szCs w:val="22"/>
        </w:rPr>
        <w:t>tables detailing statistical analysis.</w:t>
      </w:r>
    </w:p>
    <w:p w14:paraId="6E93BC83" w14:textId="77777777" w:rsidR="004C777E" w:rsidRPr="00CB093C" w:rsidRDefault="004C777E" w:rsidP="004C777E">
      <w:pPr>
        <w:rPr>
          <w:rFonts w:ascii="Arial" w:hAnsi="Arial" w:cs="Arial"/>
          <w:color w:val="000000"/>
          <w:szCs w:val="22"/>
        </w:rPr>
      </w:pPr>
    </w:p>
    <w:p w14:paraId="69034E4A" w14:textId="77777777" w:rsidR="003A3933" w:rsidRPr="00CB093C" w:rsidRDefault="003A3933" w:rsidP="0015509E">
      <w:pPr>
        <w:pStyle w:val="Heading2"/>
      </w:pPr>
      <w:bookmarkStart w:id="211" w:name="_Toc431493758"/>
      <w:bookmarkStart w:id="212" w:name="_Toc11394724"/>
      <w:bookmarkStart w:id="213" w:name="_Toc175991058"/>
      <w:bookmarkStart w:id="214" w:name="_Toc232845904"/>
      <w:bookmarkStart w:id="215" w:name="_Toc184101968"/>
      <w:r w:rsidRPr="00CB093C">
        <w:t>Cape York</w:t>
      </w:r>
      <w:bookmarkEnd w:id="211"/>
      <w:bookmarkEnd w:id="212"/>
    </w:p>
    <w:p w14:paraId="5169FC9C" w14:textId="68A8F90C" w:rsidR="005132EF" w:rsidRPr="00CB093C" w:rsidRDefault="003654C6" w:rsidP="00AD06D4">
      <w:pPr>
        <w:pStyle w:val="Heading3"/>
        <w:numPr>
          <w:ilvl w:val="2"/>
          <w:numId w:val="4"/>
        </w:numPr>
        <w:rPr>
          <w:rFonts w:ascii="Arial" w:hAnsi="Arial" w:cs="Arial"/>
          <w:sz w:val="22"/>
          <w:szCs w:val="22"/>
        </w:rPr>
      </w:pPr>
      <w:bookmarkStart w:id="216" w:name="_Toc184101969"/>
      <w:bookmarkStart w:id="217" w:name="_Toc431493759"/>
      <w:bookmarkStart w:id="218" w:name="_Toc11394725"/>
      <w:bookmarkEnd w:id="130"/>
      <w:bookmarkEnd w:id="131"/>
      <w:bookmarkEnd w:id="132"/>
      <w:bookmarkEnd w:id="213"/>
      <w:bookmarkEnd w:id="214"/>
      <w:bookmarkEnd w:id="215"/>
      <w:r>
        <w:rPr>
          <w:rFonts w:ascii="Arial" w:hAnsi="Arial" w:cs="Arial"/>
          <w:sz w:val="22"/>
          <w:szCs w:val="22"/>
        </w:rPr>
        <w:t>2017–18</w:t>
      </w:r>
      <w:r w:rsidR="005132EF" w:rsidRPr="00CB093C">
        <w:rPr>
          <w:rFonts w:ascii="Arial" w:hAnsi="Arial" w:cs="Arial"/>
          <w:sz w:val="22"/>
          <w:szCs w:val="22"/>
        </w:rPr>
        <w:t xml:space="preserve"> Summary</w:t>
      </w:r>
      <w:bookmarkEnd w:id="216"/>
      <w:bookmarkEnd w:id="217"/>
      <w:bookmarkEnd w:id="218"/>
    </w:p>
    <w:p w14:paraId="72CE5A1D" w14:textId="2523DC7C" w:rsidR="003E649A" w:rsidRPr="00CB093C" w:rsidRDefault="00097E01" w:rsidP="00FC5137">
      <w:pPr>
        <w:spacing w:after="0"/>
        <w:rPr>
          <w:rFonts w:ascii="Arial" w:hAnsi="Arial" w:cs="Arial"/>
          <w:szCs w:val="22"/>
        </w:rPr>
      </w:pPr>
      <w:bookmarkStart w:id="219" w:name="_Toc431493761"/>
      <w:bookmarkStart w:id="220" w:name="_Toc175991060"/>
      <w:bookmarkStart w:id="221" w:name="_Toc232845906"/>
      <w:r w:rsidRPr="00CB093C">
        <w:rPr>
          <w:rFonts w:ascii="Arial" w:hAnsi="Arial" w:cs="Arial"/>
          <w:szCs w:val="22"/>
        </w:rPr>
        <w:t>Seagrass meadows a</w:t>
      </w:r>
      <w:r w:rsidR="00B14701" w:rsidRPr="00CB093C">
        <w:rPr>
          <w:rFonts w:ascii="Arial" w:hAnsi="Arial" w:cs="Arial"/>
          <w:szCs w:val="22"/>
        </w:rPr>
        <w:t>c</w:t>
      </w:r>
      <w:r w:rsidRPr="00CB093C">
        <w:rPr>
          <w:rFonts w:ascii="Arial" w:hAnsi="Arial" w:cs="Arial"/>
          <w:szCs w:val="22"/>
        </w:rPr>
        <w:t>ross the Cape York NRM region declined in overall condition</w:t>
      </w:r>
      <w:r w:rsidR="00F9573E" w:rsidRPr="00CB093C">
        <w:rPr>
          <w:rFonts w:ascii="Arial" w:hAnsi="Arial" w:cs="Arial"/>
          <w:szCs w:val="22"/>
        </w:rPr>
        <w:t xml:space="preserve"> in </w:t>
      </w:r>
      <w:r w:rsidR="003654C6">
        <w:rPr>
          <w:rFonts w:ascii="Arial" w:hAnsi="Arial" w:cs="Arial"/>
          <w:szCs w:val="22"/>
        </w:rPr>
        <w:t>2017–18</w:t>
      </w:r>
      <w:r w:rsidRPr="00CB093C">
        <w:rPr>
          <w:rFonts w:ascii="Arial" w:hAnsi="Arial" w:cs="Arial"/>
          <w:szCs w:val="22"/>
        </w:rPr>
        <w:t xml:space="preserve">, </w:t>
      </w:r>
      <w:r w:rsidR="00891E96" w:rsidRPr="00CB093C">
        <w:rPr>
          <w:rFonts w:ascii="Arial" w:hAnsi="Arial" w:cs="Arial"/>
          <w:szCs w:val="22"/>
        </w:rPr>
        <w:t xml:space="preserve">to a condition of </w:t>
      </w:r>
      <w:r w:rsidR="003E649A" w:rsidRPr="00CB093C">
        <w:rPr>
          <w:rFonts w:ascii="Arial" w:hAnsi="Arial" w:cs="Arial"/>
          <w:szCs w:val="22"/>
        </w:rPr>
        <w:t>poor</w:t>
      </w:r>
      <w:r w:rsidR="00F9573E" w:rsidRPr="00CB093C">
        <w:rPr>
          <w:rFonts w:ascii="Arial" w:hAnsi="Arial" w:cs="Arial"/>
          <w:szCs w:val="22"/>
        </w:rPr>
        <w:t>, due to declines in all condition indicators</w:t>
      </w:r>
      <w:r w:rsidR="003E649A" w:rsidRPr="00CB093C">
        <w:rPr>
          <w:rFonts w:ascii="Arial" w:hAnsi="Arial" w:cs="Arial"/>
          <w:szCs w:val="22"/>
        </w:rPr>
        <w:t>:</w:t>
      </w:r>
    </w:p>
    <w:p w14:paraId="36F68DDD" w14:textId="728FC804" w:rsidR="003E649A" w:rsidRPr="00CB093C" w:rsidRDefault="003E649A" w:rsidP="00AD06D4">
      <w:pPr>
        <w:pStyle w:val="ListParagraph"/>
        <w:numPr>
          <w:ilvl w:val="0"/>
          <w:numId w:val="27"/>
        </w:numPr>
        <w:spacing w:after="0"/>
        <w:rPr>
          <w:rFonts w:ascii="Arial" w:hAnsi="Arial" w:cs="Arial"/>
          <w:szCs w:val="22"/>
        </w:rPr>
      </w:pPr>
      <w:r w:rsidRPr="00CB093C">
        <w:rPr>
          <w:rFonts w:ascii="Arial" w:hAnsi="Arial" w:cs="Arial"/>
          <w:szCs w:val="22"/>
        </w:rPr>
        <w:t>abundance score</w:t>
      </w:r>
      <w:r w:rsidR="004454E4" w:rsidRPr="00CB093C">
        <w:rPr>
          <w:rFonts w:ascii="Arial" w:hAnsi="Arial" w:cs="Arial"/>
          <w:szCs w:val="22"/>
        </w:rPr>
        <w:t xml:space="preserve"> </w:t>
      </w:r>
      <w:r w:rsidR="009262B7" w:rsidRPr="00CB093C">
        <w:rPr>
          <w:rFonts w:ascii="Arial" w:hAnsi="Arial" w:cs="Arial"/>
          <w:szCs w:val="22"/>
        </w:rPr>
        <w:t>was moderate</w:t>
      </w:r>
    </w:p>
    <w:p w14:paraId="19F79E17" w14:textId="45027227" w:rsidR="003E649A" w:rsidRPr="00CB093C" w:rsidRDefault="003E649A" w:rsidP="00AD06D4">
      <w:pPr>
        <w:pStyle w:val="ListParagraph"/>
        <w:numPr>
          <w:ilvl w:val="0"/>
          <w:numId w:val="27"/>
        </w:numPr>
        <w:spacing w:after="0"/>
        <w:rPr>
          <w:rFonts w:ascii="Arial" w:hAnsi="Arial" w:cs="Arial"/>
          <w:szCs w:val="22"/>
        </w:rPr>
      </w:pPr>
      <w:r w:rsidRPr="00CB093C">
        <w:rPr>
          <w:rFonts w:ascii="Arial" w:hAnsi="Arial" w:cs="Arial"/>
          <w:szCs w:val="22"/>
        </w:rPr>
        <w:t>tissue nutrient score</w:t>
      </w:r>
      <w:r w:rsidR="009262B7" w:rsidRPr="00CB093C">
        <w:rPr>
          <w:rFonts w:ascii="Arial" w:hAnsi="Arial" w:cs="Arial"/>
          <w:szCs w:val="22"/>
        </w:rPr>
        <w:t xml:space="preserve"> was poor</w:t>
      </w:r>
    </w:p>
    <w:p w14:paraId="3DE550CD" w14:textId="1EDED37A" w:rsidR="00F371A6" w:rsidRPr="00CB093C" w:rsidRDefault="003E649A" w:rsidP="00AD06D4">
      <w:pPr>
        <w:pStyle w:val="ListParagraph"/>
        <w:numPr>
          <w:ilvl w:val="0"/>
          <w:numId w:val="27"/>
        </w:numPr>
        <w:spacing w:after="0"/>
        <w:rPr>
          <w:rFonts w:ascii="Arial" w:hAnsi="Arial" w:cs="Arial"/>
          <w:szCs w:val="22"/>
        </w:rPr>
      </w:pPr>
      <w:r w:rsidRPr="00CB093C">
        <w:rPr>
          <w:rFonts w:ascii="Arial" w:hAnsi="Arial" w:cs="Arial"/>
          <w:szCs w:val="22"/>
        </w:rPr>
        <w:t>reproductive effort score</w:t>
      </w:r>
      <w:r w:rsidR="00F9573E" w:rsidRPr="00CB093C">
        <w:rPr>
          <w:rFonts w:ascii="Arial" w:hAnsi="Arial" w:cs="Arial"/>
          <w:szCs w:val="22"/>
        </w:rPr>
        <w:t xml:space="preserve"> </w:t>
      </w:r>
      <w:r w:rsidR="009262B7" w:rsidRPr="00CB093C">
        <w:rPr>
          <w:rFonts w:ascii="Arial" w:hAnsi="Arial" w:cs="Arial"/>
          <w:szCs w:val="22"/>
        </w:rPr>
        <w:t xml:space="preserve">was very poor. </w:t>
      </w:r>
    </w:p>
    <w:p w14:paraId="053E7F6D" w14:textId="04A24333" w:rsidR="00F371A6" w:rsidRPr="00CB093C" w:rsidRDefault="00097E01" w:rsidP="00FC5137">
      <w:pPr>
        <w:spacing w:after="0"/>
        <w:rPr>
          <w:rFonts w:ascii="Arial" w:hAnsi="Arial" w:cs="Arial"/>
          <w:szCs w:val="22"/>
        </w:rPr>
      </w:pPr>
      <w:r w:rsidRPr="00CB093C">
        <w:rPr>
          <w:rFonts w:ascii="Arial" w:hAnsi="Arial" w:cs="Arial"/>
          <w:szCs w:val="22"/>
        </w:rPr>
        <w:t xml:space="preserve">On average, seagrass abundance marginally decreased relative to the previous period. </w:t>
      </w:r>
      <w:r w:rsidR="00CD70E5" w:rsidRPr="00CB093C">
        <w:rPr>
          <w:rFonts w:ascii="Arial" w:hAnsi="Arial" w:cs="Arial"/>
          <w:szCs w:val="22"/>
        </w:rPr>
        <w:t>Seagrass a</w:t>
      </w:r>
      <w:r w:rsidR="00F9573E" w:rsidRPr="00CB093C">
        <w:rPr>
          <w:rFonts w:ascii="Arial" w:hAnsi="Arial" w:cs="Arial"/>
          <w:szCs w:val="22"/>
        </w:rPr>
        <w:t>bundance (</w:t>
      </w:r>
      <w:r w:rsidR="00882B72" w:rsidRPr="00CB093C">
        <w:rPr>
          <w:rFonts w:ascii="Arial" w:hAnsi="Arial" w:cs="Arial"/>
          <w:szCs w:val="22"/>
        </w:rPr>
        <w:t>%</w:t>
      </w:r>
      <w:r w:rsidR="00F9573E" w:rsidRPr="00CB093C">
        <w:rPr>
          <w:rFonts w:ascii="Arial" w:hAnsi="Arial" w:cs="Arial"/>
          <w:szCs w:val="22"/>
        </w:rPr>
        <w:t xml:space="preserve"> cover) </w:t>
      </w:r>
      <w:r w:rsidRPr="00CB093C">
        <w:rPr>
          <w:rFonts w:ascii="Arial" w:hAnsi="Arial" w:cs="Arial"/>
          <w:szCs w:val="22"/>
        </w:rPr>
        <w:t>decline</w:t>
      </w:r>
      <w:r w:rsidR="00F9573E" w:rsidRPr="00CB093C">
        <w:rPr>
          <w:rFonts w:ascii="Arial" w:hAnsi="Arial" w:cs="Arial"/>
          <w:szCs w:val="22"/>
        </w:rPr>
        <w:t>d</w:t>
      </w:r>
      <w:r w:rsidRPr="00CB093C">
        <w:rPr>
          <w:rFonts w:ascii="Arial" w:hAnsi="Arial" w:cs="Arial"/>
          <w:szCs w:val="22"/>
        </w:rPr>
        <w:t xml:space="preserve"> at 42% of sites across all habitats, </w:t>
      </w:r>
      <w:r w:rsidR="00AC3C5F" w:rsidRPr="00CB093C">
        <w:rPr>
          <w:rFonts w:ascii="Arial" w:hAnsi="Arial" w:cs="Arial"/>
          <w:szCs w:val="22"/>
        </w:rPr>
        <w:t xml:space="preserve">predominately in coastal and intertidal reef </w:t>
      </w:r>
      <w:r w:rsidR="00F9573E" w:rsidRPr="00CB093C">
        <w:rPr>
          <w:rFonts w:ascii="Arial" w:hAnsi="Arial" w:cs="Arial"/>
          <w:szCs w:val="22"/>
        </w:rPr>
        <w:t>meadows.</w:t>
      </w:r>
      <w:r w:rsidR="00AC3C5F" w:rsidRPr="00CB093C">
        <w:rPr>
          <w:rFonts w:ascii="Arial" w:hAnsi="Arial" w:cs="Arial"/>
          <w:szCs w:val="22"/>
        </w:rPr>
        <w:t xml:space="preserve"> </w:t>
      </w:r>
      <w:r w:rsidR="00F9573E" w:rsidRPr="00CB093C">
        <w:rPr>
          <w:rFonts w:ascii="Arial" w:hAnsi="Arial" w:cs="Arial"/>
          <w:szCs w:val="22"/>
        </w:rPr>
        <w:t xml:space="preserve">Most declines occurred in meadows located </w:t>
      </w:r>
      <w:r w:rsidR="00AC3C5F" w:rsidRPr="00CB093C">
        <w:rPr>
          <w:rFonts w:ascii="Arial" w:hAnsi="Arial" w:cs="Arial"/>
          <w:szCs w:val="22"/>
        </w:rPr>
        <w:t>in the south</w:t>
      </w:r>
      <w:r w:rsidR="00F9573E" w:rsidRPr="00CB093C">
        <w:rPr>
          <w:rFonts w:ascii="Arial" w:hAnsi="Arial" w:cs="Arial"/>
          <w:szCs w:val="22"/>
        </w:rPr>
        <w:t xml:space="preserve"> of the region</w:t>
      </w:r>
      <w:r w:rsidR="00AC3C5F" w:rsidRPr="00CB093C">
        <w:rPr>
          <w:rFonts w:ascii="Arial" w:hAnsi="Arial" w:cs="Arial"/>
          <w:szCs w:val="22"/>
        </w:rPr>
        <w:t xml:space="preserve">. </w:t>
      </w:r>
    </w:p>
    <w:p w14:paraId="0816EDA3" w14:textId="644861BE" w:rsidR="0037063A" w:rsidRPr="00CB093C" w:rsidRDefault="007306C6" w:rsidP="00FC5137">
      <w:pPr>
        <w:spacing w:after="0"/>
        <w:rPr>
          <w:rFonts w:ascii="Arial" w:hAnsi="Arial" w:cs="Arial"/>
          <w:szCs w:val="22"/>
        </w:rPr>
      </w:pPr>
      <w:r w:rsidRPr="00CB093C">
        <w:rPr>
          <w:rFonts w:ascii="Arial" w:hAnsi="Arial" w:cs="Arial"/>
          <w:szCs w:val="22"/>
        </w:rPr>
        <w:t>S</w:t>
      </w:r>
      <w:r w:rsidRPr="00CB093C">
        <w:rPr>
          <w:rFonts w:ascii="Arial" w:hAnsi="Arial" w:cs="Arial"/>
          <w:color w:val="000000" w:themeColor="text1"/>
          <w:szCs w:val="22"/>
        </w:rPr>
        <w:t>eagrass leaf tissue nutrient concentra</w:t>
      </w:r>
      <w:r w:rsidR="007750B9" w:rsidRPr="00CB093C">
        <w:rPr>
          <w:rFonts w:ascii="Arial" w:hAnsi="Arial" w:cs="Arial"/>
          <w:color w:val="000000" w:themeColor="text1"/>
          <w:szCs w:val="22"/>
        </w:rPr>
        <w:t>t</w:t>
      </w:r>
      <w:r w:rsidRPr="00CB093C">
        <w:rPr>
          <w:rFonts w:ascii="Arial" w:hAnsi="Arial" w:cs="Arial"/>
          <w:color w:val="000000" w:themeColor="text1"/>
          <w:szCs w:val="22"/>
        </w:rPr>
        <w:t xml:space="preserve">ions </w:t>
      </w:r>
      <w:r w:rsidR="007750B9" w:rsidRPr="00CB093C">
        <w:rPr>
          <w:rFonts w:ascii="Arial" w:hAnsi="Arial" w:cs="Arial"/>
          <w:color w:val="000000" w:themeColor="text1"/>
          <w:szCs w:val="22"/>
        </w:rPr>
        <w:t xml:space="preserve">in </w:t>
      </w:r>
      <w:r w:rsidR="003654C6">
        <w:rPr>
          <w:rFonts w:ascii="Arial" w:hAnsi="Arial" w:cs="Arial"/>
          <w:color w:val="000000" w:themeColor="text1"/>
          <w:szCs w:val="22"/>
        </w:rPr>
        <w:t>2017–18</w:t>
      </w:r>
      <w:r w:rsidR="007750B9" w:rsidRPr="00CB093C">
        <w:rPr>
          <w:rFonts w:ascii="Arial" w:hAnsi="Arial" w:cs="Arial"/>
          <w:color w:val="000000" w:themeColor="text1"/>
          <w:szCs w:val="22"/>
        </w:rPr>
        <w:t xml:space="preserve"> </w:t>
      </w:r>
      <w:r w:rsidR="006859E3" w:rsidRPr="00CB093C">
        <w:rPr>
          <w:rFonts w:ascii="Arial" w:hAnsi="Arial" w:cs="Arial"/>
          <w:color w:val="000000" w:themeColor="text1"/>
          <w:szCs w:val="22"/>
        </w:rPr>
        <w:t>corresponded</w:t>
      </w:r>
      <w:r w:rsidR="007750B9" w:rsidRPr="00CB093C">
        <w:rPr>
          <w:rFonts w:ascii="Arial" w:hAnsi="Arial" w:cs="Arial"/>
          <w:color w:val="000000" w:themeColor="text1"/>
          <w:szCs w:val="22"/>
        </w:rPr>
        <w:t xml:space="preserve"> with the higher ‘green’ water exposure, </w:t>
      </w:r>
      <w:r w:rsidRPr="00CB093C">
        <w:rPr>
          <w:rFonts w:ascii="Arial" w:hAnsi="Arial" w:cs="Arial"/>
          <w:color w:val="000000" w:themeColor="text1"/>
          <w:szCs w:val="22"/>
        </w:rPr>
        <w:t>indicat</w:t>
      </w:r>
      <w:r w:rsidR="007750B9" w:rsidRPr="00CB093C">
        <w:rPr>
          <w:rFonts w:ascii="Arial" w:hAnsi="Arial" w:cs="Arial"/>
          <w:color w:val="000000" w:themeColor="text1"/>
          <w:szCs w:val="22"/>
        </w:rPr>
        <w:t>ing that</w:t>
      </w:r>
      <w:r w:rsidR="007750B9" w:rsidRPr="00CB093C">
        <w:rPr>
          <w:rFonts w:ascii="Arial" w:hAnsi="Arial" w:cs="Arial"/>
          <w:iCs/>
          <w:color w:val="000000" w:themeColor="text1"/>
          <w:szCs w:val="22"/>
        </w:rPr>
        <w:t xml:space="preserve"> the availability of nitrogen (N), particularly in coastal habitats, has increased relative to the demand for carbon for growth. However, the N source appears primary natural fixation rather than anthropogenic, and levels are not of concern as they do not appear to have </w:t>
      </w:r>
      <w:r w:rsidR="00B14701" w:rsidRPr="00CB093C">
        <w:rPr>
          <w:rFonts w:ascii="Arial" w:hAnsi="Arial" w:cs="Arial"/>
          <w:iCs/>
          <w:color w:val="000000" w:themeColor="text1"/>
          <w:szCs w:val="22"/>
        </w:rPr>
        <w:t>significantly</w:t>
      </w:r>
      <w:r w:rsidR="007750B9" w:rsidRPr="00CB093C">
        <w:rPr>
          <w:rFonts w:ascii="Arial" w:hAnsi="Arial" w:cs="Arial"/>
          <w:iCs/>
          <w:color w:val="000000" w:themeColor="text1"/>
          <w:szCs w:val="22"/>
        </w:rPr>
        <w:t xml:space="preserve"> influenced epiphytic and macroalgae abundances.</w:t>
      </w:r>
      <w:r w:rsidR="00FC5137" w:rsidRPr="00CB093C">
        <w:rPr>
          <w:rFonts w:ascii="Arial" w:hAnsi="Arial" w:cs="Arial"/>
          <w:szCs w:val="22"/>
        </w:rPr>
        <w:t xml:space="preserve"> </w:t>
      </w:r>
    </w:p>
    <w:p w14:paraId="3228B4B3" w14:textId="14760113" w:rsidR="00FC5137" w:rsidRPr="00CB093C" w:rsidRDefault="00FC5137" w:rsidP="00FC5137">
      <w:pPr>
        <w:spacing w:after="0"/>
        <w:rPr>
          <w:rFonts w:ascii="Arial" w:hAnsi="Arial" w:cs="Arial"/>
          <w:szCs w:val="22"/>
        </w:rPr>
      </w:pPr>
      <w:r w:rsidRPr="00CB093C">
        <w:rPr>
          <w:rFonts w:ascii="Arial" w:hAnsi="Arial" w:cs="Arial"/>
          <w:szCs w:val="22"/>
        </w:rPr>
        <w:t xml:space="preserve">The </w:t>
      </w:r>
      <w:r w:rsidRPr="00CB093C">
        <w:rPr>
          <w:rFonts w:ascii="Arial" w:hAnsi="Arial" w:cs="Arial"/>
          <w:color w:val="000000" w:themeColor="text1"/>
          <w:szCs w:val="22"/>
        </w:rPr>
        <w:t>capacity for the meadows to recover across the Cape York region is</w:t>
      </w:r>
      <w:r w:rsidRPr="00CB093C">
        <w:rPr>
          <w:rFonts w:ascii="Arial" w:hAnsi="Arial" w:cs="Arial"/>
          <w:szCs w:val="22"/>
        </w:rPr>
        <w:t xml:space="preserve"> variable between habitats. The large seed banks which persist at intertidal coastal meadows could aid recovery </w:t>
      </w:r>
      <w:r w:rsidRPr="00CB093C">
        <w:rPr>
          <w:rFonts w:ascii="Arial" w:hAnsi="Arial" w:cs="Arial"/>
          <w:color w:val="000000" w:themeColor="text1"/>
          <w:szCs w:val="22"/>
        </w:rPr>
        <w:t xml:space="preserve">in the short term, if </w:t>
      </w:r>
      <w:r w:rsidR="00B14701" w:rsidRPr="00CB093C">
        <w:rPr>
          <w:rFonts w:ascii="Arial" w:hAnsi="Arial" w:cs="Arial"/>
          <w:color w:val="000000" w:themeColor="text1"/>
          <w:szCs w:val="22"/>
        </w:rPr>
        <w:t>environmental</w:t>
      </w:r>
      <w:r w:rsidRPr="00CB093C">
        <w:rPr>
          <w:rFonts w:ascii="Arial" w:hAnsi="Arial" w:cs="Arial"/>
          <w:color w:val="000000" w:themeColor="text1"/>
          <w:szCs w:val="22"/>
        </w:rPr>
        <w:t xml:space="preserve"> conditions are favourable for germination</w:t>
      </w:r>
      <w:r w:rsidRPr="00CB093C">
        <w:rPr>
          <w:rFonts w:ascii="Arial" w:hAnsi="Arial" w:cs="Arial"/>
          <w:szCs w:val="22"/>
        </w:rPr>
        <w:t xml:space="preserve">, but the low reproductive effort may limit replenishment and maintenance of the bank in the near future. </w:t>
      </w:r>
      <w:r w:rsidRPr="00CB093C">
        <w:rPr>
          <w:rFonts w:ascii="Arial" w:hAnsi="Arial" w:cs="Arial"/>
          <w:szCs w:val="22"/>
        </w:rPr>
        <w:lastRenderedPageBreak/>
        <w:t>The lack of seeds in most intertidal reef meadows currently limits recovery, however the increased reproductive effort may improve capacity in the near future.</w:t>
      </w:r>
    </w:p>
    <w:p w14:paraId="6741900D" w14:textId="445718E4" w:rsidR="003E649A" w:rsidRPr="00CB093C" w:rsidRDefault="003E649A" w:rsidP="003E649A">
      <w:pPr>
        <w:spacing w:after="0"/>
        <w:rPr>
          <w:rFonts w:ascii="Arial" w:hAnsi="Arial" w:cs="Arial"/>
          <w:szCs w:val="22"/>
        </w:rPr>
      </w:pPr>
      <w:r w:rsidRPr="00CB093C">
        <w:rPr>
          <w:rFonts w:ascii="Arial" w:hAnsi="Arial" w:cs="Arial"/>
          <w:szCs w:val="22"/>
        </w:rPr>
        <w:t>Lastly, the region experienced</w:t>
      </w:r>
      <w:r w:rsidR="0036241C" w:rsidRPr="00CB093C">
        <w:rPr>
          <w:rFonts w:ascii="Arial" w:hAnsi="Arial" w:cs="Arial"/>
          <w:szCs w:val="22"/>
        </w:rPr>
        <w:t xml:space="preserve"> above average</w:t>
      </w:r>
      <w:r w:rsidRPr="00CB093C">
        <w:rPr>
          <w:rFonts w:ascii="Arial" w:hAnsi="Arial" w:cs="Arial"/>
          <w:szCs w:val="22"/>
        </w:rPr>
        <w:t xml:space="preserve"> elevated within-canopy water temperatures for the sixth consecutive year, which may have exacerbated chronic stress conditions in the intertidal meadows, further impacting growth. </w:t>
      </w:r>
    </w:p>
    <w:p w14:paraId="1F423C0C" w14:textId="5C62B0C1" w:rsidR="00883676" w:rsidRPr="00CB093C" w:rsidRDefault="00883676" w:rsidP="003E649A">
      <w:pPr>
        <w:spacing w:after="0"/>
        <w:rPr>
          <w:rFonts w:ascii="Arial" w:hAnsi="Arial" w:cs="Arial"/>
          <w:color w:val="000000" w:themeColor="text1"/>
          <w:szCs w:val="22"/>
        </w:rPr>
      </w:pPr>
      <w:r w:rsidRPr="00CB093C">
        <w:rPr>
          <w:rFonts w:ascii="Arial" w:hAnsi="Arial" w:cs="Arial"/>
          <w:szCs w:val="22"/>
        </w:rPr>
        <w:t xml:space="preserve">An assessment of long-term trends in other Cape York habitats is affected by changes in the number, onset and duration of monitoring at individual sites. An examination of the long-term trend shows seagrass </w:t>
      </w:r>
      <w:r w:rsidR="00882B72" w:rsidRPr="00CB093C">
        <w:rPr>
          <w:rFonts w:ascii="Arial" w:hAnsi="Arial" w:cs="Arial"/>
          <w:szCs w:val="22"/>
        </w:rPr>
        <w:t>%</w:t>
      </w:r>
      <w:r w:rsidRPr="00CB093C">
        <w:rPr>
          <w:rFonts w:ascii="Arial" w:hAnsi="Arial" w:cs="Arial"/>
          <w:szCs w:val="22"/>
        </w:rPr>
        <w:t xml:space="preserve"> cover progressively decreased at intertidal reef habitats across Cape York from 2003 to 2012, with relatively little improvement since. Coastal intertidal and subtidal habitats monitored since 2012 and 2015 respectively, generally showed no </w:t>
      </w:r>
      <w:r w:rsidR="00B14701" w:rsidRPr="00CB093C">
        <w:rPr>
          <w:rFonts w:ascii="Arial" w:hAnsi="Arial" w:cs="Arial"/>
          <w:szCs w:val="22"/>
        </w:rPr>
        <w:t>significant</w:t>
      </w:r>
      <w:r w:rsidRPr="00CB093C">
        <w:rPr>
          <w:rFonts w:ascii="Arial" w:hAnsi="Arial" w:cs="Arial"/>
          <w:szCs w:val="22"/>
        </w:rPr>
        <w:t xml:space="preserve"> trend. Similarly, </w:t>
      </w:r>
      <w:r w:rsidRPr="00CB093C">
        <w:rPr>
          <w:rFonts w:ascii="Arial" w:hAnsi="Arial" w:cs="Arial"/>
          <w:szCs w:val="22"/>
          <w:lang w:val="en-US"/>
        </w:rPr>
        <w:t xml:space="preserve">meadow extent across the region has been relatively stable since 2012. </w:t>
      </w:r>
    </w:p>
    <w:p w14:paraId="5843F6CC" w14:textId="65D5C47C" w:rsidR="006E32D4" w:rsidRPr="00CB093C" w:rsidRDefault="002D353D" w:rsidP="0096301D">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drawing>
          <wp:inline distT="0" distB="0" distL="0" distR="0" wp14:anchorId="3521960D" wp14:editId="2FF06203">
            <wp:extent cx="4946400" cy="3060000"/>
            <wp:effectExtent l="0" t="0" r="6985" b="7620"/>
            <wp:docPr id="6" name="Picture 6" descr="Scatter plot with straight lines and markers showing seagrass condition index (including standard errors), with contributing indicator scores for the Cape York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NDEX_CY_2016.png"/>
                    <pic:cNvPicPr/>
                  </pic:nvPicPr>
                  <pic:blipFill>
                    <a:blip r:embed="rId70">
                      <a:extLst>
                        <a:ext uri="{28A0092B-C50C-407E-A947-70E740481C1C}">
                          <a14:useLocalDpi xmlns:a14="http://schemas.microsoft.com/office/drawing/2010/main" val="0"/>
                        </a:ext>
                      </a:extLst>
                    </a:blip>
                    <a:stretch>
                      <a:fillRect/>
                    </a:stretch>
                  </pic:blipFill>
                  <pic:spPr>
                    <a:xfrm>
                      <a:off x="0" y="0"/>
                      <a:ext cx="4946400" cy="3060000"/>
                    </a:xfrm>
                    <a:prstGeom prst="rect">
                      <a:avLst/>
                    </a:prstGeom>
                  </pic:spPr>
                </pic:pic>
              </a:graphicData>
            </a:graphic>
          </wp:inline>
        </w:drawing>
      </w:r>
    </w:p>
    <w:p w14:paraId="425FD56A" w14:textId="1301B2BC" w:rsidR="006E32D4" w:rsidRPr="00CB093C" w:rsidRDefault="006E32D4" w:rsidP="006E32D4">
      <w:pPr>
        <w:rPr>
          <w:rFonts w:ascii="Arial" w:hAnsi="Arial" w:cs="Arial"/>
          <w:i/>
          <w:vanish/>
          <w:color w:val="000000"/>
          <w:szCs w:val="22"/>
          <w:specVanish/>
        </w:rPr>
      </w:pPr>
      <w:bookmarkStart w:id="222" w:name="_Ref385233470"/>
      <w:bookmarkStart w:id="223" w:name="_Toc431493825"/>
      <w:bookmarkStart w:id="224" w:name="_Toc6402791"/>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26</w:t>
      </w:r>
      <w:r w:rsidRPr="00CB093C">
        <w:rPr>
          <w:rFonts w:ascii="Arial" w:hAnsi="Arial" w:cs="Arial"/>
          <w:color w:val="000000"/>
          <w:szCs w:val="22"/>
        </w:rPr>
        <w:fldChar w:fldCharType="end"/>
      </w:r>
      <w:bookmarkEnd w:id="222"/>
      <w:r w:rsidRPr="00CB093C">
        <w:rPr>
          <w:rFonts w:ascii="Arial" w:hAnsi="Arial" w:cs="Arial"/>
          <w:color w:val="000000"/>
          <w:szCs w:val="22"/>
        </w:rPr>
        <w:t xml:space="preserve">. </w:t>
      </w:r>
      <w:r w:rsidR="0096301D" w:rsidRPr="00CB093C">
        <w:rPr>
          <w:rFonts w:ascii="Arial" w:hAnsi="Arial" w:cs="Arial"/>
          <w:i/>
          <w:szCs w:val="22"/>
        </w:rPr>
        <w:t>Seagrass condition index (±SE) with contributing indicator scores</w:t>
      </w:r>
      <w:r w:rsidR="0096301D" w:rsidRPr="00CB093C">
        <w:rPr>
          <w:rFonts w:ascii="Arial" w:hAnsi="Arial" w:cs="Arial"/>
          <w:i/>
          <w:color w:val="000000"/>
          <w:szCs w:val="22"/>
        </w:rPr>
        <w:t xml:space="preserve"> </w:t>
      </w:r>
      <w:r w:rsidRPr="00CB093C">
        <w:rPr>
          <w:rFonts w:ascii="Arial" w:hAnsi="Arial" w:cs="Arial"/>
          <w:i/>
          <w:color w:val="000000"/>
          <w:szCs w:val="22"/>
        </w:rPr>
        <w:t>for the Cape York NRM region</w:t>
      </w:r>
      <w:bookmarkEnd w:id="223"/>
      <w:bookmarkEnd w:id="224"/>
    </w:p>
    <w:p w14:paraId="07A41525" w14:textId="0BC1FA78" w:rsidR="006A06EC" w:rsidRPr="00CB093C" w:rsidRDefault="006E32D4" w:rsidP="006E32D4">
      <w:pPr>
        <w:rPr>
          <w:rFonts w:ascii="Arial" w:hAnsi="Arial" w:cs="Arial"/>
          <w:i/>
          <w:szCs w:val="22"/>
        </w:rPr>
      </w:pPr>
      <w:r w:rsidRPr="00CB093C">
        <w:rPr>
          <w:rFonts w:ascii="Arial" w:hAnsi="Arial" w:cs="Arial"/>
          <w:i/>
          <w:color w:val="000000"/>
          <w:szCs w:val="22"/>
        </w:rPr>
        <w:t xml:space="preserve"> </w:t>
      </w:r>
      <w:r w:rsidRPr="00CB093C">
        <w:rPr>
          <w:rFonts w:ascii="Arial" w:hAnsi="Arial" w:cs="Arial"/>
          <w:i/>
          <w:szCs w:val="22"/>
        </w:rPr>
        <w:t xml:space="preserve">(averaged across habitats and sites). </w:t>
      </w:r>
      <w:r w:rsidR="0096301D" w:rsidRPr="00CB093C">
        <w:rPr>
          <w:rFonts w:ascii="Arial" w:hAnsi="Arial" w:cs="Arial"/>
          <w:i/>
          <w:color w:val="000000"/>
          <w:szCs w:val="22"/>
        </w:rPr>
        <w:t>I</w:t>
      </w:r>
      <w:r w:rsidR="0096301D" w:rsidRPr="00CB093C">
        <w:rPr>
          <w:rFonts w:ascii="Arial" w:hAnsi="Arial" w:cs="Arial"/>
          <w:i/>
          <w:szCs w:val="22"/>
        </w:rPr>
        <w:t>ndex scores scaled from 0-100 and graded:</w:t>
      </w:r>
      <w:r w:rsidRPr="00CB093C">
        <w:rPr>
          <w:rFonts w:ascii="Arial" w:hAnsi="Arial" w:cs="Arial"/>
          <w:i/>
          <w:szCs w:val="22"/>
        </w:rPr>
        <w:t xml:space="preserve"> </w:t>
      </w:r>
      <w:r w:rsidR="00F53D95" w:rsidRPr="00CB093C">
        <w:rPr>
          <w:rFonts w:ascii="Arial" w:hAnsi="Arial" w:cs="Arial"/>
          <w:color w:val="008000"/>
          <w:szCs w:val="22"/>
        </w:rPr>
        <w:t>●</w:t>
      </w:r>
      <w:r w:rsidRPr="00CB093C">
        <w:rPr>
          <w:rFonts w:ascii="Arial" w:hAnsi="Arial" w:cs="Arial"/>
          <w:i/>
          <w:szCs w:val="22"/>
        </w:rPr>
        <w:t xml:space="preserve"> = very good (81-100), </w:t>
      </w:r>
      <w:r w:rsidR="00F53D95" w:rsidRPr="00CB093C">
        <w:rPr>
          <w:rFonts w:ascii="Arial" w:hAnsi="Arial" w:cs="Arial"/>
          <w:color w:val="92D050"/>
          <w:szCs w:val="22"/>
        </w:rPr>
        <w:t>●</w:t>
      </w:r>
      <w:r w:rsidRPr="00CB093C">
        <w:rPr>
          <w:rFonts w:ascii="Arial" w:hAnsi="Arial" w:cs="Arial"/>
          <w:i/>
          <w:szCs w:val="22"/>
        </w:rPr>
        <w:t xml:space="preserve"> = good (61 - 80), </w:t>
      </w:r>
      <w:r w:rsidR="00F53D95" w:rsidRPr="00CB093C">
        <w:rPr>
          <w:rFonts w:ascii="Arial" w:hAnsi="Arial" w:cs="Arial"/>
          <w:color w:val="FFFF00"/>
          <w:szCs w:val="22"/>
        </w:rPr>
        <w:t>●</w:t>
      </w:r>
      <w:r w:rsidRPr="00CB093C">
        <w:rPr>
          <w:rFonts w:ascii="Arial" w:hAnsi="Arial" w:cs="Arial"/>
          <w:i/>
          <w:szCs w:val="22"/>
        </w:rPr>
        <w:t xml:space="preserve"> = moderate (41 - 60), </w:t>
      </w:r>
      <w:r w:rsidR="00402F09" w:rsidRPr="00CB093C">
        <w:rPr>
          <w:rFonts w:ascii="Arial" w:hAnsi="Arial" w:cs="Arial"/>
          <w:i/>
          <w:color w:val="FFC000"/>
          <w:szCs w:val="22"/>
        </w:rPr>
        <w:t>●</w:t>
      </w:r>
      <w:r w:rsidRPr="00CB093C">
        <w:rPr>
          <w:rFonts w:ascii="Arial" w:hAnsi="Arial" w:cs="Arial"/>
          <w:i/>
          <w:szCs w:val="22"/>
        </w:rPr>
        <w:t xml:space="preserve"> = poor (21 - 40), </w:t>
      </w:r>
      <w:r w:rsidR="00402F09" w:rsidRPr="00CB093C">
        <w:rPr>
          <w:rFonts w:ascii="Arial" w:hAnsi="Arial" w:cs="Arial"/>
          <w:i/>
          <w:color w:val="FF0000"/>
          <w:szCs w:val="22"/>
        </w:rPr>
        <w:t>●</w:t>
      </w:r>
      <w:r w:rsidRPr="00CB093C">
        <w:rPr>
          <w:rFonts w:ascii="Arial" w:hAnsi="Arial" w:cs="Arial"/>
          <w:i/>
          <w:szCs w:val="22"/>
        </w:rPr>
        <w:t> = very poor (0 - 20).</w:t>
      </w:r>
      <w:r w:rsidRPr="00CB093C">
        <w:rPr>
          <w:rFonts w:ascii="Arial" w:hAnsi="Arial" w:cs="Arial"/>
          <w:i/>
          <w:color w:val="000000"/>
          <w:szCs w:val="22"/>
        </w:rPr>
        <w:t xml:space="preserve"> NB: Scores</w:t>
      </w:r>
      <w:r w:rsidRPr="00CB093C">
        <w:rPr>
          <w:rFonts w:ascii="Arial" w:hAnsi="Arial" w:cs="Arial"/>
          <w:i/>
          <w:szCs w:val="22"/>
        </w:rPr>
        <w:t xml:space="preserve"> are unitless.</w:t>
      </w:r>
    </w:p>
    <w:p w14:paraId="74A8F263" w14:textId="200C50CB" w:rsidR="0069228A" w:rsidRPr="00CB093C" w:rsidRDefault="0069228A" w:rsidP="00AD06D4">
      <w:pPr>
        <w:pStyle w:val="Heading3"/>
        <w:numPr>
          <w:ilvl w:val="2"/>
          <w:numId w:val="4"/>
        </w:numPr>
        <w:rPr>
          <w:rFonts w:ascii="Arial" w:hAnsi="Arial" w:cs="Arial"/>
          <w:color w:val="000000"/>
          <w:sz w:val="22"/>
          <w:szCs w:val="22"/>
        </w:rPr>
      </w:pPr>
      <w:bookmarkStart w:id="225" w:name="_Toc11394726"/>
      <w:r w:rsidRPr="00CB093C">
        <w:rPr>
          <w:rFonts w:ascii="Arial" w:hAnsi="Arial" w:cs="Arial"/>
          <w:color w:val="000000"/>
          <w:sz w:val="22"/>
          <w:szCs w:val="22"/>
        </w:rPr>
        <w:t>Climate and environmental pressures</w:t>
      </w:r>
      <w:bookmarkEnd w:id="225"/>
    </w:p>
    <w:p w14:paraId="47B6F485" w14:textId="284951E3" w:rsidR="00906FE6" w:rsidRPr="00CB093C" w:rsidRDefault="00AF3B05" w:rsidP="00906FE6">
      <w:pPr>
        <w:rPr>
          <w:rFonts w:ascii="Arial" w:hAnsi="Arial" w:cs="Arial"/>
          <w:szCs w:val="22"/>
        </w:rPr>
      </w:pPr>
      <w:r w:rsidRPr="00CB093C">
        <w:rPr>
          <w:rFonts w:ascii="Arial" w:hAnsi="Arial" w:cs="Arial"/>
          <w:color w:val="000000" w:themeColor="text1"/>
          <w:szCs w:val="22"/>
        </w:rPr>
        <w:t>River discharge</w:t>
      </w:r>
      <w:r w:rsidR="003A06A4" w:rsidRPr="00CB093C">
        <w:rPr>
          <w:rFonts w:ascii="Arial" w:hAnsi="Arial" w:cs="Arial"/>
          <w:color w:val="000000" w:themeColor="text1"/>
          <w:szCs w:val="22"/>
        </w:rPr>
        <w:t xml:space="preserve"> </w:t>
      </w:r>
      <w:r w:rsidR="00DF41E4" w:rsidRPr="00CB093C">
        <w:rPr>
          <w:rFonts w:ascii="Arial" w:hAnsi="Arial" w:cs="Arial"/>
          <w:color w:val="000000" w:themeColor="text1"/>
          <w:szCs w:val="22"/>
        </w:rPr>
        <w:t xml:space="preserve">during the </w:t>
      </w:r>
      <w:r w:rsidR="003654C6">
        <w:rPr>
          <w:rFonts w:ascii="Arial" w:hAnsi="Arial" w:cs="Arial"/>
          <w:color w:val="000000" w:themeColor="text1"/>
          <w:szCs w:val="22"/>
        </w:rPr>
        <w:t>2017–18</w:t>
      </w:r>
      <w:r w:rsidR="00C10A9F" w:rsidRPr="00CB093C">
        <w:rPr>
          <w:rFonts w:ascii="Arial" w:hAnsi="Arial" w:cs="Arial"/>
          <w:color w:val="000000" w:themeColor="text1"/>
          <w:szCs w:val="22"/>
        </w:rPr>
        <w:t xml:space="preserve"> </w:t>
      </w:r>
      <w:r w:rsidR="00DF41E4" w:rsidRPr="00CB093C">
        <w:rPr>
          <w:rFonts w:ascii="Arial" w:hAnsi="Arial" w:cs="Arial"/>
          <w:color w:val="000000" w:themeColor="text1"/>
          <w:szCs w:val="22"/>
        </w:rPr>
        <w:t xml:space="preserve">wet season was </w:t>
      </w:r>
      <w:r w:rsidR="00C85E1B" w:rsidRPr="00CB093C">
        <w:rPr>
          <w:rFonts w:ascii="Arial" w:hAnsi="Arial" w:cs="Arial"/>
          <w:color w:val="000000" w:themeColor="text1"/>
          <w:szCs w:val="22"/>
        </w:rPr>
        <w:t>slightly above</w:t>
      </w:r>
      <w:r w:rsidR="00DF41E4" w:rsidRPr="00CB093C">
        <w:rPr>
          <w:rFonts w:ascii="Arial" w:hAnsi="Arial" w:cs="Arial"/>
          <w:color w:val="000000" w:themeColor="text1"/>
          <w:szCs w:val="22"/>
        </w:rPr>
        <w:t xml:space="preserve"> the long-term average </w:t>
      </w:r>
      <w:r w:rsidR="00C85E1B" w:rsidRPr="00CB093C">
        <w:rPr>
          <w:rFonts w:ascii="Arial" w:hAnsi="Arial" w:cs="Arial"/>
          <w:color w:val="000000" w:themeColor="text1"/>
          <w:szCs w:val="22"/>
        </w:rPr>
        <w:t>in all</w:t>
      </w:r>
      <w:r w:rsidR="00DF41E4" w:rsidRPr="00CB093C">
        <w:rPr>
          <w:rFonts w:ascii="Arial" w:hAnsi="Arial" w:cs="Arial"/>
          <w:color w:val="000000" w:themeColor="text1"/>
          <w:szCs w:val="22"/>
        </w:rPr>
        <w:t xml:space="preserve"> </w:t>
      </w:r>
      <w:r w:rsidR="0049600F" w:rsidRPr="00CB093C">
        <w:rPr>
          <w:rFonts w:ascii="Arial" w:hAnsi="Arial" w:cs="Arial"/>
          <w:color w:val="000000" w:themeColor="text1"/>
          <w:szCs w:val="22"/>
        </w:rPr>
        <w:t>b</w:t>
      </w:r>
      <w:r w:rsidR="00DF41E4" w:rsidRPr="00CB093C">
        <w:rPr>
          <w:rFonts w:ascii="Arial" w:hAnsi="Arial" w:cs="Arial"/>
          <w:color w:val="000000" w:themeColor="text1"/>
          <w:szCs w:val="22"/>
        </w:rPr>
        <w:t>asin</w:t>
      </w:r>
      <w:r w:rsidR="00C85E1B" w:rsidRPr="00CB093C">
        <w:rPr>
          <w:rFonts w:ascii="Arial" w:hAnsi="Arial" w:cs="Arial"/>
          <w:color w:val="000000" w:themeColor="text1"/>
          <w:szCs w:val="22"/>
        </w:rPr>
        <w:t>s</w:t>
      </w:r>
      <w:r w:rsidR="00DF41E4" w:rsidRPr="00CB093C">
        <w:rPr>
          <w:rFonts w:ascii="Arial" w:hAnsi="Arial" w:cs="Arial"/>
          <w:color w:val="000000" w:themeColor="text1"/>
          <w:szCs w:val="22"/>
        </w:rPr>
        <w:t xml:space="preserve"> within the </w:t>
      </w:r>
      <w:r w:rsidR="00C10A9F" w:rsidRPr="00CB093C">
        <w:rPr>
          <w:rFonts w:ascii="Arial" w:hAnsi="Arial" w:cs="Arial"/>
          <w:color w:val="000000" w:themeColor="text1"/>
          <w:szCs w:val="22"/>
        </w:rPr>
        <w:t xml:space="preserve">Cape York NRM </w:t>
      </w:r>
      <w:r w:rsidR="00DF41E4" w:rsidRPr="00CB093C">
        <w:rPr>
          <w:rFonts w:ascii="Arial" w:hAnsi="Arial" w:cs="Arial"/>
          <w:color w:val="000000" w:themeColor="text1"/>
          <w:szCs w:val="22"/>
        </w:rPr>
        <w:t>region</w:t>
      </w:r>
      <w:r w:rsidR="00FA6070" w:rsidRPr="00CB093C">
        <w:rPr>
          <w:rFonts w:ascii="Arial" w:hAnsi="Arial" w:cs="Arial"/>
          <w:color w:val="000000" w:themeColor="text1"/>
          <w:szCs w:val="22"/>
        </w:rPr>
        <w:t>, despite lower than average rainfall</w:t>
      </w:r>
      <w:r w:rsidR="00C85E1B" w:rsidRPr="00CB093C">
        <w:rPr>
          <w:rFonts w:ascii="Arial" w:hAnsi="Arial" w:cs="Arial"/>
          <w:color w:val="000000" w:themeColor="text1"/>
          <w:szCs w:val="22"/>
        </w:rPr>
        <w:t xml:space="preserve"> </w:t>
      </w:r>
      <w:r w:rsidR="002B494C" w:rsidRPr="00CB093C">
        <w:rPr>
          <w:rFonts w:ascii="Arial" w:hAnsi="Arial" w:cs="Arial"/>
          <w:szCs w:val="22"/>
        </w:rPr>
        <w:t>(</w:t>
      </w:r>
      <w:r w:rsidR="00C85E1B" w:rsidRPr="00CB093C">
        <w:rPr>
          <w:rFonts w:ascii="Arial" w:hAnsi="Arial" w:cs="Arial"/>
          <w:szCs w:val="22"/>
        </w:rPr>
        <w:fldChar w:fldCharType="begin"/>
      </w:r>
      <w:r w:rsidR="00C85E1B" w:rsidRPr="00CB093C">
        <w:rPr>
          <w:rFonts w:ascii="Arial" w:hAnsi="Arial" w:cs="Arial"/>
          <w:szCs w:val="22"/>
        </w:rPr>
        <w:instrText xml:space="preserve"> REF _Ref530411621 \h </w:instrText>
      </w:r>
      <w:r w:rsidR="00F12EEC" w:rsidRPr="00CB093C">
        <w:rPr>
          <w:rFonts w:ascii="Arial" w:hAnsi="Arial" w:cs="Arial"/>
          <w:szCs w:val="22"/>
        </w:rPr>
        <w:instrText xml:space="preserve"> \* MERGEFORMAT </w:instrText>
      </w:r>
      <w:r w:rsidR="00C85E1B" w:rsidRPr="00CB093C">
        <w:rPr>
          <w:rFonts w:ascii="Arial" w:hAnsi="Arial" w:cs="Arial"/>
          <w:szCs w:val="22"/>
        </w:rPr>
      </w:r>
      <w:r w:rsidR="00C85E1B"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27</w:t>
      </w:r>
      <w:r w:rsidR="00C85E1B" w:rsidRPr="00CB093C">
        <w:rPr>
          <w:rFonts w:ascii="Arial" w:hAnsi="Arial" w:cs="Arial"/>
          <w:szCs w:val="22"/>
        </w:rPr>
        <w:fldChar w:fldCharType="end"/>
      </w:r>
      <w:r w:rsidR="002B494C" w:rsidRPr="00CB093C">
        <w:rPr>
          <w:rFonts w:ascii="Arial" w:hAnsi="Arial" w:cs="Arial"/>
          <w:szCs w:val="22"/>
        </w:rPr>
        <w:t>)</w:t>
      </w:r>
      <w:r w:rsidR="00685BA0" w:rsidRPr="00CB093C">
        <w:rPr>
          <w:rFonts w:ascii="Arial" w:hAnsi="Arial" w:cs="Arial"/>
          <w:szCs w:val="22"/>
        </w:rPr>
        <w:t xml:space="preserve">. </w:t>
      </w:r>
      <w:r w:rsidR="00DF41E4" w:rsidRPr="00CB093C">
        <w:rPr>
          <w:rFonts w:ascii="Arial" w:hAnsi="Arial" w:cs="Arial"/>
          <w:szCs w:val="22"/>
        </w:rPr>
        <w:t>W</w:t>
      </w:r>
      <w:r w:rsidR="00685BA0" w:rsidRPr="00CB093C">
        <w:rPr>
          <w:rFonts w:ascii="Arial" w:hAnsi="Arial" w:cs="Arial"/>
          <w:szCs w:val="22"/>
        </w:rPr>
        <w:t xml:space="preserve">ind was </w:t>
      </w:r>
      <w:r w:rsidR="00FA6070" w:rsidRPr="00CB093C">
        <w:rPr>
          <w:rFonts w:ascii="Arial" w:hAnsi="Arial" w:cs="Arial"/>
          <w:szCs w:val="22"/>
        </w:rPr>
        <w:t>also above</w:t>
      </w:r>
      <w:r w:rsidR="00685BA0" w:rsidRPr="00CB093C">
        <w:rPr>
          <w:rFonts w:ascii="Arial" w:hAnsi="Arial" w:cs="Arial"/>
          <w:szCs w:val="22"/>
        </w:rPr>
        <w:t xml:space="preserve"> the long-term average </w:t>
      </w:r>
      <w:r w:rsidR="00DF41E4" w:rsidRPr="00CB093C">
        <w:rPr>
          <w:rFonts w:ascii="Arial" w:hAnsi="Arial" w:cs="Arial"/>
          <w:szCs w:val="22"/>
        </w:rPr>
        <w:t>following two previous years of windy conditions</w:t>
      </w:r>
      <w:r w:rsidR="00417B31" w:rsidRPr="00CB093C">
        <w:rPr>
          <w:rFonts w:ascii="Arial" w:hAnsi="Arial" w:cs="Arial"/>
          <w:szCs w:val="22"/>
        </w:rPr>
        <w:t xml:space="preserve"> (</w:t>
      </w:r>
      <w:r w:rsidR="00417B31" w:rsidRPr="00CB093C">
        <w:rPr>
          <w:rFonts w:ascii="Arial" w:hAnsi="Arial" w:cs="Arial"/>
          <w:szCs w:val="22"/>
        </w:rPr>
        <w:fldChar w:fldCharType="begin"/>
      </w:r>
      <w:r w:rsidR="00417B31" w:rsidRPr="00CB093C">
        <w:rPr>
          <w:rFonts w:ascii="Arial" w:hAnsi="Arial" w:cs="Arial"/>
          <w:szCs w:val="22"/>
        </w:rPr>
        <w:instrText xml:space="preserve"> REF _Ref410207986 \h </w:instrText>
      </w:r>
      <w:r w:rsidR="00CB093C" w:rsidRPr="00CB093C">
        <w:rPr>
          <w:rFonts w:ascii="Arial" w:hAnsi="Arial" w:cs="Arial"/>
          <w:szCs w:val="22"/>
        </w:rPr>
        <w:instrText xml:space="preserve"> \* MERGEFORMAT </w:instrText>
      </w:r>
      <w:r w:rsidR="00417B31" w:rsidRPr="00CB093C">
        <w:rPr>
          <w:rFonts w:ascii="Arial" w:hAnsi="Arial" w:cs="Arial"/>
          <w:szCs w:val="22"/>
        </w:rPr>
      </w:r>
      <w:r w:rsidR="00417B31" w:rsidRPr="00CB093C">
        <w:rPr>
          <w:rFonts w:ascii="Arial" w:hAnsi="Arial" w:cs="Arial"/>
          <w:szCs w:val="22"/>
        </w:rPr>
        <w:fldChar w:fldCharType="separate"/>
      </w:r>
      <w:r w:rsidR="005F00D4" w:rsidRPr="00CB093C">
        <w:rPr>
          <w:rFonts w:ascii="Arial" w:hAnsi="Arial" w:cs="Arial"/>
          <w:color w:val="000000"/>
          <w:szCs w:val="22"/>
          <w:lang w:val="en-GB"/>
        </w:rPr>
        <w:t xml:space="preserve">Figure </w:t>
      </w:r>
      <w:r w:rsidR="005F00D4">
        <w:rPr>
          <w:rFonts w:ascii="Arial" w:hAnsi="Arial" w:cs="Arial"/>
          <w:noProof/>
          <w:color w:val="000000"/>
          <w:szCs w:val="22"/>
          <w:lang w:val="en-GB"/>
        </w:rPr>
        <w:t>92</w:t>
      </w:r>
      <w:r w:rsidR="00417B31" w:rsidRPr="00CB093C">
        <w:rPr>
          <w:rFonts w:ascii="Arial" w:hAnsi="Arial" w:cs="Arial"/>
          <w:szCs w:val="22"/>
        </w:rPr>
        <w:fldChar w:fldCharType="end"/>
      </w:r>
      <w:r w:rsidR="00417B31" w:rsidRPr="00CB093C">
        <w:rPr>
          <w:rFonts w:ascii="Arial" w:hAnsi="Arial" w:cs="Arial"/>
          <w:szCs w:val="22"/>
        </w:rPr>
        <w:t>)</w:t>
      </w:r>
      <w:r w:rsidR="00685BA0" w:rsidRPr="00CB093C">
        <w:rPr>
          <w:rFonts w:ascii="Arial" w:hAnsi="Arial" w:cs="Arial"/>
          <w:szCs w:val="22"/>
        </w:rPr>
        <w:t xml:space="preserve">. </w:t>
      </w:r>
      <w:r w:rsidR="00906FE6" w:rsidRPr="00CB093C">
        <w:rPr>
          <w:rFonts w:ascii="Arial" w:hAnsi="Arial" w:cs="Arial"/>
          <w:szCs w:val="22"/>
        </w:rPr>
        <w:t>The inshore waters of Cape York had predominantly secondary water type</w:t>
      </w:r>
      <w:r w:rsidR="00754DE9" w:rsidRPr="00CB093C">
        <w:rPr>
          <w:rFonts w:ascii="Arial" w:hAnsi="Arial" w:cs="Arial"/>
          <w:szCs w:val="22"/>
        </w:rPr>
        <w:t xml:space="preserve"> </w:t>
      </w:r>
      <w:r w:rsidR="00754DE9" w:rsidRPr="00CB093C">
        <w:rPr>
          <w:rFonts w:ascii="Arial" w:hAnsi="Arial" w:cs="Arial"/>
          <w:szCs w:val="22"/>
        </w:rPr>
        <w:lastRenderedPageBreak/>
        <w:t>(</w:t>
      </w:r>
      <w:r w:rsidR="00523918" w:rsidRPr="00CB093C">
        <w:rPr>
          <w:rFonts w:ascii="Arial" w:hAnsi="Arial" w:cs="Arial"/>
          <w:szCs w:val="22"/>
        </w:rPr>
        <w:t>‘</w:t>
      </w:r>
      <w:r w:rsidR="00754DE9" w:rsidRPr="00CB093C">
        <w:rPr>
          <w:rFonts w:ascii="Arial" w:hAnsi="Arial" w:cs="Arial"/>
          <w:szCs w:val="22"/>
        </w:rPr>
        <w:t>green</w:t>
      </w:r>
      <w:r w:rsidR="00523918" w:rsidRPr="00CB093C">
        <w:rPr>
          <w:rFonts w:ascii="Arial" w:hAnsi="Arial" w:cs="Arial"/>
          <w:szCs w:val="22"/>
        </w:rPr>
        <w:t>’</w:t>
      </w:r>
      <w:r w:rsidR="00754DE9" w:rsidRPr="00CB093C">
        <w:rPr>
          <w:rFonts w:ascii="Arial" w:hAnsi="Arial" w:cs="Arial"/>
          <w:szCs w:val="22"/>
        </w:rPr>
        <w:t>, phytoplankton rich water)</w:t>
      </w:r>
      <w:r w:rsidR="00906FE6" w:rsidRPr="00CB093C">
        <w:rPr>
          <w:rFonts w:ascii="Arial" w:hAnsi="Arial" w:cs="Arial"/>
          <w:szCs w:val="22"/>
        </w:rPr>
        <w:t xml:space="preserve">, and some </w:t>
      </w:r>
      <w:r w:rsidR="006175A9" w:rsidRPr="00CB093C">
        <w:rPr>
          <w:rFonts w:ascii="Arial" w:hAnsi="Arial" w:cs="Arial"/>
          <w:szCs w:val="22"/>
        </w:rPr>
        <w:t>prim</w:t>
      </w:r>
      <w:r w:rsidR="0037063A" w:rsidRPr="00CB093C">
        <w:rPr>
          <w:rFonts w:ascii="Arial" w:hAnsi="Arial" w:cs="Arial"/>
          <w:szCs w:val="22"/>
        </w:rPr>
        <w:t>a</w:t>
      </w:r>
      <w:r w:rsidR="006175A9" w:rsidRPr="00CB093C">
        <w:rPr>
          <w:rFonts w:ascii="Arial" w:hAnsi="Arial" w:cs="Arial"/>
          <w:szCs w:val="22"/>
        </w:rPr>
        <w:t>ry (</w:t>
      </w:r>
      <w:r w:rsidR="00523918" w:rsidRPr="00CB093C">
        <w:rPr>
          <w:rFonts w:ascii="Arial" w:hAnsi="Arial" w:cs="Arial"/>
          <w:szCs w:val="22"/>
        </w:rPr>
        <w:t>‘brown’</w:t>
      </w:r>
      <w:r w:rsidR="006175A9" w:rsidRPr="00CB093C">
        <w:rPr>
          <w:rFonts w:ascii="Arial" w:hAnsi="Arial" w:cs="Arial"/>
          <w:szCs w:val="22"/>
        </w:rPr>
        <w:t>, sediment laden)</w:t>
      </w:r>
      <w:r w:rsidR="00523918" w:rsidRPr="00CB093C">
        <w:rPr>
          <w:rFonts w:ascii="Arial" w:hAnsi="Arial" w:cs="Arial"/>
          <w:szCs w:val="22"/>
        </w:rPr>
        <w:t xml:space="preserve"> </w:t>
      </w:r>
      <w:r w:rsidR="00754DE9" w:rsidRPr="00CB093C">
        <w:rPr>
          <w:rFonts w:ascii="Arial" w:hAnsi="Arial" w:cs="Arial"/>
          <w:szCs w:val="22"/>
        </w:rPr>
        <w:t>turbid</w:t>
      </w:r>
      <w:r w:rsidR="00523918" w:rsidRPr="00CB093C">
        <w:rPr>
          <w:rFonts w:ascii="Arial" w:hAnsi="Arial" w:cs="Arial"/>
          <w:szCs w:val="22"/>
        </w:rPr>
        <w:t xml:space="preserve"> water</w:t>
      </w:r>
      <w:r w:rsidR="00754DE9" w:rsidRPr="00CB093C">
        <w:rPr>
          <w:rFonts w:ascii="Arial" w:hAnsi="Arial" w:cs="Arial"/>
          <w:szCs w:val="22"/>
        </w:rPr>
        <w:t xml:space="preserve"> </w:t>
      </w:r>
      <w:r w:rsidR="00906FE6" w:rsidRPr="00CB093C">
        <w:rPr>
          <w:rFonts w:ascii="Arial" w:hAnsi="Arial" w:cs="Arial"/>
          <w:szCs w:val="22"/>
        </w:rPr>
        <w:t>exposure through the wet season (</w:t>
      </w:r>
      <w:r w:rsidR="00523918" w:rsidRPr="00CB093C">
        <w:rPr>
          <w:rFonts w:ascii="Arial" w:hAnsi="Arial" w:cs="Arial"/>
          <w:szCs w:val="22"/>
        </w:rPr>
        <w:t>December</w:t>
      </w:r>
      <w:r w:rsidR="00906FE6" w:rsidRPr="00CB093C">
        <w:rPr>
          <w:rFonts w:ascii="Arial" w:hAnsi="Arial" w:cs="Arial"/>
          <w:szCs w:val="22"/>
        </w:rPr>
        <w:t>-April</w:t>
      </w:r>
      <w:r w:rsidR="00E5349B" w:rsidRPr="00CB093C">
        <w:rPr>
          <w:rFonts w:ascii="Arial" w:hAnsi="Arial" w:cs="Arial"/>
          <w:szCs w:val="22"/>
        </w:rPr>
        <w:t>;</w:t>
      </w:r>
      <w:r w:rsidR="00523918" w:rsidRPr="00CB093C">
        <w:rPr>
          <w:rFonts w:ascii="Arial" w:hAnsi="Arial" w:cs="Arial"/>
          <w:szCs w:val="22"/>
        </w:rPr>
        <w:t xml:space="preserve"> </w:t>
      </w:r>
      <w:r w:rsidRPr="00CB093C">
        <w:rPr>
          <w:rFonts w:ascii="Arial" w:hAnsi="Arial" w:cs="Arial"/>
          <w:szCs w:val="22"/>
        </w:rPr>
        <w:fldChar w:fldCharType="begin"/>
      </w:r>
      <w:r w:rsidRPr="00CB093C">
        <w:rPr>
          <w:rFonts w:ascii="Arial" w:hAnsi="Arial" w:cs="Arial"/>
          <w:szCs w:val="22"/>
        </w:rPr>
        <w:instrText xml:space="preserve"> REF _Ref530411621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27</w:t>
      </w:r>
      <w:r w:rsidRPr="00CB093C">
        <w:rPr>
          <w:rFonts w:ascii="Arial" w:hAnsi="Arial" w:cs="Arial"/>
          <w:szCs w:val="22"/>
        </w:rPr>
        <w:fldChar w:fldCharType="end"/>
      </w:r>
      <w:r w:rsidR="000172D4" w:rsidRPr="00CB093C">
        <w:rPr>
          <w:rFonts w:ascii="Arial" w:hAnsi="Arial" w:cs="Arial"/>
          <w:szCs w:val="22"/>
        </w:rPr>
        <w:t xml:space="preserve">). </w:t>
      </w:r>
      <w:r w:rsidR="007A70FE" w:rsidRPr="00CB093C">
        <w:rPr>
          <w:rFonts w:ascii="Arial" w:hAnsi="Arial" w:cs="Arial"/>
          <w:szCs w:val="22"/>
        </w:rPr>
        <w:t>Shelburne</w:t>
      </w:r>
      <w:r w:rsidR="000172D4" w:rsidRPr="00CB093C">
        <w:rPr>
          <w:rFonts w:ascii="Arial" w:hAnsi="Arial" w:cs="Arial"/>
          <w:szCs w:val="22"/>
        </w:rPr>
        <w:t xml:space="preserve"> Bay </w:t>
      </w:r>
      <w:r w:rsidRPr="00CB093C">
        <w:rPr>
          <w:rFonts w:ascii="Arial" w:hAnsi="Arial" w:cs="Arial"/>
          <w:szCs w:val="22"/>
        </w:rPr>
        <w:t>sit</w:t>
      </w:r>
      <w:r w:rsidR="00C10A9F" w:rsidRPr="00CB093C">
        <w:rPr>
          <w:rFonts w:ascii="Arial" w:hAnsi="Arial" w:cs="Arial"/>
          <w:szCs w:val="22"/>
        </w:rPr>
        <w:t>e</w:t>
      </w:r>
      <w:r w:rsidRPr="00CB093C">
        <w:rPr>
          <w:rFonts w:ascii="Arial" w:hAnsi="Arial" w:cs="Arial"/>
          <w:szCs w:val="22"/>
        </w:rPr>
        <w:t xml:space="preserve">s (SR1 and SR2) </w:t>
      </w:r>
      <w:r w:rsidR="000172D4" w:rsidRPr="00CB093C">
        <w:rPr>
          <w:rFonts w:ascii="Arial" w:hAnsi="Arial" w:cs="Arial"/>
          <w:szCs w:val="22"/>
        </w:rPr>
        <w:t>had the highest expo</w:t>
      </w:r>
      <w:r w:rsidR="00523918" w:rsidRPr="00CB093C">
        <w:rPr>
          <w:rFonts w:ascii="Arial" w:hAnsi="Arial" w:cs="Arial"/>
          <w:szCs w:val="22"/>
        </w:rPr>
        <w:t>sure to turbid primary water</w:t>
      </w:r>
      <w:r w:rsidR="00FA6070" w:rsidRPr="00CB093C">
        <w:rPr>
          <w:rFonts w:ascii="Arial" w:hAnsi="Arial" w:cs="Arial"/>
          <w:szCs w:val="22"/>
        </w:rPr>
        <w:t xml:space="preserve">, </w:t>
      </w:r>
      <w:r w:rsidR="00892CD7" w:rsidRPr="00CB093C">
        <w:rPr>
          <w:rFonts w:ascii="Arial" w:hAnsi="Arial" w:cs="Arial"/>
          <w:szCs w:val="22"/>
        </w:rPr>
        <w:t>consistent with</w:t>
      </w:r>
      <w:r w:rsidR="00FA6070" w:rsidRPr="00CB093C">
        <w:rPr>
          <w:rFonts w:ascii="Arial" w:hAnsi="Arial" w:cs="Arial"/>
          <w:szCs w:val="22"/>
        </w:rPr>
        <w:t xml:space="preserve"> previous years</w:t>
      </w:r>
      <w:r w:rsidR="000172D4" w:rsidRPr="00CB093C">
        <w:rPr>
          <w:rFonts w:ascii="Arial" w:hAnsi="Arial" w:cs="Arial"/>
          <w:szCs w:val="22"/>
        </w:rPr>
        <w:t xml:space="preserve">. The </w:t>
      </w:r>
      <w:r w:rsidR="00906FE6" w:rsidRPr="00CB093C">
        <w:rPr>
          <w:rFonts w:ascii="Arial" w:hAnsi="Arial" w:cs="Arial"/>
          <w:szCs w:val="22"/>
        </w:rPr>
        <w:t>frequency of exposure to both</w:t>
      </w:r>
      <w:r w:rsidR="00523918" w:rsidRPr="00CB093C">
        <w:rPr>
          <w:rFonts w:ascii="Arial" w:hAnsi="Arial" w:cs="Arial"/>
          <w:szCs w:val="22"/>
        </w:rPr>
        <w:t xml:space="preserve"> </w:t>
      </w:r>
      <w:r w:rsidR="006175A9" w:rsidRPr="00CB093C">
        <w:rPr>
          <w:rFonts w:ascii="Arial" w:hAnsi="Arial" w:cs="Arial"/>
          <w:szCs w:val="22"/>
        </w:rPr>
        <w:t>primary and secondary</w:t>
      </w:r>
      <w:r w:rsidR="00523918" w:rsidRPr="00CB093C">
        <w:rPr>
          <w:rFonts w:ascii="Arial" w:hAnsi="Arial" w:cs="Arial"/>
          <w:szCs w:val="22"/>
        </w:rPr>
        <w:t xml:space="preserve"> water</w:t>
      </w:r>
      <w:r w:rsidR="00906FE6" w:rsidRPr="00CB093C">
        <w:rPr>
          <w:rFonts w:ascii="Arial" w:hAnsi="Arial" w:cs="Arial"/>
          <w:szCs w:val="22"/>
        </w:rPr>
        <w:t xml:space="preserve"> </w:t>
      </w:r>
      <w:r w:rsidR="000172D4" w:rsidRPr="00CB093C">
        <w:rPr>
          <w:rFonts w:ascii="Arial" w:hAnsi="Arial" w:cs="Arial"/>
          <w:szCs w:val="22"/>
        </w:rPr>
        <w:t>ranged</w:t>
      </w:r>
      <w:r w:rsidR="00754DE9" w:rsidRPr="00CB093C">
        <w:rPr>
          <w:rFonts w:ascii="Arial" w:hAnsi="Arial" w:cs="Arial"/>
          <w:szCs w:val="22"/>
        </w:rPr>
        <w:t xml:space="preserve"> from </w:t>
      </w:r>
      <w:r w:rsidRPr="00CB093C">
        <w:rPr>
          <w:rFonts w:ascii="Arial" w:hAnsi="Arial" w:cs="Arial"/>
          <w:szCs w:val="22"/>
        </w:rPr>
        <w:t>36%</w:t>
      </w:r>
      <w:r w:rsidR="00906FE6" w:rsidRPr="00CB093C">
        <w:rPr>
          <w:rFonts w:ascii="Arial" w:hAnsi="Arial" w:cs="Arial"/>
          <w:szCs w:val="22"/>
        </w:rPr>
        <w:t xml:space="preserve"> to </w:t>
      </w:r>
      <w:r w:rsidRPr="00CB093C">
        <w:rPr>
          <w:rFonts w:ascii="Arial" w:hAnsi="Arial" w:cs="Arial"/>
          <w:szCs w:val="22"/>
        </w:rPr>
        <w:t>86%</w:t>
      </w:r>
      <w:r w:rsidR="00906FE6" w:rsidRPr="00CB093C">
        <w:rPr>
          <w:rFonts w:ascii="Arial" w:hAnsi="Arial" w:cs="Arial"/>
          <w:szCs w:val="22"/>
        </w:rPr>
        <w:t xml:space="preserve"> of </w:t>
      </w:r>
      <w:r w:rsidR="00C10A9F" w:rsidRPr="00CB093C">
        <w:rPr>
          <w:rFonts w:ascii="Arial" w:hAnsi="Arial" w:cs="Arial"/>
          <w:szCs w:val="22"/>
        </w:rPr>
        <w:t xml:space="preserve">wet season </w:t>
      </w:r>
      <w:r w:rsidR="00906FE6" w:rsidRPr="00CB093C">
        <w:rPr>
          <w:rFonts w:ascii="Arial" w:hAnsi="Arial" w:cs="Arial"/>
          <w:szCs w:val="22"/>
        </w:rPr>
        <w:t>weeks at seagrass monitoring sites (</w:t>
      </w:r>
      <w:r w:rsidRPr="00CB093C">
        <w:rPr>
          <w:rFonts w:ascii="Arial" w:hAnsi="Arial" w:cs="Arial"/>
          <w:szCs w:val="22"/>
        </w:rPr>
        <w:fldChar w:fldCharType="begin"/>
      </w:r>
      <w:r w:rsidRPr="00CB093C">
        <w:rPr>
          <w:rFonts w:ascii="Arial" w:hAnsi="Arial" w:cs="Arial"/>
          <w:szCs w:val="22"/>
        </w:rPr>
        <w:instrText xml:space="preserve"> REF _Ref530411621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27</w:t>
      </w:r>
      <w:r w:rsidRPr="00CB093C">
        <w:rPr>
          <w:rFonts w:ascii="Arial" w:hAnsi="Arial" w:cs="Arial"/>
          <w:szCs w:val="22"/>
        </w:rPr>
        <w:fldChar w:fldCharType="end"/>
      </w:r>
      <w:r w:rsidR="00D864E0" w:rsidRPr="00CB093C">
        <w:rPr>
          <w:rFonts w:ascii="Arial" w:hAnsi="Arial" w:cs="Arial"/>
          <w:szCs w:val="22"/>
        </w:rPr>
        <w:t>).</w:t>
      </w:r>
    </w:p>
    <w:p w14:paraId="6D2418D5" w14:textId="20570DAF" w:rsidR="00D864E0" w:rsidRPr="00CB093C" w:rsidRDefault="00D864E0" w:rsidP="00D864E0">
      <w:pPr>
        <w:rPr>
          <w:rFonts w:ascii="Arial" w:hAnsi="Arial" w:cs="Arial"/>
          <w:color w:val="000000" w:themeColor="text1"/>
          <w:szCs w:val="22"/>
        </w:rPr>
      </w:pPr>
      <w:r w:rsidRPr="00CB093C">
        <w:rPr>
          <w:rFonts w:ascii="Arial" w:eastAsiaTheme="minorHAnsi" w:hAnsi="Arial" w:cs="Arial"/>
          <w:szCs w:val="22"/>
        </w:rPr>
        <w:t xml:space="preserve">Daily </w:t>
      </w:r>
      <w:r w:rsidRPr="00CB093C">
        <w:rPr>
          <w:rFonts w:ascii="Arial" w:hAnsi="Arial" w:cs="Arial"/>
          <w:color w:val="000000" w:themeColor="text1"/>
          <w:szCs w:val="22"/>
        </w:rPr>
        <w:t>incident light (I</w:t>
      </w:r>
      <w:r w:rsidRPr="00CB093C">
        <w:rPr>
          <w:rFonts w:ascii="Arial" w:hAnsi="Arial" w:cs="Arial"/>
          <w:color w:val="000000" w:themeColor="text1"/>
          <w:szCs w:val="22"/>
          <w:vertAlign w:val="subscript"/>
        </w:rPr>
        <w:t>d</w:t>
      </w:r>
      <w:r w:rsidRPr="00CB093C">
        <w:rPr>
          <w:rFonts w:ascii="Arial" w:hAnsi="Arial" w:cs="Arial"/>
          <w:color w:val="000000" w:themeColor="text1"/>
          <w:szCs w:val="22"/>
        </w:rPr>
        <w:t>,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w:t>
      </w:r>
      <w:r w:rsidRPr="00CB093C">
        <w:rPr>
          <w:rFonts w:ascii="Arial" w:hAnsi="Arial" w:cs="Arial"/>
          <w:color w:val="000000" w:themeColor="text1"/>
          <w:szCs w:val="22"/>
          <w:vertAlign w:val="superscript"/>
        </w:rPr>
        <w:t xml:space="preserve"> </w:t>
      </w:r>
      <w:r w:rsidRPr="00CB093C">
        <w:rPr>
          <w:rFonts w:ascii="Arial" w:hAnsi="Arial" w:cs="Arial"/>
          <w:color w:val="000000" w:themeColor="text1"/>
          <w:szCs w:val="22"/>
        </w:rPr>
        <w:t>reaching the top of the seagrass canopy</w:t>
      </w:r>
      <w:r w:rsidRPr="00CB093C">
        <w:rPr>
          <w:rFonts w:ascii="Arial" w:eastAsiaTheme="minorHAnsi" w:hAnsi="Arial" w:cs="Arial"/>
          <w:szCs w:val="22"/>
        </w:rPr>
        <w:t xml:space="preserve"> is generally very high at all Cape York sites (</w:t>
      </w:r>
      <w:r w:rsidR="003158FC" w:rsidRPr="00CB093C">
        <w:rPr>
          <w:rFonts w:ascii="Arial" w:eastAsiaTheme="minorHAnsi" w:hAnsi="Arial" w:cs="Arial"/>
          <w:szCs w:val="22"/>
        </w:rPr>
        <w:t>Reef</w:t>
      </w:r>
      <w:r w:rsidRPr="00CB093C">
        <w:rPr>
          <w:rFonts w:ascii="Cambria Math" w:eastAsiaTheme="minorHAnsi" w:hAnsi="Cambria Math" w:cs="Cambria Math"/>
          <w:szCs w:val="22"/>
        </w:rPr>
        <w:t>‐</w:t>
      </w:r>
      <w:r w:rsidRPr="00CB093C">
        <w:rPr>
          <w:rFonts w:ascii="Arial" w:eastAsiaTheme="minorHAnsi" w:hAnsi="Arial" w:cs="Arial"/>
          <w:szCs w:val="22"/>
        </w:rPr>
        <w:t>wide long</w:t>
      </w:r>
      <w:r w:rsidRPr="00CB093C">
        <w:rPr>
          <w:rFonts w:ascii="Cambria Math" w:eastAsiaTheme="minorHAnsi" w:hAnsi="Cambria Math" w:cs="Cambria Math"/>
          <w:szCs w:val="22"/>
        </w:rPr>
        <w:t>‐</w:t>
      </w:r>
      <w:r w:rsidRPr="00CB093C">
        <w:rPr>
          <w:rFonts w:ascii="Arial" w:eastAsiaTheme="minorHAnsi" w:hAnsi="Arial" w:cs="Arial"/>
          <w:szCs w:val="22"/>
        </w:rPr>
        <w:t xml:space="preserve">term average = 12.7 </w:t>
      </w:r>
      <w:r w:rsidRPr="00CB093C">
        <w:rPr>
          <w:rFonts w:ascii="Arial" w:hAnsi="Arial" w:cs="Arial"/>
          <w:color w:val="000000" w:themeColor="text1"/>
          <w:szCs w:val="22"/>
        </w:rPr>
        <w:t>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eastAsiaTheme="minorHAnsi" w:hAnsi="Arial" w:cs="Arial"/>
          <w:szCs w:val="22"/>
        </w:rPr>
        <w:t>)</w:t>
      </w:r>
      <w:r w:rsidR="00417B31" w:rsidRPr="00CB093C">
        <w:rPr>
          <w:rFonts w:ascii="Arial" w:eastAsiaTheme="minorHAnsi" w:hAnsi="Arial" w:cs="Arial"/>
          <w:szCs w:val="22"/>
        </w:rPr>
        <w:t xml:space="preserve"> (</w:t>
      </w:r>
      <w:r w:rsidR="00417B31" w:rsidRPr="00CB093C">
        <w:rPr>
          <w:rFonts w:ascii="Arial" w:eastAsiaTheme="minorHAnsi" w:hAnsi="Arial" w:cs="Arial"/>
          <w:szCs w:val="22"/>
        </w:rPr>
        <w:fldChar w:fldCharType="begin"/>
      </w:r>
      <w:r w:rsidR="00417B31" w:rsidRPr="00CB093C">
        <w:rPr>
          <w:rFonts w:ascii="Arial" w:eastAsiaTheme="minorHAnsi" w:hAnsi="Arial" w:cs="Arial"/>
          <w:szCs w:val="22"/>
        </w:rPr>
        <w:instrText xml:space="preserve"> REF _Ref410207664 \h </w:instrText>
      </w:r>
      <w:r w:rsidR="00CB093C" w:rsidRPr="00CB093C">
        <w:rPr>
          <w:rFonts w:ascii="Arial" w:eastAsiaTheme="minorHAnsi" w:hAnsi="Arial" w:cs="Arial"/>
          <w:szCs w:val="22"/>
        </w:rPr>
        <w:instrText xml:space="preserve"> \* MERGEFORMAT </w:instrText>
      </w:r>
      <w:r w:rsidR="00417B31" w:rsidRPr="00CB093C">
        <w:rPr>
          <w:rFonts w:ascii="Arial" w:eastAsiaTheme="minorHAnsi" w:hAnsi="Arial" w:cs="Arial"/>
          <w:szCs w:val="22"/>
        </w:rPr>
      </w:r>
      <w:r w:rsidR="00417B31" w:rsidRPr="00CB093C">
        <w:rPr>
          <w:rFonts w:ascii="Arial" w:eastAsiaTheme="minorHAnsi"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106</w:t>
      </w:r>
      <w:r w:rsidR="00417B31" w:rsidRPr="00CB093C">
        <w:rPr>
          <w:rFonts w:ascii="Arial" w:eastAsiaTheme="minorHAnsi" w:hAnsi="Arial" w:cs="Arial"/>
          <w:szCs w:val="22"/>
        </w:rPr>
        <w:fldChar w:fldCharType="end"/>
      </w:r>
      <w:r w:rsidR="00417B31" w:rsidRPr="00CB093C">
        <w:rPr>
          <w:rFonts w:ascii="Arial" w:eastAsiaTheme="minorHAnsi" w:hAnsi="Arial" w:cs="Arial"/>
          <w:szCs w:val="22"/>
        </w:rPr>
        <w:t>)</w:t>
      </w:r>
      <w:r w:rsidRPr="00CB093C">
        <w:rPr>
          <w:rFonts w:ascii="Arial" w:eastAsiaTheme="minorHAnsi" w:hAnsi="Arial" w:cs="Arial"/>
          <w:szCs w:val="22"/>
        </w:rPr>
        <w:t xml:space="preserve">. However </w:t>
      </w:r>
      <w:r w:rsidRPr="00CB093C">
        <w:rPr>
          <w:rFonts w:ascii="Arial" w:hAnsi="Arial" w:cs="Arial"/>
          <w:color w:val="000000" w:themeColor="text1"/>
          <w:szCs w:val="22"/>
        </w:rPr>
        <w:t xml:space="preserve">in </w:t>
      </w:r>
      <w:r w:rsidR="003654C6">
        <w:rPr>
          <w:rFonts w:ascii="Arial" w:hAnsi="Arial" w:cs="Arial"/>
          <w:color w:val="000000" w:themeColor="text1"/>
          <w:szCs w:val="22"/>
        </w:rPr>
        <w:t>2017–18</w:t>
      </w:r>
      <w:r w:rsidRPr="00CB093C">
        <w:rPr>
          <w:rFonts w:ascii="Arial" w:hAnsi="Arial" w:cs="Arial"/>
          <w:color w:val="000000" w:themeColor="text1"/>
          <w:szCs w:val="22"/>
        </w:rPr>
        <w:t>, daily incident light (11.9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w:t>
      </w:r>
      <w:r w:rsidRPr="00CB093C">
        <w:rPr>
          <w:rFonts w:ascii="Arial" w:hAnsi="Arial" w:cs="Arial"/>
          <w:color w:val="000000" w:themeColor="text1"/>
          <w:szCs w:val="22"/>
          <w:vertAlign w:val="superscript"/>
        </w:rPr>
        <w:t xml:space="preserve"> </w:t>
      </w:r>
      <w:r w:rsidRPr="00CB093C">
        <w:rPr>
          <w:rFonts w:ascii="Arial" w:hAnsi="Arial" w:cs="Arial"/>
          <w:color w:val="000000" w:themeColor="text1"/>
          <w:szCs w:val="22"/>
        </w:rPr>
        <w:t>was below the long-term average (12.9 mol m</w:t>
      </w:r>
      <w:r w:rsidRPr="00CB093C">
        <w:rPr>
          <w:rFonts w:ascii="Arial" w:hAnsi="Arial" w:cs="Arial"/>
          <w:color w:val="000000" w:themeColor="text1"/>
          <w:szCs w:val="22"/>
          <w:vertAlign w:val="superscript"/>
        </w:rPr>
        <w:t>-2</w:t>
      </w:r>
      <w:r w:rsidRPr="00CB093C">
        <w:rPr>
          <w:rFonts w:ascii="Arial" w:hAnsi="Arial" w:cs="Arial"/>
          <w:color w:val="000000" w:themeColor="text1"/>
          <w:szCs w:val="22"/>
        </w:rPr>
        <w:t xml:space="preserve"> d</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xml:space="preserve">) </w:t>
      </w:r>
      <w:r w:rsidRPr="00CB093C">
        <w:rPr>
          <w:rFonts w:ascii="Arial" w:hAnsi="Arial" w:cs="Arial"/>
          <w:szCs w:val="22"/>
        </w:rPr>
        <w:t>(</w:t>
      </w:r>
      <w:r w:rsidRPr="00CB093C">
        <w:rPr>
          <w:rFonts w:ascii="Arial" w:hAnsi="Arial" w:cs="Arial"/>
          <w:szCs w:val="22"/>
        </w:rPr>
        <w:fldChar w:fldCharType="begin"/>
      </w:r>
      <w:r w:rsidRPr="00CB093C">
        <w:rPr>
          <w:rFonts w:ascii="Arial" w:hAnsi="Arial" w:cs="Arial"/>
          <w:szCs w:val="22"/>
        </w:rPr>
        <w:instrText xml:space="preserve"> REF _Ref530411621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27</w:t>
      </w:r>
      <w:r w:rsidRPr="00CB093C">
        <w:rPr>
          <w:rFonts w:ascii="Arial" w:hAnsi="Arial" w:cs="Arial"/>
          <w:szCs w:val="22"/>
        </w:rPr>
        <w:fldChar w:fldCharType="end"/>
      </w:r>
      <w:r w:rsidRPr="00CB093C">
        <w:rPr>
          <w:rFonts w:ascii="Arial" w:hAnsi="Arial" w:cs="Arial"/>
          <w:szCs w:val="22"/>
        </w:rPr>
        <w:t>)</w:t>
      </w:r>
      <w:r w:rsidRPr="00CB093C">
        <w:rPr>
          <w:rFonts w:ascii="Arial" w:hAnsi="Arial" w:cs="Arial"/>
          <w:color w:val="000000" w:themeColor="text1"/>
          <w:szCs w:val="22"/>
        </w:rPr>
        <w:t xml:space="preserve">. </w:t>
      </w:r>
      <w:r w:rsidR="004C33ED" w:rsidRPr="00CB093C">
        <w:rPr>
          <w:rFonts w:ascii="Arial" w:hAnsi="Arial" w:cs="Arial"/>
          <w:color w:val="000000" w:themeColor="text1"/>
          <w:szCs w:val="22"/>
        </w:rPr>
        <w:t xml:space="preserve">This was most likely a consequence of the </w:t>
      </w:r>
      <w:r w:rsidR="00276CB1" w:rsidRPr="00CB093C">
        <w:rPr>
          <w:rFonts w:ascii="Arial" w:hAnsi="Arial" w:cs="Arial"/>
          <w:color w:val="000000" w:themeColor="text1"/>
          <w:szCs w:val="22"/>
        </w:rPr>
        <w:t>shorter/incomplete</w:t>
      </w:r>
      <w:r w:rsidR="004C33ED" w:rsidRPr="00CB093C">
        <w:rPr>
          <w:rFonts w:ascii="Arial" w:hAnsi="Arial" w:cs="Arial"/>
          <w:color w:val="000000" w:themeColor="text1"/>
          <w:szCs w:val="22"/>
        </w:rPr>
        <w:t xml:space="preserve"> logging duration, where due to access restrictions, logger</w:t>
      </w:r>
      <w:r w:rsidR="00276CB1" w:rsidRPr="00CB093C">
        <w:rPr>
          <w:rFonts w:ascii="Arial" w:hAnsi="Arial" w:cs="Arial"/>
          <w:color w:val="000000" w:themeColor="text1"/>
          <w:szCs w:val="22"/>
        </w:rPr>
        <w:t>s are</w:t>
      </w:r>
      <w:r w:rsidR="004C33ED" w:rsidRPr="00CB093C">
        <w:rPr>
          <w:rFonts w:ascii="Arial" w:hAnsi="Arial" w:cs="Arial"/>
          <w:color w:val="000000" w:themeColor="text1"/>
          <w:szCs w:val="22"/>
        </w:rPr>
        <w:t xml:space="preserve"> deploy</w:t>
      </w:r>
      <w:r w:rsidR="00276CB1" w:rsidRPr="00CB093C">
        <w:rPr>
          <w:rFonts w:ascii="Arial" w:hAnsi="Arial" w:cs="Arial"/>
          <w:color w:val="000000" w:themeColor="text1"/>
          <w:szCs w:val="22"/>
        </w:rPr>
        <w:t>ed beyond</w:t>
      </w:r>
      <w:r w:rsidR="004C33ED" w:rsidRPr="00CB093C">
        <w:rPr>
          <w:rFonts w:ascii="Arial" w:hAnsi="Arial" w:cs="Arial"/>
          <w:color w:val="000000" w:themeColor="text1"/>
          <w:szCs w:val="22"/>
        </w:rPr>
        <w:t xml:space="preserve"> six months </w:t>
      </w:r>
      <w:r w:rsidR="00276CB1" w:rsidRPr="00CB093C">
        <w:rPr>
          <w:rFonts w:ascii="Arial" w:hAnsi="Arial" w:cs="Arial"/>
          <w:color w:val="000000" w:themeColor="text1"/>
          <w:szCs w:val="22"/>
        </w:rPr>
        <w:t xml:space="preserve">which increases risk of individual </w:t>
      </w:r>
      <w:r w:rsidR="004C33ED" w:rsidRPr="00CB093C">
        <w:rPr>
          <w:rFonts w:ascii="Arial" w:hAnsi="Arial" w:cs="Arial"/>
          <w:color w:val="000000" w:themeColor="text1"/>
          <w:szCs w:val="22"/>
        </w:rPr>
        <w:t xml:space="preserve">logger failure </w:t>
      </w:r>
      <w:r w:rsidR="00276CB1" w:rsidRPr="00CB093C">
        <w:rPr>
          <w:rFonts w:ascii="Arial" w:hAnsi="Arial" w:cs="Arial"/>
          <w:color w:val="000000" w:themeColor="text1"/>
          <w:szCs w:val="22"/>
        </w:rPr>
        <w:t xml:space="preserve">due to </w:t>
      </w:r>
      <w:r w:rsidR="004C33ED" w:rsidRPr="00CB093C">
        <w:rPr>
          <w:rFonts w:ascii="Arial" w:hAnsi="Arial" w:cs="Arial"/>
          <w:color w:val="000000" w:themeColor="text1"/>
          <w:szCs w:val="22"/>
        </w:rPr>
        <w:t xml:space="preserve">battery </w:t>
      </w:r>
      <w:r w:rsidR="00276CB1" w:rsidRPr="00CB093C">
        <w:rPr>
          <w:rFonts w:ascii="Arial" w:hAnsi="Arial" w:cs="Arial"/>
          <w:color w:val="000000" w:themeColor="text1"/>
          <w:szCs w:val="22"/>
        </w:rPr>
        <w:t>depletion</w:t>
      </w:r>
      <w:r w:rsidR="004C33ED" w:rsidRPr="00CB093C">
        <w:rPr>
          <w:rFonts w:ascii="Arial" w:hAnsi="Arial" w:cs="Arial"/>
          <w:color w:val="000000" w:themeColor="text1"/>
          <w:szCs w:val="22"/>
        </w:rPr>
        <w:t xml:space="preserve"> or </w:t>
      </w:r>
      <w:r w:rsidR="00276CB1" w:rsidRPr="00CB093C">
        <w:rPr>
          <w:rFonts w:ascii="Arial" w:hAnsi="Arial" w:cs="Arial"/>
          <w:color w:val="000000" w:themeColor="text1"/>
          <w:szCs w:val="22"/>
        </w:rPr>
        <w:t>sen</w:t>
      </w:r>
      <w:r w:rsidR="0072069B" w:rsidRPr="00CB093C">
        <w:rPr>
          <w:rFonts w:ascii="Arial" w:hAnsi="Arial" w:cs="Arial"/>
          <w:color w:val="000000" w:themeColor="text1"/>
          <w:szCs w:val="22"/>
        </w:rPr>
        <w:t>s</w:t>
      </w:r>
      <w:r w:rsidR="00276CB1" w:rsidRPr="00CB093C">
        <w:rPr>
          <w:rFonts w:ascii="Arial" w:hAnsi="Arial" w:cs="Arial"/>
          <w:color w:val="000000" w:themeColor="text1"/>
          <w:szCs w:val="22"/>
        </w:rPr>
        <w:t xml:space="preserve">or </w:t>
      </w:r>
      <w:r w:rsidR="004C33ED" w:rsidRPr="00CB093C">
        <w:rPr>
          <w:rFonts w:ascii="Arial" w:hAnsi="Arial" w:cs="Arial"/>
          <w:color w:val="000000" w:themeColor="text1"/>
          <w:szCs w:val="22"/>
        </w:rPr>
        <w:t>fouling.</w:t>
      </w:r>
    </w:p>
    <w:p w14:paraId="6110033B" w14:textId="71D0D707" w:rsidR="00C85E1B" w:rsidRPr="00CB093C" w:rsidRDefault="00C85E1B" w:rsidP="0096301D">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73D60EB7" wp14:editId="66CAE87A">
            <wp:extent cx="5662574" cy="7512499"/>
            <wp:effectExtent l="0" t="0" r="0" b="0"/>
            <wp:docPr id="526" name="Picture 526" descr="Composite figure showing environmental pressures in the Cape York region during 2017-2018 including a map of turbid water exposure across the region, the frequency of exposure to wet season water type at each monitroing site, the average environmnetal conditions over the long-term and in 2017–18, daily light and the 28-day rolling mean of daily light for all sites, the number of day temperature exceeded 35°C, 38°C, 40°C and 43°C, and deviations from 13-year mean weekly temperature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 name="CY Pressures page-01.png"/>
                    <pic:cNvPicPr/>
                  </pic:nvPicPr>
                  <pic:blipFill>
                    <a:blip r:embed="rId71">
                      <a:extLst>
                        <a:ext uri="{28A0092B-C50C-407E-A947-70E740481C1C}">
                          <a14:useLocalDpi xmlns:a14="http://schemas.microsoft.com/office/drawing/2010/main" val="0"/>
                        </a:ext>
                      </a:extLst>
                    </a:blip>
                    <a:stretch>
                      <a:fillRect/>
                    </a:stretch>
                  </pic:blipFill>
                  <pic:spPr>
                    <a:xfrm>
                      <a:off x="0" y="0"/>
                      <a:ext cx="5662574" cy="7512499"/>
                    </a:xfrm>
                    <a:prstGeom prst="rect">
                      <a:avLst/>
                    </a:prstGeom>
                  </pic:spPr>
                </pic:pic>
              </a:graphicData>
            </a:graphic>
          </wp:inline>
        </w:drawing>
      </w:r>
    </w:p>
    <w:p w14:paraId="19DAD327" w14:textId="51DEC66A" w:rsidR="00686718" w:rsidRPr="00CB093C" w:rsidRDefault="00C85E1B" w:rsidP="00686718">
      <w:pPr>
        <w:rPr>
          <w:rFonts w:ascii="Arial" w:hAnsi="Arial" w:cs="Arial"/>
          <w:i/>
          <w:vanish/>
          <w:color w:val="000000"/>
          <w:szCs w:val="22"/>
          <w:specVanish/>
        </w:rPr>
      </w:pPr>
      <w:bookmarkStart w:id="226" w:name="_Ref530411621"/>
      <w:bookmarkStart w:id="227" w:name="_Toc6402792"/>
      <w:bookmarkStart w:id="228" w:name="_Ref530411604"/>
      <w:r w:rsidRPr="00CB093C">
        <w:rPr>
          <w:rFonts w:ascii="Arial" w:hAnsi="Arial" w:cs="Arial"/>
          <w:szCs w:val="22"/>
        </w:rPr>
        <w:t xml:space="preserve">Figure </w:t>
      </w:r>
      <w:r w:rsidR="000E4688" w:rsidRPr="00CB093C">
        <w:rPr>
          <w:rFonts w:ascii="Arial" w:hAnsi="Arial" w:cs="Arial"/>
          <w:noProof/>
          <w:szCs w:val="22"/>
        </w:rPr>
        <w:fldChar w:fldCharType="begin"/>
      </w:r>
      <w:r w:rsidR="000E4688" w:rsidRPr="00CB093C">
        <w:rPr>
          <w:rFonts w:ascii="Arial" w:hAnsi="Arial" w:cs="Arial"/>
          <w:noProof/>
          <w:szCs w:val="22"/>
        </w:rPr>
        <w:instrText xml:space="preserve"> SEQ Figure \* ARABIC </w:instrText>
      </w:r>
      <w:r w:rsidR="000E4688" w:rsidRPr="00CB093C">
        <w:rPr>
          <w:rFonts w:ascii="Arial" w:hAnsi="Arial" w:cs="Arial"/>
          <w:noProof/>
          <w:szCs w:val="22"/>
        </w:rPr>
        <w:fldChar w:fldCharType="separate"/>
      </w:r>
      <w:r w:rsidR="005F00D4">
        <w:rPr>
          <w:rFonts w:ascii="Arial" w:hAnsi="Arial" w:cs="Arial"/>
          <w:noProof/>
          <w:szCs w:val="22"/>
        </w:rPr>
        <w:t>27</w:t>
      </w:r>
      <w:r w:rsidR="000E4688" w:rsidRPr="00CB093C">
        <w:rPr>
          <w:rFonts w:ascii="Arial" w:hAnsi="Arial" w:cs="Arial"/>
          <w:noProof/>
          <w:szCs w:val="22"/>
        </w:rPr>
        <w:fldChar w:fldCharType="end"/>
      </w:r>
      <w:bookmarkEnd w:id="226"/>
      <w:r w:rsidRPr="00CB093C">
        <w:rPr>
          <w:rFonts w:ascii="Arial" w:hAnsi="Arial" w:cs="Arial"/>
          <w:szCs w:val="22"/>
        </w:rPr>
        <w:t xml:space="preserve">. </w:t>
      </w:r>
      <w:r w:rsidRPr="00CB093C">
        <w:rPr>
          <w:rFonts w:ascii="Arial" w:hAnsi="Arial" w:cs="Arial"/>
          <w:i/>
          <w:szCs w:val="22"/>
        </w:rPr>
        <w:t>Environmental pressures in the Cape York region</w:t>
      </w:r>
      <w:bookmarkEnd w:id="227"/>
    </w:p>
    <w:p w14:paraId="047F4659" w14:textId="184AB1AC" w:rsidR="00C85E1B" w:rsidRPr="00CB093C" w:rsidRDefault="00686718" w:rsidP="00686718">
      <w:pPr>
        <w:pStyle w:val="Caption"/>
        <w:rPr>
          <w:rFonts w:ascii="Arial" w:hAnsi="Arial" w:cs="Arial"/>
          <w:i/>
          <w:color w:val="000000"/>
          <w:szCs w:val="22"/>
        </w:rPr>
      </w:pPr>
      <w:r w:rsidRPr="00CB093C">
        <w:rPr>
          <w:rFonts w:ascii="Arial" w:hAnsi="Arial" w:cs="Arial"/>
          <w:i/>
          <w:color w:val="000000"/>
          <w:szCs w:val="22"/>
        </w:rPr>
        <w:t xml:space="preserve"> </w:t>
      </w:r>
      <w:r w:rsidR="00C85E1B" w:rsidRPr="00CB093C">
        <w:rPr>
          <w:rFonts w:ascii="Arial" w:hAnsi="Arial" w:cs="Arial"/>
          <w:i/>
          <w:szCs w:val="22"/>
        </w:rPr>
        <w:t>including</w:t>
      </w:r>
      <w:r w:rsidR="00B60FF5" w:rsidRPr="00CB093C">
        <w:rPr>
          <w:rFonts w:ascii="Arial" w:hAnsi="Arial" w:cs="Arial"/>
          <w:i/>
          <w:szCs w:val="22"/>
        </w:rPr>
        <w:t>:</w:t>
      </w:r>
      <w:r w:rsidR="00C85E1B" w:rsidRPr="00CB093C">
        <w:rPr>
          <w:rFonts w:ascii="Arial" w:hAnsi="Arial" w:cs="Arial"/>
          <w:i/>
          <w:szCs w:val="22"/>
        </w:rPr>
        <w:t xml:space="preserve"> a.</w:t>
      </w:r>
      <w:r w:rsidR="00C85E1B" w:rsidRPr="00CB093C">
        <w:rPr>
          <w:rFonts w:ascii="Arial" w:hAnsi="Arial" w:cs="Arial"/>
          <w:szCs w:val="22"/>
        </w:rPr>
        <w:t xml:space="preserve"> </w:t>
      </w:r>
      <w:r w:rsidR="00C85E1B" w:rsidRPr="00CB093C">
        <w:rPr>
          <w:rFonts w:ascii="Arial" w:hAnsi="Arial" w:cs="Arial"/>
          <w:i/>
          <w:szCs w:val="22"/>
        </w:rPr>
        <w:t xml:space="preserve">frequency of exposure to turbid water (colour classes 1-5) (from </w:t>
      </w:r>
      <w:hyperlink w:anchor="_ENREF_65" w:tooltip="Gruber, 2019 #11860" w:history="1">
        <w:r w:rsidR="00513C39" w:rsidRPr="00CB093C">
          <w:rPr>
            <w:rFonts w:ascii="Arial" w:hAnsi="Arial" w:cs="Arial"/>
            <w:i/>
            <w:szCs w:val="22"/>
          </w:rPr>
          <w:fldChar w:fldCharType="begin"/>
        </w:r>
        <w:r w:rsidR="00513C39" w:rsidRPr="00CB093C">
          <w:rPr>
            <w:rFonts w:ascii="Arial" w:hAnsi="Arial" w:cs="Arial"/>
            <w:i/>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i/>
            <w:szCs w:val="22"/>
          </w:rPr>
          <w:fldChar w:fldCharType="separate"/>
        </w:r>
        <w:r w:rsidR="00513C39" w:rsidRPr="00CB093C">
          <w:rPr>
            <w:rFonts w:ascii="Arial" w:hAnsi="Arial" w:cs="Arial"/>
            <w:i/>
            <w:noProof/>
            <w:szCs w:val="22"/>
          </w:rPr>
          <w:t>Gruber et al. 2019</w:t>
        </w:r>
        <w:r w:rsidR="00513C39" w:rsidRPr="00CB093C">
          <w:rPr>
            <w:rFonts w:ascii="Arial" w:hAnsi="Arial" w:cs="Arial"/>
            <w:i/>
            <w:szCs w:val="22"/>
          </w:rPr>
          <w:fldChar w:fldCharType="end"/>
        </w:r>
      </w:hyperlink>
      <w:r w:rsidR="00C85E1B" w:rsidRPr="00CB093C">
        <w:rPr>
          <w:rFonts w:ascii="Arial" w:hAnsi="Arial" w:cs="Arial"/>
          <w:i/>
          <w:szCs w:val="22"/>
        </w:rPr>
        <w:t>), b. wet season wate</w:t>
      </w:r>
      <w:r w:rsidR="00B60FF5" w:rsidRPr="00CB093C">
        <w:rPr>
          <w:rFonts w:ascii="Arial" w:hAnsi="Arial" w:cs="Arial"/>
          <w:i/>
          <w:szCs w:val="22"/>
        </w:rPr>
        <w:t xml:space="preserve">r type at each </w:t>
      </w:r>
      <w:r w:rsidR="00BF420D" w:rsidRPr="00CB093C">
        <w:rPr>
          <w:rFonts w:ascii="Arial" w:hAnsi="Arial" w:cs="Arial"/>
          <w:i/>
          <w:szCs w:val="22"/>
        </w:rPr>
        <w:t>site</w:t>
      </w:r>
      <w:r w:rsidR="00B60FF5" w:rsidRPr="00CB093C">
        <w:rPr>
          <w:rFonts w:ascii="Arial" w:hAnsi="Arial" w:cs="Arial"/>
          <w:i/>
          <w:szCs w:val="22"/>
        </w:rPr>
        <w:t>;</w:t>
      </w:r>
      <w:r w:rsidR="00C85E1B" w:rsidRPr="00CB093C">
        <w:rPr>
          <w:rFonts w:ascii="Arial" w:hAnsi="Arial" w:cs="Arial"/>
          <w:i/>
          <w:szCs w:val="22"/>
        </w:rPr>
        <w:t xml:space="preserve"> c. average conditions over the long-term and in 2017</w:t>
      </w:r>
      <w:r w:rsidR="009203FC" w:rsidRPr="00CB093C">
        <w:rPr>
          <w:rFonts w:ascii="Arial" w:hAnsi="Arial" w:cs="Arial"/>
          <w:i/>
          <w:szCs w:val="22"/>
        </w:rPr>
        <w:t>–</w:t>
      </w:r>
      <w:r w:rsidR="00C85E1B" w:rsidRPr="00CB093C">
        <w:rPr>
          <w:rFonts w:ascii="Arial" w:hAnsi="Arial" w:cs="Arial"/>
          <w:i/>
          <w:szCs w:val="22"/>
        </w:rPr>
        <w:t>18</w:t>
      </w:r>
      <w:r w:rsidR="00B60FF5" w:rsidRPr="00CB093C">
        <w:rPr>
          <w:rFonts w:ascii="Arial" w:hAnsi="Arial" w:cs="Arial"/>
          <w:i/>
          <w:szCs w:val="22"/>
        </w:rPr>
        <w:t>;</w:t>
      </w:r>
      <w:r w:rsidR="00C85E1B" w:rsidRPr="00CB093C">
        <w:rPr>
          <w:rFonts w:ascii="Arial" w:hAnsi="Arial" w:cs="Arial"/>
          <w:i/>
          <w:szCs w:val="22"/>
        </w:rPr>
        <w:t xml:space="preserve"> d. daily light and the </w:t>
      </w:r>
      <w:r w:rsidR="00C85E1B" w:rsidRPr="00CB093C">
        <w:rPr>
          <w:rFonts w:ascii="Arial" w:hAnsi="Arial" w:cs="Arial"/>
          <w:i/>
          <w:szCs w:val="22"/>
        </w:rPr>
        <w:lastRenderedPageBreak/>
        <w:t>28-day rolling mean of daily light for all sites</w:t>
      </w:r>
      <w:r w:rsidR="00B60FF5" w:rsidRPr="00CB093C">
        <w:rPr>
          <w:rFonts w:ascii="Arial" w:hAnsi="Arial" w:cs="Arial"/>
          <w:i/>
          <w:szCs w:val="22"/>
        </w:rPr>
        <w:t>;</w:t>
      </w:r>
      <w:r w:rsidR="00C85E1B" w:rsidRPr="00CB093C">
        <w:rPr>
          <w:rFonts w:ascii="Arial" w:hAnsi="Arial" w:cs="Arial"/>
          <w:i/>
          <w:szCs w:val="22"/>
        </w:rPr>
        <w:t xml:space="preserve"> e. number of day temperature exceeded 35°C, 38°C, 40°C and 43°C, and</w:t>
      </w:r>
      <w:r w:rsidR="00B60FF5" w:rsidRPr="00CB093C">
        <w:rPr>
          <w:rFonts w:ascii="Arial" w:hAnsi="Arial" w:cs="Arial"/>
          <w:i/>
          <w:szCs w:val="22"/>
        </w:rPr>
        <w:t>;</w:t>
      </w:r>
      <w:r w:rsidR="00C85E1B" w:rsidRPr="00CB093C">
        <w:rPr>
          <w:rFonts w:ascii="Arial" w:hAnsi="Arial" w:cs="Arial"/>
          <w:i/>
          <w:szCs w:val="22"/>
        </w:rPr>
        <w:t xml:space="preserve"> f. deviations from 13-year </w:t>
      </w:r>
      <w:r w:rsidR="00C85E1B" w:rsidRPr="00CB093C">
        <w:rPr>
          <w:rFonts w:ascii="Arial" w:hAnsi="Arial" w:cs="Arial"/>
          <w:i/>
          <w:color w:val="000000"/>
          <w:szCs w:val="22"/>
        </w:rPr>
        <w:t>mean weekly temperature records.</w:t>
      </w:r>
      <w:bookmarkEnd w:id="228"/>
    </w:p>
    <w:p w14:paraId="384A97AC" w14:textId="1E49F041" w:rsidR="00D864E0" w:rsidRPr="00CB093C" w:rsidRDefault="008C0E45" w:rsidP="00417B31">
      <w:pPr>
        <w:autoSpaceDE w:val="0"/>
        <w:autoSpaceDN w:val="0"/>
        <w:adjustRightInd w:val="0"/>
        <w:spacing w:before="0" w:after="0"/>
        <w:rPr>
          <w:rFonts w:ascii="Arial" w:hAnsi="Arial" w:cs="Arial"/>
          <w:szCs w:val="22"/>
        </w:rPr>
      </w:pPr>
      <w:r>
        <w:rPr>
          <w:rFonts w:ascii="Arial" w:hAnsi="Arial" w:cs="Arial"/>
          <w:szCs w:val="22"/>
          <w:lang w:val="en-GB"/>
        </w:rPr>
        <w:t>2017–18</w:t>
      </w:r>
      <w:r w:rsidR="00D864E0" w:rsidRPr="00CB093C">
        <w:rPr>
          <w:rFonts w:ascii="Arial" w:hAnsi="Arial" w:cs="Arial"/>
          <w:szCs w:val="22"/>
          <w:lang w:val="en-GB"/>
        </w:rPr>
        <w:t xml:space="preserve"> was the sixth consecutive year intertidal within-canopy temperatures were above the long-term average and the second highest average annual temperatures (27.4°C) since 2006 (</w:t>
      </w:r>
      <w:r w:rsidR="00D864E0" w:rsidRPr="00CB093C">
        <w:rPr>
          <w:rFonts w:ascii="Arial" w:hAnsi="Arial" w:cs="Arial"/>
          <w:szCs w:val="22"/>
          <w:lang w:val="en-GB"/>
        </w:rPr>
        <w:fldChar w:fldCharType="begin"/>
      </w:r>
      <w:r w:rsidR="00D864E0" w:rsidRPr="00CB093C">
        <w:rPr>
          <w:rFonts w:ascii="Arial" w:hAnsi="Arial" w:cs="Arial"/>
          <w:szCs w:val="22"/>
          <w:lang w:val="en-GB"/>
        </w:rPr>
        <w:instrText xml:space="preserve"> REF _Ref530411621 \h </w:instrText>
      </w:r>
      <w:r w:rsidR="00CB093C" w:rsidRPr="00CB093C">
        <w:rPr>
          <w:rFonts w:ascii="Arial" w:hAnsi="Arial" w:cs="Arial"/>
          <w:szCs w:val="22"/>
          <w:lang w:val="en-GB"/>
        </w:rPr>
        <w:instrText xml:space="preserve"> \* MERGEFORMAT </w:instrText>
      </w:r>
      <w:r w:rsidR="00D864E0" w:rsidRPr="00CB093C">
        <w:rPr>
          <w:rFonts w:ascii="Arial" w:hAnsi="Arial" w:cs="Arial"/>
          <w:szCs w:val="22"/>
          <w:lang w:val="en-GB"/>
        </w:rPr>
      </w:r>
      <w:r w:rsidR="00D864E0"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27</w:t>
      </w:r>
      <w:r w:rsidR="00D864E0" w:rsidRPr="00CB093C">
        <w:rPr>
          <w:rFonts w:ascii="Arial" w:hAnsi="Arial" w:cs="Arial"/>
          <w:szCs w:val="22"/>
          <w:lang w:val="en-GB"/>
        </w:rPr>
        <w:fldChar w:fldCharType="end"/>
      </w:r>
      <w:r w:rsidR="00D864E0" w:rsidRPr="00CB093C">
        <w:rPr>
          <w:rFonts w:ascii="Arial" w:hAnsi="Arial" w:cs="Arial"/>
          <w:szCs w:val="22"/>
          <w:lang w:val="en-GB"/>
        </w:rPr>
        <w:t xml:space="preserve">). Maximum within-canopy temperatures exceeded 35°C for a total of 30 days during </w:t>
      </w:r>
      <w:r w:rsidR="003654C6">
        <w:rPr>
          <w:rFonts w:ascii="Arial" w:hAnsi="Arial" w:cs="Arial"/>
          <w:szCs w:val="22"/>
          <w:lang w:val="en-GB"/>
        </w:rPr>
        <w:t>2017–18</w:t>
      </w:r>
      <w:r w:rsidR="00D864E0" w:rsidRPr="00CB093C">
        <w:rPr>
          <w:rFonts w:ascii="Arial" w:hAnsi="Arial" w:cs="Arial"/>
          <w:szCs w:val="22"/>
          <w:lang w:val="en-GB"/>
        </w:rPr>
        <w:t xml:space="preserve"> (</w:t>
      </w:r>
      <w:r w:rsidR="00D864E0" w:rsidRPr="00CB093C">
        <w:rPr>
          <w:rFonts w:ascii="Arial" w:hAnsi="Arial" w:cs="Arial"/>
          <w:szCs w:val="22"/>
          <w:lang w:val="en-GB"/>
        </w:rPr>
        <w:fldChar w:fldCharType="begin"/>
      </w:r>
      <w:r w:rsidR="00D864E0" w:rsidRPr="00CB093C">
        <w:rPr>
          <w:rFonts w:ascii="Arial" w:hAnsi="Arial" w:cs="Arial"/>
          <w:szCs w:val="22"/>
          <w:lang w:val="en-GB"/>
        </w:rPr>
        <w:instrText xml:space="preserve"> REF _Ref530411621 \h </w:instrText>
      </w:r>
      <w:r w:rsidR="00CB093C" w:rsidRPr="00CB093C">
        <w:rPr>
          <w:rFonts w:ascii="Arial" w:hAnsi="Arial" w:cs="Arial"/>
          <w:szCs w:val="22"/>
          <w:lang w:val="en-GB"/>
        </w:rPr>
        <w:instrText xml:space="preserve"> \* MERGEFORMAT </w:instrText>
      </w:r>
      <w:r w:rsidR="00D864E0" w:rsidRPr="00CB093C">
        <w:rPr>
          <w:rFonts w:ascii="Arial" w:hAnsi="Arial" w:cs="Arial"/>
          <w:szCs w:val="22"/>
          <w:lang w:val="en-GB"/>
        </w:rPr>
      </w:r>
      <w:r w:rsidR="00D864E0"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27</w:t>
      </w:r>
      <w:r w:rsidR="00D864E0" w:rsidRPr="00CB093C">
        <w:rPr>
          <w:rFonts w:ascii="Arial" w:hAnsi="Arial" w:cs="Arial"/>
          <w:szCs w:val="22"/>
          <w:lang w:val="en-GB"/>
        </w:rPr>
        <w:fldChar w:fldCharType="end"/>
      </w:r>
      <w:r w:rsidR="00D864E0" w:rsidRPr="00CB093C">
        <w:rPr>
          <w:rFonts w:ascii="Arial" w:hAnsi="Arial" w:cs="Arial"/>
          <w:szCs w:val="22"/>
          <w:lang w:val="en-GB"/>
        </w:rPr>
        <w:t>), with the highest temperature recorded at 41.3°C (BY1, 3pm 26Feb18).</w:t>
      </w:r>
      <w:r w:rsidR="00417B31" w:rsidRPr="00CB093C">
        <w:rPr>
          <w:rFonts w:ascii="Arial" w:hAnsi="Arial" w:cs="Arial"/>
          <w:szCs w:val="22"/>
          <w:lang w:val="en-GB"/>
        </w:rPr>
        <w:t xml:space="preserve"> </w:t>
      </w:r>
      <w:r w:rsidR="00417B31" w:rsidRPr="00CB093C">
        <w:rPr>
          <w:rFonts w:ascii="Arial" w:hAnsi="Arial" w:cs="Arial"/>
          <w:szCs w:val="22"/>
          <w:lang w:eastAsia="en-AU"/>
        </w:rPr>
        <w:t>Daily tid</w:t>
      </w:r>
      <w:r w:rsidR="006175A9" w:rsidRPr="00CB093C">
        <w:rPr>
          <w:rFonts w:ascii="Arial" w:hAnsi="Arial" w:cs="Arial"/>
          <w:szCs w:val="22"/>
          <w:lang w:eastAsia="en-AU"/>
        </w:rPr>
        <w:t>al</w:t>
      </w:r>
      <w:r w:rsidR="00417B31" w:rsidRPr="00CB093C">
        <w:rPr>
          <w:rFonts w:ascii="Arial" w:hAnsi="Arial" w:cs="Arial"/>
          <w:szCs w:val="22"/>
          <w:lang w:eastAsia="en-AU"/>
        </w:rPr>
        <w:t xml:space="preserve"> exposure </w:t>
      </w:r>
      <w:r w:rsidR="006175A9" w:rsidRPr="00CB093C">
        <w:rPr>
          <w:rFonts w:ascii="Arial" w:hAnsi="Arial" w:cs="Arial"/>
          <w:szCs w:val="22"/>
          <w:lang w:eastAsia="en-AU"/>
        </w:rPr>
        <w:t xml:space="preserve">(hours water has drained from the meadow) </w:t>
      </w:r>
      <w:r w:rsidR="00417B31" w:rsidRPr="00CB093C">
        <w:rPr>
          <w:rFonts w:ascii="Arial" w:hAnsi="Arial" w:cs="Arial"/>
          <w:szCs w:val="22"/>
          <w:lang w:eastAsia="en-AU"/>
        </w:rPr>
        <w:t>was below the long</w:t>
      </w:r>
      <w:r w:rsidR="00417B31" w:rsidRPr="00CB093C">
        <w:rPr>
          <w:rFonts w:ascii="Cambria Math" w:hAnsi="Cambria Math" w:cs="Cambria Math"/>
          <w:szCs w:val="22"/>
          <w:lang w:eastAsia="en-AU"/>
        </w:rPr>
        <w:t>‐</w:t>
      </w:r>
      <w:r w:rsidR="00417B31" w:rsidRPr="00CB093C">
        <w:rPr>
          <w:rFonts w:ascii="Arial" w:hAnsi="Arial" w:cs="Arial"/>
          <w:szCs w:val="22"/>
          <w:lang w:eastAsia="en-AU"/>
        </w:rPr>
        <w:t>term average for the second consecutive year (</w:t>
      </w:r>
      <w:r w:rsidR="00417B31" w:rsidRPr="00CB093C">
        <w:rPr>
          <w:rFonts w:ascii="Arial" w:hAnsi="Arial" w:cs="Arial"/>
          <w:szCs w:val="22"/>
          <w:lang w:val="en-GB"/>
        </w:rPr>
        <w:fldChar w:fldCharType="begin"/>
      </w:r>
      <w:r w:rsidR="00417B31" w:rsidRPr="00CB093C">
        <w:rPr>
          <w:rFonts w:ascii="Arial" w:hAnsi="Arial" w:cs="Arial"/>
          <w:szCs w:val="22"/>
          <w:lang w:val="en-GB"/>
        </w:rPr>
        <w:instrText xml:space="preserve"> REF _Ref530411621 \h </w:instrText>
      </w:r>
      <w:r w:rsidR="00CB093C" w:rsidRPr="00CB093C">
        <w:rPr>
          <w:rFonts w:ascii="Arial" w:hAnsi="Arial" w:cs="Arial"/>
          <w:szCs w:val="22"/>
          <w:lang w:val="en-GB"/>
        </w:rPr>
        <w:instrText xml:space="preserve"> \* MERGEFORMAT </w:instrText>
      </w:r>
      <w:r w:rsidR="00417B31" w:rsidRPr="00CB093C">
        <w:rPr>
          <w:rFonts w:ascii="Arial" w:hAnsi="Arial" w:cs="Arial"/>
          <w:szCs w:val="22"/>
          <w:lang w:val="en-GB"/>
        </w:rPr>
      </w:r>
      <w:r w:rsidR="00417B31"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27</w:t>
      </w:r>
      <w:r w:rsidR="00417B31" w:rsidRPr="00CB093C">
        <w:rPr>
          <w:rFonts w:ascii="Arial" w:hAnsi="Arial" w:cs="Arial"/>
          <w:szCs w:val="22"/>
          <w:lang w:val="en-GB"/>
        </w:rPr>
        <w:fldChar w:fldCharType="end"/>
      </w:r>
      <w:r w:rsidR="00417B31" w:rsidRPr="00CB093C">
        <w:rPr>
          <w:rFonts w:ascii="Arial" w:hAnsi="Arial" w:cs="Arial"/>
          <w:szCs w:val="22"/>
          <w:lang w:val="en-GB"/>
        </w:rPr>
        <w:t xml:space="preserve">, </w:t>
      </w:r>
      <w:r w:rsidR="00417B31" w:rsidRPr="00CB093C">
        <w:rPr>
          <w:rFonts w:ascii="Arial" w:hAnsi="Arial" w:cs="Arial"/>
          <w:szCs w:val="22"/>
          <w:lang w:eastAsia="en-AU"/>
        </w:rPr>
        <w:fldChar w:fldCharType="begin"/>
      </w:r>
      <w:r w:rsidR="00417B31" w:rsidRPr="00CB093C">
        <w:rPr>
          <w:rFonts w:ascii="Arial" w:hAnsi="Arial" w:cs="Arial"/>
          <w:szCs w:val="22"/>
          <w:lang w:eastAsia="en-AU"/>
        </w:rPr>
        <w:instrText xml:space="preserve"> REF _Ref409958445 \h </w:instrText>
      </w:r>
      <w:r w:rsidR="00CB093C" w:rsidRPr="00CB093C">
        <w:rPr>
          <w:rFonts w:ascii="Arial" w:hAnsi="Arial" w:cs="Arial"/>
          <w:szCs w:val="22"/>
          <w:lang w:eastAsia="en-AU"/>
        </w:rPr>
        <w:instrText xml:space="preserve"> \* MERGEFORMAT </w:instrText>
      </w:r>
      <w:r w:rsidR="00417B31" w:rsidRPr="00CB093C">
        <w:rPr>
          <w:rFonts w:ascii="Arial" w:hAnsi="Arial" w:cs="Arial"/>
          <w:szCs w:val="22"/>
          <w:lang w:eastAsia="en-AU"/>
        </w:rPr>
      </w:r>
      <w:r w:rsidR="00417B31" w:rsidRPr="00CB093C">
        <w:rPr>
          <w:rFonts w:ascii="Arial" w:hAnsi="Arial" w:cs="Arial"/>
          <w:szCs w:val="22"/>
          <w:lang w:eastAsia="en-AU"/>
        </w:rPr>
        <w:fldChar w:fldCharType="separate"/>
      </w:r>
      <w:r w:rsidR="005F00D4" w:rsidRPr="00CB093C">
        <w:rPr>
          <w:rFonts w:ascii="Arial" w:hAnsi="Arial" w:cs="Arial"/>
          <w:szCs w:val="22"/>
        </w:rPr>
        <w:t xml:space="preserve">Figure </w:t>
      </w:r>
      <w:r w:rsidR="005F00D4">
        <w:rPr>
          <w:rFonts w:ascii="Arial" w:hAnsi="Arial" w:cs="Arial"/>
          <w:noProof/>
          <w:szCs w:val="22"/>
        </w:rPr>
        <w:t>98</w:t>
      </w:r>
      <w:r w:rsidR="00417B31" w:rsidRPr="00CB093C">
        <w:rPr>
          <w:rFonts w:ascii="Arial" w:hAnsi="Arial" w:cs="Arial"/>
          <w:szCs w:val="22"/>
          <w:lang w:eastAsia="en-AU"/>
        </w:rPr>
        <w:fldChar w:fldCharType="end"/>
      </w:r>
      <w:r w:rsidR="00417B31" w:rsidRPr="00CB093C">
        <w:rPr>
          <w:rFonts w:ascii="Arial" w:hAnsi="Arial" w:cs="Arial"/>
          <w:szCs w:val="22"/>
          <w:lang w:eastAsia="en-AU"/>
        </w:rPr>
        <w:t>), which may have provided some respite from the elevated temperatures.</w:t>
      </w:r>
    </w:p>
    <w:p w14:paraId="19F50FF3" w14:textId="22C78202" w:rsidR="005D6CB6" w:rsidRPr="00CB093C" w:rsidRDefault="005D6CB6" w:rsidP="005D6CB6">
      <w:pPr>
        <w:rPr>
          <w:rFonts w:ascii="Arial" w:hAnsi="Arial" w:cs="Arial"/>
          <w:szCs w:val="22"/>
          <w:lang w:val="en-GB"/>
        </w:rPr>
      </w:pPr>
      <w:r w:rsidRPr="00CB093C">
        <w:rPr>
          <w:rFonts w:ascii="Arial" w:hAnsi="Arial" w:cs="Arial"/>
          <w:szCs w:val="22"/>
          <w:lang w:val="en-GB"/>
        </w:rPr>
        <w:t xml:space="preserve">In the Cape York NRM region, reef habitats </w:t>
      </w:r>
      <w:r w:rsidR="009E5135" w:rsidRPr="00CB093C">
        <w:rPr>
          <w:rFonts w:ascii="Arial" w:hAnsi="Arial" w:cs="Arial"/>
          <w:szCs w:val="22"/>
          <w:lang w:val="en-GB"/>
        </w:rPr>
        <w:t>remain</w:t>
      </w:r>
      <w:r w:rsidRPr="00CB093C">
        <w:rPr>
          <w:rFonts w:ascii="Arial" w:hAnsi="Arial" w:cs="Arial"/>
          <w:szCs w:val="22"/>
          <w:lang w:val="en-GB"/>
        </w:rPr>
        <w:t xml:space="preserve"> dominated by sands and coarser sediments, while coastal habitats contained a greater proportion of mud (</w:t>
      </w:r>
      <w:r w:rsidR="006175A9" w:rsidRPr="00CB093C">
        <w:rPr>
          <w:rFonts w:ascii="Arial" w:hAnsi="Arial" w:cs="Arial"/>
          <w:szCs w:val="22"/>
          <w:lang w:val="en-GB"/>
        </w:rPr>
        <w:fldChar w:fldCharType="begin"/>
      </w:r>
      <w:r w:rsidR="006175A9" w:rsidRPr="00CB093C">
        <w:rPr>
          <w:rFonts w:ascii="Arial" w:hAnsi="Arial" w:cs="Arial"/>
          <w:szCs w:val="22"/>
          <w:lang w:val="en-GB"/>
        </w:rPr>
        <w:instrText xml:space="preserve"> REF _Ref534181942 \r \h </w:instrText>
      </w:r>
      <w:r w:rsidR="00CB093C" w:rsidRPr="00CB093C">
        <w:rPr>
          <w:rFonts w:ascii="Arial" w:hAnsi="Arial" w:cs="Arial"/>
          <w:szCs w:val="22"/>
          <w:lang w:val="en-GB"/>
        </w:rPr>
        <w:instrText xml:space="preserve"> \* MERGEFORMAT </w:instrText>
      </w:r>
      <w:r w:rsidR="006175A9" w:rsidRPr="00CB093C">
        <w:rPr>
          <w:rFonts w:ascii="Arial" w:hAnsi="Arial" w:cs="Arial"/>
          <w:szCs w:val="22"/>
          <w:lang w:val="en-GB"/>
        </w:rPr>
      </w:r>
      <w:r w:rsidR="006175A9" w:rsidRPr="00CB093C">
        <w:rPr>
          <w:rFonts w:ascii="Arial" w:hAnsi="Arial" w:cs="Arial"/>
          <w:szCs w:val="22"/>
          <w:lang w:val="en-GB"/>
        </w:rPr>
        <w:fldChar w:fldCharType="separate"/>
      </w:r>
      <w:r w:rsidR="005F00D4">
        <w:rPr>
          <w:rFonts w:ascii="Arial" w:hAnsi="Arial" w:cs="Arial"/>
          <w:szCs w:val="22"/>
          <w:lang w:val="en-GB"/>
        </w:rPr>
        <w:t>Appendix 3</w:t>
      </w:r>
      <w:r w:rsidR="006175A9" w:rsidRPr="00CB093C">
        <w:rPr>
          <w:rFonts w:ascii="Arial" w:hAnsi="Arial" w:cs="Arial"/>
          <w:szCs w:val="22"/>
          <w:lang w:val="en-GB"/>
        </w:rPr>
        <w:fldChar w:fldCharType="end"/>
      </w:r>
      <w:r w:rsidR="006175A9" w:rsidRPr="00CB093C">
        <w:rPr>
          <w:rFonts w:ascii="Arial" w:hAnsi="Arial" w:cs="Arial"/>
          <w:szCs w:val="22"/>
          <w:lang w:val="en-GB"/>
        </w:rPr>
        <w:t xml:space="preserve">, </w:t>
      </w:r>
      <w:r w:rsidR="006175A9" w:rsidRPr="00CB093C">
        <w:rPr>
          <w:rFonts w:ascii="Arial" w:hAnsi="Arial" w:cs="Arial"/>
          <w:szCs w:val="22"/>
          <w:lang w:val="en-GB"/>
        </w:rPr>
        <w:fldChar w:fldCharType="begin"/>
      </w:r>
      <w:r w:rsidR="006175A9" w:rsidRPr="00CB093C">
        <w:rPr>
          <w:rFonts w:ascii="Arial" w:hAnsi="Arial" w:cs="Arial"/>
          <w:szCs w:val="22"/>
          <w:lang w:val="en-GB"/>
        </w:rPr>
        <w:instrText xml:space="preserve"> REF _Ref511130629 \h </w:instrText>
      </w:r>
      <w:r w:rsidR="00CB093C" w:rsidRPr="00CB093C">
        <w:rPr>
          <w:rFonts w:ascii="Arial" w:hAnsi="Arial" w:cs="Arial"/>
          <w:szCs w:val="22"/>
          <w:lang w:val="en-GB"/>
        </w:rPr>
        <w:instrText xml:space="preserve"> \* MERGEFORMAT </w:instrText>
      </w:r>
      <w:r w:rsidR="006175A9" w:rsidRPr="00CB093C">
        <w:rPr>
          <w:rFonts w:ascii="Arial" w:hAnsi="Arial" w:cs="Arial"/>
          <w:szCs w:val="22"/>
          <w:lang w:val="en-GB"/>
        </w:rPr>
      </w:r>
      <w:r w:rsidR="006175A9"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113</w:t>
      </w:r>
      <w:r w:rsidR="006175A9" w:rsidRPr="00CB093C">
        <w:rPr>
          <w:rFonts w:ascii="Arial" w:hAnsi="Arial" w:cs="Arial"/>
          <w:szCs w:val="22"/>
          <w:lang w:val="en-GB"/>
        </w:rPr>
        <w:fldChar w:fldCharType="end"/>
      </w:r>
      <w:r w:rsidR="00F4531B" w:rsidRPr="00CB093C">
        <w:rPr>
          <w:rFonts w:ascii="Arial" w:hAnsi="Arial" w:cs="Arial"/>
          <w:szCs w:val="22"/>
          <w:lang w:val="en-GB"/>
        </w:rPr>
        <w:t xml:space="preserve">, </w:t>
      </w:r>
      <w:r w:rsidR="00F4531B" w:rsidRPr="00CB093C">
        <w:rPr>
          <w:rFonts w:ascii="Arial" w:hAnsi="Arial" w:cs="Arial"/>
          <w:szCs w:val="22"/>
          <w:lang w:val="en-GB"/>
        </w:rPr>
        <w:fldChar w:fldCharType="begin"/>
      </w:r>
      <w:r w:rsidR="00F4531B" w:rsidRPr="00CB093C">
        <w:rPr>
          <w:rFonts w:ascii="Arial" w:hAnsi="Arial" w:cs="Arial"/>
          <w:szCs w:val="22"/>
          <w:lang w:val="en-GB"/>
        </w:rPr>
        <w:instrText xml:space="preserve"> REF _Ref511130634 \h </w:instrText>
      </w:r>
      <w:r w:rsidR="00CB093C" w:rsidRPr="00CB093C">
        <w:rPr>
          <w:rFonts w:ascii="Arial" w:hAnsi="Arial" w:cs="Arial"/>
          <w:szCs w:val="22"/>
          <w:lang w:val="en-GB"/>
        </w:rPr>
        <w:instrText xml:space="preserve"> \* MERGEFORMAT </w:instrText>
      </w:r>
      <w:r w:rsidR="00F4531B" w:rsidRPr="00CB093C">
        <w:rPr>
          <w:rFonts w:ascii="Arial" w:hAnsi="Arial" w:cs="Arial"/>
          <w:szCs w:val="22"/>
          <w:lang w:val="en-GB"/>
        </w:rPr>
      </w:r>
      <w:r w:rsidR="00F4531B"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114</w:t>
      </w:r>
      <w:r w:rsidR="00F4531B" w:rsidRPr="00CB093C">
        <w:rPr>
          <w:rFonts w:ascii="Arial" w:hAnsi="Arial" w:cs="Arial"/>
          <w:szCs w:val="22"/>
          <w:lang w:val="en-GB"/>
        </w:rPr>
        <w:fldChar w:fldCharType="end"/>
      </w:r>
      <w:r w:rsidRPr="00CB093C">
        <w:rPr>
          <w:rFonts w:ascii="Arial" w:hAnsi="Arial" w:cs="Arial"/>
          <w:szCs w:val="22"/>
          <w:lang w:val="en-GB"/>
        </w:rPr>
        <w:t xml:space="preserve">). </w:t>
      </w:r>
    </w:p>
    <w:p w14:paraId="29E89B79" w14:textId="4A2737EA" w:rsidR="002965B8" w:rsidRPr="00CB093C" w:rsidRDefault="002965B8" w:rsidP="00AD06D4">
      <w:pPr>
        <w:pStyle w:val="Heading3"/>
        <w:numPr>
          <w:ilvl w:val="2"/>
          <w:numId w:val="4"/>
        </w:numPr>
        <w:rPr>
          <w:rFonts w:ascii="Arial" w:hAnsi="Arial" w:cs="Arial"/>
          <w:color w:val="000000"/>
          <w:sz w:val="22"/>
          <w:szCs w:val="22"/>
        </w:rPr>
      </w:pPr>
      <w:bookmarkStart w:id="229" w:name="_Toc11394727"/>
      <w:r w:rsidRPr="00CB093C">
        <w:rPr>
          <w:rFonts w:ascii="Arial" w:hAnsi="Arial" w:cs="Arial"/>
          <w:color w:val="000000"/>
          <w:sz w:val="22"/>
          <w:szCs w:val="22"/>
        </w:rPr>
        <w:t>In</w:t>
      </w:r>
      <w:r w:rsidR="00066A4B" w:rsidRPr="00CB093C">
        <w:rPr>
          <w:rFonts w:ascii="Arial" w:hAnsi="Arial" w:cs="Arial"/>
          <w:color w:val="000000"/>
          <w:sz w:val="22"/>
          <w:szCs w:val="22"/>
        </w:rPr>
        <w:t>shore</w:t>
      </w:r>
      <w:r w:rsidRPr="00CB093C">
        <w:rPr>
          <w:rFonts w:ascii="Arial" w:hAnsi="Arial" w:cs="Arial"/>
          <w:color w:val="000000"/>
          <w:sz w:val="22"/>
          <w:szCs w:val="22"/>
        </w:rPr>
        <w:t xml:space="preserve"> seagrass </w:t>
      </w:r>
      <w:r w:rsidR="003B0C12" w:rsidRPr="00CB093C">
        <w:rPr>
          <w:rFonts w:ascii="Arial" w:hAnsi="Arial" w:cs="Arial"/>
          <w:color w:val="000000"/>
          <w:sz w:val="22"/>
          <w:szCs w:val="22"/>
        </w:rPr>
        <w:t xml:space="preserve">and habitat </w:t>
      </w:r>
      <w:r w:rsidRPr="00CB093C">
        <w:rPr>
          <w:rFonts w:ascii="Arial" w:hAnsi="Arial" w:cs="Arial"/>
          <w:color w:val="000000"/>
          <w:sz w:val="22"/>
          <w:szCs w:val="22"/>
        </w:rPr>
        <w:t>condition</w:t>
      </w:r>
      <w:bookmarkEnd w:id="229"/>
    </w:p>
    <w:p w14:paraId="42F406FB" w14:textId="38D85763" w:rsidR="00EE1122" w:rsidRPr="00CB093C" w:rsidRDefault="00066A4B" w:rsidP="00EE1122">
      <w:pPr>
        <w:rPr>
          <w:rFonts w:ascii="Arial" w:hAnsi="Arial" w:cs="Arial"/>
          <w:color w:val="000000" w:themeColor="text1"/>
          <w:szCs w:val="22"/>
          <w:lang w:eastAsia="x-none"/>
        </w:rPr>
      </w:pPr>
      <w:r w:rsidRPr="00CB093C">
        <w:rPr>
          <w:rFonts w:ascii="Arial" w:hAnsi="Arial" w:cs="Arial"/>
          <w:color w:val="000000" w:themeColor="text1"/>
          <w:szCs w:val="22"/>
          <w:lang w:eastAsia="x-none"/>
        </w:rPr>
        <w:t>Four</w:t>
      </w:r>
      <w:r w:rsidR="00EE1122" w:rsidRPr="00CB093C">
        <w:rPr>
          <w:rFonts w:ascii="Arial" w:hAnsi="Arial" w:cs="Arial"/>
          <w:color w:val="000000" w:themeColor="text1"/>
          <w:szCs w:val="22"/>
          <w:lang w:eastAsia="x-none"/>
        </w:rPr>
        <w:t xml:space="preserve"> seagrass habitat types were assessed across the Cape York region in </w:t>
      </w:r>
      <w:r w:rsidR="003654C6">
        <w:rPr>
          <w:rFonts w:ascii="Arial" w:hAnsi="Arial" w:cs="Arial"/>
          <w:color w:val="000000" w:themeColor="text1"/>
          <w:szCs w:val="22"/>
          <w:lang w:eastAsia="x-none"/>
        </w:rPr>
        <w:t>2017–18</w:t>
      </w:r>
      <w:r w:rsidR="002765F1" w:rsidRPr="00CB093C">
        <w:rPr>
          <w:rFonts w:ascii="Arial" w:hAnsi="Arial" w:cs="Arial"/>
          <w:color w:val="000000" w:themeColor="text1"/>
          <w:szCs w:val="22"/>
          <w:lang w:eastAsia="x-none"/>
        </w:rPr>
        <w:t xml:space="preserve">, </w:t>
      </w:r>
      <w:r w:rsidR="00791A68" w:rsidRPr="00CB093C">
        <w:rPr>
          <w:rFonts w:ascii="Arial" w:hAnsi="Arial" w:cs="Arial"/>
          <w:color w:val="000000" w:themeColor="text1"/>
          <w:szCs w:val="22"/>
          <w:lang w:eastAsia="x-none"/>
        </w:rPr>
        <w:t>with data from 1</w:t>
      </w:r>
      <w:r w:rsidR="00E5349B" w:rsidRPr="00CB093C">
        <w:rPr>
          <w:rFonts w:ascii="Arial" w:hAnsi="Arial" w:cs="Arial"/>
          <w:color w:val="000000" w:themeColor="text1"/>
          <w:szCs w:val="22"/>
          <w:lang w:eastAsia="x-none"/>
        </w:rPr>
        <w:t xml:space="preserve">2 of the 15 long-term monitoring </w:t>
      </w:r>
      <w:r w:rsidR="00EE1122" w:rsidRPr="00CB093C">
        <w:rPr>
          <w:rFonts w:ascii="Arial" w:hAnsi="Arial" w:cs="Arial"/>
          <w:color w:val="000000" w:themeColor="text1"/>
          <w:szCs w:val="22"/>
          <w:lang w:eastAsia="x-none"/>
        </w:rPr>
        <w:t>sites (</w:t>
      </w:r>
      <w:r w:rsidR="00EE1122" w:rsidRPr="00CB093C">
        <w:rPr>
          <w:rFonts w:ascii="Arial" w:hAnsi="Arial" w:cs="Arial"/>
          <w:color w:val="000000" w:themeColor="text1"/>
          <w:szCs w:val="22"/>
          <w:lang w:eastAsia="x-none"/>
        </w:rPr>
        <w:fldChar w:fldCharType="begin"/>
      </w:r>
      <w:r w:rsidR="00EE1122" w:rsidRPr="00CB093C">
        <w:rPr>
          <w:rFonts w:ascii="Arial" w:hAnsi="Arial" w:cs="Arial"/>
          <w:color w:val="000000" w:themeColor="text1"/>
          <w:szCs w:val="22"/>
          <w:lang w:eastAsia="x-none"/>
        </w:rPr>
        <w:instrText xml:space="preserve"> REF _Ref473897619 \h </w:instrText>
      </w:r>
      <w:r w:rsidR="00580DDA" w:rsidRPr="00CB093C">
        <w:rPr>
          <w:rFonts w:ascii="Arial" w:hAnsi="Arial" w:cs="Arial"/>
          <w:color w:val="000000" w:themeColor="text1"/>
          <w:szCs w:val="22"/>
          <w:lang w:eastAsia="x-none"/>
        </w:rPr>
        <w:instrText xml:space="preserve"> \* MERGEFORMAT </w:instrText>
      </w:r>
      <w:r w:rsidR="00EE1122" w:rsidRPr="00CB093C">
        <w:rPr>
          <w:rFonts w:ascii="Arial" w:hAnsi="Arial" w:cs="Arial"/>
          <w:color w:val="000000" w:themeColor="text1"/>
          <w:szCs w:val="22"/>
          <w:lang w:eastAsia="x-none"/>
        </w:rPr>
      </w:r>
      <w:r w:rsidR="00EE1122" w:rsidRPr="00CB093C">
        <w:rPr>
          <w:rFonts w:ascii="Arial" w:hAnsi="Arial" w:cs="Arial"/>
          <w:color w:val="000000" w:themeColor="text1"/>
          <w:szCs w:val="22"/>
          <w:lang w:eastAsia="x-none"/>
        </w:rPr>
        <w:fldChar w:fldCharType="separate"/>
      </w:r>
      <w:r w:rsidR="005F00D4" w:rsidRPr="00CB093C">
        <w:rPr>
          <w:rFonts w:ascii="Arial" w:hAnsi="Arial" w:cs="Arial"/>
          <w:szCs w:val="22"/>
        </w:rPr>
        <w:t xml:space="preserve">Table </w:t>
      </w:r>
      <w:r w:rsidR="005F00D4">
        <w:rPr>
          <w:rFonts w:ascii="Arial" w:hAnsi="Arial" w:cs="Arial"/>
          <w:noProof/>
          <w:szCs w:val="22"/>
        </w:rPr>
        <w:t>11</w:t>
      </w:r>
      <w:r w:rsidR="00EE1122" w:rsidRPr="00CB093C">
        <w:rPr>
          <w:rFonts w:ascii="Arial" w:hAnsi="Arial" w:cs="Arial"/>
          <w:color w:val="000000" w:themeColor="text1"/>
          <w:szCs w:val="22"/>
          <w:lang w:eastAsia="x-none"/>
        </w:rPr>
        <w:fldChar w:fldCharType="end"/>
      </w:r>
      <w:r w:rsidR="00EE1122" w:rsidRPr="00CB093C">
        <w:rPr>
          <w:rFonts w:ascii="Arial" w:hAnsi="Arial" w:cs="Arial"/>
          <w:color w:val="000000" w:themeColor="text1"/>
          <w:szCs w:val="22"/>
          <w:lang w:eastAsia="x-none"/>
        </w:rPr>
        <w:t>).</w:t>
      </w:r>
    </w:p>
    <w:p w14:paraId="04EB76D3" w14:textId="3CA2FB52" w:rsidR="00E50C95" w:rsidRPr="00CB093C" w:rsidRDefault="00EE1122" w:rsidP="00E50C95">
      <w:pPr>
        <w:spacing w:before="0"/>
        <w:rPr>
          <w:rFonts w:ascii="Arial" w:hAnsi="Arial" w:cs="Arial"/>
          <w:i/>
          <w:vanish/>
          <w:szCs w:val="22"/>
          <w:specVanish/>
        </w:rPr>
      </w:pPr>
      <w:bookmarkStart w:id="230" w:name="_Ref473897619"/>
      <w:bookmarkStart w:id="231" w:name="_Toc5616039"/>
      <w:r w:rsidRPr="00CB093C">
        <w:rPr>
          <w:rFonts w:ascii="Arial" w:hAnsi="Arial" w:cs="Arial"/>
          <w:szCs w:val="22"/>
        </w:rPr>
        <w:t xml:space="preserve">Table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Table \* ARABIC </w:instrText>
      </w:r>
      <w:r w:rsidR="00C506C7" w:rsidRPr="00CB093C">
        <w:rPr>
          <w:rFonts w:ascii="Arial" w:hAnsi="Arial" w:cs="Arial"/>
          <w:noProof/>
          <w:szCs w:val="22"/>
        </w:rPr>
        <w:fldChar w:fldCharType="separate"/>
      </w:r>
      <w:r w:rsidR="005F00D4">
        <w:rPr>
          <w:rFonts w:ascii="Arial" w:hAnsi="Arial" w:cs="Arial"/>
          <w:noProof/>
          <w:szCs w:val="22"/>
        </w:rPr>
        <w:t>11</w:t>
      </w:r>
      <w:r w:rsidR="00C506C7" w:rsidRPr="00CB093C">
        <w:rPr>
          <w:rFonts w:ascii="Arial" w:hAnsi="Arial" w:cs="Arial"/>
          <w:noProof/>
          <w:szCs w:val="22"/>
        </w:rPr>
        <w:fldChar w:fldCharType="end"/>
      </w:r>
      <w:bookmarkEnd w:id="230"/>
      <w:r w:rsidRPr="00CB093C">
        <w:rPr>
          <w:rFonts w:ascii="Arial" w:hAnsi="Arial" w:cs="Arial"/>
          <w:szCs w:val="22"/>
        </w:rPr>
        <w:t xml:space="preserve">. </w:t>
      </w:r>
      <w:r w:rsidRPr="00CB093C">
        <w:rPr>
          <w:rFonts w:ascii="Arial" w:hAnsi="Arial" w:cs="Arial"/>
          <w:i/>
          <w:szCs w:val="22"/>
        </w:rPr>
        <w:t>List of data sources of seagrass and environmental condition indicators for each seagrass habitat type in the Cape York NRM region</w:t>
      </w:r>
      <w:bookmarkEnd w:id="231"/>
    </w:p>
    <w:p w14:paraId="609B19D2" w14:textId="75718AA7" w:rsidR="00EE1122" w:rsidRPr="00CB093C" w:rsidRDefault="00EE1122" w:rsidP="00994F86">
      <w:pPr>
        <w:spacing w:before="240"/>
        <w:rPr>
          <w:rFonts w:ascii="Arial" w:hAnsi="Arial" w:cs="Arial"/>
          <w:i/>
          <w:vanish/>
          <w:color w:val="000000"/>
          <w:szCs w:val="22"/>
          <w:lang w:val="en-GB"/>
        </w:rPr>
      </w:pPr>
      <w:r w:rsidRPr="00CB093C">
        <w:rPr>
          <w:rFonts w:ascii="Arial" w:hAnsi="Arial" w:cs="Arial"/>
          <w:i/>
          <w:szCs w:val="22"/>
        </w:rPr>
        <w:t>.</w:t>
      </w:r>
      <w:r w:rsidR="008E2E54" w:rsidRPr="00CB093C">
        <w:rPr>
          <w:rFonts w:ascii="Arial" w:hAnsi="Arial" w:cs="Arial"/>
          <w:i/>
          <w:szCs w:val="22"/>
        </w:rPr>
        <w:t xml:space="preserve"> </w:t>
      </w:r>
      <w:r w:rsidRPr="00CB093C">
        <w:rPr>
          <w:rFonts w:ascii="Arial" w:hAnsi="Arial" w:cs="Arial"/>
          <w:i/>
          <w:szCs w:val="22"/>
        </w:rPr>
        <w:t xml:space="preserve">For site details see </w:t>
      </w:r>
      <w:r w:rsidRPr="00CB093C">
        <w:rPr>
          <w:rFonts w:ascii="Arial" w:hAnsi="Arial" w:cs="Arial"/>
          <w:i/>
          <w:szCs w:val="22"/>
        </w:rPr>
        <w:fldChar w:fldCharType="begin"/>
      </w:r>
      <w:r w:rsidRPr="00CB093C">
        <w:rPr>
          <w:rFonts w:ascii="Arial" w:hAnsi="Arial" w:cs="Arial"/>
          <w:i/>
          <w:szCs w:val="22"/>
        </w:rPr>
        <w:instrText xml:space="preserve"> REF _Ref236539751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color w:val="000000"/>
          <w:szCs w:val="22"/>
        </w:rPr>
        <w:t xml:space="preserve">Table </w:t>
      </w:r>
      <w:r w:rsidR="005F00D4" w:rsidRPr="005F00D4">
        <w:rPr>
          <w:rFonts w:ascii="Arial" w:hAnsi="Arial" w:cs="Arial"/>
          <w:i/>
          <w:noProof/>
          <w:color w:val="000000"/>
          <w:szCs w:val="22"/>
        </w:rPr>
        <w:t>2</w:t>
      </w:r>
      <w:r w:rsidRPr="00CB093C">
        <w:rPr>
          <w:rFonts w:ascii="Arial" w:hAnsi="Arial" w:cs="Arial"/>
          <w:i/>
          <w:szCs w:val="22"/>
        </w:rPr>
        <w:fldChar w:fldCharType="end"/>
      </w:r>
      <w:r w:rsidRPr="00CB093C">
        <w:rPr>
          <w:rFonts w:ascii="Arial" w:hAnsi="Arial" w:cs="Arial"/>
          <w:i/>
          <w:szCs w:val="22"/>
        </w:rPr>
        <w:t xml:space="preserve"> and </w:t>
      </w:r>
      <w:r w:rsidRPr="00CB093C">
        <w:rPr>
          <w:rFonts w:ascii="Arial" w:hAnsi="Arial" w:cs="Arial"/>
          <w:i/>
          <w:szCs w:val="22"/>
        </w:rPr>
        <w:fldChar w:fldCharType="begin"/>
      </w:r>
      <w:r w:rsidRPr="00CB093C">
        <w:rPr>
          <w:rFonts w:ascii="Arial" w:hAnsi="Arial" w:cs="Arial"/>
          <w:i/>
          <w:szCs w:val="22"/>
        </w:rPr>
        <w:instrText xml:space="preserve"> REF _Ref461186562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color w:val="000000"/>
          <w:szCs w:val="22"/>
        </w:rPr>
        <w:t xml:space="preserve">Table </w:t>
      </w:r>
      <w:r w:rsidR="005F00D4" w:rsidRPr="005F00D4">
        <w:rPr>
          <w:rFonts w:ascii="Arial" w:hAnsi="Arial" w:cs="Arial"/>
          <w:i/>
          <w:noProof/>
          <w:color w:val="000000"/>
          <w:szCs w:val="22"/>
        </w:rPr>
        <w:t>3</w:t>
      </w:r>
      <w:r w:rsidRPr="00CB093C">
        <w:rPr>
          <w:rFonts w:ascii="Arial" w:hAnsi="Arial" w:cs="Arial"/>
          <w:i/>
          <w:szCs w:val="22"/>
        </w:rPr>
        <w:fldChar w:fldCharType="end"/>
      </w:r>
      <w:r w:rsidRPr="00CB093C">
        <w:rPr>
          <w:rFonts w:ascii="Arial" w:hAnsi="Arial" w:cs="Arial"/>
          <w:i/>
          <w:szCs w:val="22"/>
        </w:rPr>
        <w:t>.</w:t>
      </w:r>
      <w:r w:rsidR="00F75525" w:rsidRPr="00CB093C">
        <w:rPr>
          <w:rFonts w:ascii="Arial" w:hAnsi="Arial" w:cs="Arial"/>
          <w:i/>
          <w:szCs w:val="22"/>
        </w:rPr>
        <w:t xml:space="preserve"> </w:t>
      </w:r>
      <w:r w:rsidRPr="00CB093C">
        <w:rPr>
          <w:rFonts w:ascii="Arial" w:hAnsi="Arial" w:cs="Arial"/>
          <w:i/>
          <w:color w:val="000000"/>
          <w:szCs w:val="22"/>
        </w:rPr>
        <w:t xml:space="preserve">Open square indicates </w:t>
      </w:r>
      <w:r w:rsidR="00F75525" w:rsidRPr="00CB093C">
        <w:rPr>
          <w:rFonts w:ascii="Arial" w:hAnsi="Arial" w:cs="Arial"/>
          <w:i/>
          <w:color w:val="000000"/>
          <w:szCs w:val="22"/>
        </w:rPr>
        <w:t xml:space="preserve">not measured in </w:t>
      </w:r>
      <w:r w:rsidR="006574F1" w:rsidRPr="00CB093C">
        <w:rPr>
          <w:rFonts w:ascii="Arial" w:hAnsi="Arial" w:cs="Arial"/>
          <w:i/>
          <w:color w:val="000000"/>
          <w:szCs w:val="22"/>
        </w:rPr>
        <w:t>201</w:t>
      </w:r>
      <w:r w:rsidR="00AA28A3" w:rsidRPr="00CB093C">
        <w:rPr>
          <w:rFonts w:ascii="Arial" w:hAnsi="Arial" w:cs="Arial"/>
          <w:i/>
          <w:color w:val="000000"/>
          <w:szCs w:val="22"/>
        </w:rPr>
        <w:t>7</w:t>
      </w:r>
      <w:r w:rsidR="006574F1" w:rsidRPr="00CB093C">
        <w:rPr>
          <w:rFonts w:ascii="Arial" w:hAnsi="Arial" w:cs="Arial"/>
          <w:i/>
          <w:color w:val="000000"/>
          <w:szCs w:val="22"/>
        </w:rPr>
        <w:t>-</w:t>
      </w:r>
      <w:r w:rsidR="00D569B9" w:rsidRPr="00CB093C">
        <w:rPr>
          <w:rFonts w:ascii="Arial" w:hAnsi="Arial" w:cs="Arial"/>
          <w:i/>
          <w:color w:val="000000"/>
          <w:szCs w:val="22"/>
        </w:rPr>
        <w:t>1</w:t>
      </w:r>
      <w:r w:rsidR="00AA28A3" w:rsidRPr="00CB093C">
        <w:rPr>
          <w:rFonts w:ascii="Arial" w:hAnsi="Arial" w:cs="Arial"/>
          <w:i/>
          <w:color w:val="000000"/>
          <w:szCs w:val="22"/>
        </w:rPr>
        <w:t>8</w:t>
      </w:r>
      <w:r w:rsidR="00F75525" w:rsidRPr="00CB093C">
        <w:rPr>
          <w:rFonts w:ascii="Arial" w:hAnsi="Arial" w:cs="Arial"/>
          <w:i/>
          <w:color w:val="000000"/>
          <w:szCs w:val="22"/>
        </w:rPr>
        <w:t>.</w:t>
      </w:r>
      <w:r w:rsidR="00BE000D" w:rsidRPr="00CB093C">
        <w:rPr>
          <w:rFonts w:ascii="Arial" w:hAnsi="Arial" w:cs="Arial"/>
          <w:i/>
          <w:color w:val="000000"/>
          <w:szCs w:val="22"/>
        </w:rPr>
        <w:t xml:space="preserve"> </w:t>
      </w:r>
      <w:r w:rsidR="00BE000D" w:rsidRPr="00CB093C">
        <w:rPr>
          <w:rFonts w:ascii="Arial" w:hAnsi="Arial" w:cs="Arial"/>
          <w:i/>
          <w:color w:val="000000"/>
          <w:szCs w:val="22"/>
          <w:vertAlign w:val="superscript"/>
        </w:rPr>
        <w:sym w:font="Wingdings 2" w:char="F085"/>
      </w:r>
      <w:r w:rsidR="00BE000D" w:rsidRPr="00CB093C">
        <w:rPr>
          <w:rFonts w:ascii="Arial" w:hAnsi="Arial" w:cs="Arial"/>
          <w:i/>
          <w:color w:val="000000"/>
          <w:szCs w:val="22"/>
        </w:rPr>
        <w:t xml:space="preserve"> drop camera sampling (QPWS), *Seagrass-Watch.</w:t>
      </w: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4"/>
        <w:gridCol w:w="729"/>
        <w:gridCol w:w="3042"/>
        <w:gridCol w:w="475"/>
        <w:gridCol w:w="475"/>
        <w:gridCol w:w="475"/>
        <w:gridCol w:w="475"/>
        <w:gridCol w:w="475"/>
        <w:gridCol w:w="475"/>
        <w:gridCol w:w="475"/>
        <w:gridCol w:w="475"/>
        <w:gridCol w:w="475"/>
      </w:tblGrid>
      <w:tr w:rsidR="00EE1122" w:rsidRPr="00CB093C" w14:paraId="6DB0B329" w14:textId="77777777" w:rsidTr="00066A4B">
        <w:trPr>
          <w:cantSplit/>
          <w:trHeight w:val="1639"/>
          <w:jc w:val="center"/>
        </w:trPr>
        <w:tc>
          <w:tcPr>
            <w:tcW w:w="1681" w:type="dxa"/>
            <w:shd w:val="clear" w:color="auto" w:fill="BBE0E3"/>
            <w:vAlign w:val="center"/>
          </w:tcPr>
          <w:p w14:paraId="393A78E3" w14:textId="77777777" w:rsidR="00EE1122" w:rsidRPr="00CB093C" w:rsidRDefault="00EE1122" w:rsidP="00994F86">
            <w:pPr>
              <w:spacing w:before="0" w:after="0"/>
              <w:jc w:val="center"/>
              <w:rPr>
                <w:rFonts w:ascii="Arial" w:hAnsi="Arial" w:cs="Arial"/>
                <w:b/>
                <w:bCs/>
                <w:color w:val="000000"/>
                <w:szCs w:val="22"/>
              </w:rPr>
            </w:pPr>
            <w:r w:rsidRPr="00CB093C">
              <w:rPr>
                <w:rFonts w:ascii="Arial" w:hAnsi="Arial" w:cs="Arial"/>
                <w:b/>
                <w:bCs/>
                <w:color w:val="000000"/>
                <w:szCs w:val="22"/>
              </w:rPr>
              <w:t>Habitat</w:t>
            </w:r>
          </w:p>
        </w:tc>
        <w:tc>
          <w:tcPr>
            <w:tcW w:w="3716" w:type="dxa"/>
            <w:gridSpan w:val="2"/>
            <w:shd w:val="clear" w:color="auto" w:fill="BBE0E3"/>
            <w:noWrap/>
            <w:vAlign w:val="center"/>
          </w:tcPr>
          <w:p w14:paraId="133C7B7A" w14:textId="77777777" w:rsidR="00EE1122" w:rsidRPr="00CB093C" w:rsidRDefault="00EE1122" w:rsidP="00994F86">
            <w:pPr>
              <w:spacing w:before="0" w:after="0"/>
              <w:jc w:val="center"/>
              <w:rPr>
                <w:rFonts w:ascii="Arial" w:hAnsi="Arial" w:cs="Arial"/>
                <w:b/>
                <w:bCs/>
                <w:color w:val="000000"/>
                <w:szCs w:val="22"/>
              </w:rPr>
            </w:pPr>
            <w:r w:rsidRPr="00CB093C">
              <w:rPr>
                <w:rFonts w:ascii="Arial" w:hAnsi="Arial" w:cs="Arial"/>
                <w:b/>
                <w:bCs/>
                <w:color w:val="000000"/>
                <w:szCs w:val="22"/>
              </w:rPr>
              <w:t>Site</w:t>
            </w:r>
          </w:p>
        </w:tc>
        <w:tc>
          <w:tcPr>
            <w:tcW w:w="467" w:type="dxa"/>
            <w:shd w:val="clear" w:color="auto" w:fill="BBE0E3"/>
            <w:textDirection w:val="btLr"/>
            <w:vAlign w:val="center"/>
          </w:tcPr>
          <w:p w14:paraId="1259B716" w14:textId="77777777" w:rsidR="00EE1122" w:rsidRPr="00CB093C" w:rsidRDefault="00EE1122" w:rsidP="00994F86">
            <w:pPr>
              <w:spacing w:before="0" w:after="0"/>
              <w:ind w:right="113"/>
              <w:rPr>
                <w:rFonts w:ascii="Arial" w:hAnsi="Arial" w:cs="Arial"/>
                <w:b/>
                <w:bCs/>
                <w:color w:val="000000"/>
                <w:szCs w:val="22"/>
              </w:rPr>
            </w:pPr>
            <w:r w:rsidRPr="00CB093C">
              <w:rPr>
                <w:rFonts w:ascii="Arial" w:hAnsi="Arial" w:cs="Arial"/>
                <w:b/>
                <w:bCs/>
                <w:color w:val="000000"/>
                <w:szCs w:val="22"/>
              </w:rPr>
              <w:t>abundance</w:t>
            </w:r>
          </w:p>
        </w:tc>
        <w:tc>
          <w:tcPr>
            <w:tcW w:w="467" w:type="dxa"/>
            <w:shd w:val="clear" w:color="auto" w:fill="BBE0E3"/>
            <w:textDirection w:val="btLr"/>
            <w:vAlign w:val="center"/>
          </w:tcPr>
          <w:p w14:paraId="16D19093" w14:textId="77777777" w:rsidR="00EE1122" w:rsidRPr="00CB093C" w:rsidRDefault="00EE1122" w:rsidP="00994F86">
            <w:pPr>
              <w:spacing w:before="0" w:after="0"/>
              <w:ind w:right="113"/>
              <w:rPr>
                <w:rFonts w:ascii="Arial" w:hAnsi="Arial" w:cs="Arial"/>
                <w:b/>
                <w:bCs/>
                <w:color w:val="000000"/>
                <w:szCs w:val="22"/>
              </w:rPr>
            </w:pPr>
            <w:r w:rsidRPr="00CB093C">
              <w:rPr>
                <w:rFonts w:ascii="Arial" w:hAnsi="Arial" w:cs="Arial"/>
                <w:b/>
                <w:bCs/>
                <w:color w:val="000000"/>
                <w:szCs w:val="22"/>
              </w:rPr>
              <w:t xml:space="preserve">composition </w:t>
            </w:r>
          </w:p>
        </w:tc>
        <w:tc>
          <w:tcPr>
            <w:tcW w:w="467" w:type="dxa"/>
            <w:shd w:val="clear" w:color="auto" w:fill="BBE0E3"/>
            <w:textDirection w:val="btLr"/>
            <w:vAlign w:val="center"/>
          </w:tcPr>
          <w:p w14:paraId="00A4191E" w14:textId="77777777" w:rsidR="00EE1122" w:rsidRPr="00CB093C" w:rsidRDefault="00EE1122" w:rsidP="00994F86">
            <w:pPr>
              <w:spacing w:before="0" w:after="0"/>
              <w:ind w:right="113"/>
              <w:rPr>
                <w:rFonts w:ascii="Arial" w:hAnsi="Arial" w:cs="Arial"/>
                <w:b/>
                <w:bCs/>
                <w:color w:val="000000"/>
                <w:szCs w:val="22"/>
              </w:rPr>
            </w:pPr>
            <w:r w:rsidRPr="00CB093C">
              <w:rPr>
                <w:rFonts w:ascii="Arial" w:hAnsi="Arial" w:cs="Arial"/>
                <w:b/>
                <w:bCs/>
                <w:color w:val="000000"/>
                <w:szCs w:val="22"/>
              </w:rPr>
              <w:t>distribution</w:t>
            </w:r>
          </w:p>
        </w:tc>
        <w:tc>
          <w:tcPr>
            <w:tcW w:w="467" w:type="dxa"/>
            <w:shd w:val="clear" w:color="auto" w:fill="BBE0E3"/>
            <w:textDirection w:val="btLr"/>
            <w:vAlign w:val="center"/>
          </w:tcPr>
          <w:p w14:paraId="326452D7" w14:textId="77777777" w:rsidR="00EE1122" w:rsidRPr="00CB093C" w:rsidRDefault="00EE1122" w:rsidP="00994F86">
            <w:pPr>
              <w:spacing w:before="0" w:after="0"/>
              <w:ind w:right="113"/>
              <w:rPr>
                <w:rFonts w:ascii="Arial" w:hAnsi="Arial" w:cs="Arial"/>
                <w:b/>
                <w:bCs/>
                <w:color w:val="000000"/>
                <w:szCs w:val="22"/>
              </w:rPr>
            </w:pPr>
            <w:r w:rsidRPr="00CB093C">
              <w:rPr>
                <w:rFonts w:ascii="Arial" w:hAnsi="Arial" w:cs="Arial"/>
                <w:b/>
                <w:bCs/>
                <w:color w:val="000000"/>
                <w:szCs w:val="22"/>
              </w:rPr>
              <w:t>Reproductive effort</w:t>
            </w:r>
          </w:p>
        </w:tc>
        <w:tc>
          <w:tcPr>
            <w:tcW w:w="467" w:type="dxa"/>
            <w:shd w:val="clear" w:color="auto" w:fill="BBE0E3"/>
            <w:textDirection w:val="btLr"/>
            <w:vAlign w:val="center"/>
          </w:tcPr>
          <w:p w14:paraId="4DCACBC3" w14:textId="77777777" w:rsidR="00EE1122" w:rsidRPr="00CB093C" w:rsidRDefault="00EE1122" w:rsidP="00994F86">
            <w:pPr>
              <w:spacing w:before="0" w:after="0"/>
              <w:ind w:right="113"/>
              <w:rPr>
                <w:rFonts w:ascii="Arial" w:hAnsi="Arial" w:cs="Arial"/>
                <w:b/>
                <w:bCs/>
                <w:color w:val="000000"/>
                <w:szCs w:val="22"/>
              </w:rPr>
            </w:pPr>
            <w:r w:rsidRPr="00CB093C">
              <w:rPr>
                <w:rFonts w:ascii="Arial" w:hAnsi="Arial" w:cs="Arial"/>
                <w:b/>
                <w:bCs/>
                <w:color w:val="000000"/>
                <w:szCs w:val="22"/>
              </w:rPr>
              <w:t>seed banks</w:t>
            </w:r>
          </w:p>
        </w:tc>
        <w:tc>
          <w:tcPr>
            <w:tcW w:w="467" w:type="dxa"/>
            <w:shd w:val="clear" w:color="auto" w:fill="BBE0E3"/>
            <w:textDirection w:val="btLr"/>
            <w:vAlign w:val="center"/>
          </w:tcPr>
          <w:p w14:paraId="77F7CC05" w14:textId="77777777" w:rsidR="00EE1122" w:rsidRPr="00CB093C" w:rsidRDefault="00EE1122" w:rsidP="00994F86">
            <w:pPr>
              <w:spacing w:before="0" w:after="0"/>
              <w:ind w:right="113"/>
              <w:rPr>
                <w:rFonts w:ascii="Arial" w:hAnsi="Arial" w:cs="Arial"/>
                <w:b/>
                <w:bCs/>
                <w:color w:val="000000"/>
                <w:szCs w:val="22"/>
              </w:rPr>
            </w:pPr>
            <w:r w:rsidRPr="00CB093C">
              <w:rPr>
                <w:rFonts w:ascii="Arial" w:hAnsi="Arial" w:cs="Arial"/>
                <w:b/>
                <w:bCs/>
                <w:color w:val="000000"/>
                <w:szCs w:val="22"/>
              </w:rPr>
              <w:t>Leaf tissue nutrients</w:t>
            </w:r>
          </w:p>
        </w:tc>
        <w:tc>
          <w:tcPr>
            <w:tcW w:w="467" w:type="dxa"/>
            <w:shd w:val="clear" w:color="auto" w:fill="BBE0E3"/>
            <w:textDirection w:val="btLr"/>
            <w:vAlign w:val="center"/>
          </w:tcPr>
          <w:p w14:paraId="785ACB9B" w14:textId="77777777" w:rsidR="00EE1122" w:rsidRPr="00CB093C" w:rsidRDefault="00EE1122" w:rsidP="00994F86">
            <w:pPr>
              <w:spacing w:before="0" w:after="0"/>
              <w:ind w:right="113"/>
              <w:rPr>
                <w:rFonts w:ascii="Arial" w:hAnsi="Arial" w:cs="Arial"/>
                <w:b/>
                <w:bCs/>
                <w:color w:val="000000"/>
                <w:szCs w:val="22"/>
              </w:rPr>
            </w:pPr>
            <w:r w:rsidRPr="00CB093C">
              <w:rPr>
                <w:rFonts w:ascii="Arial" w:hAnsi="Arial" w:cs="Arial"/>
                <w:b/>
                <w:bCs/>
                <w:color w:val="000000"/>
                <w:szCs w:val="22"/>
              </w:rPr>
              <w:t>Meadow sediments</w:t>
            </w:r>
          </w:p>
        </w:tc>
        <w:tc>
          <w:tcPr>
            <w:tcW w:w="467" w:type="dxa"/>
            <w:shd w:val="clear" w:color="auto" w:fill="BBE0E3"/>
            <w:textDirection w:val="btLr"/>
            <w:vAlign w:val="center"/>
          </w:tcPr>
          <w:p w14:paraId="4E41F9CF" w14:textId="77777777" w:rsidR="00EE1122" w:rsidRPr="00CB093C" w:rsidRDefault="00EE1122" w:rsidP="00994F86">
            <w:pPr>
              <w:spacing w:before="0" w:after="0"/>
              <w:ind w:right="113"/>
              <w:rPr>
                <w:rFonts w:ascii="Arial" w:hAnsi="Arial" w:cs="Arial"/>
                <w:b/>
                <w:bCs/>
                <w:color w:val="000000"/>
                <w:szCs w:val="22"/>
              </w:rPr>
            </w:pPr>
            <w:r w:rsidRPr="00CB093C">
              <w:rPr>
                <w:rFonts w:ascii="Arial" w:hAnsi="Arial" w:cs="Arial"/>
                <w:b/>
                <w:bCs/>
                <w:color w:val="000000"/>
                <w:szCs w:val="22"/>
              </w:rPr>
              <w:t>Epiphytes</w:t>
            </w:r>
          </w:p>
        </w:tc>
        <w:tc>
          <w:tcPr>
            <w:tcW w:w="467" w:type="dxa"/>
            <w:shd w:val="clear" w:color="auto" w:fill="BBE0E3"/>
            <w:textDirection w:val="btLr"/>
          </w:tcPr>
          <w:p w14:paraId="541967D2" w14:textId="77777777" w:rsidR="00EE1122" w:rsidRPr="00CB093C" w:rsidRDefault="00EE1122" w:rsidP="00994F86">
            <w:pPr>
              <w:spacing w:before="0" w:after="0"/>
              <w:ind w:right="113"/>
              <w:rPr>
                <w:rFonts w:ascii="Arial" w:hAnsi="Arial" w:cs="Arial"/>
                <w:b/>
                <w:bCs/>
                <w:color w:val="000000"/>
                <w:szCs w:val="22"/>
              </w:rPr>
            </w:pPr>
            <w:r w:rsidRPr="00CB093C">
              <w:rPr>
                <w:rFonts w:ascii="Arial" w:hAnsi="Arial" w:cs="Arial"/>
                <w:b/>
                <w:bCs/>
                <w:color w:val="000000"/>
                <w:szCs w:val="22"/>
              </w:rPr>
              <w:t>Macroalgae</w:t>
            </w:r>
          </w:p>
        </w:tc>
      </w:tr>
      <w:tr w:rsidR="009867A3" w:rsidRPr="00CB093C" w14:paraId="09E8D5AA" w14:textId="77777777" w:rsidTr="00066A4B">
        <w:trPr>
          <w:trHeight w:val="170"/>
          <w:jc w:val="center"/>
        </w:trPr>
        <w:tc>
          <w:tcPr>
            <w:tcW w:w="1681" w:type="dxa"/>
            <w:vMerge w:val="restart"/>
            <w:shd w:val="clear" w:color="auto" w:fill="E7F3F4"/>
            <w:vAlign w:val="center"/>
          </w:tcPr>
          <w:p w14:paraId="2ED61DDD"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t>coastal intertidal</w:t>
            </w:r>
          </w:p>
        </w:tc>
        <w:tc>
          <w:tcPr>
            <w:tcW w:w="674" w:type="dxa"/>
            <w:shd w:val="clear" w:color="auto" w:fill="E7F3F4"/>
            <w:noWrap/>
            <w:vAlign w:val="center"/>
          </w:tcPr>
          <w:p w14:paraId="67446566"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t>BY1</w:t>
            </w:r>
          </w:p>
        </w:tc>
        <w:tc>
          <w:tcPr>
            <w:tcW w:w="3042" w:type="dxa"/>
            <w:shd w:val="clear" w:color="auto" w:fill="E7F3F4"/>
            <w:noWrap/>
            <w:vAlign w:val="center"/>
          </w:tcPr>
          <w:p w14:paraId="45F2EA26"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t>Bathurst Bay</w:t>
            </w:r>
          </w:p>
        </w:tc>
        <w:tc>
          <w:tcPr>
            <w:tcW w:w="467" w:type="dxa"/>
            <w:shd w:val="clear" w:color="auto" w:fill="E7F3F4"/>
            <w:vAlign w:val="center"/>
          </w:tcPr>
          <w:p w14:paraId="130D8375"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878D635"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EBE534C"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68E4C40"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C0FEB39"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9BFB77C"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AEED85A"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7EED965"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116FCB1"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867A3" w:rsidRPr="00CB093C" w14:paraId="374289EC" w14:textId="77777777" w:rsidTr="00066A4B">
        <w:trPr>
          <w:trHeight w:val="170"/>
          <w:jc w:val="center"/>
        </w:trPr>
        <w:tc>
          <w:tcPr>
            <w:tcW w:w="1681" w:type="dxa"/>
            <w:vMerge/>
            <w:shd w:val="clear" w:color="auto" w:fill="E7F3F4"/>
            <w:vAlign w:val="center"/>
          </w:tcPr>
          <w:p w14:paraId="4459998C" w14:textId="77777777" w:rsidR="009867A3" w:rsidRPr="00CB093C" w:rsidRDefault="009867A3" w:rsidP="00994F86">
            <w:pPr>
              <w:spacing w:before="0" w:after="0"/>
              <w:jc w:val="center"/>
              <w:rPr>
                <w:rFonts w:ascii="Arial" w:hAnsi="Arial" w:cs="Arial"/>
                <w:color w:val="000000"/>
                <w:szCs w:val="22"/>
              </w:rPr>
            </w:pPr>
          </w:p>
        </w:tc>
        <w:tc>
          <w:tcPr>
            <w:tcW w:w="674" w:type="dxa"/>
            <w:shd w:val="clear" w:color="auto" w:fill="E7F3F4"/>
            <w:noWrap/>
            <w:vAlign w:val="center"/>
          </w:tcPr>
          <w:p w14:paraId="3C6471F1"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t>BY2</w:t>
            </w:r>
          </w:p>
        </w:tc>
        <w:tc>
          <w:tcPr>
            <w:tcW w:w="3042" w:type="dxa"/>
            <w:shd w:val="clear" w:color="auto" w:fill="E7F3F4"/>
            <w:noWrap/>
            <w:vAlign w:val="center"/>
          </w:tcPr>
          <w:p w14:paraId="7473FB78"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t>Bathurst Bay</w:t>
            </w:r>
          </w:p>
        </w:tc>
        <w:tc>
          <w:tcPr>
            <w:tcW w:w="467" w:type="dxa"/>
            <w:shd w:val="clear" w:color="auto" w:fill="E7F3F4"/>
            <w:vAlign w:val="center"/>
          </w:tcPr>
          <w:p w14:paraId="20833164"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40A9A79"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5D5094C"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8D26D51"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BB8ABEC"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6A83B01"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EEC46AA"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95FD587"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C8F79DA" w14:textId="77777777" w:rsidR="009867A3" w:rsidRPr="00CB093C" w:rsidRDefault="009867A3"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BE03D0" w:rsidRPr="00CB093C" w14:paraId="013BFDA0" w14:textId="77777777" w:rsidTr="00066A4B">
        <w:trPr>
          <w:trHeight w:val="170"/>
          <w:jc w:val="center"/>
        </w:trPr>
        <w:tc>
          <w:tcPr>
            <w:tcW w:w="1681" w:type="dxa"/>
            <w:vMerge/>
            <w:shd w:val="clear" w:color="auto" w:fill="E7F3F4"/>
            <w:vAlign w:val="center"/>
          </w:tcPr>
          <w:p w14:paraId="0EB1E187" w14:textId="77777777" w:rsidR="00BE03D0" w:rsidRPr="00CB093C" w:rsidRDefault="00BE03D0" w:rsidP="00BE03D0">
            <w:pPr>
              <w:spacing w:before="0" w:after="0"/>
              <w:jc w:val="center"/>
              <w:rPr>
                <w:rFonts w:ascii="Arial" w:hAnsi="Arial" w:cs="Arial"/>
                <w:color w:val="000000"/>
                <w:szCs w:val="22"/>
              </w:rPr>
            </w:pPr>
          </w:p>
        </w:tc>
        <w:tc>
          <w:tcPr>
            <w:tcW w:w="674" w:type="dxa"/>
            <w:shd w:val="clear" w:color="auto" w:fill="E7F3F4"/>
            <w:noWrap/>
            <w:vAlign w:val="center"/>
          </w:tcPr>
          <w:p w14:paraId="5925B3C2" w14:textId="77777777"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t>SR1</w:t>
            </w:r>
          </w:p>
        </w:tc>
        <w:tc>
          <w:tcPr>
            <w:tcW w:w="3042" w:type="dxa"/>
            <w:shd w:val="clear" w:color="auto" w:fill="E7F3F4"/>
            <w:noWrap/>
            <w:vAlign w:val="center"/>
          </w:tcPr>
          <w:p w14:paraId="166E10C4" w14:textId="77777777"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t>Shelburne Bay</w:t>
            </w:r>
          </w:p>
        </w:tc>
        <w:tc>
          <w:tcPr>
            <w:tcW w:w="467" w:type="dxa"/>
            <w:shd w:val="clear" w:color="auto" w:fill="E7F3F4"/>
            <w:vAlign w:val="center"/>
          </w:tcPr>
          <w:p w14:paraId="1785E946" w14:textId="5A3D3AC3"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752F382" w14:textId="0DBD84D7"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45463DF" w14:textId="578B524C"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4882AD9" w14:textId="539C84CA"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6E06939" w14:textId="137CD7AB"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A3197DC" w14:textId="0D0A0840"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B9B98FA" w14:textId="6180F326"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B48A8A8" w14:textId="441DA817"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D7AF5FE" w14:textId="149B8833"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BE03D0" w:rsidRPr="00CB093C" w14:paraId="0D94FFE2" w14:textId="77777777" w:rsidTr="00066A4B">
        <w:trPr>
          <w:trHeight w:val="170"/>
          <w:jc w:val="center"/>
        </w:trPr>
        <w:tc>
          <w:tcPr>
            <w:tcW w:w="1681" w:type="dxa"/>
            <w:vMerge/>
            <w:shd w:val="clear" w:color="auto" w:fill="E7F3F4"/>
            <w:vAlign w:val="center"/>
          </w:tcPr>
          <w:p w14:paraId="757D8943" w14:textId="77777777" w:rsidR="00BE03D0" w:rsidRPr="00CB093C" w:rsidRDefault="00BE03D0" w:rsidP="00BE03D0">
            <w:pPr>
              <w:spacing w:before="0" w:after="0"/>
              <w:jc w:val="center"/>
              <w:rPr>
                <w:rFonts w:ascii="Arial" w:hAnsi="Arial" w:cs="Arial"/>
                <w:color w:val="000000"/>
                <w:szCs w:val="22"/>
              </w:rPr>
            </w:pPr>
          </w:p>
        </w:tc>
        <w:tc>
          <w:tcPr>
            <w:tcW w:w="674" w:type="dxa"/>
            <w:shd w:val="clear" w:color="auto" w:fill="E7F3F4"/>
            <w:noWrap/>
            <w:vAlign w:val="center"/>
          </w:tcPr>
          <w:p w14:paraId="6C07BAA3" w14:textId="77777777"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t>SR2</w:t>
            </w:r>
          </w:p>
        </w:tc>
        <w:tc>
          <w:tcPr>
            <w:tcW w:w="3042" w:type="dxa"/>
            <w:shd w:val="clear" w:color="auto" w:fill="E7F3F4"/>
            <w:noWrap/>
            <w:vAlign w:val="center"/>
          </w:tcPr>
          <w:p w14:paraId="7F8FE8C9" w14:textId="77777777"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t>Shelburne Bay</w:t>
            </w:r>
          </w:p>
        </w:tc>
        <w:tc>
          <w:tcPr>
            <w:tcW w:w="467" w:type="dxa"/>
            <w:shd w:val="clear" w:color="auto" w:fill="E7F3F4"/>
            <w:vAlign w:val="center"/>
          </w:tcPr>
          <w:p w14:paraId="4EE264AC" w14:textId="4AFC9859"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E3D0BD9" w14:textId="1BCC2B73"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6FC7D37" w14:textId="0F45AE32"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F5C8AB5" w14:textId="333A5841"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C4238E4" w14:textId="3C7395A1"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38D557A" w14:textId="6AAD3F76"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014EA35" w14:textId="2CEF5744"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D69D8A2" w14:textId="3F4E37C2"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0A88F79" w14:textId="2EBBDBF6"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BE03D0" w:rsidRPr="00CB093C" w14:paraId="16B0038A" w14:textId="77777777" w:rsidTr="00066A4B">
        <w:trPr>
          <w:trHeight w:val="170"/>
          <w:jc w:val="center"/>
        </w:trPr>
        <w:tc>
          <w:tcPr>
            <w:tcW w:w="1681" w:type="dxa"/>
            <w:vMerge w:val="restart"/>
            <w:shd w:val="clear" w:color="auto" w:fill="F3F9FA"/>
            <w:vAlign w:val="center"/>
          </w:tcPr>
          <w:p w14:paraId="4397E097" w14:textId="397E13D1"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t>coastal subtidal</w:t>
            </w:r>
          </w:p>
        </w:tc>
        <w:tc>
          <w:tcPr>
            <w:tcW w:w="674" w:type="dxa"/>
            <w:shd w:val="clear" w:color="auto" w:fill="F3F9FA"/>
            <w:noWrap/>
            <w:vAlign w:val="center"/>
          </w:tcPr>
          <w:p w14:paraId="348FE1E3" w14:textId="481A305D"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t>BY3</w:t>
            </w:r>
          </w:p>
        </w:tc>
        <w:tc>
          <w:tcPr>
            <w:tcW w:w="3042" w:type="dxa"/>
            <w:shd w:val="clear" w:color="auto" w:fill="F3F9FA"/>
            <w:noWrap/>
            <w:vAlign w:val="center"/>
          </w:tcPr>
          <w:p w14:paraId="0ED9A3ED" w14:textId="1E487DA6"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t>Bathurst Bay</w:t>
            </w:r>
          </w:p>
        </w:tc>
        <w:tc>
          <w:tcPr>
            <w:tcW w:w="467" w:type="dxa"/>
            <w:shd w:val="clear" w:color="auto" w:fill="F3F9FA"/>
            <w:vAlign w:val="center"/>
          </w:tcPr>
          <w:p w14:paraId="4E726222" w14:textId="7E01EFFC"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52BA48C" w14:textId="2B60A536"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6543B71"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28793AD0"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4DD21275"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0F1AE4A1"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15C1AAF7"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41C87B3B"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432C546F" w14:textId="35AEDC77"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BE03D0" w:rsidRPr="00CB093C" w14:paraId="746D5827" w14:textId="77777777" w:rsidTr="00066A4B">
        <w:trPr>
          <w:trHeight w:val="170"/>
          <w:jc w:val="center"/>
        </w:trPr>
        <w:tc>
          <w:tcPr>
            <w:tcW w:w="1681" w:type="dxa"/>
            <w:vMerge/>
            <w:shd w:val="clear" w:color="auto" w:fill="F3F9FA"/>
            <w:vAlign w:val="center"/>
          </w:tcPr>
          <w:p w14:paraId="7984771B" w14:textId="51B21FE2" w:rsidR="00BE03D0" w:rsidRPr="00CB093C" w:rsidRDefault="00BE03D0" w:rsidP="00BE03D0">
            <w:pPr>
              <w:spacing w:before="0" w:after="0"/>
              <w:jc w:val="center"/>
              <w:rPr>
                <w:rFonts w:ascii="Arial" w:hAnsi="Arial" w:cs="Arial"/>
                <w:color w:val="000000"/>
                <w:szCs w:val="22"/>
              </w:rPr>
            </w:pPr>
          </w:p>
        </w:tc>
        <w:tc>
          <w:tcPr>
            <w:tcW w:w="674" w:type="dxa"/>
            <w:shd w:val="clear" w:color="auto" w:fill="F3F9FA"/>
            <w:noWrap/>
            <w:vAlign w:val="center"/>
          </w:tcPr>
          <w:p w14:paraId="69DA4CEE" w14:textId="32898432"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t>BY4</w:t>
            </w:r>
          </w:p>
        </w:tc>
        <w:tc>
          <w:tcPr>
            <w:tcW w:w="3042" w:type="dxa"/>
            <w:shd w:val="clear" w:color="auto" w:fill="F3F9FA"/>
            <w:noWrap/>
            <w:vAlign w:val="center"/>
          </w:tcPr>
          <w:p w14:paraId="76C625B1" w14:textId="194C5C8A"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t>Bathurst Bay</w:t>
            </w:r>
          </w:p>
        </w:tc>
        <w:tc>
          <w:tcPr>
            <w:tcW w:w="467" w:type="dxa"/>
            <w:shd w:val="clear" w:color="auto" w:fill="F3F9FA"/>
            <w:vAlign w:val="center"/>
          </w:tcPr>
          <w:p w14:paraId="2AA0F256" w14:textId="7F229ECD"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B7D8A9B" w14:textId="6E332950"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A3B5372"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70FD0F0F"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373799B4"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6B104D8E"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6B7C1F25"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13C3B146" w14:textId="77777777" w:rsidR="00BE03D0" w:rsidRPr="00CB093C" w:rsidRDefault="00BE03D0" w:rsidP="00BE03D0">
            <w:pPr>
              <w:spacing w:before="0" w:after="0"/>
              <w:jc w:val="center"/>
              <w:rPr>
                <w:rFonts w:ascii="Arial" w:hAnsi="Arial" w:cs="Arial"/>
                <w:color w:val="000000"/>
                <w:szCs w:val="22"/>
              </w:rPr>
            </w:pPr>
          </w:p>
        </w:tc>
        <w:tc>
          <w:tcPr>
            <w:tcW w:w="467" w:type="dxa"/>
            <w:shd w:val="clear" w:color="auto" w:fill="F3F9FA"/>
            <w:vAlign w:val="center"/>
          </w:tcPr>
          <w:p w14:paraId="55749462" w14:textId="3BC4D23B" w:rsidR="00BE03D0" w:rsidRPr="00CB093C" w:rsidRDefault="00BE03D0" w:rsidP="00BE03D0">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BE03D0" w:rsidRPr="00CB093C" w14:paraId="57BD7317" w14:textId="77777777" w:rsidTr="00066A4B">
        <w:trPr>
          <w:trHeight w:val="170"/>
          <w:jc w:val="center"/>
        </w:trPr>
        <w:tc>
          <w:tcPr>
            <w:tcW w:w="1681" w:type="dxa"/>
            <w:vMerge/>
            <w:shd w:val="clear" w:color="auto" w:fill="F3F9FA"/>
            <w:vAlign w:val="center"/>
          </w:tcPr>
          <w:p w14:paraId="28293C5F" w14:textId="6437C27A" w:rsidR="00BE03D0" w:rsidRPr="00CB093C" w:rsidRDefault="00BE03D0" w:rsidP="00994F86">
            <w:pPr>
              <w:spacing w:before="0" w:after="0"/>
              <w:jc w:val="center"/>
              <w:rPr>
                <w:rFonts w:ascii="Arial" w:hAnsi="Arial" w:cs="Arial"/>
                <w:color w:val="000000"/>
                <w:szCs w:val="22"/>
              </w:rPr>
            </w:pPr>
          </w:p>
        </w:tc>
        <w:tc>
          <w:tcPr>
            <w:tcW w:w="674" w:type="dxa"/>
            <w:shd w:val="clear" w:color="auto" w:fill="F3F9FA"/>
            <w:noWrap/>
            <w:vAlign w:val="center"/>
          </w:tcPr>
          <w:p w14:paraId="50FDD5FD" w14:textId="5F3FC549"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t>LR1</w:t>
            </w:r>
            <w:r w:rsidRPr="00CB093C">
              <w:rPr>
                <w:rFonts w:ascii="Arial" w:hAnsi="Arial" w:cs="Arial"/>
                <w:color w:val="000000"/>
                <w:szCs w:val="22"/>
                <w:vertAlign w:val="superscript"/>
              </w:rPr>
              <w:sym w:font="Wingdings 2" w:char="F085"/>
            </w:r>
          </w:p>
        </w:tc>
        <w:tc>
          <w:tcPr>
            <w:tcW w:w="3042" w:type="dxa"/>
            <w:shd w:val="clear" w:color="auto" w:fill="F3F9FA"/>
            <w:noWrap/>
            <w:vAlign w:val="center"/>
          </w:tcPr>
          <w:p w14:paraId="35071DB5" w14:textId="77777777"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t>Lloyd Bay</w:t>
            </w:r>
          </w:p>
        </w:tc>
        <w:tc>
          <w:tcPr>
            <w:tcW w:w="467" w:type="dxa"/>
            <w:shd w:val="clear" w:color="auto" w:fill="F3F9FA"/>
            <w:vAlign w:val="center"/>
          </w:tcPr>
          <w:p w14:paraId="6D0B7793" w14:textId="77777777"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BF745E6" w14:textId="77777777"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841805E"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53E65AB5"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4732B34F"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7F15CA91"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020919F6"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32359A74"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4D7334CD" w14:textId="77777777"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BE03D0" w:rsidRPr="00CB093C" w14:paraId="4343E733" w14:textId="77777777" w:rsidTr="00066A4B">
        <w:trPr>
          <w:trHeight w:val="170"/>
          <w:jc w:val="center"/>
        </w:trPr>
        <w:tc>
          <w:tcPr>
            <w:tcW w:w="1681" w:type="dxa"/>
            <w:vMerge/>
            <w:shd w:val="clear" w:color="auto" w:fill="F3F9FA"/>
            <w:vAlign w:val="center"/>
          </w:tcPr>
          <w:p w14:paraId="19F5124C" w14:textId="77777777" w:rsidR="00BE03D0" w:rsidRPr="00CB093C" w:rsidRDefault="00BE03D0" w:rsidP="00994F86">
            <w:pPr>
              <w:spacing w:before="0" w:after="0"/>
              <w:jc w:val="center"/>
              <w:rPr>
                <w:rFonts w:ascii="Arial" w:hAnsi="Arial" w:cs="Arial"/>
                <w:color w:val="000000"/>
                <w:szCs w:val="22"/>
              </w:rPr>
            </w:pPr>
          </w:p>
        </w:tc>
        <w:tc>
          <w:tcPr>
            <w:tcW w:w="674" w:type="dxa"/>
            <w:shd w:val="clear" w:color="auto" w:fill="F3F9FA"/>
            <w:noWrap/>
            <w:vAlign w:val="center"/>
          </w:tcPr>
          <w:p w14:paraId="69CBB863" w14:textId="400B149B"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t>LR2</w:t>
            </w:r>
            <w:r w:rsidRPr="00CB093C">
              <w:rPr>
                <w:rFonts w:ascii="Arial" w:hAnsi="Arial" w:cs="Arial"/>
                <w:color w:val="000000"/>
                <w:szCs w:val="22"/>
                <w:vertAlign w:val="superscript"/>
              </w:rPr>
              <w:sym w:font="Wingdings 2" w:char="F085"/>
            </w:r>
          </w:p>
        </w:tc>
        <w:tc>
          <w:tcPr>
            <w:tcW w:w="3042" w:type="dxa"/>
            <w:shd w:val="clear" w:color="auto" w:fill="F3F9FA"/>
            <w:noWrap/>
            <w:vAlign w:val="center"/>
          </w:tcPr>
          <w:p w14:paraId="476D9272" w14:textId="77777777"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t>Lloyd Bay</w:t>
            </w:r>
          </w:p>
        </w:tc>
        <w:tc>
          <w:tcPr>
            <w:tcW w:w="467" w:type="dxa"/>
            <w:shd w:val="clear" w:color="auto" w:fill="F3F9FA"/>
            <w:vAlign w:val="center"/>
          </w:tcPr>
          <w:p w14:paraId="5197E925" w14:textId="77777777"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BD80017" w14:textId="77777777"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8884F6B"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605B8646"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323B136E"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1F65414C"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0A86CE63"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70A87445" w14:textId="77777777" w:rsidR="00BE03D0" w:rsidRPr="00CB093C" w:rsidRDefault="00BE03D0" w:rsidP="00994F86">
            <w:pPr>
              <w:spacing w:before="0" w:after="0"/>
              <w:jc w:val="center"/>
              <w:rPr>
                <w:rFonts w:ascii="Arial" w:hAnsi="Arial" w:cs="Arial"/>
                <w:color w:val="000000"/>
                <w:szCs w:val="22"/>
              </w:rPr>
            </w:pPr>
          </w:p>
        </w:tc>
        <w:tc>
          <w:tcPr>
            <w:tcW w:w="467" w:type="dxa"/>
            <w:shd w:val="clear" w:color="auto" w:fill="F3F9FA"/>
            <w:vAlign w:val="center"/>
          </w:tcPr>
          <w:p w14:paraId="09815FC6" w14:textId="77777777" w:rsidR="00BE03D0" w:rsidRPr="00CB093C" w:rsidRDefault="00BE03D0" w:rsidP="00994F86">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C91222" w:rsidRPr="00CB093C" w14:paraId="028765FE" w14:textId="77777777" w:rsidTr="00066A4B">
        <w:trPr>
          <w:trHeight w:val="170"/>
          <w:jc w:val="center"/>
        </w:trPr>
        <w:tc>
          <w:tcPr>
            <w:tcW w:w="1681" w:type="dxa"/>
            <w:vMerge w:val="restart"/>
            <w:shd w:val="clear" w:color="auto" w:fill="E7F3F4"/>
            <w:vAlign w:val="center"/>
          </w:tcPr>
          <w:p w14:paraId="1F09792E"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reef intertidal</w:t>
            </w:r>
          </w:p>
        </w:tc>
        <w:tc>
          <w:tcPr>
            <w:tcW w:w="674" w:type="dxa"/>
            <w:shd w:val="clear" w:color="auto" w:fill="E7F3F4"/>
            <w:noWrap/>
            <w:vAlign w:val="center"/>
          </w:tcPr>
          <w:p w14:paraId="497A918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AP1</w:t>
            </w:r>
          </w:p>
        </w:tc>
        <w:tc>
          <w:tcPr>
            <w:tcW w:w="3042" w:type="dxa"/>
            <w:shd w:val="clear" w:color="auto" w:fill="E7F3F4"/>
            <w:noWrap/>
            <w:vAlign w:val="center"/>
          </w:tcPr>
          <w:p w14:paraId="7E2DF49B" w14:textId="63919173" w:rsidR="00C91222"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t>Archer Point</w:t>
            </w:r>
          </w:p>
        </w:tc>
        <w:tc>
          <w:tcPr>
            <w:tcW w:w="467" w:type="dxa"/>
            <w:shd w:val="clear" w:color="auto" w:fill="E7F3F4"/>
            <w:vAlign w:val="center"/>
          </w:tcPr>
          <w:p w14:paraId="440DD53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1B9A95F"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AA38E29"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F917CE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B71AB1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2BD9742"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E6062DE"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2BDB8B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3641BB3"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C91222" w:rsidRPr="00CB093C" w14:paraId="4C7ABB3A" w14:textId="77777777" w:rsidTr="00066A4B">
        <w:trPr>
          <w:trHeight w:val="170"/>
          <w:jc w:val="center"/>
        </w:trPr>
        <w:tc>
          <w:tcPr>
            <w:tcW w:w="1681" w:type="dxa"/>
            <w:vMerge/>
            <w:shd w:val="clear" w:color="auto" w:fill="E7F3F4"/>
            <w:vAlign w:val="center"/>
          </w:tcPr>
          <w:p w14:paraId="1F606B16" w14:textId="77777777" w:rsidR="00C91222" w:rsidRPr="00CB093C" w:rsidRDefault="00C91222" w:rsidP="00907D11">
            <w:pPr>
              <w:spacing w:before="0" w:after="0"/>
              <w:jc w:val="center"/>
              <w:rPr>
                <w:rFonts w:ascii="Arial" w:hAnsi="Arial" w:cs="Arial"/>
                <w:color w:val="000000"/>
                <w:szCs w:val="22"/>
              </w:rPr>
            </w:pPr>
          </w:p>
        </w:tc>
        <w:tc>
          <w:tcPr>
            <w:tcW w:w="674" w:type="dxa"/>
            <w:shd w:val="clear" w:color="auto" w:fill="E7F3F4"/>
            <w:noWrap/>
            <w:vAlign w:val="center"/>
          </w:tcPr>
          <w:p w14:paraId="50F8EC1B"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AP2</w:t>
            </w:r>
          </w:p>
        </w:tc>
        <w:tc>
          <w:tcPr>
            <w:tcW w:w="3042" w:type="dxa"/>
            <w:shd w:val="clear" w:color="auto" w:fill="E7F3F4"/>
            <w:noWrap/>
            <w:vAlign w:val="center"/>
          </w:tcPr>
          <w:p w14:paraId="7886B2BA" w14:textId="4B8B40BA" w:rsidR="00C91222"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t>Archer Point</w:t>
            </w:r>
          </w:p>
        </w:tc>
        <w:tc>
          <w:tcPr>
            <w:tcW w:w="467" w:type="dxa"/>
            <w:shd w:val="clear" w:color="auto" w:fill="E7F3F4"/>
            <w:vAlign w:val="center"/>
          </w:tcPr>
          <w:p w14:paraId="6283917D"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C71556E"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2E741D0"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CD4B549"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73B7A80"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FD75732"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338D2B6"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5F856C6"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325CEC9"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C91222" w:rsidRPr="00CB093C" w14:paraId="12B5C8EE" w14:textId="77777777" w:rsidTr="00066A4B">
        <w:trPr>
          <w:trHeight w:val="170"/>
          <w:jc w:val="center"/>
        </w:trPr>
        <w:tc>
          <w:tcPr>
            <w:tcW w:w="1681" w:type="dxa"/>
            <w:vMerge/>
            <w:shd w:val="clear" w:color="auto" w:fill="E7F3F4"/>
            <w:vAlign w:val="center"/>
          </w:tcPr>
          <w:p w14:paraId="1B6D817B" w14:textId="77777777" w:rsidR="00C91222" w:rsidRPr="00CB093C" w:rsidRDefault="00C91222" w:rsidP="00907D11">
            <w:pPr>
              <w:spacing w:before="0" w:after="0"/>
              <w:jc w:val="center"/>
              <w:rPr>
                <w:rFonts w:ascii="Arial" w:hAnsi="Arial" w:cs="Arial"/>
                <w:color w:val="000000"/>
                <w:szCs w:val="22"/>
              </w:rPr>
            </w:pPr>
          </w:p>
        </w:tc>
        <w:tc>
          <w:tcPr>
            <w:tcW w:w="674" w:type="dxa"/>
            <w:shd w:val="clear" w:color="auto" w:fill="E7F3F4"/>
            <w:noWrap/>
            <w:vAlign w:val="center"/>
          </w:tcPr>
          <w:p w14:paraId="530D0441"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FR1</w:t>
            </w:r>
          </w:p>
        </w:tc>
        <w:tc>
          <w:tcPr>
            <w:tcW w:w="3042" w:type="dxa"/>
            <w:shd w:val="clear" w:color="auto" w:fill="E7F3F4"/>
            <w:noWrap/>
            <w:vAlign w:val="center"/>
          </w:tcPr>
          <w:p w14:paraId="356910C6"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Farmer Is. (Piper Reef)</w:t>
            </w:r>
          </w:p>
        </w:tc>
        <w:tc>
          <w:tcPr>
            <w:tcW w:w="467" w:type="dxa"/>
            <w:shd w:val="clear" w:color="auto" w:fill="E7F3F4"/>
            <w:vAlign w:val="center"/>
          </w:tcPr>
          <w:p w14:paraId="1AB549A2"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7D68D31"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CF35343"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DCE0F99"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5394DC1"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268B18A"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56FDF76"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FDC9405"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C278211"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C91222" w:rsidRPr="00CB093C" w14:paraId="59BEBA22" w14:textId="77777777" w:rsidTr="00066A4B">
        <w:trPr>
          <w:trHeight w:val="170"/>
          <w:jc w:val="center"/>
        </w:trPr>
        <w:tc>
          <w:tcPr>
            <w:tcW w:w="1681" w:type="dxa"/>
            <w:vMerge/>
            <w:shd w:val="clear" w:color="auto" w:fill="E7F3F4"/>
            <w:vAlign w:val="center"/>
          </w:tcPr>
          <w:p w14:paraId="62EA0496" w14:textId="77777777" w:rsidR="00C91222" w:rsidRPr="00CB093C" w:rsidRDefault="00C91222" w:rsidP="00907D11">
            <w:pPr>
              <w:spacing w:before="0" w:after="0"/>
              <w:jc w:val="center"/>
              <w:rPr>
                <w:rFonts w:ascii="Arial" w:hAnsi="Arial" w:cs="Arial"/>
                <w:color w:val="000000"/>
                <w:szCs w:val="22"/>
              </w:rPr>
            </w:pPr>
          </w:p>
        </w:tc>
        <w:tc>
          <w:tcPr>
            <w:tcW w:w="674" w:type="dxa"/>
            <w:shd w:val="clear" w:color="auto" w:fill="E7F3F4"/>
            <w:noWrap/>
            <w:vAlign w:val="center"/>
          </w:tcPr>
          <w:p w14:paraId="46BEDC30"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FR2</w:t>
            </w:r>
          </w:p>
        </w:tc>
        <w:tc>
          <w:tcPr>
            <w:tcW w:w="3042" w:type="dxa"/>
            <w:shd w:val="clear" w:color="auto" w:fill="E7F3F4"/>
            <w:noWrap/>
            <w:vAlign w:val="center"/>
          </w:tcPr>
          <w:p w14:paraId="2311F44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Farmer Is. (Piper Reef)</w:t>
            </w:r>
          </w:p>
        </w:tc>
        <w:tc>
          <w:tcPr>
            <w:tcW w:w="467" w:type="dxa"/>
            <w:shd w:val="clear" w:color="auto" w:fill="E7F3F4"/>
            <w:vAlign w:val="center"/>
          </w:tcPr>
          <w:p w14:paraId="02D535A4"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87792FE"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E4EFFE1"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7BB30E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35009C6"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093D46F"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249888F"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A088E72"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54D839C"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C91222" w:rsidRPr="00CB093C" w14:paraId="0F61D91C" w14:textId="77777777" w:rsidTr="00066A4B">
        <w:trPr>
          <w:trHeight w:val="170"/>
          <w:jc w:val="center"/>
        </w:trPr>
        <w:tc>
          <w:tcPr>
            <w:tcW w:w="1681" w:type="dxa"/>
            <w:vMerge/>
            <w:shd w:val="clear" w:color="auto" w:fill="E7F3F4"/>
            <w:vAlign w:val="center"/>
          </w:tcPr>
          <w:p w14:paraId="04F7889E" w14:textId="77777777" w:rsidR="00C91222" w:rsidRPr="00CB093C" w:rsidRDefault="00C91222" w:rsidP="00907D11">
            <w:pPr>
              <w:spacing w:before="0" w:after="0"/>
              <w:jc w:val="center"/>
              <w:rPr>
                <w:rFonts w:ascii="Arial" w:hAnsi="Arial" w:cs="Arial"/>
                <w:color w:val="000000"/>
                <w:szCs w:val="22"/>
              </w:rPr>
            </w:pPr>
          </w:p>
        </w:tc>
        <w:tc>
          <w:tcPr>
            <w:tcW w:w="674" w:type="dxa"/>
            <w:shd w:val="clear" w:color="auto" w:fill="E7F3F4"/>
            <w:noWrap/>
            <w:vAlign w:val="center"/>
          </w:tcPr>
          <w:p w14:paraId="2740B5D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ST1</w:t>
            </w:r>
          </w:p>
        </w:tc>
        <w:tc>
          <w:tcPr>
            <w:tcW w:w="3042" w:type="dxa"/>
            <w:shd w:val="clear" w:color="auto" w:fill="E7F3F4"/>
            <w:noWrap/>
            <w:vAlign w:val="center"/>
          </w:tcPr>
          <w:p w14:paraId="788CEBE4" w14:textId="323CF859"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Stanley Island</w:t>
            </w:r>
            <w:r w:rsidR="00E5349B" w:rsidRPr="00CB093C">
              <w:rPr>
                <w:rFonts w:ascii="Arial" w:hAnsi="Arial" w:cs="Arial"/>
                <w:color w:val="000000"/>
                <w:szCs w:val="22"/>
              </w:rPr>
              <w:t xml:space="preserve"> (Flinders Group)</w:t>
            </w:r>
          </w:p>
        </w:tc>
        <w:tc>
          <w:tcPr>
            <w:tcW w:w="467" w:type="dxa"/>
            <w:shd w:val="clear" w:color="auto" w:fill="E7F3F4"/>
            <w:vAlign w:val="center"/>
          </w:tcPr>
          <w:p w14:paraId="51429485"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248948D"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5779DB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8EA7409"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5726618"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0C384FA"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7D157FE"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52977C6"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2E4D23A"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C91222" w:rsidRPr="00CB093C" w14:paraId="158C70BE" w14:textId="77777777" w:rsidTr="00066A4B">
        <w:trPr>
          <w:trHeight w:val="170"/>
          <w:jc w:val="center"/>
        </w:trPr>
        <w:tc>
          <w:tcPr>
            <w:tcW w:w="1681" w:type="dxa"/>
            <w:vMerge/>
            <w:shd w:val="clear" w:color="auto" w:fill="E7F3F4"/>
            <w:vAlign w:val="center"/>
          </w:tcPr>
          <w:p w14:paraId="37D2B913" w14:textId="77777777" w:rsidR="00C91222" w:rsidRPr="00CB093C" w:rsidRDefault="00C91222" w:rsidP="00907D11">
            <w:pPr>
              <w:spacing w:before="0" w:after="0"/>
              <w:jc w:val="center"/>
              <w:rPr>
                <w:rFonts w:ascii="Arial" w:hAnsi="Arial" w:cs="Arial"/>
                <w:color w:val="000000"/>
                <w:szCs w:val="22"/>
              </w:rPr>
            </w:pPr>
          </w:p>
        </w:tc>
        <w:tc>
          <w:tcPr>
            <w:tcW w:w="674" w:type="dxa"/>
            <w:shd w:val="clear" w:color="auto" w:fill="E7F3F4"/>
            <w:noWrap/>
            <w:vAlign w:val="center"/>
          </w:tcPr>
          <w:p w14:paraId="2A12E6B2"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ST2</w:t>
            </w:r>
          </w:p>
        </w:tc>
        <w:tc>
          <w:tcPr>
            <w:tcW w:w="3042" w:type="dxa"/>
            <w:shd w:val="clear" w:color="auto" w:fill="E7F3F4"/>
            <w:noWrap/>
            <w:vAlign w:val="center"/>
          </w:tcPr>
          <w:p w14:paraId="3228F782" w14:textId="6D087D14"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Stanley Island</w:t>
            </w:r>
            <w:r w:rsidR="00E5349B" w:rsidRPr="00CB093C">
              <w:rPr>
                <w:rFonts w:ascii="Arial" w:hAnsi="Arial" w:cs="Arial"/>
                <w:color w:val="000000"/>
                <w:szCs w:val="22"/>
              </w:rPr>
              <w:t xml:space="preserve"> (Flinders Group)</w:t>
            </w:r>
          </w:p>
        </w:tc>
        <w:tc>
          <w:tcPr>
            <w:tcW w:w="467" w:type="dxa"/>
            <w:shd w:val="clear" w:color="auto" w:fill="E7F3F4"/>
            <w:vAlign w:val="center"/>
          </w:tcPr>
          <w:p w14:paraId="68ABFC95"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905CF79"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EF52BA6"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E985F36"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68987A4"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5255D24"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573219F"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CDD87AE"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9AB23E2"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C91222" w:rsidRPr="00CB093C" w14:paraId="0987D0BB" w14:textId="77777777" w:rsidTr="00066A4B">
        <w:trPr>
          <w:trHeight w:val="170"/>
          <w:jc w:val="center"/>
        </w:trPr>
        <w:tc>
          <w:tcPr>
            <w:tcW w:w="1681" w:type="dxa"/>
            <w:vMerge/>
            <w:shd w:val="clear" w:color="auto" w:fill="E7F3F4"/>
            <w:vAlign w:val="center"/>
          </w:tcPr>
          <w:p w14:paraId="47CDE21E" w14:textId="77777777" w:rsidR="00C91222" w:rsidRPr="00CB093C" w:rsidRDefault="00C91222" w:rsidP="00907D11">
            <w:pPr>
              <w:spacing w:before="0" w:after="0"/>
              <w:jc w:val="center"/>
              <w:rPr>
                <w:rFonts w:ascii="Arial" w:hAnsi="Arial" w:cs="Arial"/>
                <w:color w:val="000000"/>
                <w:szCs w:val="22"/>
              </w:rPr>
            </w:pPr>
          </w:p>
        </w:tc>
        <w:tc>
          <w:tcPr>
            <w:tcW w:w="674" w:type="dxa"/>
            <w:shd w:val="clear" w:color="auto" w:fill="E7F3F4"/>
            <w:noWrap/>
            <w:vAlign w:val="center"/>
          </w:tcPr>
          <w:p w14:paraId="40688279" w14:textId="042259F3"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YY1*</w:t>
            </w:r>
          </w:p>
        </w:tc>
        <w:tc>
          <w:tcPr>
            <w:tcW w:w="3042" w:type="dxa"/>
            <w:shd w:val="clear" w:color="auto" w:fill="E7F3F4"/>
            <w:noWrap/>
            <w:vAlign w:val="center"/>
          </w:tcPr>
          <w:p w14:paraId="0462332D"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t>Yum Yum Beach (Weymouth Bay)</w:t>
            </w:r>
          </w:p>
        </w:tc>
        <w:tc>
          <w:tcPr>
            <w:tcW w:w="467" w:type="dxa"/>
            <w:shd w:val="clear" w:color="auto" w:fill="E7F3F4"/>
            <w:vAlign w:val="center"/>
          </w:tcPr>
          <w:p w14:paraId="4652094F"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E7F3F4"/>
            <w:vAlign w:val="center"/>
          </w:tcPr>
          <w:p w14:paraId="543BEBDF"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E7F3F4"/>
            <w:vAlign w:val="center"/>
          </w:tcPr>
          <w:p w14:paraId="19D4B17E" w14:textId="77777777" w:rsidR="00C91222" w:rsidRPr="00CB093C" w:rsidRDefault="00C91222" w:rsidP="00907D11">
            <w:pPr>
              <w:spacing w:before="0" w:after="0"/>
              <w:jc w:val="center"/>
              <w:rPr>
                <w:rFonts w:ascii="Arial" w:hAnsi="Arial" w:cs="Arial"/>
                <w:color w:val="000000"/>
                <w:szCs w:val="22"/>
              </w:rPr>
            </w:pPr>
          </w:p>
        </w:tc>
        <w:tc>
          <w:tcPr>
            <w:tcW w:w="467" w:type="dxa"/>
            <w:shd w:val="clear" w:color="auto" w:fill="E7F3F4"/>
            <w:vAlign w:val="center"/>
          </w:tcPr>
          <w:p w14:paraId="0FA9DC55" w14:textId="77777777" w:rsidR="00C91222" w:rsidRPr="00CB093C" w:rsidRDefault="00C91222" w:rsidP="00907D11">
            <w:pPr>
              <w:spacing w:before="0" w:after="0"/>
              <w:jc w:val="center"/>
              <w:rPr>
                <w:rFonts w:ascii="Arial" w:hAnsi="Arial" w:cs="Arial"/>
                <w:color w:val="000000"/>
                <w:szCs w:val="22"/>
              </w:rPr>
            </w:pPr>
          </w:p>
        </w:tc>
        <w:tc>
          <w:tcPr>
            <w:tcW w:w="467" w:type="dxa"/>
            <w:shd w:val="clear" w:color="auto" w:fill="E7F3F4"/>
            <w:vAlign w:val="center"/>
          </w:tcPr>
          <w:p w14:paraId="02766D25"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E7F3F4"/>
            <w:vAlign w:val="center"/>
          </w:tcPr>
          <w:p w14:paraId="1445C3C4" w14:textId="77777777" w:rsidR="00C91222" w:rsidRPr="00CB093C" w:rsidRDefault="00C91222" w:rsidP="00907D11">
            <w:pPr>
              <w:spacing w:before="0" w:after="0"/>
              <w:jc w:val="center"/>
              <w:rPr>
                <w:rFonts w:ascii="Arial" w:hAnsi="Arial" w:cs="Arial"/>
                <w:color w:val="000000"/>
                <w:szCs w:val="22"/>
              </w:rPr>
            </w:pPr>
          </w:p>
        </w:tc>
        <w:tc>
          <w:tcPr>
            <w:tcW w:w="467" w:type="dxa"/>
            <w:shd w:val="clear" w:color="auto" w:fill="E7F3F4"/>
            <w:vAlign w:val="center"/>
          </w:tcPr>
          <w:p w14:paraId="5373E6D5"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E7F3F4"/>
            <w:vAlign w:val="center"/>
          </w:tcPr>
          <w:p w14:paraId="206B65CD"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E7F3F4"/>
            <w:vAlign w:val="center"/>
          </w:tcPr>
          <w:p w14:paraId="532D3CF1" w14:textId="77777777" w:rsidR="00C91222" w:rsidRPr="00CB093C" w:rsidRDefault="00C91222" w:rsidP="00907D11">
            <w:pPr>
              <w:spacing w:before="0" w:after="0"/>
              <w:jc w:val="center"/>
              <w:rPr>
                <w:rFonts w:ascii="Arial" w:hAnsi="Arial" w:cs="Arial"/>
                <w:color w:val="000000"/>
                <w:szCs w:val="22"/>
              </w:rPr>
            </w:pPr>
            <w:r w:rsidRPr="00CB093C">
              <w:rPr>
                <w:rFonts w:ascii="Arial" w:hAnsi="Arial" w:cs="Arial"/>
                <w:color w:val="000000"/>
                <w:szCs w:val="22"/>
              </w:rPr>
              <w:sym w:font="Wingdings" w:char="F0A8"/>
            </w:r>
          </w:p>
        </w:tc>
      </w:tr>
      <w:tr w:rsidR="00E5349B" w:rsidRPr="00CB093C" w14:paraId="2DA4C048" w14:textId="77777777" w:rsidTr="00066A4B">
        <w:trPr>
          <w:trHeight w:val="170"/>
          <w:jc w:val="center"/>
        </w:trPr>
        <w:tc>
          <w:tcPr>
            <w:tcW w:w="1681" w:type="dxa"/>
            <w:vMerge w:val="restart"/>
            <w:shd w:val="clear" w:color="auto" w:fill="F3F9FA"/>
            <w:vAlign w:val="center"/>
          </w:tcPr>
          <w:p w14:paraId="1F01AACB" w14:textId="5FCEE81F"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t>Reef subtidal</w:t>
            </w:r>
          </w:p>
        </w:tc>
        <w:tc>
          <w:tcPr>
            <w:tcW w:w="674" w:type="dxa"/>
            <w:shd w:val="clear" w:color="auto" w:fill="F3F9FA"/>
            <w:noWrap/>
            <w:vAlign w:val="center"/>
          </w:tcPr>
          <w:p w14:paraId="1E01E439" w14:textId="22B8B9F5"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t>FG1</w:t>
            </w:r>
            <w:r w:rsidRPr="00CB093C">
              <w:rPr>
                <w:rFonts w:ascii="Arial" w:hAnsi="Arial" w:cs="Arial"/>
                <w:color w:val="000000"/>
                <w:szCs w:val="22"/>
                <w:vertAlign w:val="superscript"/>
              </w:rPr>
              <w:sym w:font="Wingdings 2" w:char="F085"/>
            </w:r>
          </w:p>
        </w:tc>
        <w:tc>
          <w:tcPr>
            <w:tcW w:w="3042" w:type="dxa"/>
            <w:shd w:val="clear" w:color="auto" w:fill="F3F9FA"/>
            <w:noWrap/>
            <w:vAlign w:val="center"/>
          </w:tcPr>
          <w:p w14:paraId="499D1435" w14:textId="3E7A92FE"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t>Flinders Island (Flinders Group)</w:t>
            </w:r>
          </w:p>
        </w:tc>
        <w:tc>
          <w:tcPr>
            <w:tcW w:w="467" w:type="dxa"/>
            <w:shd w:val="clear" w:color="auto" w:fill="F3F9FA"/>
            <w:vAlign w:val="center"/>
          </w:tcPr>
          <w:p w14:paraId="2A1D0342" w14:textId="74B2CFCF"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612B1D3" w14:textId="0ADB34A9"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63CC3FF"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6437C708"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4ADB5CFD"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5C8B4301"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6596692F"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564E1886"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0D0FAE77" w14:textId="167FDFA2"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E5349B" w:rsidRPr="00CB093C" w14:paraId="7D9CA04B" w14:textId="77777777" w:rsidTr="00066A4B">
        <w:trPr>
          <w:trHeight w:val="170"/>
          <w:jc w:val="center"/>
        </w:trPr>
        <w:tc>
          <w:tcPr>
            <w:tcW w:w="1681" w:type="dxa"/>
            <w:vMerge/>
            <w:shd w:val="clear" w:color="auto" w:fill="F3F9FA"/>
            <w:vAlign w:val="center"/>
          </w:tcPr>
          <w:p w14:paraId="247154B6" w14:textId="77777777" w:rsidR="00E5349B" w:rsidRPr="00CB093C" w:rsidRDefault="00E5349B" w:rsidP="00907D11">
            <w:pPr>
              <w:spacing w:before="0" w:after="0"/>
              <w:jc w:val="center"/>
              <w:rPr>
                <w:rFonts w:ascii="Arial" w:hAnsi="Arial" w:cs="Arial"/>
                <w:color w:val="000000"/>
                <w:szCs w:val="22"/>
              </w:rPr>
            </w:pPr>
          </w:p>
        </w:tc>
        <w:tc>
          <w:tcPr>
            <w:tcW w:w="674" w:type="dxa"/>
            <w:shd w:val="clear" w:color="auto" w:fill="F3F9FA"/>
            <w:noWrap/>
            <w:vAlign w:val="center"/>
          </w:tcPr>
          <w:p w14:paraId="2ACB99B1" w14:textId="619B7126"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t>FG2</w:t>
            </w:r>
            <w:r w:rsidRPr="00CB093C">
              <w:rPr>
                <w:rFonts w:ascii="Arial" w:hAnsi="Arial" w:cs="Arial"/>
                <w:color w:val="000000"/>
                <w:szCs w:val="22"/>
                <w:vertAlign w:val="superscript"/>
              </w:rPr>
              <w:sym w:font="Wingdings 2" w:char="F085"/>
            </w:r>
          </w:p>
        </w:tc>
        <w:tc>
          <w:tcPr>
            <w:tcW w:w="3042" w:type="dxa"/>
            <w:shd w:val="clear" w:color="auto" w:fill="F3F9FA"/>
            <w:noWrap/>
            <w:vAlign w:val="center"/>
          </w:tcPr>
          <w:p w14:paraId="5FD3F164" w14:textId="49FB11AB"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t>Flinders Island (Flinders Group)</w:t>
            </w:r>
          </w:p>
        </w:tc>
        <w:tc>
          <w:tcPr>
            <w:tcW w:w="467" w:type="dxa"/>
            <w:shd w:val="clear" w:color="auto" w:fill="F3F9FA"/>
            <w:vAlign w:val="center"/>
          </w:tcPr>
          <w:p w14:paraId="60E07E37" w14:textId="42B31215"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F56EB9C" w14:textId="6AC98D5D"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4997B2A"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6F16DCA3"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5B1B4602"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4059B10A"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4BE99F34"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5C8D6E2C" w14:textId="77777777" w:rsidR="00E5349B" w:rsidRPr="00CB093C" w:rsidRDefault="00E5349B" w:rsidP="00907D11">
            <w:pPr>
              <w:spacing w:before="0" w:after="0"/>
              <w:jc w:val="center"/>
              <w:rPr>
                <w:rFonts w:ascii="Arial" w:hAnsi="Arial" w:cs="Arial"/>
                <w:color w:val="000000"/>
                <w:szCs w:val="22"/>
              </w:rPr>
            </w:pPr>
          </w:p>
        </w:tc>
        <w:tc>
          <w:tcPr>
            <w:tcW w:w="467" w:type="dxa"/>
            <w:shd w:val="clear" w:color="auto" w:fill="F3F9FA"/>
            <w:vAlign w:val="center"/>
          </w:tcPr>
          <w:p w14:paraId="38C8777C" w14:textId="51410B8A" w:rsidR="00E5349B" w:rsidRPr="00CB093C" w:rsidRDefault="00E5349B" w:rsidP="00907D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bookmarkEnd w:id="219"/>
      <w:bookmarkEnd w:id="220"/>
      <w:bookmarkEnd w:id="221"/>
    </w:tbl>
    <w:p w14:paraId="5F9D06B5" w14:textId="1DA54F98" w:rsidR="006B1E69" w:rsidRPr="00CB093C" w:rsidRDefault="006B1E69" w:rsidP="002965B8">
      <w:pPr>
        <w:rPr>
          <w:rFonts w:ascii="Arial" w:hAnsi="Arial" w:cs="Arial"/>
          <w:color w:val="000000" w:themeColor="text1"/>
          <w:szCs w:val="22"/>
          <w:lang w:eastAsia="x-none"/>
        </w:rPr>
      </w:pPr>
    </w:p>
    <w:p w14:paraId="37A85D36" w14:textId="049B55AD" w:rsidR="00BE5D0E" w:rsidRPr="00CB093C" w:rsidRDefault="00066A4B" w:rsidP="00BF420D">
      <w:pPr>
        <w:pStyle w:val="Heading3"/>
        <w:numPr>
          <w:ilvl w:val="3"/>
          <w:numId w:val="4"/>
        </w:numPr>
        <w:rPr>
          <w:rFonts w:ascii="Arial" w:hAnsi="Arial" w:cs="Arial"/>
          <w:b w:val="0"/>
          <w:i/>
          <w:color w:val="000000"/>
          <w:sz w:val="22"/>
          <w:szCs w:val="22"/>
        </w:rPr>
      </w:pPr>
      <w:bookmarkStart w:id="232" w:name="_Toc11394728"/>
      <w:r w:rsidRPr="00CB093C">
        <w:rPr>
          <w:rFonts w:ascii="Arial" w:hAnsi="Arial" w:cs="Arial"/>
          <w:b w:val="0"/>
          <w:i/>
          <w:color w:val="000000"/>
          <w:sz w:val="22"/>
          <w:szCs w:val="22"/>
        </w:rPr>
        <w:t>S</w:t>
      </w:r>
      <w:r w:rsidR="009A2C0F" w:rsidRPr="00CB093C">
        <w:rPr>
          <w:rFonts w:ascii="Arial" w:hAnsi="Arial" w:cs="Arial"/>
          <w:b w:val="0"/>
          <w:i/>
          <w:color w:val="000000"/>
          <w:sz w:val="22"/>
          <w:szCs w:val="22"/>
        </w:rPr>
        <w:t xml:space="preserve">eagrass index </w:t>
      </w:r>
      <w:r w:rsidRPr="00CB093C">
        <w:rPr>
          <w:rFonts w:ascii="Arial" w:hAnsi="Arial" w:cs="Arial"/>
          <w:b w:val="0"/>
          <w:i/>
          <w:color w:val="000000"/>
          <w:sz w:val="22"/>
          <w:szCs w:val="22"/>
        </w:rPr>
        <w:t xml:space="preserve">and indicator </w:t>
      </w:r>
      <w:r w:rsidR="00BE5D0E" w:rsidRPr="00CB093C">
        <w:rPr>
          <w:rFonts w:ascii="Arial" w:hAnsi="Arial" w:cs="Arial"/>
          <w:b w:val="0"/>
          <w:i/>
          <w:color w:val="000000"/>
          <w:sz w:val="22"/>
          <w:szCs w:val="22"/>
        </w:rPr>
        <w:t>scores</w:t>
      </w:r>
      <w:bookmarkEnd w:id="232"/>
    </w:p>
    <w:p w14:paraId="3ECBE3C3" w14:textId="5AD34C42" w:rsidR="00892CD7" w:rsidRPr="00CB093C" w:rsidRDefault="009A2C0F" w:rsidP="009A2C0F">
      <w:pPr>
        <w:rPr>
          <w:rFonts w:ascii="Arial" w:hAnsi="Arial" w:cs="Arial"/>
          <w:szCs w:val="22"/>
          <w:lang w:val="en-GB"/>
        </w:rPr>
      </w:pPr>
      <w:r w:rsidRPr="00CB093C">
        <w:rPr>
          <w:rFonts w:ascii="Arial" w:hAnsi="Arial" w:cs="Arial"/>
          <w:szCs w:val="22"/>
          <w:lang w:val="en-GB"/>
        </w:rPr>
        <w:t xml:space="preserve">In the 2017-18 monitoring period, the seagrass </w:t>
      </w:r>
      <w:r w:rsidR="00F14835" w:rsidRPr="00CB093C">
        <w:rPr>
          <w:rFonts w:ascii="Arial" w:hAnsi="Arial" w:cs="Arial"/>
          <w:szCs w:val="22"/>
          <w:lang w:val="en-GB"/>
        </w:rPr>
        <w:t>cond</w:t>
      </w:r>
      <w:r w:rsidR="00892CD7" w:rsidRPr="00CB093C">
        <w:rPr>
          <w:rFonts w:ascii="Arial" w:hAnsi="Arial" w:cs="Arial"/>
          <w:szCs w:val="22"/>
          <w:lang w:val="en-GB"/>
        </w:rPr>
        <w:t>i</w:t>
      </w:r>
      <w:r w:rsidR="00F14835" w:rsidRPr="00CB093C">
        <w:rPr>
          <w:rFonts w:ascii="Arial" w:hAnsi="Arial" w:cs="Arial"/>
          <w:szCs w:val="22"/>
          <w:lang w:val="en-GB"/>
        </w:rPr>
        <w:t xml:space="preserve">tion </w:t>
      </w:r>
      <w:r w:rsidRPr="00CB093C">
        <w:rPr>
          <w:rFonts w:ascii="Arial" w:hAnsi="Arial" w:cs="Arial"/>
          <w:szCs w:val="22"/>
          <w:lang w:val="en-GB"/>
        </w:rPr>
        <w:t>index score for Cape York region reduced slightly since the previous monitoring period</w:t>
      </w:r>
      <w:r w:rsidR="004D3657" w:rsidRPr="00CB093C">
        <w:rPr>
          <w:rFonts w:ascii="Arial" w:hAnsi="Arial" w:cs="Arial"/>
          <w:szCs w:val="22"/>
          <w:lang w:val="en-GB"/>
        </w:rPr>
        <w:t>,</w:t>
      </w:r>
      <w:r w:rsidRPr="00CB093C">
        <w:rPr>
          <w:rFonts w:ascii="Arial" w:hAnsi="Arial" w:cs="Arial"/>
          <w:szCs w:val="22"/>
          <w:lang w:val="en-GB"/>
        </w:rPr>
        <w:t xml:space="preserve"> but the overall grade remained </w:t>
      </w:r>
      <w:r w:rsidRPr="00CB093C">
        <w:rPr>
          <w:rFonts w:ascii="Arial" w:hAnsi="Arial" w:cs="Arial"/>
          <w:b/>
          <w:szCs w:val="22"/>
          <w:lang w:val="en-GB"/>
        </w:rPr>
        <w:t>poor</w:t>
      </w:r>
      <w:r w:rsidR="003B0C12" w:rsidRPr="00CB093C">
        <w:rPr>
          <w:rFonts w:ascii="Arial" w:hAnsi="Arial" w:cs="Arial"/>
          <w:szCs w:val="22"/>
          <w:lang w:val="en-GB"/>
        </w:rPr>
        <w:t xml:space="preserve"> </w:t>
      </w:r>
      <w:r w:rsidR="003B0C12" w:rsidRPr="00CB093C">
        <w:rPr>
          <w:rFonts w:ascii="Arial" w:hAnsi="Arial" w:cs="Arial"/>
          <w:szCs w:val="22"/>
        </w:rPr>
        <w:t>(</w:t>
      </w:r>
      <w:r w:rsidR="003B0C12" w:rsidRPr="00CB093C">
        <w:rPr>
          <w:rFonts w:ascii="Arial" w:hAnsi="Arial" w:cs="Arial"/>
          <w:szCs w:val="22"/>
        </w:rPr>
        <w:fldChar w:fldCharType="begin"/>
      </w:r>
      <w:r w:rsidR="003B0C12" w:rsidRPr="00CB093C">
        <w:rPr>
          <w:rFonts w:ascii="Arial" w:hAnsi="Arial" w:cs="Arial"/>
          <w:szCs w:val="22"/>
        </w:rPr>
        <w:instrText xml:space="preserve"> REF _Ref442423744 \h </w:instrText>
      </w:r>
      <w:r w:rsidR="00CB093C" w:rsidRPr="00CB093C">
        <w:rPr>
          <w:rFonts w:ascii="Arial" w:hAnsi="Arial" w:cs="Arial"/>
          <w:szCs w:val="22"/>
        </w:rPr>
        <w:instrText xml:space="preserve"> \* MERGEFORMAT </w:instrText>
      </w:r>
      <w:r w:rsidR="003B0C12" w:rsidRPr="00CB093C">
        <w:rPr>
          <w:rFonts w:ascii="Arial" w:hAnsi="Arial" w:cs="Arial"/>
          <w:szCs w:val="22"/>
        </w:rPr>
      </w:r>
      <w:r w:rsidR="003B0C12"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28</w:t>
      </w:r>
      <w:r w:rsidR="003B0C12" w:rsidRPr="00CB093C">
        <w:rPr>
          <w:rFonts w:ascii="Arial" w:hAnsi="Arial" w:cs="Arial"/>
          <w:szCs w:val="22"/>
        </w:rPr>
        <w:fldChar w:fldCharType="end"/>
      </w:r>
      <w:r w:rsidR="003B0C12" w:rsidRPr="00CB093C">
        <w:rPr>
          <w:rFonts w:ascii="Arial" w:hAnsi="Arial" w:cs="Arial"/>
          <w:szCs w:val="22"/>
        </w:rPr>
        <w:t>)</w:t>
      </w:r>
      <w:r w:rsidR="00F14835" w:rsidRPr="00CB093C">
        <w:rPr>
          <w:rFonts w:ascii="Arial" w:hAnsi="Arial" w:cs="Arial"/>
          <w:szCs w:val="22"/>
          <w:lang w:val="en-GB"/>
        </w:rPr>
        <w:t>. The reduction wa</w:t>
      </w:r>
      <w:r w:rsidRPr="00CB093C">
        <w:rPr>
          <w:rFonts w:ascii="Arial" w:hAnsi="Arial" w:cs="Arial"/>
          <w:szCs w:val="22"/>
          <w:lang w:val="en-GB"/>
        </w:rPr>
        <w:t xml:space="preserve">s due to lower scores across all three </w:t>
      </w:r>
      <w:r w:rsidR="00F14835" w:rsidRPr="00CB093C">
        <w:rPr>
          <w:rFonts w:ascii="Arial" w:hAnsi="Arial" w:cs="Arial"/>
          <w:szCs w:val="22"/>
          <w:lang w:val="en-GB"/>
        </w:rPr>
        <w:t xml:space="preserve">condition </w:t>
      </w:r>
      <w:r w:rsidRPr="00CB093C">
        <w:rPr>
          <w:rFonts w:ascii="Arial" w:hAnsi="Arial" w:cs="Arial"/>
          <w:szCs w:val="22"/>
          <w:lang w:val="en-GB"/>
        </w:rPr>
        <w:t>indicators</w:t>
      </w:r>
      <w:r w:rsidR="003B0C12" w:rsidRPr="00CB093C">
        <w:rPr>
          <w:rFonts w:ascii="Arial" w:hAnsi="Arial" w:cs="Arial"/>
          <w:szCs w:val="22"/>
          <w:lang w:val="en-GB"/>
        </w:rPr>
        <w:t xml:space="preserve">. </w:t>
      </w:r>
    </w:p>
    <w:p w14:paraId="4BDFB70A" w14:textId="77216F64" w:rsidR="00892CD7" w:rsidRPr="00CB093C" w:rsidRDefault="00F14835" w:rsidP="009A2C0F">
      <w:pPr>
        <w:rPr>
          <w:rFonts w:ascii="Arial" w:hAnsi="Arial" w:cs="Arial"/>
          <w:szCs w:val="22"/>
        </w:rPr>
      </w:pPr>
      <w:r w:rsidRPr="00CB093C">
        <w:rPr>
          <w:rFonts w:ascii="Arial" w:hAnsi="Arial" w:cs="Arial"/>
          <w:szCs w:val="22"/>
        </w:rPr>
        <w:t xml:space="preserve">The greatest score reduction occurred in nutrient status, which along with </w:t>
      </w:r>
      <w:r w:rsidRPr="00CB093C">
        <w:rPr>
          <w:rFonts w:ascii="Arial" w:hAnsi="Arial" w:cs="Arial"/>
          <w:szCs w:val="22"/>
          <w:lang w:val="en-GB"/>
        </w:rPr>
        <w:t>s</w:t>
      </w:r>
      <w:r w:rsidRPr="00CB093C">
        <w:rPr>
          <w:rFonts w:ascii="Arial" w:hAnsi="Arial" w:cs="Arial"/>
          <w:szCs w:val="22"/>
        </w:rPr>
        <w:t xml:space="preserve">eagrass abundance lowered </w:t>
      </w:r>
      <w:r w:rsidR="003B0C12" w:rsidRPr="00CB093C">
        <w:rPr>
          <w:rFonts w:ascii="Arial" w:hAnsi="Arial" w:cs="Arial"/>
          <w:szCs w:val="22"/>
          <w:lang w:val="en-GB"/>
        </w:rPr>
        <w:t xml:space="preserve">grade from the previous year </w:t>
      </w:r>
      <w:r w:rsidR="003B0C12" w:rsidRPr="00CB093C">
        <w:rPr>
          <w:rFonts w:ascii="Arial" w:hAnsi="Arial" w:cs="Arial"/>
          <w:szCs w:val="22"/>
        </w:rPr>
        <w:t>from moderate to poor (</w:t>
      </w:r>
      <w:r w:rsidR="003B0C12" w:rsidRPr="00CB093C">
        <w:rPr>
          <w:rFonts w:ascii="Arial" w:hAnsi="Arial" w:cs="Arial"/>
          <w:szCs w:val="22"/>
        </w:rPr>
        <w:fldChar w:fldCharType="begin"/>
      </w:r>
      <w:r w:rsidR="003B0C12" w:rsidRPr="00CB093C">
        <w:rPr>
          <w:rFonts w:ascii="Arial" w:hAnsi="Arial" w:cs="Arial"/>
          <w:szCs w:val="22"/>
        </w:rPr>
        <w:instrText xml:space="preserve"> REF _Ref442423744 \h </w:instrText>
      </w:r>
      <w:r w:rsidR="00CB093C" w:rsidRPr="00CB093C">
        <w:rPr>
          <w:rFonts w:ascii="Arial" w:hAnsi="Arial" w:cs="Arial"/>
          <w:szCs w:val="22"/>
        </w:rPr>
        <w:instrText xml:space="preserve"> \* MERGEFORMAT </w:instrText>
      </w:r>
      <w:r w:rsidR="003B0C12" w:rsidRPr="00CB093C">
        <w:rPr>
          <w:rFonts w:ascii="Arial" w:hAnsi="Arial" w:cs="Arial"/>
          <w:szCs w:val="22"/>
        </w:rPr>
      </w:r>
      <w:r w:rsidR="003B0C12"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28</w:t>
      </w:r>
      <w:r w:rsidR="003B0C12" w:rsidRPr="00CB093C">
        <w:rPr>
          <w:rFonts w:ascii="Arial" w:hAnsi="Arial" w:cs="Arial"/>
          <w:szCs w:val="22"/>
        </w:rPr>
        <w:fldChar w:fldCharType="end"/>
      </w:r>
      <w:r w:rsidR="003B0C12" w:rsidRPr="00CB093C">
        <w:rPr>
          <w:rFonts w:ascii="Arial" w:hAnsi="Arial" w:cs="Arial"/>
          <w:szCs w:val="22"/>
        </w:rPr>
        <w:t xml:space="preserve">). </w:t>
      </w:r>
      <w:r w:rsidR="00892CD7" w:rsidRPr="00CB093C">
        <w:rPr>
          <w:rFonts w:ascii="Arial" w:hAnsi="Arial" w:cs="Arial"/>
          <w:szCs w:val="22"/>
        </w:rPr>
        <w:t xml:space="preserve">Reproductive </w:t>
      </w:r>
      <w:r w:rsidRPr="00CB093C">
        <w:rPr>
          <w:rFonts w:ascii="Arial" w:hAnsi="Arial" w:cs="Arial"/>
          <w:szCs w:val="22"/>
        </w:rPr>
        <w:t>effort remained in the very poor grade</w:t>
      </w:r>
      <w:r w:rsidR="003B0C12" w:rsidRPr="00CB093C">
        <w:rPr>
          <w:rFonts w:ascii="Arial" w:hAnsi="Arial" w:cs="Arial"/>
          <w:szCs w:val="22"/>
        </w:rPr>
        <w:t xml:space="preserve">. </w:t>
      </w:r>
    </w:p>
    <w:p w14:paraId="7D25B8A7" w14:textId="14040AF3" w:rsidR="009A2C0F" w:rsidRPr="00CB093C" w:rsidRDefault="009A2C0F" w:rsidP="009A2C0F">
      <w:pPr>
        <w:rPr>
          <w:rFonts w:ascii="Arial" w:hAnsi="Arial" w:cs="Arial"/>
          <w:szCs w:val="22"/>
          <w:lang w:val="en-GB"/>
        </w:rPr>
      </w:pPr>
      <w:r w:rsidRPr="00CB093C">
        <w:rPr>
          <w:rFonts w:ascii="Arial" w:hAnsi="Arial" w:cs="Arial"/>
          <w:szCs w:val="22"/>
          <w:lang w:val="en-GB"/>
        </w:rPr>
        <w:t xml:space="preserve">Overall, the Cape York seagrass </w:t>
      </w:r>
      <w:r w:rsidR="00F14835" w:rsidRPr="00CB093C">
        <w:rPr>
          <w:rFonts w:ascii="Arial" w:hAnsi="Arial" w:cs="Arial"/>
          <w:szCs w:val="22"/>
          <w:lang w:val="en-GB"/>
        </w:rPr>
        <w:t xml:space="preserve">condtion </w:t>
      </w:r>
      <w:r w:rsidRPr="00CB093C">
        <w:rPr>
          <w:rFonts w:ascii="Arial" w:hAnsi="Arial" w:cs="Arial"/>
          <w:szCs w:val="22"/>
          <w:lang w:val="en-GB"/>
        </w:rPr>
        <w:t>index remains well below the 2005</w:t>
      </w:r>
      <w:r w:rsidR="009203FC" w:rsidRPr="00CB093C">
        <w:rPr>
          <w:rFonts w:ascii="Arial" w:hAnsi="Arial" w:cs="Arial"/>
          <w:szCs w:val="22"/>
          <w:lang w:val="en-GB"/>
        </w:rPr>
        <w:t>–</w:t>
      </w:r>
      <w:r w:rsidRPr="00CB093C">
        <w:rPr>
          <w:rFonts w:ascii="Arial" w:hAnsi="Arial" w:cs="Arial"/>
          <w:szCs w:val="22"/>
          <w:lang w:val="en-GB"/>
        </w:rPr>
        <w:t xml:space="preserve">06 baseline </w:t>
      </w:r>
      <w:r w:rsidR="003B0C12" w:rsidRPr="00CB093C">
        <w:rPr>
          <w:rFonts w:ascii="Arial" w:hAnsi="Arial" w:cs="Arial"/>
          <w:szCs w:val="22"/>
          <w:lang w:val="en-GB"/>
        </w:rPr>
        <w:t>and in 2017</w:t>
      </w:r>
      <w:r w:rsidR="009203FC" w:rsidRPr="00CB093C">
        <w:rPr>
          <w:rFonts w:ascii="Arial" w:hAnsi="Arial" w:cs="Arial"/>
          <w:szCs w:val="22"/>
          <w:lang w:val="en-GB"/>
        </w:rPr>
        <w:t>–</w:t>
      </w:r>
      <w:r w:rsidR="003B0C12" w:rsidRPr="00CB093C">
        <w:rPr>
          <w:rFonts w:ascii="Arial" w:hAnsi="Arial" w:cs="Arial"/>
          <w:szCs w:val="22"/>
          <w:lang w:val="en-GB"/>
        </w:rPr>
        <w:t>18 was</w:t>
      </w:r>
      <w:r w:rsidRPr="00CB093C">
        <w:rPr>
          <w:rFonts w:ascii="Arial" w:hAnsi="Arial" w:cs="Arial"/>
          <w:szCs w:val="22"/>
          <w:lang w:val="en-GB"/>
        </w:rPr>
        <w:t xml:space="preserve"> the </w:t>
      </w:r>
      <w:r w:rsidR="003B0C12" w:rsidRPr="00CB093C">
        <w:rPr>
          <w:rFonts w:ascii="Arial" w:hAnsi="Arial" w:cs="Arial"/>
          <w:szCs w:val="22"/>
          <w:lang w:val="en-GB"/>
        </w:rPr>
        <w:t>lowest</w:t>
      </w:r>
      <w:r w:rsidRPr="00CB093C">
        <w:rPr>
          <w:rFonts w:ascii="Arial" w:hAnsi="Arial" w:cs="Arial"/>
          <w:szCs w:val="22"/>
          <w:lang w:val="en-GB"/>
        </w:rPr>
        <w:t xml:space="preserve"> score since the addition of new sites in 2012</w:t>
      </w:r>
      <w:r w:rsidR="003B0C12" w:rsidRPr="00CB093C">
        <w:rPr>
          <w:rFonts w:ascii="Arial" w:hAnsi="Arial" w:cs="Arial"/>
          <w:szCs w:val="22"/>
          <w:lang w:val="en-GB"/>
        </w:rPr>
        <w:t>-</w:t>
      </w:r>
      <w:r w:rsidRPr="00CB093C">
        <w:rPr>
          <w:rFonts w:ascii="Arial" w:hAnsi="Arial" w:cs="Arial"/>
          <w:szCs w:val="22"/>
          <w:lang w:val="en-GB"/>
        </w:rPr>
        <w:t>13.</w:t>
      </w:r>
    </w:p>
    <w:p w14:paraId="034DA1AD" w14:textId="58BB535A" w:rsidR="004D3657" w:rsidRPr="00CB093C" w:rsidRDefault="004D3657" w:rsidP="0013209D">
      <w:pPr>
        <w:spacing w:before="0" w:after="0"/>
        <w:rPr>
          <w:rFonts w:ascii="Arial" w:hAnsi="Arial" w:cs="Arial"/>
          <w:szCs w:val="22"/>
        </w:rPr>
      </w:pPr>
      <w:r w:rsidRPr="00CB093C">
        <w:rPr>
          <w:rFonts w:ascii="Arial" w:hAnsi="Arial" w:cs="Arial"/>
          <w:szCs w:val="22"/>
        </w:rPr>
        <w:t xml:space="preserve">An examination of the long-term trends across the Cape York NRM region shows the indicators of seagrass </w:t>
      </w:r>
      <w:r w:rsidR="007A70FE" w:rsidRPr="00CB093C">
        <w:rPr>
          <w:rFonts w:ascii="Arial" w:hAnsi="Arial" w:cs="Arial"/>
          <w:szCs w:val="22"/>
        </w:rPr>
        <w:t>condition</w:t>
      </w:r>
      <w:r w:rsidRPr="00CB093C">
        <w:rPr>
          <w:rFonts w:ascii="Arial" w:hAnsi="Arial" w:cs="Arial"/>
          <w:szCs w:val="22"/>
        </w:rPr>
        <w:t xml:space="preserve"> </w:t>
      </w:r>
      <w:r w:rsidR="0013209D" w:rsidRPr="00CB093C">
        <w:rPr>
          <w:rFonts w:ascii="Arial" w:hAnsi="Arial" w:cs="Arial"/>
          <w:szCs w:val="22"/>
        </w:rPr>
        <w:t xml:space="preserve">have either progressively decreased since last decade (e.g. </w:t>
      </w:r>
      <w:r w:rsidR="00882B72" w:rsidRPr="00CB093C">
        <w:rPr>
          <w:rFonts w:ascii="Arial" w:hAnsi="Arial" w:cs="Arial"/>
          <w:szCs w:val="22"/>
        </w:rPr>
        <w:t>%</w:t>
      </w:r>
      <w:r w:rsidR="0013209D" w:rsidRPr="00CB093C">
        <w:rPr>
          <w:rFonts w:ascii="Arial" w:hAnsi="Arial" w:cs="Arial"/>
          <w:szCs w:val="22"/>
        </w:rPr>
        <w:t xml:space="preserve"> cover and tissue nutrients) or remained low for the duration of the overall monitoring (e.g. reproductive effort) (</w:t>
      </w:r>
      <w:r w:rsidR="0013209D" w:rsidRPr="00CB093C">
        <w:rPr>
          <w:rFonts w:ascii="Arial" w:hAnsi="Arial" w:cs="Arial"/>
          <w:szCs w:val="22"/>
        </w:rPr>
        <w:fldChar w:fldCharType="begin"/>
      </w:r>
      <w:r w:rsidR="0013209D" w:rsidRPr="00CB093C">
        <w:rPr>
          <w:rFonts w:ascii="Arial" w:hAnsi="Arial" w:cs="Arial"/>
          <w:szCs w:val="22"/>
        </w:rPr>
        <w:instrText xml:space="preserve"> REF _Ref442423744 \h </w:instrText>
      </w:r>
      <w:r w:rsidR="00CB093C" w:rsidRPr="00CB093C">
        <w:rPr>
          <w:rFonts w:ascii="Arial" w:hAnsi="Arial" w:cs="Arial"/>
          <w:szCs w:val="22"/>
        </w:rPr>
        <w:instrText xml:space="preserve"> \* MERGEFORMAT </w:instrText>
      </w:r>
      <w:r w:rsidR="0013209D" w:rsidRPr="00CB093C">
        <w:rPr>
          <w:rFonts w:ascii="Arial" w:hAnsi="Arial" w:cs="Arial"/>
          <w:szCs w:val="22"/>
        </w:rPr>
      </w:r>
      <w:r w:rsidR="0013209D"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28</w:t>
      </w:r>
      <w:r w:rsidR="0013209D" w:rsidRPr="00CB093C">
        <w:rPr>
          <w:rFonts w:ascii="Arial" w:hAnsi="Arial" w:cs="Arial"/>
          <w:szCs w:val="22"/>
        </w:rPr>
        <w:fldChar w:fldCharType="end"/>
      </w:r>
      <w:r w:rsidR="0013209D" w:rsidRPr="00CB093C">
        <w:rPr>
          <w:rFonts w:ascii="Arial" w:hAnsi="Arial" w:cs="Arial"/>
          <w:szCs w:val="22"/>
        </w:rPr>
        <w:t>)</w:t>
      </w:r>
      <w:r w:rsidR="0013209D" w:rsidRPr="00CB093C">
        <w:rPr>
          <w:rFonts w:ascii="Arial" w:hAnsi="Arial" w:cs="Arial"/>
          <w:szCs w:val="22"/>
          <w:lang w:val="en-GB"/>
        </w:rPr>
        <w:t>.</w:t>
      </w:r>
    </w:p>
    <w:p w14:paraId="72BFE042" w14:textId="77777777" w:rsidR="009A2C0F" w:rsidRPr="00CB093C" w:rsidRDefault="009A2C0F" w:rsidP="009A2C0F">
      <w:pPr>
        <w:rPr>
          <w:rFonts w:ascii="Arial" w:hAnsi="Arial" w:cs="Arial"/>
          <w:szCs w:val="22"/>
        </w:rPr>
      </w:pPr>
    </w:p>
    <w:p w14:paraId="4E798C1C" w14:textId="45A74A74" w:rsidR="0091436F" w:rsidRPr="00CB093C" w:rsidRDefault="00E16A8B" w:rsidP="00994F86">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lastRenderedPageBreak/>
        <w:drawing>
          <wp:inline distT="0" distB="0" distL="0" distR="0" wp14:anchorId="1CB7C8B3" wp14:editId="56CCF448">
            <wp:extent cx="5402398" cy="5091512"/>
            <wp:effectExtent l="0" t="0" r="8255" b="0"/>
            <wp:docPr id="3" name="Picture 3" descr="Composite figure of four graphs showing temporal trends in the Cape York seagrass condition index and each of the individual indicators used to calculate the index, represented by GAM plots and coloured lines representing location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Y_cvr_GAM_Dec16.png"/>
                    <pic:cNvPicPr/>
                  </pic:nvPicPr>
                  <pic:blipFill>
                    <a:blip r:embed="rId72">
                      <a:extLst>
                        <a:ext uri="{28A0092B-C50C-407E-A947-70E740481C1C}">
                          <a14:useLocalDpi xmlns:a14="http://schemas.microsoft.com/office/drawing/2010/main" val="0"/>
                        </a:ext>
                      </a:extLst>
                    </a:blip>
                    <a:stretch>
                      <a:fillRect/>
                    </a:stretch>
                  </pic:blipFill>
                  <pic:spPr>
                    <a:xfrm>
                      <a:off x="0" y="0"/>
                      <a:ext cx="5402398" cy="5091512"/>
                    </a:xfrm>
                    <a:prstGeom prst="rect">
                      <a:avLst/>
                    </a:prstGeom>
                  </pic:spPr>
                </pic:pic>
              </a:graphicData>
            </a:graphic>
          </wp:inline>
        </w:drawing>
      </w:r>
    </w:p>
    <w:p w14:paraId="43E264AC" w14:textId="4D2DDF57" w:rsidR="00076C1A" w:rsidRPr="00CB093C" w:rsidRDefault="0091436F" w:rsidP="00076C1A">
      <w:pPr>
        <w:rPr>
          <w:rFonts w:ascii="Arial" w:hAnsi="Arial" w:cs="Arial"/>
          <w:vanish/>
          <w:color w:val="000000"/>
          <w:szCs w:val="22"/>
          <w:specVanish/>
        </w:rPr>
      </w:pPr>
      <w:bookmarkStart w:id="233" w:name="_Ref442423744"/>
      <w:bookmarkStart w:id="234" w:name="_Toc6402793"/>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28</w:t>
      </w:r>
      <w:r w:rsidR="00C506C7" w:rsidRPr="00CB093C">
        <w:rPr>
          <w:rFonts w:ascii="Arial" w:hAnsi="Arial" w:cs="Arial"/>
          <w:noProof/>
          <w:szCs w:val="22"/>
        </w:rPr>
        <w:fldChar w:fldCharType="end"/>
      </w:r>
      <w:bookmarkEnd w:id="233"/>
      <w:r w:rsidRPr="00CB093C">
        <w:rPr>
          <w:rFonts w:ascii="Arial" w:hAnsi="Arial" w:cs="Arial"/>
          <w:szCs w:val="22"/>
        </w:rPr>
        <w:t xml:space="preserve">.  </w:t>
      </w:r>
      <w:r w:rsidR="00076C1A" w:rsidRPr="00CB093C">
        <w:rPr>
          <w:rFonts w:ascii="Arial" w:hAnsi="Arial" w:cs="Arial"/>
          <w:i/>
          <w:szCs w:val="22"/>
        </w:rPr>
        <w:t>Temporal trends in the Cape York seagrass condition index and the indicators used to calculate the index</w:t>
      </w:r>
      <w:bookmarkEnd w:id="234"/>
    </w:p>
    <w:p w14:paraId="5BC8C320" w14:textId="056F9FAF" w:rsidR="00753209" w:rsidRPr="00CB093C" w:rsidRDefault="00076C1A" w:rsidP="00076C1A">
      <w:pPr>
        <w:rPr>
          <w:rFonts w:ascii="Arial" w:hAnsi="Arial" w:cs="Arial"/>
          <w:i/>
          <w:szCs w:val="22"/>
          <w:lang w:val="en-GB"/>
        </w:rPr>
      </w:pPr>
      <w:r w:rsidRPr="00CB093C">
        <w:rPr>
          <w:rFonts w:ascii="Arial" w:hAnsi="Arial" w:cs="Arial"/>
          <w:i/>
          <w:szCs w:val="22"/>
        </w:rPr>
        <w:t>: a. seagrass condition index (circles) and indicator trends (lines); b. GAM plots of seagrass abundance (</w:t>
      </w:r>
      <w:r w:rsidR="00882B72" w:rsidRPr="00CB093C">
        <w:rPr>
          <w:rFonts w:ascii="Arial" w:hAnsi="Arial" w:cs="Arial"/>
          <w:i/>
          <w:szCs w:val="22"/>
        </w:rPr>
        <w:t>%</w:t>
      </w:r>
      <w:r w:rsidRPr="00CB093C">
        <w:rPr>
          <w:rFonts w:ascii="Arial" w:hAnsi="Arial" w:cs="Arial"/>
          <w:i/>
          <w:szCs w:val="22"/>
        </w:rPr>
        <w:t xml:space="preserve"> cover) trends for each location (coloured lines) and the region (black line with grey shaded area defining 95% confidence intervals); c. average number of reproductive structures (±SE) (GAM not possible due to high count of zero values); and d. elemental ratios (atomic) of leaf tissue C:N nutrient content at each site (coloured circles) and regional trend represented by a GAM plot as dark line with shaded areas defining 95% confidence intervals of the trend.</w:t>
      </w:r>
    </w:p>
    <w:p w14:paraId="56DBC4E2" w14:textId="64962058" w:rsidR="003737E9" w:rsidRPr="00CB093C" w:rsidRDefault="00753209" w:rsidP="00BF420D">
      <w:pPr>
        <w:pStyle w:val="Heading3"/>
        <w:numPr>
          <w:ilvl w:val="3"/>
          <w:numId w:val="4"/>
        </w:numPr>
        <w:rPr>
          <w:rFonts w:ascii="Arial" w:hAnsi="Arial" w:cs="Arial"/>
          <w:b w:val="0"/>
          <w:i/>
          <w:color w:val="000000"/>
          <w:sz w:val="22"/>
          <w:szCs w:val="22"/>
        </w:rPr>
      </w:pPr>
      <w:r w:rsidRPr="00CB093C">
        <w:rPr>
          <w:rFonts w:ascii="Arial" w:hAnsi="Arial" w:cs="Arial"/>
          <w:sz w:val="22"/>
          <w:szCs w:val="22"/>
          <w:lang w:val="en-GB"/>
        </w:rPr>
        <w:br w:type="column"/>
      </w:r>
      <w:bookmarkStart w:id="235" w:name="_Toc11394729"/>
      <w:r w:rsidR="003737E9" w:rsidRPr="00CB093C">
        <w:rPr>
          <w:rFonts w:ascii="Arial" w:hAnsi="Arial" w:cs="Arial"/>
          <w:b w:val="0"/>
          <w:i/>
          <w:color w:val="000000"/>
          <w:sz w:val="22"/>
          <w:szCs w:val="22"/>
        </w:rPr>
        <w:lastRenderedPageBreak/>
        <w:t xml:space="preserve">Seagrass abundance, </w:t>
      </w:r>
      <w:r w:rsidR="00824A7C" w:rsidRPr="00CB093C">
        <w:rPr>
          <w:rFonts w:ascii="Arial" w:hAnsi="Arial" w:cs="Arial"/>
          <w:b w:val="0"/>
          <w:i/>
          <w:color w:val="000000"/>
          <w:sz w:val="22"/>
          <w:szCs w:val="22"/>
        </w:rPr>
        <w:t>composition</w:t>
      </w:r>
      <w:r w:rsidR="003737E9" w:rsidRPr="00CB093C">
        <w:rPr>
          <w:rFonts w:ascii="Arial" w:hAnsi="Arial" w:cs="Arial"/>
          <w:b w:val="0"/>
          <w:i/>
          <w:color w:val="000000"/>
          <w:sz w:val="22"/>
          <w:szCs w:val="22"/>
        </w:rPr>
        <w:t xml:space="preserve"> and extent</w:t>
      </w:r>
      <w:bookmarkEnd w:id="235"/>
    </w:p>
    <w:p w14:paraId="7B61099E" w14:textId="4FD63A57" w:rsidR="00996D8E" w:rsidRPr="00CB093C" w:rsidRDefault="009A2C0F" w:rsidP="009A2C0F">
      <w:pPr>
        <w:spacing w:before="0" w:after="0"/>
        <w:rPr>
          <w:rFonts w:ascii="Arial" w:hAnsi="Arial" w:cs="Arial"/>
          <w:szCs w:val="22"/>
        </w:rPr>
      </w:pPr>
      <w:r w:rsidRPr="00CB093C">
        <w:rPr>
          <w:rFonts w:ascii="Arial" w:hAnsi="Arial" w:cs="Arial"/>
          <w:szCs w:val="22"/>
        </w:rPr>
        <w:t xml:space="preserve">The decline in seagrass abundance in </w:t>
      </w:r>
      <w:r w:rsidR="003654C6">
        <w:rPr>
          <w:rFonts w:ascii="Arial" w:hAnsi="Arial" w:cs="Arial"/>
          <w:szCs w:val="22"/>
        </w:rPr>
        <w:t>2017–18</w:t>
      </w:r>
      <w:r w:rsidR="00C81636" w:rsidRPr="00CB093C">
        <w:rPr>
          <w:rFonts w:ascii="Arial" w:hAnsi="Arial" w:cs="Arial"/>
          <w:szCs w:val="22"/>
        </w:rPr>
        <w:t xml:space="preserve"> </w:t>
      </w:r>
      <w:r w:rsidRPr="00CB093C">
        <w:rPr>
          <w:rFonts w:ascii="Arial" w:hAnsi="Arial" w:cs="Arial"/>
          <w:szCs w:val="22"/>
        </w:rPr>
        <w:t xml:space="preserve">appears a consequence of reductions in </w:t>
      </w:r>
      <w:r w:rsidR="00884A13" w:rsidRPr="00CB093C">
        <w:rPr>
          <w:rFonts w:ascii="Arial" w:hAnsi="Arial" w:cs="Arial"/>
          <w:szCs w:val="22"/>
        </w:rPr>
        <w:t>per cent</w:t>
      </w:r>
      <w:r w:rsidRPr="00CB093C">
        <w:rPr>
          <w:rFonts w:ascii="Arial" w:hAnsi="Arial" w:cs="Arial"/>
          <w:szCs w:val="22"/>
        </w:rPr>
        <w:t xml:space="preserve"> cover at 42% of sites across all habitats</w:t>
      </w:r>
      <w:r w:rsidR="004D3657" w:rsidRPr="00CB093C">
        <w:rPr>
          <w:rFonts w:ascii="Arial" w:hAnsi="Arial" w:cs="Arial"/>
          <w:szCs w:val="22"/>
        </w:rPr>
        <w:t>;</w:t>
      </w:r>
      <w:r w:rsidRPr="00CB093C">
        <w:rPr>
          <w:rFonts w:ascii="Arial" w:hAnsi="Arial" w:cs="Arial"/>
          <w:szCs w:val="22"/>
        </w:rPr>
        <w:t xml:space="preserve"> except the subtidal reef habitats in the Flinders Group </w:t>
      </w:r>
      <w:r w:rsidR="004D3657" w:rsidRPr="00CB093C">
        <w:rPr>
          <w:rFonts w:ascii="Arial" w:hAnsi="Arial" w:cs="Arial"/>
          <w:szCs w:val="22"/>
        </w:rPr>
        <w:t xml:space="preserve">which increased </w:t>
      </w:r>
      <w:r w:rsidRPr="00CB093C">
        <w:rPr>
          <w:rFonts w:ascii="Arial" w:hAnsi="Arial" w:cs="Arial"/>
          <w:szCs w:val="22"/>
        </w:rPr>
        <w:t>(</w:t>
      </w:r>
      <w:r w:rsidRPr="00CB093C">
        <w:rPr>
          <w:rFonts w:ascii="Arial" w:hAnsi="Arial" w:cs="Arial"/>
          <w:szCs w:val="22"/>
        </w:rPr>
        <w:fldChar w:fldCharType="begin"/>
      </w:r>
      <w:r w:rsidRPr="00CB093C">
        <w:rPr>
          <w:rFonts w:ascii="Arial" w:hAnsi="Arial" w:cs="Arial"/>
          <w:szCs w:val="22"/>
        </w:rPr>
        <w:instrText xml:space="preserve"> REF _Ref533575354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szCs w:val="22"/>
        </w:rPr>
        <w:t>29</w:t>
      </w:r>
      <w:r w:rsidRPr="00CB093C">
        <w:rPr>
          <w:rFonts w:ascii="Arial" w:hAnsi="Arial" w:cs="Arial"/>
          <w:szCs w:val="22"/>
        </w:rPr>
        <w:fldChar w:fldCharType="end"/>
      </w:r>
      <w:r w:rsidRPr="00CB093C">
        <w:rPr>
          <w:rFonts w:ascii="Arial" w:hAnsi="Arial" w:cs="Arial"/>
          <w:szCs w:val="22"/>
        </w:rPr>
        <w:t xml:space="preserve">). </w:t>
      </w:r>
    </w:p>
    <w:p w14:paraId="707708C4" w14:textId="77777777" w:rsidR="00884A13" w:rsidRPr="00CB093C" w:rsidRDefault="00884A13" w:rsidP="009A2C0F">
      <w:pPr>
        <w:spacing w:before="0" w:after="0"/>
        <w:rPr>
          <w:rFonts w:ascii="Arial" w:hAnsi="Arial" w:cs="Arial"/>
          <w:szCs w:val="22"/>
        </w:rPr>
      </w:pPr>
    </w:p>
    <w:p w14:paraId="4D3AAA2C" w14:textId="5D857229" w:rsidR="009A2C0F" w:rsidRPr="00CB093C" w:rsidRDefault="009A2C0F" w:rsidP="009A2C0F">
      <w:pPr>
        <w:spacing w:before="0" w:after="0"/>
        <w:rPr>
          <w:rFonts w:ascii="Arial" w:hAnsi="Arial" w:cs="Arial"/>
          <w:szCs w:val="22"/>
        </w:rPr>
      </w:pPr>
      <w:r w:rsidRPr="00CB093C">
        <w:rPr>
          <w:rFonts w:ascii="Arial" w:hAnsi="Arial" w:cs="Arial"/>
          <w:szCs w:val="22"/>
        </w:rPr>
        <w:t>An examination of the long-term trend</w:t>
      </w:r>
      <w:r w:rsidR="0013209D" w:rsidRPr="00CB093C">
        <w:rPr>
          <w:rFonts w:ascii="Arial" w:hAnsi="Arial" w:cs="Arial"/>
          <w:szCs w:val="22"/>
        </w:rPr>
        <w:t xml:space="preserve"> in seagrass abundance</w:t>
      </w:r>
      <w:r w:rsidRPr="00CB093C">
        <w:rPr>
          <w:rFonts w:ascii="Arial" w:hAnsi="Arial" w:cs="Arial"/>
          <w:szCs w:val="22"/>
        </w:rPr>
        <w:t xml:space="preserve"> shows seagrass </w:t>
      </w:r>
      <w:r w:rsidR="00884A13" w:rsidRPr="00CB093C">
        <w:rPr>
          <w:rFonts w:ascii="Arial" w:hAnsi="Arial" w:cs="Arial"/>
          <w:szCs w:val="22"/>
        </w:rPr>
        <w:t>per cent</w:t>
      </w:r>
      <w:r w:rsidRPr="00CB093C">
        <w:rPr>
          <w:rFonts w:ascii="Arial" w:hAnsi="Arial" w:cs="Arial"/>
          <w:szCs w:val="22"/>
        </w:rPr>
        <w:t xml:space="preserve"> cover progressively decreased </w:t>
      </w:r>
      <w:r w:rsidR="0013209D" w:rsidRPr="00CB093C">
        <w:rPr>
          <w:rFonts w:ascii="Arial" w:hAnsi="Arial" w:cs="Arial"/>
          <w:szCs w:val="22"/>
        </w:rPr>
        <w:t xml:space="preserve">at intertidal reef habitats across Cape York </w:t>
      </w:r>
      <w:r w:rsidRPr="00CB093C">
        <w:rPr>
          <w:rFonts w:ascii="Arial" w:hAnsi="Arial" w:cs="Arial"/>
          <w:szCs w:val="22"/>
        </w:rPr>
        <w:t xml:space="preserve">from 2003 to 2012, with relatively little improvement </w:t>
      </w:r>
      <w:r w:rsidR="00996D8E" w:rsidRPr="00CB093C">
        <w:rPr>
          <w:rFonts w:ascii="Arial" w:hAnsi="Arial" w:cs="Arial"/>
          <w:szCs w:val="22"/>
        </w:rPr>
        <w:t xml:space="preserve">since </w:t>
      </w:r>
      <w:r w:rsidR="0013209D" w:rsidRPr="00CB093C">
        <w:rPr>
          <w:rFonts w:ascii="Arial" w:hAnsi="Arial" w:cs="Arial"/>
          <w:szCs w:val="22"/>
        </w:rPr>
        <w:t xml:space="preserve">(i.e. no trend) </w:t>
      </w:r>
      <w:r w:rsidRPr="00CB093C">
        <w:rPr>
          <w:rFonts w:ascii="Arial" w:hAnsi="Arial" w:cs="Arial"/>
          <w:szCs w:val="22"/>
        </w:rPr>
        <w:t>(</w:t>
      </w:r>
      <w:r w:rsidRPr="00CB093C">
        <w:rPr>
          <w:rFonts w:ascii="Arial" w:hAnsi="Arial" w:cs="Arial"/>
          <w:szCs w:val="22"/>
        </w:rPr>
        <w:fldChar w:fldCharType="begin"/>
      </w:r>
      <w:r w:rsidRPr="00CB093C">
        <w:rPr>
          <w:rFonts w:ascii="Arial" w:hAnsi="Arial" w:cs="Arial"/>
          <w:szCs w:val="22"/>
        </w:rPr>
        <w:instrText xml:space="preserve"> REF _Ref533575354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szCs w:val="22"/>
        </w:rPr>
        <w:t>29</w:t>
      </w:r>
      <w:r w:rsidRPr="00CB093C">
        <w:rPr>
          <w:rFonts w:ascii="Arial" w:hAnsi="Arial" w:cs="Arial"/>
          <w:szCs w:val="22"/>
        </w:rPr>
        <w:fldChar w:fldCharType="end"/>
      </w:r>
      <w:r w:rsidRPr="00CB093C">
        <w:rPr>
          <w:rFonts w:ascii="Arial" w:hAnsi="Arial" w:cs="Arial"/>
          <w:szCs w:val="22"/>
        </w:rPr>
        <w:t xml:space="preserve">, </w:t>
      </w:r>
      <w:r w:rsidRPr="00CB093C">
        <w:rPr>
          <w:rFonts w:ascii="Arial" w:hAnsi="Arial" w:cs="Arial"/>
          <w:szCs w:val="22"/>
        </w:rPr>
        <w:fldChar w:fldCharType="begin"/>
      </w:r>
      <w:r w:rsidRPr="00CB093C">
        <w:rPr>
          <w:rFonts w:ascii="Arial" w:hAnsi="Arial" w:cs="Arial"/>
          <w:szCs w:val="22"/>
        </w:rPr>
        <w:instrText xml:space="preserve"> REF _Ref511310045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Table </w:t>
      </w:r>
      <w:r w:rsidR="005F00D4">
        <w:rPr>
          <w:rFonts w:ascii="Arial" w:hAnsi="Arial" w:cs="Arial"/>
          <w:szCs w:val="22"/>
        </w:rPr>
        <w:t>23</w:t>
      </w:r>
      <w:r w:rsidRPr="00CB093C">
        <w:rPr>
          <w:rFonts w:ascii="Arial" w:hAnsi="Arial" w:cs="Arial"/>
          <w:szCs w:val="22"/>
        </w:rPr>
        <w:fldChar w:fldCharType="end"/>
      </w:r>
      <w:r w:rsidRPr="00CB093C">
        <w:rPr>
          <w:rFonts w:ascii="Arial" w:hAnsi="Arial" w:cs="Arial"/>
          <w:szCs w:val="22"/>
        </w:rPr>
        <w:t>).</w:t>
      </w:r>
      <w:r w:rsidR="0013209D" w:rsidRPr="00CB093C">
        <w:rPr>
          <w:rFonts w:ascii="Arial" w:hAnsi="Arial" w:cs="Arial"/>
          <w:szCs w:val="22"/>
        </w:rPr>
        <w:t xml:space="preserve"> Coastal </w:t>
      </w:r>
      <w:r w:rsidR="007A70FE" w:rsidRPr="00CB093C">
        <w:rPr>
          <w:rFonts w:ascii="Arial" w:hAnsi="Arial" w:cs="Arial"/>
          <w:szCs w:val="22"/>
        </w:rPr>
        <w:t>intertidal</w:t>
      </w:r>
      <w:r w:rsidR="0013209D" w:rsidRPr="00CB093C">
        <w:rPr>
          <w:rFonts w:ascii="Arial" w:hAnsi="Arial" w:cs="Arial"/>
          <w:szCs w:val="22"/>
        </w:rPr>
        <w:t xml:space="preserve"> and subtidal habitats which have only been monitoring since 2012 and 2015 respectively, generally showed no trend (</w:t>
      </w:r>
      <w:r w:rsidR="0013209D" w:rsidRPr="00CB093C">
        <w:rPr>
          <w:rFonts w:ascii="Arial" w:hAnsi="Arial" w:cs="Arial"/>
          <w:szCs w:val="22"/>
        </w:rPr>
        <w:fldChar w:fldCharType="begin"/>
      </w:r>
      <w:r w:rsidR="0013209D" w:rsidRPr="00CB093C">
        <w:rPr>
          <w:rFonts w:ascii="Arial" w:hAnsi="Arial" w:cs="Arial"/>
          <w:szCs w:val="22"/>
        </w:rPr>
        <w:instrText xml:space="preserve"> REF _Ref533575354 \h  \* MERGEFORMAT </w:instrText>
      </w:r>
      <w:r w:rsidR="0013209D" w:rsidRPr="00CB093C">
        <w:rPr>
          <w:rFonts w:ascii="Arial" w:hAnsi="Arial" w:cs="Arial"/>
          <w:szCs w:val="22"/>
        </w:rPr>
      </w:r>
      <w:r w:rsidR="0013209D"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szCs w:val="22"/>
        </w:rPr>
        <w:t>29</w:t>
      </w:r>
      <w:r w:rsidR="0013209D" w:rsidRPr="00CB093C">
        <w:rPr>
          <w:rFonts w:ascii="Arial" w:hAnsi="Arial" w:cs="Arial"/>
          <w:szCs w:val="22"/>
        </w:rPr>
        <w:fldChar w:fldCharType="end"/>
      </w:r>
      <w:r w:rsidR="0013209D" w:rsidRPr="00CB093C">
        <w:rPr>
          <w:rFonts w:ascii="Arial" w:hAnsi="Arial" w:cs="Arial"/>
          <w:szCs w:val="22"/>
        </w:rPr>
        <w:t xml:space="preserve">, </w:t>
      </w:r>
      <w:r w:rsidR="0013209D" w:rsidRPr="00CB093C">
        <w:rPr>
          <w:rFonts w:ascii="Arial" w:hAnsi="Arial" w:cs="Arial"/>
          <w:szCs w:val="22"/>
        </w:rPr>
        <w:fldChar w:fldCharType="begin"/>
      </w:r>
      <w:r w:rsidR="0013209D" w:rsidRPr="00CB093C">
        <w:rPr>
          <w:rFonts w:ascii="Arial" w:hAnsi="Arial" w:cs="Arial"/>
          <w:szCs w:val="22"/>
        </w:rPr>
        <w:instrText xml:space="preserve"> REF _Ref511310045 \h  \* MERGEFORMAT </w:instrText>
      </w:r>
      <w:r w:rsidR="0013209D" w:rsidRPr="00CB093C">
        <w:rPr>
          <w:rFonts w:ascii="Arial" w:hAnsi="Arial" w:cs="Arial"/>
          <w:szCs w:val="22"/>
        </w:rPr>
      </w:r>
      <w:r w:rsidR="0013209D" w:rsidRPr="00CB093C">
        <w:rPr>
          <w:rFonts w:ascii="Arial" w:hAnsi="Arial" w:cs="Arial"/>
          <w:szCs w:val="22"/>
        </w:rPr>
        <w:fldChar w:fldCharType="separate"/>
      </w:r>
      <w:r w:rsidR="005F00D4" w:rsidRPr="00CB093C">
        <w:rPr>
          <w:rFonts w:ascii="Arial" w:hAnsi="Arial" w:cs="Arial"/>
          <w:szCs w:val="22"/>
        </w:rPr>
        <w:t xml:space="preserve">Table </w:t>
      </w:r>
      <w:r w:rsidR="005F00D4">
        <w:rPr>
          <w:rFonts w:ascii="Arial" w:hAnsi="Arial" w:cs="Arial"/>
          <w:szCs w:val="22"/>
        </w:rPr>
        <w:t>23</w:t>
      </w:r>
      <w:r w:rsidR="0013209D" w:rsidRPr="00CB093C">
        <w:rPr>
          <w:rFonts w:ascii="Arial" w:hAnsi="Arial" w:cs="Arial"/>
          <w:szCs w:val="22"/>
        </w:rPr>
        <w:fldChar w:fldCharType="end"/>
      </w:r>
      <w:r w:rsidR="0013209D" w:rsidRPr="00CB093C">
        <w:rPr>
          <w:rFonts w:ascii="Arial" w:hAnsi="Arial" w:cs="Arial"/>
          <w:szCs w:val="22"/>
        </w:rPr>
        <w:t>).</w:t>
      </w:r>
    </w:p>
    <w:p w14:paraId="7EDD8779" w14:textId="5C099E55" w:rsidR="0091436F" w:rsidRPr="00CB093C" w:rsidRDefault="0091436F" w:rsidP="00994F86">
      <w:pPr>
        <w:spacing w:before="0" w:after="0"/>
        <w:rPr>
          <w:rFonts w:ascii="Arial" w:hAnsi="Arial" w:cs="Arial"/>
          <w:szCs w:val="22"/>
        </w:rPr>
      </w:pPr>
    </w:p>
    <w:p w14:paraId="780C12AA" w14:textId="6E3CB112" w:rsidR="00753209" w:rsidRPr="00CB093C" w:rsidRDefault="00870D19" w:rsidP="00994F86">
      <w:pPr>
        <w:spacing w:before="0" w:after="0"/>
        <w:rPr>
          <w:rFonts w:ascii="Arial" w:hAnsi="Arial" w:cs="Arial"/>
          <w:szCs w:val="22"/>
        </w:rPr>
      </w:pPr>
      <w:r w:rsidRPr="00CB093C">
        <w:rPr>
          <w:rFonts w:ascii="Arial" w:hAnsi="Arial" w:cs="Arial"/>
          <w:noProof/>
          <w:szCs w:val="22"/>
          <w:lang w:val="en-US"/>
        </w:rPr>
        <w:drawing>
          <wp:inline distT="0" distB="0" distL="0" distR="0" wp14:anchorId="1AC93F32" wp14:editId="2C7FF058">
            <wp:extent cx="5727700" cy="3410505"/>
            <wp:effectExtent l="0" t="0" r="6350" b="0"/>
            <wp:docPr id="26" name="Picture 26" descr="Panel of six graphs, displayed in three by two matrix, showing seagrass percent cover measures per quadrat (sites pooled) for each habitat monitored from June 2005 to May 2018 in the Cape York NRM region. Top row displays the data as box plots and the bottom row as trends in seagrass abundance represented by a GAM plot and coloured lines representing individual site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er MMP_period boxplot_CY_perHab_newformat-01.png"/>
                    <pic:cNvPicPr/>
                  </pic:nvPicPr>
                  <pic:blipFill>
                    <a:blip r:embed="rId73">
                      <a:extLst>
                        <a:ext uri="{28A0092B-C50C-407E-A947-70E740481C1C}">
                          <a14:useLocalDpi xmlns:a14="http://schemas.microsoft.com/office/drawing/2010/main" val="0"/>
                        </a:ext>
                      </a:extLst>
                    </a:blip>
                    <a:stretch>
                      <a:fillRect/>
                    </a:stretch>
                  </pic:blipFill>
                  <pic:spPr>
                    <a:xfrm>
                      <a:off x="0" y="0"/>
                      <a:ext cx="5727700" cy="3410505"/>
                    </a:xfrm>
                    <a:prstGeom prst="rect">
                      <a:avLst/>
                    </a:prstGeom>
                  </pic:spPr>
                </pic:pic>
              </a:graphicData>
            </a:graphic>
          </wp:inline>
        </w:drawing>
      </w:r>
    </w:p>
    <w:p w14:paraId="563F3EDC" w14:textId="42022518" w:rsidR="00870D19" w:rsidRPr="00CB093C" w:rsidRDefault="00870D19" w:rsidP="00870D19">
      <w:pPr>
        <w:rPr>
          <w:rFonts w:ascii="Arial" w:hAnsi="Arial" w:cs="Arial"/>
          <w:i/>
          <w:vanish/>
          <w:szCs w:val="22"/>
          <w:specVanish/>
        </w:rPr>
      </w:pPr>
      <w:bookmarkStart w:id="236" w:name="_Ref533575354"/>
      <w:bookmarkStart w:id="237" w:name="_Toc6402794"/>
      <w:r w:rsidRPr="00CB093C">
        <w:rPr>
          <w:rFonts w:ascii="Arial" w:hAnsi="Arial" w:cs="Arial"/>
          <w:szCs w:val="22"/>
        </w:rPr>
        <w:t xml:space="preserve">Figure </w:t>
      </w:r>
      <w:r w:rsidR="00DC649E" w:rsidRPr="00CB093C">
        <w:rPr>
          <w:rFonts w:ascii="Arial" w:hAnsi="Arial" w:cs="Arial"/>
          <w:noProof/>
          <w:szCs w:val="22"/>
        </w:rPr>
        <w:fldChar w:fldCharType="begin"/>
      </w:r>
      <w:r w:rsidR="00DC649E" w:rsidRPr="00CB093C">
        <w:rPr>
          <w:rFonts w:ascii="Arial" w:hAnsi="Arial" w:cs="Arial"/>
          <w:noProof/>
          <w:szCs w:val="22"/>
        </w:rPr>
        <w:instrText xml:space="preserve"> SEQ Figure \* ARABIC </w:instrText>
      </w:r>
      <w:r w:rsidR="00DC649E" w:rsidRPr="00CB093C">
        <w:rPr>
          <w:rFonts w:ascii="Arial" w:hAnsi="Arial" w:cs="Arial"/>
          <w:noProof/>
          <w:szCs w:val="22"/>
        </w:rPr>
        <w:fldChar w:fldCharType="separate"/>
      </w:r>
      <w:r w:rsidR="005F00D4">
        <w:rPr>
          <w:rFonts w:ascii="Arial" w:hAnsi="Arial" w:cs="Arial"/>
          <w:noProof/>
          <w:szCs w:val="22"/>
        </w:rPr>
        <w:t>29</w:t>
      </w:r>
      <w:r w:rsidR="00DC649E" w:rsidRPr="00CB093C">
        <w:rPr>
          <w:rFonts w:ascii="Arial" w:hAnsi="Arial" w:cs="Arial"/>
          <w:noProof/>
          <w:szCs w:val="22"/>
        </w:rPr>
        <w:fldChar w:fldCharType="end"/>
      </w:r>
      <w:bookmarkEnd w:id="236"/>
      <w:r w:rsidRPr="00CB093C">
        <w:rPr>
          <w:rFonts w:ascii="Arial" w:hAnsi="Arial" w:cs="Arial"/>
          <w:szCs w:val="22"/>
        </w:rPr>
        <w:t xml:space="preserve">. </w:t>
      </w:r>
      <w:r w:rsidRPr="00CB093C">
        <w:rPr>
          <w:rFonts w:ascii="Arial" w:hAnsi="Arial" w:cs="Arial"/>
          <w:i/>
          <w:szCs w:val="22"/>
        </w:rPr>
        <w:t xml:space="preserve">Seagrass </w:t>
      </w:r>
      <w:r w:rsidR="00884A13" w:rsidRPr="00CB093C">
        <w:rPr>
          <w:rFonts w:ascii="Arial" w:hAnsi="Arial" w:cs="Arial"/>
          <w:i/>
          <w:szCs w:val="22"/>
        </w:rPr>
        <w:t>per cent</w:t>
      </w:r>
      <w:r w:rsidRPr="00CB093C">
        <w:rPr>
          <w:rFonts w:ascii="Arial" w:hAnsi="Arial" w:cs="Arial"/>
          <w:i/>
          <w:szCs w:val="22"/>
        </w:rPr>
        <w:t xml:space="preserve"> cover measures per quadrat</w:t>
      </w:r>
      <w:r w:rsidR="009F0873" w:rsidRPr="00CB093C">
        <w:rPr>
          <w:rFonts w:ascii="Arial" w:hAnsi="Arial" w:cs="Arial"/>
          <w:i/>
          <w:szCs w:val="22"/>
        </w:rPr>
        <w:t xml:space="preserve"> (sites pooled) and long-term trends for each habitat </w:t>
      </w:r>
      <w:r w:rsidRPr="00CB093C">
        <w:rPr>
          <w:rFonts w:ascii="Arial" w:hAnsi="Arial" w:cs="Arial"/>
          <w:i/>
          <w:szCs w:val="22"/>
        </w:rPr>
        <w:t xml:space="preserve">monitored </w:t>
      </w:r>
      <w:r w:rsidR="00764F32" w:rsidRPr="00CB093C">
        <w:rPr>
          <w:rFonts w:ascii="Arial" w:hAnsi="Arial" w:cs="Arial"/>
          <w:i/>
          <w:szCs w:val="22"/>
        </w:rPr>
        <w:t xml:space="preserve">in the Cape York region </w:t>
      </w:r>
      <w:r w:rsidRPr="00CB093C">
        <w:rPr>
          <w:rFonts w:ascii="Arial" w:hAnsi="Arial" w:cs="Arial"/>
          <w:i/>
          <w:szCs w:val="22"/>
        </w:rPr>
        <w:t>from June 2005 to May 2018.</w:t>
      </w:r>
      <w:bookmarkEnd w:id="237"/>
    </w:p>
    <w:p w14:paraId="2961E106" w14:textId="71298EDD" w:rsidR="00870D19" w:rsidRPr="00CB093C" w:rsidRDefault="00870D19" w:rsidP="00870D19">
      <w:pPr>
        <w:rPr>
          <w:rFonts w:ascii="Arial" w:hAnsi="Arial" w:cs="Arial"/>
          <w:szCs w:val="22"/>
          <w:lang w:val="en-GB"/>
        </w:rPr>
      </w:pPr>
      <w:r w:rsidRPr="00CB093C">
        <w:rPr>
          <w:rFonts w:ascii="Arial" w:hAnsi="Arial" w:cs="Arial"/>
          <w:i/>
          <w:szCs w:val="22"/>
          <w:lang w:val="en-GB"/>
        </w:rPr>
        <w:t xml:space="preserve"> </w:t>
      </w:r>
      <w:r w:rsidR="009F0873" w:rsidRPr="00CB093C">
        <w:rPr>
          <w:rFonts w:ascii="Arial" w:hAnsi="Arial" w:cs="Arial"/>
          <w:i/>
          <w:szCs w:val="22"/>
          <w:lang w:val="en-GB"/>
        </w:rPr>
        <w:t>Whisker plots (top) show th</w:t>
      </w:r>
      <w:r w:rsidRPr="00CB093C">
        <w:rPr>
          <w:rFonts w:ascii="Arial" w:hAnsi="Arial" w:cs="Arial"/>
          <w:i/>
          <w:szCs w:val="22"/>
        </w:rPr>
        <w:t>e box represent</w:t>
      </w:r>
      <w:r w:rsidR="009F0873" w:rsidRPr="00CB093C">
        <w:rPr>
          <w:rFonts w:ascii="Arial" w:hAnsi="Arial" w:cs="Arial"/>
          <w:i/>
          <w:szCs w:val="22"/>
        </w:rPr>
        <w:t>ing</w:t>
      </w:r>
      <w:r w:rsidRPr="00CB093C">
        <w:rPr>
          <w:rFonts w:ascii="Arial" w:hAnsi="Arial" w:cs="Arial"/>
          <w:i/>
          <w:szCs w:val="22"/>
        </w:rPr>
        <w:t xml:space="preserve"> the interquartile range of values, where the boundary of the box closest to zero indicates the 25</w:t>
      </w:r>
      <w:r w:rsidRPr="00CB093C">
        <w:rPr>
          <w:rFonts w:ascii="Arial" w:hAnsi="Arial" w:cs="Arial"/>
          <w:i/>
          <w:szCs w:val="22"/>
          <w:vertAlign w:val="superscript"/>
        </w:rPr>
        <w:t>th</w:t>
      </w:r>
      <w:r w:rsidRPr="00CB093C">
        <w:rPr>
          <w:rFonts w:ascii="Arial" w:hAnsi="Arial" w:cs="Arial"/>
          <w:i/>
          <w:szCs w:val="22"/>
        </w:rPr>
        <w:t xml:space="preserve"> percentile, a line within the box marks the median, and the boundary of the box farthest from zero indicates the 75</w:t>
      </w:r>
      <w:r w:rsidRPr="00CB093C">
        <w:rPr>
          <w:rFonts w:ascii="Arial" w:hAnsi="Arial" w:cs="Arial"/>
          <w:i/>
          <w:szCs w:val="22"/>
          <w:vertAlign w:val="superscript"/>
        </w:rPr>
        <w:t>th</w:t>
      </w:r>
      <w:r w:rsidRPr="00CB093C">
        <w:rPr>
          <w:rFonts w:ascii="Arial" w:hAnsi="Arial" w:cs="Arial"/>
          <w:i/>
          <w:szCs w:val="22"/>
        </w:rPr>
        <w:t xml:space="preserve"> percentile. Whiskers (error bars) above and below the box indicate the 90</w:t>
      </w:r>
      <w:r w:rsidRPr="00CB093C">
        <w:rPr>
          <w:rFonts w:ascii="Arial" w:hAnsi="Arial" w:cs="Arial"/>
          <w:i/>
          <w:szCs w:val="22"/>
          <w:vertAlign w:val="superscript"/>
        </w:rPr>
        <w:t>th</w:t>
      </w:r>
      <w:r w:rsidRPr="00CB093C">
        <w:rPr>
          <w:rFonts w:ascii="Arial" w:hAnsi="Arial" w:cs="Arial"/>
          <w:i/>
          <w:szCs w:val="22"/>
        </w:rPr>
        <w:t xml:space="preserve"> and 10</w:t>
      </w:r>
      <w:r w:rsidRPr="00CB093C">
        <w:rPr>
          <w:rFonts w:ascii="Arial" w:hAnsi="Arial" w:cs="Arial"/>
          <w:i/>
          <w:szCs w:val="22"/>
          <w:vertAlign w:val="superscript"/>
        </w:rPr>
        <w:t>th</w:t>
      </w:r>
      <w:r w:rsidRPr="00CB093C">
        <w:rPr>
          <w:rFonts w:ascii="Arial" w:hAnsi="Arial" w:cs="Arial"/>
          <w:i/>
          <w:szCs w:val="22"/>
        </w:rPr>
        <w:t xml:space="preserve"> percentiles, and the dots represent outlying points.</w:t>
      </w:r>
      <w:r w:rsidRPr="00CB093C">
        <w:rPr>
          <w:rFonts w:ascii="Arial" w:hAnsi="Arial" w:cs="Arial"/>
          <w:i/>
          <w:szCs w:val="22"/>
          <w:lang w:val="en-GB"/>
        </w:rPr>
        <w:t xml:space="preserve"> </w:t>
      </w:r>
      <w:r w:rsidRPr="00CB093C">
        <w:rPr>
          <w:rFonts w:ascii="Arial" w:hAnsi="Arial" w:cs="Arial"/>
          <w:i/>
          <w:szCs w:val="22"/>
        </w:rPr>
        <w:t>G</w:t>
      </w:r>
      <w:r w:rsidR="00764F32" w:rsidRPr="00CB093C">
        <w:rPr>
          <w:rFonts w:ascii="Arial" w:hAnsi="Arial" w:cs="Arial"/>
          <w:i/>
          <w:szCs w:val="22"/>
        </w:rPr>
        <w:t>AMM</w:t>
      </w:r>
      <w:r w:rsidRPr="00CB093C">
        <w:rPr>
          <w:rFonts w:ascii="Arial" w:hAnsi="Arial" w:cs="Arial"/>
          <w:i/>
          <w:szCs w:val="22"/>
        </w:rPr>
        <w:t xml:space="preserve"> plots (bottom), show trends for each </w:t>
      </w:r>
      <w:r w:rsidR="009F0873" w:rsidRPr="00CB093C">
        <w:rPr>
          <w:rFonts w:ascii="Arial" w:hAnsi="Arial" w:cs="Arial"/>
          <w:i/>
          <w:szCs w:val="22"/>
        </w:rPr>
        <w:t>habitat and coloured lines represent individual site trends</w:t>
      </w:r>
      <w:r w:rsidRPr="00CB093C">
        <w:rPr>
          <w:rFonts w:ascii="Arial" w:hAnsi="Arial" w:cs="Arial"/>
          <w:i/>
          <w:szCs w:val="22"/>
        </w:rPr>
        <w:t>.</w:t>
      </w:r>
    </w:p>
    <w:p w14:paraId="44144680" w14:textId="77777777" w:rsidR="00753209" w:rsidRPr="00CB093C" w:rsidRDefault="00753209" w:rsidP="00AB14DE">
      <w:pPr>
        <w:spacing w:after="0"/>
        <w:rPr>
          <w:rFonts w:ascii="Arial" w:hAnsi="Arial" w:cs="Arial"/>
          <w:szCs w:val="22"/>
        </w:rPr>
      </w:pPr>
    </w:p>
    <w:p w14:paraId="13A31C01" w14:textId="69AA232B" w:rsidR="00BC524E" w:rsidRPr="00CB093C" w:rsidRDefault="00FA1D07" w:rsidP="00AB14DE">
      <w:pPr>
        <w:spacing w:after="0"/>
        <w:rPr>
          <w:rFonts w:ascii="Arial" w:hAnsi="Arial" w:cs="Arial"/>
          <w:color w:val="000000" w:themeColor="text1"/>
          <w:szCs w:val="22"/>
        </w:rPr>
      </w:pPr>
      <w:r w:rsidRPr="00CB093C">
        <w:rPr>
          <w:rFonts w:ascii="Arial" w:hAnsi="Arial" w:cs="Arial"/>
          <w:color w:val="000000" w:themeColor="text1"/>
          <w:szCs w:val="22"/>
        </w:rPr>
        <w:lastRenderedPageBreak/>
        <w:t xml:space="preserve">In </w:t>
      </w:r>
      <w:r w:rsidR="003654C6">
        <w:rPr>
          <w:rFonts w:ascii="Arial" w:hAnsi="Arial" w:cs="Arial"/>
          <w:color w:val="000000" w:themeColor="text1"/>
          <w:szCs w:val="22"/>
        </w:rPr>
        <w:t>2017–18</w:t>
      </w:r>
      <w:r w:rsidRPr="00CB093C">
        <w:rPr>
          <w:rFonts w:ascii="Arial" w:hAnsi="Arial" w:cs="Arial"/>
          <w:color w:val="000000" w:themeColor="text1"/>
          <w:szCs w:val="22"/>
        </w:rPr>
        <w:t>, intertidal and subtidal coastal s</w:t>
      </w:r>
      <w:r w:rsidR="003611ED" w:rsidRPr="00CB093C">
        <w:rPr>
          <w:rFonts w:ascii="Arial" w:hAnsi="Arial" w:cs="Arial"/>
          <w:color w:val="000000" w:themeColor="text1"/>
          <w:szCs w:val="22"/>
        </w:rPr>
        <w:t xml:space="preserve">eagrass </w:t>
      </w:r>
      <w:r w:rsidRPr="00CB093C">
        <w:rPr>
          <w:rFonts w:ascii="Arial" w:hAnsi="Arial" w:cs="Arial"/>
          <w:color w:val="000000" w:themeColor="text1"/>
          <w:szCs w:val="22"/>
        </w:rPr>
        <w:t>habitats</w:t>
      </w:r>
      <w:r w:rsidR="003611ED" w:rsidRPr="00CB093C">
        <w:rPr>
          <w:rFonts w:ascii="Arial" w:hAnsi="Arial" w:cs="Arial"/>
          <w:color w:val="000000" w:themeColor="text1"/>
          <w:szCs w:val="22"/>
        </w:rPr>
        <w:t xml:space="preserve"> in the Cape York NRM region were composed of </w:t>
      </w:r>
      <w:r w:rsidRPr="00CB093C">
        <w:rPr>
          <w:rFonts w:ascii="Arial" w:hAnsi="Arial" w:cs="Arial"/>
          <w:color w:val="000000" w:themeColor="text1"/>
          <w:szCs w:val="22"/>
        </w:rPr>
        <w:t>above</w:t>
      </w:r>
      <w:r w:rsidR="003611ED" w:rsidRPr="00CB093C">
        <w:rPr>
          <w:rFonts w:ascii="Arial" w:hAnsi="Arial" w:cs="Arial"/>
          <w:color w:val="000000" w:themeColor="text1"/>
          <w:szCs w:val="22"/>
        </w:rPr>
        <w:t xml:space="preserve"> </w:t>
      </w:r>
      <w:r w:rsidR="00996D8E" w:rsidRPr="00CB093C">
        <w:rPr>
          <w:rFonts w:ascii="Arial" w:hAnsi="Arial" w:cs="Arial"/>
          <w:color w:val="000000" w:themeColor="text1"/>
          <w:szCs w:val="22"/>
        </w:rPr>
        <w:t>Reef</w:t>
      </w:r>
      <w:r w:rsidRPr="00CB093C">
        <w:rPr>
          <w:rFonts w:ascii="Arial" w:hAnsi="Arial" w:cs="Arial"/>
          <w:color w:val="000000" w:themeColor="text1"/>
          <w:szCs w:val="22"/>
        </w:rPr>
        <w:t>-</w:t>
      </w:r>
      <w:r w:rsidR="003611ED" w:rsidRPr="00CB093C">
        <w:rPr>
          <w:rFonts w:ascii="Arial" w:hAnsi="Arial" w:cs="Arial"/>
          <w:color w:val="000000" w:themeColor="text1"/>
          <w:szCs w:val="22"/>
        </w:rPr>
        <w:t xml:space="preserve">average proportion of </w:t>
      </w:r>
      <w:r w:rsidR="005E74A3" w:rsidRPr="00CB093C">
        <w:rPr>
          <w:rFonts w:ascii="Arial" w:hAnsi="Arial" w:cs="Arial"/>
          <w:color w:val="000000" w:themeColor="text1"/>
          <w:szCs w:val="22"/>
        </w:rPr>
        <w:t xml:space="preserve">species displaying </w:t>
      </w:r>
      <w:r w:rsidR="003611ED" w:rsidRPr="00CB093C">
        <w:rPr>
          <w:rFonts w:ascii="Arial" w:hAnsi="Arial" w:cs="Arial"/>
          <w:color w:val="000000" w:themeColor="text1"/>
          <w:szCs w:val="22"/>
        </w:rPr>
        <w:t xml:space="preserve">colonising </w:t>
      </w:r>
      <w:r w:rsidR="005E74A3" w:rsidRPr="00CB093C">
        <w:rPr>
          <w:rFonts w:ascii="Arial" w:hAnsi="Arial" w:cs="Arial"/>
          <w:color w:val="000000" w:themeColor="text1"/>
          <w:szCs w:val="22"/>
        </w:rPr>
        <w:t>traits</w:t>
      </w:r>
      <w:r w:rsidR="00E64C33" w:rsidRPr="00CB093C">
        <w:rPr>
          <w:rFonts w:ascii="Arial" w:hAnsi="Arial" w:cs="Arial"/>
          <w:color w:val="000000" w:themeColor="text1"/>
          <w:szCs w:val="22"/>
        </w:rPr>
        <w:t xml:space="preserve"> </w:t>
      </w:r>
      <w:r w:rsidR="003611ED" w:rsidRPr="00CB093C">
        <w:rPr>
          <w:rFonts w:ascii="Arial" w:hAnsi="Arial" w:cs="Arial"/>
          <w:color w:val="000000" w:themeColor="text1"/>
          <w:szCs w:val="22"/>
        </w:rPr>
        <w:t>(</w:t>
      </w:r>
      <w:r w:rsidR="00870D19" w:rsidRPr="00CB093C">
        <w:rPr>
          <w:rFonts w:ascii="Arial" w:hAnsi="Arial" w:cs="Arial"/>
          <w:color w:val="000000" w:themeColor="text1"/>
          <w:szCs w:val="22"/>
        </w:rPr>
        <w:fldChar w:fldCharType="begin"/>
      </w:r>
      <w:r w:rsidR="00870D19" w:rsidRPr="00CB093C">
        <w:rPr>
          <w:rFonts w:ascii="Arial" w:hAnsi="Arial" w:cs="Arial"/>
          <w:color w:val="000000" w:themeColor="text1"/>
          <w:szCs w:val="22"/>
        </w:rPr>
        <w:instrText xml:space="preserve"> REF _Ref442426453 \h  \* MERGEFORMAT </w:instrText>
      </w:r>
      <w:r w:rsidR="00870D19" w:rsidRPr="00CB093C">
        <w:rPr>
          <w:rFonts w:ascii="Arial" w:hAnsi="Arial" w:cs="Arial"/>
          <w:color w:val="000000" w:themeColor="text1"/>
          <w:szCs w:val="22"/>
        </w:rPr>
      </w:r>
      <w:r w:rsidR="00870D19"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30</w:t>
      </w:r>
      <w:r w:rsidR="00870D19" w:rsidRPr="00CB093C">
        <w:rPr>
          <w:rFonts w:ascii="Arial" w:hAnsi="Arial" w:cs="Arial"/>
          <w:color w:val="000000" w:themeColor="text1"/>
          <w:szCs w:val="22"/>
        </w:rPr>
        <w:fldChar w:fldCharType="end"/>
      </w:r>
      <w:r w:rsidR="00870D19" w:rsidRPr="00CB093C">
        <w:rPr>
          <w:rFonts w:ascii="Arial" w:hAnsi="Arial" w:cs="Arial"/>
          <w:color w:val="000000" w:themeColor="text1"/>
          <w:szCs w:val="22"/>
        </w:rPr>
        <w:t>)</w:t>
      </w:r>
      <w:r w:rsidR="003611ED" w:rsidRPr="00CB093C">
        <w:rPr>
          <w:rFonts w:ascii="Arial" w:hAnsi="Arial" w:cs="Arial"/>
          <w:color w:val="000000" w:themeColor="text1"/>
          <w:szCs w:val="22"/>
        </w:rPr>
        <w:t xml:space="preserve">. </w:t>
      </w:r>
      <w:r w:rsidRPr="00CB093C">
        <w:rPr>
          <w:rFonts w:ascii="Arial" w:hAnsi="Arial" w:cs="Arial"/>
          <w:color w:val="000000" w:themeColor="text1"/>
          <w:szCs w:val="22"/>
        </w:rPr>
        <w:t>Subtidal habitats increased their composition of foundational species from the previous monitoring period; conversely intertidal habitats increased in composition of species displaying colonising traits (</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_Ref442426453 \h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30</w:t>
      </w:r>
      <w:r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w:t>
      </w:r>
      <w:r w:rsidR="003611ED" w:rsidRPr="00CB093C">
        <w:rPr>
          <w:rFonts w:ascii="Arial" w:hAnsi="Arial" w:cs="Arial"/>
          <w:color w:val="000000" w:themeColor="text1"/>
          <w:szCs w:val="22"/>
        </w:rPr>
        <w:t xml:space="preserve">Fluctuations over the long-term suggests </w:t>
      </w:r>
      <w:r w:rsidR="0079725B" w:rsidRPr="00CB093C">
        <w:rPr>
          <w:rFonts w:ascii="Arial" w:hAnsi="Arial" w:cs="Arial"/>
          <w:color w:val="000000" w:themeColor="text1"/>
          <w:szCs w:val="22"/>
        </w:rPr>
        <w:t>meadows are dynamic in nature</w:t>
      </w:r>
      <w:r w:rsidRPr="00CB093C">
        <w:rPr>
          <w:rFonts w:ascii="Arial" w:hAnsi="Arial" w:cs="Arial"/>
          <w:color w:val="000000" w:themeColor="text1"/>
          <w:szCs w:val="22"/>
        </w:rPr>
        <w:t>, with possibly more physical disturbance at intertidal habitats in 2017</w:t>
      </w:r>
      <w:r w:rsidR="00996D8E" w:rsidRPr="00CB093C">
        <w:rPr>
          <w:rFonts w:ascii="Arial" w:hAnsi="Arial" w:cs="Arial"/>
          <w:color w:val="000000" w:themeColor="text1"/>
          <w:szCs w:val="22"/>
        </w:rPr>
        <w:t>–</w:t>
      </w:r>
      <w:r w:rsidRPr="00CB093C">
        <w:rPr>
          <w:rFonts w:ascii="Arial" w:hAnsi="Arial" w:cs="Arial"/>
          <w:color w:val="000000" w:themeColor="text1"/>
          <w:szCs w:val="22"/>
        </w:rPr>
        <w:t>18</w:t>
      </w:r>
      <w:r w:rsidR="003611ED" w:rsidRPr="00CB093C">
        <w:rPr>
          <w:rFonts w:ascii="Arial" w:hAnsi="Arial" w:cs="Arial"/>
          <w:color w:val="000000" w:themeColor="text1"/>
          <w:szCs w:val="22"/>
        </w:rPr>
        <w:t>.</w:t>
      </w:r>
      <w:r w:rsidRPr="00CB093C">
        <w:rPr>
          <w:rFonts w:ascii="Arial" w:hAnsi="Arial" w:cs="Arial"/>
          <w:color w:val="000000" w:themeColor="text1"/>
          <w:szCs w:val="22"/>
        </w:rPr>
        <w:t xml:space="preserve"> </w:t>
      </w:r>
    </w:p>
    <w:p w14:paraId="73760D54" w14:textId="77777777" w:rsidR="003611ED" w:rsidRPr="00CB093C" w:rsidRDefault="00DC7715" w:rsidP="00994F86">
      <w:pPr>
        <w:keepNext/>
        <w:widowControl w:val="0"/>
        <w:spacing w:after="0"/>
        <w:jc w:val="center"/>
        <w:rPr>
          <w:rFonts w:ascii="Arial" w:hAnsi="Arial" w:cs="Arial"/>
          <w:color w:val="000000"/>
          <w:szCs w:val="22"/>
          <w:lang w:val="en-GB"/>
        </w:rPr>
      </w:pPr>
      <w:r w:rsidRPr="00CB093C">
        <w:rPr>
          <w:rFonts w:ascii="Arial" w:hAnsi="Arial" w:cs="Arial"/>
          <w:noProof/>
          <w:color w:val="000000"/>
          <w:szCs w:val="22"/>
          <w:lang w:val="en-US"/>
        </w:rPr>
        <w:drawing>
          <wp:inline distT="0" distB="0" distL="0" distR="0" wp14:anchorId="747EA951" wp14:editId="2E4F4617">
            <wp:extent cx="5802198" cy="1500954"/>
            <wp:effectExtent l="0" t="0" r="0" b="4445"/>
            <wp:docPr id="311" name="Picture 311" descr="Panel of five graphs showing proportion of total seagrass abundance composed of species displaying colonising traits (e.g. Halophila ovalis) in each inshore seagrass habitat (sites pooled) in the Cape York region each monitoring perio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CY_colonising_2016.png"/>
                    <pic:cNvPicPr/>
                  </pic:nvPicPr>
                  <pic:blipFill>
                    <a:blip r:embed="rId74"/>
                    <a:stretch>
                      <a:fillRect/>
                    </a:stretch>
                  </pic:blipFill>
                  <pic:spPr>
                    <a:xfrm>
                      <a:off x="0" y="0"/>
                      <a:ext cx="5802198" cy="1500954"/>
                    </a:xfrm>
                    <a:prstGeom prst="rect">
                      <a:avLst/>
                    </a:prstGeom>
                  </pic:spPr>
                </pic:pic>
              </a:graphicData>
            </a:graphic>
          </wp:inline>
        </w:drawing>
      </w:r>
    </w:p>
    <w:p w14:paraId="34A7FEDC" w14:textId="4F96AA27" w:rsidR="0015251F" w:rsidRPr="00CB093C" w:rsidRDefault="003611ED" w:rsidP="0015251F">
      <w:pPr>
        <w:rPr>
          <w:rFonts w:ascii="Arial" w:hAnsi="Arial" w:cs="Arial"/>
          <w:i/>
          <w:vanish/>
          <w:szCs w:val="22"/>
          <w:specVanish/>
        </w:rPr>
      </w:pPr>
      <w:bookmarkStart w:id="238" w:name="_Ref442426453"/>
      <w:bookmarkStart w:id="239" w:name="_Toc6402795"/>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30</w:t>
      </w:r>
      <w:r w:rsidR="0073595B" w:rsidRPr="00CB093C">
        <w:rPr>
          <w:rFonts w:ascii="Arial" w:hAnsi="Arial" w:cs="Arial"/>
          <w:szCs w:val="22"/>
        </w:rPr>
        <w:fldChar w:fldCharType="end"/>
      </w:r>
      <w:bookmarkEnd w:id="238"/>
      <w:r w:rsidRPr="00CB093C">
        <w:rPr>
          <w:rFonts w:ascii="Arial" w:hAnsi="Arial" w:cs="Arial"/>
          <w:szCs w:val="22"/>
        </w:rPr>
        <w:t xml:space="preserve">. </w:t>
      </w:r>
      <w:r w:rsidRPr="00CB093C">
        <w:rPr>
          <w:rFonts w:ascii="Arial" w:hAnsi="Arial" w:cs="Arial"/>
          <w:i/>
          <w:szCs w:val="22"/>
        </w:rPr>
        <w:t xml:space="preserve">Proportion of seagrass abundance composed of </w:t>
      </w:r>
      <w:r w:rsidRPr="00CB093C">
        <w:rPr>
          <w:rFonts w:ascii="Arial" w:hAnsi="Arial" w:cs="Arial"/>
          <w:i/>
          <w:szCs w:val="22"/>
          <w:lang w:val="en-GB"/>
        </w:rPr>
        <w:t xml:space="preserve">species </w:t>
      </w:r>
      <w:r w:rsidR="005E74A3" w:rsidRPr="00CB093C">
        <w:rPr>
          <w:rFonts w:ascii="Arial" w:hAnsi="Arial" w:cs="Arial"/>
          <w:i/>
          <w:szCs w:val="22"/>
          <w:lang w:val="en-GB"/>
        </w:rPr>
        <w:t xml:space="preserve">displaying </w:t>
      </w:r>
      <w:r w:rsidR="005E74A3" w:rsidRPr="00CB093C">
        <w:rPr>
          <w:rFonts w:ascii="Arial" w:hAnsi="Arial" w:cs="Arial"/>
          <w:i/>
          <w:szCs w:val="22"/>
        </w:rPr>
        <w:t>colonising</w:t>
      </w:r>
      <w:r w:rsidR="005E74A3" w:rsidRPr="00CB093C">
        <w:rPr>
          <w:rFonts w:ascii="Arial" w:hAnsi="Arial" w:cs="Arial"/>
          <w:i/>
          <w:szCs w:val="22"/>
          <w:lang w:val="en-GB"/>
        </w:rPr>
        <w:t xml:space="preserve"> traits </w:t>
      </w:r>
      <w:r w:rsidRPr="00CB093C">
        <w:rPr>
          <w:rFonts w:ascii="Arial" w:hAnsi="Arial" w:cs="Arial"/>
          <w:i/>
          <w:szCs w:val="22"/>
          <w:lang w:val="en-GB"/>
        </w:rPr>
        <w:t>at inshore habitats in the Cape York region</w:t>
      </w:r>
      <w:bookmarkEnd w:id="239"/>
    </w:p>
    <w:p w14:paraId="113CB511" w14:textId="7D4D9322" w:rsidR="00AB14DE" w:rsidRPr="00CB093C" w:rsidRDefault="0015251F" w:rsidP="00AB14DE">
      <w:pPr>
        <w:spacing w:after="0"/>
        <w:rPr>
          <w:rFonts w:ascii="Arial" w:hAnsi="Arial" w:cs="Arial"/>
          <w:color w:val="000000" w:themeColor="text1"/>
          <w:szCs w:val="22"/>
        </w:rPr>
      </w:pPr>
      <w:r w:rsidRPr="00CB093C">
        <w:rPr>
          <w:rFonts w:ascii="Arial" w:hAnsi="Arial" w:cs="Arial"/>
          <w:i/>
          <w:szCs w:val="22"/>
        </w:rPr>
        <w:t>.</w:t>
      </w:r>
      <w:r w:rsidR="003611ED" w:rsidRPr="00CB093C">
        <w:rPr>
          <w:rFonts w:ascii="Arial" w:hAnsi="Arial" w:cs="Arial"/>
          <w:i/>
          <w:vanish/>
          <w:szCs w:val="22"/>
          <w:lang w:val="en-GB"/>
          <w:specVanish/>
        </w:rPr>
        <w:t xml:space="preserve"> </w:t>
      </w:r>
      <w:r w:rsidR="005E74A3" w:rsidRPr="00CB093C">
        <w:rPr>
          <w:rFonts w:ascii="Arial" w:hAnsi="Arial" w:cs="Arial"/>
          <w:i/>
          <w:szCs w:val="22"/>
          <w:lang w:val="en-GB"/>
        </w:rPr>
        <w:t>The dashed line</w:t>
      </w:r>
      <w:r w:rsidR="003611ED" w:rsidRPr="00CB093C">
        <w:rPr>
          <w:rFonts w:ascii="Arial" w:hAnsi="Arial" w:cs="Arial"/>
          <w:i/>
          <w:szCs w:val="22"/>
          <w:lang w:val="en-GB"/>
        </w:rPr>
        <w:t xml:space="preserve"> represents </w:t>
      </w:r>
      <w:r w:rsidR="003158FC" w:rsidRPr="00CB093C">
        <w:rPr>
          <w:rFonts w:ascii="Arial" w:hAnsi="Arial" w:cs="Arial"/>
          <w:i/>
          <w:szCs w:val="22"/>
          <w:lang w:val="en-GB"/>
        </w:rPr>
        <w:t>Reef</w:t>
      </w:r>
      <w:r w:rsidR="003611ED" w:rsidRPr="00CB093C">
        <w:rPr>
          <w:rFonts w:ascii="Arial" w:hAnsi="Arial" w:cs="Arial"/>
          <w:i/>
          <w:szCs w:val="22"/>
          <w:lang w:val="en-GB"/>
        </w:rPr>
        <w:t xml:space="preserve"> long-term average for each habitat type. </w:t>
      </w:r>
    </w:p>
    <w:p w14:paraId="7A1564D0" w14:textId="3B8E4822" w:rsidR="005132EF" w:rsidRPr="00CB093C" w:rsidRDefault="005132EF" w:rsidP="00994F86">
      <w:pPr>
        <w:rPr>
          <w:rFonts w:ascii="Arial" w:hAnsi="Arial" w:cs="Arial"/>
          <w:szCs w:val="22"/>
          <w:lang w:val="en-US"/>
        </w:rPr>
      </w:pPr>
      <w:r w:rsidRPr="00CB093C">
        <w:rPr>
          <w:rFonts w:ascii="Arial" w:hAnsi="Arial" w:cs="Arial"/>
          <w:szCs w:val="22"/>
          <w:lang w:val="en-GB"/>
        </w:rPr>
        <w:t>S</w:t>
      </w:r>
      <w:r w:rsidR="0032634E" w:rsidRPr="00CB093C">
        <w:rPr>
          <w:rFonts w:ascii="Arial" w:hAnsi="Arial" w:cs="Arial"/>
          <w:szCs w:val="22"/>
          <w:lang w:val="en-GB"/>
        </w:rPr>
        <w:t xml:space="preserve">eagrass </w:t>
      </w:r>
      <w:r w:rsidR="00AB14DE" w:rsidRPr="00CB093C">
        <w:rPr>
          <w:rFonts w:ascii="Arial" w:hAnsi="Arial" w:cs="Arial"/>
          <w:szCs w:val="22"/>
          <w:lang w:val="en-GB"/>
        </w:rPr>
        <w:t>spatial extent</w:t>
      </w:r>
      <w:r w:rsidR="00AB14DE" w:rsidRPr="00CB093C">
        <w:rPr>
          <w:rFonts w:ascii="Arial" w:hAnsi="Arial" w:cs="Arial"/>
          <w:szCs w:val="22"/>
          <w:lang w:val="en-US"/>
        </w:rPr>
        <w:t xml:space="preserve"> mapping </w:t>
      </w:r>
      <w:r w:rsidRPr="00CB093C">
        <w:rPr>
          <w:rFonts w:ascii="Arial" w:hAnsi="Arial" w:cs="Arial"/>
          <w:szCs w:val="22"/>
          <w:lang w:val="en-US"/>
        </w:rPr>
        <w:t xml:space="preserve">was conducted within </w:t>
      </w:r>
      <w:r w:rsidR="007F0EDD" w:rsidRPr="00CB093C">
        <w:rPr>
          <w:rFonts w:ascii="Arial" w:hAnsi="Arial" w:cs="Arial"/>
          <w:szCs w:val="22"/>
          <w:lang w:val="en-US"/>
        </w:rPr>
        <w:t>all</w:t>
      </w:r>
      <w:r w:rsidRPr="00CB093C">
        <w:rPr>
          <w:rFonts w:ascii="Arial" w:hAnsi="Arial" w:cs="Arial"/>
          <w:szCs w:val="22"/>
          <w:lang w:val="en-US"/>
        </w:rPr>
        <w:t xml:space="preserve"> monitoring </w:t>
      </w:r>
      <w:r w:rsidR="007A70FE" w:rsidRPr="00CB093C">
        <w:rPr>
          <w:rFonts w:ascii="Arial" w:hAnsi="Arial" w:cs="Arial"/>
          <w:szCs w:val="22"/>
          <w:lang w:val="en-US"/>
        </w:rPr>
        <w:t>meadows</w:t>
      </w:r>
      <w:r w:rsidRPr="00CB093C">
        <w:rPr>
          <w:rFonts w:ascii="Arial" w:hAnsi="Arial" w:cs="Arial"/>
          <w:szCs w:val="22"/>
          <w:lang w:val="en-US"/>
        </w:rPr>
        <w:t xml:space="preserve"> to determine if changes in abundance were a consequence of the meadow </w:t>
      </w:r>
      <w:r w:rsidR="008300F2" w:rsidRPr="00CB093C">
        <w:rPr>
          <w:rFonts w:ascii="Arial" w:hAnsi="Arial" w:cs="Arial"/>
          <w:szCs w:val="22"/>
          <w:lang w:val="en-US"/>
        </w:rPr>
        <w:t>landscape</w:t>
      </w:r>
      <w:r w:rsidRPr="00CB093C">
        <w:rPr>
          <w:rFonts w:ascii="Arial" w:hAnsi="Arial" w:cs="Arial"/>
          <w:szCs w:val="22"/>
          <w:lang w:val="en-US"/>
        </w:rPr>
        <w:t xml:space="preserve"> changing</w:t>
      </w:r>
      <w:r w:rsidR="005F428D" w:rsidRPr="00CB093C">
        <w:rPr>
          <w:rFonts w:ascii="Arial" w:hAnsi="Arial" w:cs="Arial"/>
          <w:szCs w:val="22"/>
          <w:lang w:val="en-US"/>
        </w:rPr>
        <w:t xml:space="preserve"> and to indicate if plants were allocating resources to colonisation (asexual reproduction)</w:t>
      </w:r>
      <w:r w:rsidRPr="00CB093C">
        <w:rPr>
          <w:rFonts w:ascii="Arial" w:hAnsi="Arial" w:cs="Arial"/>
          <w:szCs w:val="22"/>
          <w:lang w:val="en-US"/>
        </w:rPr>
        <w:t xml:space="preserve">. </w:t>
      </w:r>
      <w:r w:rsidR="00E70D67" w:rsidRPr="00CB093C">
        <w:rPr>
          <w:rFonts w:ascii="Arial" w:hAnsi="Arial" w:cs="Arial"/>
          <w:szCs w:val="22"/>
          <w:lang w:val="en-US"/>
        </w:rPr>
        <w:t xml:space="preserve">Prior to 2012, the only meadow extent mapping in the Cape York region was conducted at Archer Point. </w:t>
      </w:r>
      <w:r w:rsidR="00FF2F8F" w:rsidRPr="00CB093C">
        <w:rPr>
          <w:rFonts w:ascii="Arial" w:hAnsi="Arial" w:cs="Arial"/>
          <w:szCs w:val="22"/>
          <w:lang w:val="en-US"/>
        </w:rPr>
        <w:t>The meadow</w:t>
      </w:r>
      <w:r w:rsidR="00991C7F" w:rsidRPr="00CB093C">
        <w:rPr>
          <w:rFonts w:ascii="Arial" w:hAnsi="Arial" w:cs="Arial"/>
          <w:szCs w:val="22"/>
          <w:lang w:val="en-US"/>
        </w:rPr>
        <w:t>s</w:t>
      </w:r>
      <w:r w:rsidR="00FF2F8F" w:rsidRPr="00CB093C">
        <w:rPr>
          <w:rFonts w:ascii="Arial" w:hAnsi="Arial" w:cs="Arial"/>
          <w:szCs w:val="22"/>
          <w:lang w:val="en-US"/>
        </w:rPr>
        <w:t xml:space="preserve"> within </w:t>
      </w:r>
      <w:r w:rsidR="002713FB" w:rsidRPr="00CB093C">
        <w:rPr>
          <w:rFonts w:ascii="Arial" w:hAnsi="Arial" w:cs="Arial"/>
          <w:szCs w:val="22"/>
          <w:lang w:val="en-US"/>
        </w:rPr>
        <w:t xml:space="preserve">monitoring sites on the reef flat at </w:t>
      </w:r>
      <w:r w:rsidR="00FF2F8F" w:rsidRPr="00CB093C">
        <w:rPr>
          <w:rFonts w:ascii="Arial" w:hAnsi="Arial" w:cs="Arial"/>
          <w:szCs w:val="22"/>
          <w:lang w:val="en-US"/>
        </w:rPr>
        <w:t>Archer Point ha</w:t>
      </w:r>
      <w:r w:rsidR="00E70D67" w:rsidRPr="00CB093C">
        <w:rPr>
          <w:rFonts w:ascii="Arial" w:hAnsi="Arial" w:cs="Arial"/>
          <w:szCs w:val="22"/>
          <w:lang w:val="en-US"/>
        </w:rPr>
        <w:t>ve</w:t>
      </w:r>
      <w:r w:rsidR="00FF2F8F" w:rsidRPr="00CB093C">
        <w:rPr>
          <w:rFonts w:ascii="Arial" w:hAnsi="Arial" w:cs="Arial"/>
          <w:szCs w:val="22"/>
          <w:lang w:val="en-US"/>
        </w:rPr>
        <w:t xml:space="preserve"> fluctuated within and between years</w:t>
      </w:r>
      <w:r w:rsidR="002713FB" w:rsidRPr="00CB093C">
        <w:rPr>
          <w:rFonts w:ascii="Arial" w:hAnsi="Arial" w:cs="Arial"/>
          <w:szCs w:val="22"/>
          <w:lang w:val="en-US"/>
        </w:rPr>
        <w:t xml:space="preserve"> (</w:t>
      </w:r>
      <w:r w:rsidR="002713FB" w:rsidRPr="00CB093C">
        <w:rPr>
          <w:rFonts w:ascii="Arial" w:hAnsi="Arial" w:cs="Arial"/>
          <w:szCs w:val="22"/>
          <w:lang w:val="en-US"/>
        </w:rPr>
        <w:fldChar w:fldCharType="begin"/>
      </w:r>
      <w:r w:rsidR="002713FB" w:rsidRPr="00CB093C">
        <w:rPr>
          <w:rFonts w:ascii="Arial" w:hAnsi="Arial" w:cs="Arial"/>
          <w:szCs w:val="22"/>
          <w:lang w:val="en-US"/>
        </w:rPr>
        <w:instrText xml:space="preserve"> REF _Ref380061981 \h </w:instrText>
      </w:r>
      <w:r w:rsidR="00015190" w:rsidRPr="00CB093C">
        <w:rPr>
          <w:rFonts w:ascii="Arial" w:hAnsi="Arial" w:cs="Arial"/>
          <w:szCs w:val="22"/>
          <w:lang w:val="en-US"/>
        </w:rPr>
        <w:instrText xml:space="preserve"> \* MERGEFORMAT </w:instrText>
      </w:r>
      <w:r w:rsidR="002713FB" w:rsidRPr="00CB093C">
        <w:rPr>
          <w:rFonts w:ascii="Arial" w:hAnsi="Arial" w:cs="Arial"/>
          <w:szCs w:val="22"/>
          <w:lang w:val="en-US"/>
        </w:rPr>
      </w:r>
      <w:r w:rsidR="002713FB"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31</w:t>
      </w:r>
      <w:r w:rsidR="002713FB" w:rsidRPr="00CB093C">
        <w:rPr>
          <w:rFonts w:ascii="Arial" w:hAnsi="Arial" w:cs="Arial"/>
          <w:szCs w:val="22"/>
          <w:lang w:val="en-US"/>
        </w:rPr>
        <w:fldChar w:fldCharType="end"/>
      </w:r>
      <w:r w:rsidR="002713FB" w:rsidRPr="00CB093C">
        <w:rPr>
          <w:rFonts w:ascii="Arial" w:hAnsi="Arial" w:cs="Arial"/>
          <w:szCs w:val="22"/>
          <w:lang w:val="en-US"/>
        </w:rPr>
        <w:t>)</w:t>
      </w:r>
      <w:r w:rsidR="00FF2F8F" w:rsidRPr="00CB093C">
        <w:rPr>
          <w:rFonts w:ascii="Arial" w:hAnsi="Arial" w:cs="Arial"/>
          <w:szCs w:val="22"/>
          <w:lang w:val="en-US"/>
        </w:rPr>
        <w:t xml:space="preserve">, </w:t>
      </w:r>
      <w:r w:rsidR="0041342B" w:rsidRPr="00CB093C">
        <w:rPr>
          <w:rFonts w:ascii="Arial" w:hAnsi="Arial" w:cs="Arial"/>
          <w:szCs w:val="22"/>
          <w:lang w:val="en-US"/>
        </w:rPr>
        <w:t>primarily</w:t>
      </w:r>
      <w:r w:rsidR="00FF2F8F" w:rsidRPr="00CB093C">
        <w:rPr>
          <w:rFonts w:ascii="Arial" w:hAnsi="Arial" w:cs="Arial"/>
          <w:szCs w:val="22"/>
          <w:lang w:val="en-US"/>
        </w:rPr>
        <w:t xml:space="preserve"> due to changes in the landward edge</w:t>
      </w:r>
      <w:r w:rsidR="0014156A" w:rsidRPr="00CB093C">
        <w:rPr>
          <w:rFonts w:ascii="Arial" w:hAnsi="Arial" w:cs="Arial"/>
          <w:szCs w:val="22"/>
          <w:lang w:val="en-US"/>
        </w:rPr>
        <w:t xml:space="preserve"> and </w:t>
      </w:r>
      <w:r w:rsidRPr="00CB093C">
        <w:rPr>
          <w:rFonts w:ascii="Arial" w:hAnsi="Arial" w:cs="Arial"/>
          <w:szCs w:val="22"/>
          <w:lang w:val="en-US"/>
        </w:rPr>
        <w:t xml:space="preserve">appearance of a drainage channel from an adjacent creek (data not presented). </w:t>
      </w:r>
      <w:r w:rsidR="00E70D67" w:rsidRPr="00CB093C">
        <w:rPr>
          <w:rFonts w:ascii="Arial" w:hAnsi="Arial" w:cs="Arial"/>
          <w:szCs w:val="22"/>
          <w:lang w:val="en-US"/>
        </w:rPr>
        <w:t>Post 2011, additional reef and coastal meadows in the Cap</w:t>
      </w:r>
      <w:r w:rsidR="005F428D" w:rsidRPr="00CB093C">
        <w:rPr>
          <w:rFonts w:ascii="Arial" w:hAnsi="Arial" w:cs="Arial"/>
          <w:szCs w:val="22"/>
          <w:lang w:val="en-US"/>
        </w:rPr>
        <w:t>e York region were included.</w:t>
      </w:r>
      <w:r w:rsidR="00E70D67" w:rsidRPr="00CB093C">
        <w:rPr>
          <w:rFonts w:ascii="Arial" w:hAnsi="Arial" w:cs="Arial"/>
          <w:szCs w:val="22"/>
          <w:lang w:val="en-US"/>
        </w:rPr>
        <w:t xml:space="preserve"> Overall, </w:t>
      </w:r>
      <w:r w:rsidR="00F758CA" w:rsidRPr="00CB093C">
        <w:rPr>
          <w:rFonts w:ascii="Arial" w:hAnsi="Arial" w:cs="Arial"/>
          <w:szCs w:val="22"/>
          <w:lang w:val="en-US"/>
        </w:rPr>
        <w:t xml:space="preserve">meadow extent has </w:t>
      </w:r>
      <w:r w:rsidR="00E03E16" w:rsidRPr="00CB093C">
        <w:rPr>
          <w:rFonts w:ascii="Arial" w:hAnsi="Arial" w:cs="Arial"/>
          <w:szCs w:val="22"/>
          <w:lang w:val="en-US"/>
        </w:rPr>
        <w:t>been relatively stable</w:t>
      </w:r>
      <w:r w:rsidR="00E64C33" w:rsidRPr="00CB093C">
        <w:rPr>
          <w:rFonts w:ascii="Arial" w:hAnsi="Arial" w:cs="Arial"/>
          <w:szCs w:val="22"/>
          <w:lang w:val="en-US"/>
        </w:rPr>
        <w:t xml:space="preserve"> </w:t>
      </w:r>
      <w:r w:rsidR="003F1AA6" w:rsidRPr="00CB093C">
        <w:rPr>
          <w:rFonts w:ascii="Arial" w:hAnsi="Arial" w:cs="Arial"/>
          <w:szCs w:val="22"/>
          <w:lang w:val="en-US"/>
        </w:rPr>
        <w:t xml:space="preserve">since 2012 </w:t>
      </w:r>
      <w:r w:rsidR="001D2093" w:rsidRPr="00CB093C">
        <w:rPr>
          <w:rFonts w:ascii="Arial" w:hAnsi="Arial" w:cs="Arial"/>
          <w:szCs w:val="22"/>
          <w:lang w:val="en-US"/>
        </w:rPr>
        <w:t>(</w:t>
      </w:r>
      <w:r w:rsidR="001D2093" w:rsidRPr="00CB093C">
        <w:rPr>
          <w:rFonts w:ascii="Arial" w:hAnsi="Arial" w:cs="Arial"/>
          <w:szCs w:val="22"/>
          <w:lang w:val="en-US"/>
        </w:rPr>
        <w:fldChar w:fldCharType="begin"/>
      </w:r>
      <w:r w:rsidR="001D2093" w:rsidRPr="00CB093C">
        <w:rPr>
          <w:rFonts w:ascii="Arial" w:hAnsi="Arial" w:cs="Arial"/>
          <w:szCs w:val="22"/>
          <w:lang w:val="en-US"/>
        </w:rPr>
        <w:instrText xml:space="preserve"> REF _Ref380061981 \h </w:instrText>
      </w:r>
      <w:r w:rsidR="00015190" w:rsidRPr="00CB093C">
        <w:rPr>
          <w:rFonts w:ascii="Arial" w:hAnsi="Arial" w:cs="Arial"/>
          <w:szCs w:val="22"/>
          <w:lang w:val="en-US"/>
        </w:rPr>
        <w:instrText xml:space="preserve"> \* MERGEFORMAT </w:instrText>
      </w:r>
      <w:r w:rsidR="001D2093" w:rsidRPr="00CB093C">
        <w:rPr>
          <w:rFonts w:ascii="Arial" w:hAnsi="Arial" w:cs="Arial"/>
          <w:szCs w:val="22"/>
          <w:lang w:val="en-US"/>
        </w:rPr>
      </w:r>
      <w:r w:rsidR="001D2093"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31</w:t>
      </w:r>
      <w:r w:rsidR="001D2093" w:rsidRPr="00CB093C">
        <w:rPr>
          <w:rFonts w:ascii="Arial" w:hAnsi="Arial" w:cs="Arial"/>
          <w:szCs w:val="22"/>
          <w:lang w:val="en-US"/>
        </w:rPr>
        <w:fldChar w:fldCharType="end"/>
      </w:r>
      <w:r w:rsidR="001D2093" w:rsidRPr="00CB093C">
        <w:rPr>
          <w:rFonts w:ascii="Arial" w:hAnsi="Arial" w:cs="Arial"/>
          <w:szCs w:val="22"/>
          <w:lang w:val="en-US"/>
        </w:rPr>
        <w:t>)</w:t>
      </w:r>
      <w:r w:rsidRPr="00CB093C">
        <w:rPr>
          <w:rFonts w:ascii="Arial" w:hAnsi="Arial" w:cs="Arial"/>
          <w:szCs w:val="22"/>
          <w:lang w:val="en-US"/>
        </w:rPr>
        <w:t xml:space="preserve">. </w:t>
      </w:r>
    </w:p>
    <w:p w14:paraId="21C988E9" w14:textId="77777777" w:rsidR="003611ED" w:rsidRPr="00CB093C" w:rsidRDefault="00665D56" w:rsidP="00994F86">
      <w:pPr>
        <w:keepNext/>
        <w:widowControl w:val="0"/>
        <w:spacing w:after="0"/>
        <w:jc w:val="center"/>
        <w:rPr>
          <w:rFonts w:ascii="Arial" w:hAnsi="Arial" w:cs="Arial"/>
          <w:szCs w:val="22"/>
          <w:lang w:val="en-US"/>
        </w:rPr>
      </w:pPr>
      <w:r w:rsidRPr="00CB093C">
        <w:rPr>
          <w:rFonts w:ascii="Arial" w:hAnsi="Arial" w:cs="Arial"/>
          <w:noProof/>
          <w:szCs w:val="22"/>
          <w:lang w:val="en-US"/>
        </w:rPr>
        <w:lastRenderedPageBreak/>
        <w:drawing>
          <wp:inline distT="0" distB="0" distL="0" distR="0" wp14:anchorId="3F6E3D23" wp14:editId="070D1E97">
            <wp:extent cx="5400000" cy="2422800"/>
            <wp:effectExtent l="0" t="0" r="0" b="0"/>
            <wp:docPr id="249" name="Picture 249" descr="Line graph showing spatial extent of seagrass meadows within a 100m radius of monitoring sites for each habitat and monitoring period across the eastern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CY_extent_avg_2016.png"/>
                    <pic:cNvPicPr/>
                  </pic:nvPicPr>
                  <pic:blipFill>
                    <a:blip r:embed="rId75">
                      <a:extLst>
                        <a:ext uri="{28A0092B-C50C-407E-A947-70E740481C1C}">
                          <a14:useLocalDpi xmlns:a14="http://schemas.microsoft.com/office/drawing/2010/main" val="0"/>
                        </a:ext>
                      </a:extLst>
                    </a:blip>
                    <a:stretch>
                      <a:fillRect/>
                    </a:stretch>
                  </pic:blipFill>
                  <pic:spPr>
                    <a:xfrm>
                      <a:off x="0" y="0"/>
                      <a:ext cx="5400000" cy="2422800"/>
                    </a:xfrm>
                    <a:prstGeom prst="rect">
                      <a:avLst/>
                    </a:prstGeom>
                  </pic:spPr>
                </pic:pic>
              </a:graphicData>
            </a:graphic>
          </wp:inline>
        </w:drawing>
      </w:r>
    </w:p>
    <w:p w14:paraId="4B96042C" w14:textId="196254CB" w:rsidR="00D000AC" w:rsidRPr="00CB093C" w:rsidRDefault="002B4949" w:rsidP="00994F86">
      <w:pPr>
        <w:spacing w:before="0"/>
        <w:ind w:right="233"/>
        <w:rPr>
          <w:rFonts w:ascii="Arial" w:hAnsi="Arial" w:cs="Arial"/>
          <w:i/>
          <w:szCs w:val="22"/>
        </w:rPr>
      </w:pPr>
      <w:bookmarkStart w:id="240" w:name="_Ref380061981"/>
      <w:bookmarkStart w:id="241" w:name="_Toc431493829"/>
      <w:bookmarkStart w:id="242" w:name="_Toc6402796"/>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31</w:t>
      </w:r>
      <w:r w:rsidR="0073595B" w:rsidRPr="00CB093C">
        <w:rPr>
          <w:rFonts w:ascii="Arial" w:hAnsi="Arial" w:cs="Arial"/>
          <w:szCs w:val="22"/>
        </w:rPr>
        <w:fldChar w:fldCharType="end"/>
      </w:r>
      <w:bookmarkEnd w:id="240"/>
      <w:r w:rsidRPr="00CB093C">
        <w:rPr>
          <w:rFonts w:ascii="Arial" w:hAnsi="Arial" w:cs="Arial"/>
          <w:szCs w:val="22"/>
        </w:rPr>
        <w:t xml:space="preserve">. </w:t>
      </w:r>
      <w:r w:rsidRPr="00CB093C">
        <w:rPr>
          <w:rFonts w:ascii="Arial" w:hAnsi="Arial" w:cs="Arial"/>
          <w:i/>
          <w:szCs w:val="22"/>
        </w:rPr>
        <w:t xml:space="preserve">Change in </w:t>
      </w:r>
      <w:r w:rsidR="00CF6158" w:rsidRPr="00CB093C">
        <w:rPr>
          <w:rFonts w:ascii="Arial" w:hAnsi="Arial" w:cs="Arial"/>
          <w:i/>
          <w:szCs w:val="22"/>
        </w:rPr>
        <w:t xml:space="preserve">spatial extent of seagrass meadows within monitoring sites </w:t>
      </w:r>
      <w:r w:rsidRPr="00CB093C">
        <w:rPr>
          <w:rFonts w:ascii="Arial" w:hAnsi="Arial" w:cs="Arial"/>
          <w:i/>
          <w:szCs w:val="22"/>
        </w:rPr>
        <w:t xml:space="preserve">for each habitat </w:t>
      </w:r>
      <w:r w:rsidR="00CF6158" w:rsidRPr="00CB093C">
        <w:rPr>
          <w:rFonts w:ascii="Arial" w:hAnsi="Arial" w:cs="Arial"/>
          <w:i/>
          <w:szCs w:val="22"/>
        </w:rPr>
        <w:t>and</w:t>
      </w:r>
      <w:r w:rsidRPr="00CB093C">
        <w:rPr>
          <w:rFonts w:ascii="Arial" w:hAnsi="Arial" w:cs="Arial"/>
          <w:i/>
          <w:szCs w:val="22"/>
        </w:rPr>
        <w:t xml:space="preserve"> monitoring period across the eastern Cape York NRM region.</w:t>
      </w:r>
      <w:bookmarkEnd w:id="241"/>
      <w:bookmarkEnd w:id="242"/>
    </w:p>
    <w:p w14:paraId="552AE84C" w14:textId="5326D15F" w:rsidR="005132EF" w:rsidRPr="00CB093C" w:rsidRDefault="005132EF" w:rsidP="00BF420D">
      <w:pPr>
        <w:pStyle w:val="Heading3"/>
        <w:numPr>
          <w:ilvl w:val="3"/>
          <w:numId w:val="4"/>
        </w:numPr>
        <w:rPr>
          <w:rFonts w:ascii="Arial" w:hAnsi="Arial" w:cs="Arial"/>
          <w:b w:val="0"/>
          <w:i/>
          <w:color w:val="000000"/>
          <w:sz w:val="22"/>
          <w:szCs w:val="22"/>
        </w:rPr>
      </w:pPr>
      <w:bookmarkStart w:id="243" w:name="_Toc11394730"/>
      <w:r w:rsidRPr="00CB093C">
        <w:rPr>
          <w:rFonts w:ascii="Arial" w:hAnsi="Arial" w:cs="Arial"/>
          <w:b w:val="0"/>
          <w:i/>
          <w:color w:val="000000"/>
          <w:sz w:val="22"/>
          <w:szCs w:val="22"/>
        </w:rPr>
        <w:t>Seagrass reproductive status</w:t>
      </w:r>
      <w:bookmarkEnd w:id="243"/>
    </w:p>
    <w:p w14:paraId="6A1E7D0E" w14:textId="02E4FE89" w:rsidR="003611ED" w:rsidRPr="00CB093C" w:rsidRDefault="002715D0" w:rsidP="00034AD4">
      <w:pPr>
        <w:rPr>
          <w:rFonts w:ascii="Arial" w:hAnsi="Arial" w:cs="Arial"/>
          <w:szCs w:val="22"/>
          <w:lang w:val="en-GB"/>
        </w:rPr>
      </w:pPr>
      <w:bookmarkStart w:id="244" w:name="_Toc145126957"/>
      <w:bookmarkStart w:id="245" w:name="_Toc175991065"/>
      <w:bookmarkStart w:id="246" w:name="_Toc215637046"/>
      <w:r w:rsidRPr="00CB093C">
        <w:rPr>
          <w:rFonts w:ascii="Arial" w:hAnsi="Arial" w:cs="Arial"/>
          <w:szCs w:val="22"/>
          <w:lang w:val="en-GB"/>
        </w:rPr>
        <w:t xml:space="preserve">Seed banks are only measured at </w:t>
      </w:r>
      <w:r w:rsidR="00F77E1B" w:rsidRPr="00CB093C">
        <w:rPr>
          <w:rFonts w:ascii="Arial" w:hAnsi="Arial" w:cs="Arial"/>
          <w:szCs w:val="22"/>
          <w:lang w:val="en-GB"/>
        </w:rPr>
        <w:t>intertidal sites across Cape York and are</w:t>
      </w:r>
      <w:r w:rsidR="0014011B" w:rsidRPr="00CB093C">
        <w:rPr>
          <w:rFonts w:ascii="Arial" w:hAnsi="Arial" w:cs="Arial"/>
          <w:szCs w:val="22"/>
          <w:lang w:val="en-GB"/>
        </w:rPr>
        <w:t xml:space="preserve"> dominated by </w:t>
      </w:r>
      <w:r w:rsidR="0014011B" w:rsidRPr="00CB093C">
        <w:rPr>
          <w:rFonts w:ascii="Arial" w:hAnsi="Arial" w:cs="Arial"/>
          <w:i/>
          <w:szCs w:val="22"/>
          <w:lang w:val="en-GB"/>
        </w:rPr>
        <w:t>Halodule uninervis</w:t>
      </w:r>
      <w:r w:rsidR="0014011B" w:rsidRPr="00CB093C">
        <w:rPr>
          <w:rFonts w:ascii="Arial" w:hAnsi="Arial" w:cs="Arial"/>
          <w:szCs w:val="22"/>
          <w:lang w:val="en-GB"/>
        </w:rPr>
        <w:t xml:space="preserve">. </w:t>
      </w:r>
      <w:r w:rsidR="007377D4" w:rsidRPr="00CB093C">
        <w:rPr>
          <w:rFonts w:ascii="Arial" w:hAnsi="Arial" w:cs="Arial"/>
          <w:szCs w:val="22"/>
          <w:lang w:val="en-GB"/>
        </w:rPr>
        <w:t>S</w:t>
      </w:r>
      <w:r w:rsidR="003329EA" w:rsidRPr="00CB093C">
        <w:rPr>
          <w:rFonts w:ascii="Arial" w:hAnsi="Arial" w:cs="Arial"/>
          <w:szCs w:val="22"/>
          <w:lang w:val="en-GB"/>
        </w:rPr>
        <w:t xml:space="preserve">eed </w:t>
      </w:r>
      <w:r w:rsidR="007377D4" w:rsidRPr="00CB093C">
        <w:rPr>
          <w:rFonts w:ascii="Arial" w:hAnsi="Arial" w:cs="Arial"/>
          <w:szCs w:val="22"/>
          <w:lang w:val="en-GB"/>
        </w:rPr>
        <w:t xml:space="preserve">density </w:t>
      </w:r>
      <w:r w:rsidR="0014011B" w:rsidRPr="00CB093C">
        <w:rPr>
          <w:rFonts w:ascii="Arial" w:hAnsi="Arial" w:cs="Arial"/>
          <w:szCs w:val="22"/>
          <w:lang w:val="en-GB"/>
        </w:rPr>
        <w:t xml:space="preserve">has been increasing </w:t>
      </w:r>
      <w:r w:rsidR="00F77E1B" w:rsidRPr="00CB093C">
        <w:rPr>
          <w:rFonts w:ascii="Arial" w:hAnsi="Arial" w:cs="Arial"/>
          <w:szCs w:val="22"/>
          <w:lang w:val="en-GB"/>
        </w:rPr>
        <w:t xml:space="preserve">at coastal </w:t>
      </w:r>
      <w:r w:rsidR="007A70FE" w:rsidRPr="00CB093C">
        <w:rPr>
          <w:rFonts w:ascii="Arial" w:hAnsi="Arial" w:cs="Arial"/>
          <w:szCs w:val="22"/>
          <w:lang w:val="en-GB"/>
        </w:rPr>
        <w:t>habitats</w:t>
      </w:r>
      <w:r w:rsidR="00F77E1B" w:rsidRPr="00CB093C">
        <w:rPr>
          <w:rFonts w:ascii="Arial" w:hAnsi="Arial" w:cs="Arial"/>
          <w:szCs w:val="22"/>
          <w:lang w:val="en-GB"/>
        </w:rPr>
        <w:t xml:space="preserve"> since 2012 </w:t>
      </w:r>
      <w:r w:rsidR="0014011B" w:rsidRPr="00CB093C">
        <w:rPr>
          <w:rFonts w:ascii="Arial" w:hAnsi="Arial" w:cs="Arial"/>
          <w:szCs w:val="22"/>
          <w:lang w:val="en-GB"/>
        </w:rPr>
        <w:t>and was</w:t>
      </w:r>
      <w:r w:rsidR="007377D4" w:rsidRPr="00CB093C">
        <w:rPr>
          <w:rFonts w:ascii="Arial" w:hAnsi="Arial" w:cs="Arial"/>
          <w:szCs w:val="22"/>
          <w:lang w:val="en-GB"/>
        </w:rPr>
        <w:t xml:space="preserve"> </w:t>
      </w:r>
      <w:r w:rsidR="00C856B5" w:rsidRPr="00CB093C">
        <w:rPr>
          <w:rFonts w:ascii="Arial" w:hAnsi="Arial" w:cs="Arial"/>
          <w:szCs w:val="22"/>
          <w:lang w:val="en-GB"/>
        </w:rPr>
        <w:t xml:space="preserve">considerably </w:t>
      </w:r>
      <w:r w:rsidR="003329EA" w:rsidRPr="00CB093C">
        <w:rPr>
          <w:rFonts w:ascii="Arial" w:hAnsi="Arial" w:cs="Arial"/>
          <w:szCs w:val="22"/>
          <w:lang w:val="en-GB"/>
        </w:rPr>
        <w:t>higher</w:t>
      </w:r>
      <w:r w:rsidR="007377D4" w:rsidRPr="00CB093C">
        <w:rPr>
          <w:rFonts w:ascii="Arial" w:hAnsi="Arial" w:cs="Arial"/>
          <w:szCs w:val="22"/>
          <w:lang w:val="en-GB"/>
        </w:rPr>
        <w:t xml:space="preserve"> </w:t>
      </w:r>
      <w:r w:rsidR="003329EA" w:rsidRPr="00CB093C">
        <w:rPr>
          <w:rFonts w:ascii="Arial" w:hAnsi="Arial" w:cs="Arial"/>
          <w:szCs w:val="22"/>
          <w:lang w:val="en-GB"/>
        </w:rPr>
        <w:t>at c</w:t>
      </w:r>
      <w:r w:rsidR="00C856B5" w:rsidRPr="00CB093C">
        <w:rPr>
          <w:rFonts w:ascii="Arial" w:hAnsi="Arial" w:cs="Arial"/>
          <w:szCs w:val="22"/>
          <w:lang w:val="en-GB"/>
        </w:rPr>
        <w:t>oastal than reef sites</w:t>
      </w:r>
      <w:r w:rsidR="0014011B" w:rsidRPr="00CB093C">
        <w:rPr>
          <w:rFonts w:ascii="Arial" w:hAnsi="Arial" w:cs="Arial"/>
          <w:szCs w:val="22"/>
          <w:lang w:val="en-GB"/>
        </w:rPr>
        <w:t xml:space="preserve"> </w:t>
      </w:r>
      <w:r w:rsidR="00996D8E" w:rsidRPr="00CB093C">
        <w:rPr>
          <w:rFonts w:ascii="Arial" w:hAnsi="Arial" w:cs="Arial"/>
          <w:szCs w:val="22"/>
          <w:lang w:val="en-GB"/>
        </w:rPr>
        <w:t>this year</w:t>
      </w:r>
      <w:r w:rsidR="00C856B5" w:rsidRPr="00CB093C">
        <w:rPr>
          <w:rFonts w:ascii="Arial" w:hAnsi="Arial" w:cs="Arial"/>
          <w:szCs w:val="22"/>
          <w:lang w:val="en-GB"/>
        </w:rPr>
        <w:t xml:space="preserve">. </w:t>
      </w:r>
      <w:r w:rsidR="0014011B" w:rsidRPr="00CB093C">
        <w:rPr>
          <w:rFonts w:ascii="Arial" w:hAnsi="Arial" w:cs="Arial"/>
          <w:szCs w:val="22"/>
          <w:lang w:val="en-GB"/>
        </w:rPr>
        <w:t xml:space="preserve">At reef sites, there has been few or no seeds recorded since 2013, </w:t>
      </w:r>
      <w:r w:rsidR="005F1B3F" w:rsidRPr="00CB093C">
        <w:rPr>
          <w:rFonts w:ascii="Arial" w:hAnsi="Arial" w:cs="Arial"/>
          <w:szCs w:val="22"/>
          <w:lang w:val="en-GB"/>
        </w:rPr>
        <w:t xml:space="preserve">and these meadows may have poor recovery rates if there is substantial decline in seagrass </w:t>
      </w:r>
      <w:r w:rsidR="007A70FE" w:rsidRPr="00CB093C">
        <w:rPr>
          <w:rFonts w:ascii="Arial" w:hAnsi="Arial" w:cs="Arial"/>
          <w:szCs w:val="22"/>
          <w:lang w:val="en-GB"/>
        </w:rPr>
        <w:t>abundance</w:t>
      </w:r>
      <w:r w:rsidR="005F1B3F" w:rsidRPr="00CB093C">
        <w:rPr>
          <w:rFonts w:ascii="Arial" w:hAnsi="Arial" w:cs="Arial"/>
          <w:szCs w:val="22"/>
          <w:lang w:val="en-GB"/>
        </w:rPr>
        <w:t xml:space="preserve">. </w:t>
      </w:r>
      <w:r w:rsidR="003611ED" w:rsidRPr="00CB093C">
        <w:rPr>
          <w:rFonts w:ascii="Arial" w:hAnsi="Arial" w:cs="Arial"/>
          <w:szCs w:val="22"/>
          <w:lang w:val="en-GB"/>
        </w:rPr>
        <w:t xml:space="preserve">Total reproductive effort </w:t>
      </w:r>
      <w:r w:rsidRPr="00CB093C">
        <w:rPr>
          <w:rFonts w:ascii="Arial" w:hAnsi="Arial" w:cs="Arial"/>
          <w:szCs w:val="22"/>
          <w:lang w:val="en-GB"/>
        </w:rPr>
        <w:t xml:space="preserve">declined at coastal habitats in </w:t>
      </w:r>
      <w:r w:rsidR="003654C6">
        <w:rPr>
          <w:rFonts w:ascii="Arial" w:hAnsi="Arial" w:cs="Arial"/>
          <w:szCs w:val="22"/>
          <w:lang w:val="en-GB"/>
        </w:rPr>
        <w:t>2017–18</w:t>
      </w:r>
      <w:r w:rsidRPr="00CB093C">
        <w:rPr>
          <w:rFonts w:ascii="Arial" w:hAnsi="Arial" w:cs="Arial"/>
          <w:szCs w:val="22"/>
          <w:lang w:val="en-GB"/>
        </w:rPr>
        <w:t xml:space="preserve">, but conversely increased at reef habitats </w:t>
      </w:r>
      <w:r w:rsidR="003E0D39" w:rsidRPr="00CB093C">
        <w:rPr>
          <w:rFonts w:ascii="Arial" w:hAnsi="Arial" w:cs="Arial"/>
          <w:szCs w:val="22"/>
          <w:lang w:val="en-GB"/>
        </w:rPr>
        <w:t>across the region</w:t>
      </w:r>
      <w:r w:rsidR="00C13A54" w:rsidRPr="00CB093C">
        <w:rPr>
          <w:rFonts w:ascii="Arial" w:hAnsi="Arial" w:cs="Arial"/>
          <w:szCs w:val="22"/>
          <w:lang w:val="en-GB"/>
        </w:rPr>
        <w:t>, although still remained relatively low</w:t>
      </w:r>
      <w:r w:rsidR="00CA53EC" w:rsidRPr="00CB093C">
        <w:rPr>
          <w:rFonts w:ascii="Arial" w:hAnsi="Arial" w:cs="Arial"/>
          <w:szCs w:val="22"/>
          <w:lang w:val="en-GB"/>
        </w:rPr>
        <w:t xml:space="preserve"> </w:t>
      </w:r>
      <w:r w:rsidR="00C13A54" w:rsidRPr="00CB093C">
        <w:rPr>
          <w:rFonts w:ascii="Arial" w:hAnsi="Arial" w:cs="Arial"/>
          <w:szCs w:val="22"/>
          <w:lang w:val="en-GB"/>
        </w:rPr>
        <w:t>(</w:t>
      </w:r>
      <w:r w:rsidR="00C13A54" w:rsidRPr="00CB093C">
        <w:rPr>
          <w:rFonts w:ascii="Arial" w:hAnsi="Arial" w:cs="Arial"/>
          <w:szCs w:val="22"/>
          <w:lang w:val="en-GB"/>
        </w:rPr>
        <w:fldChar w:fldCharType="begin"/>
      </w:r>
      <w:r w:rsidR="00C13A54" w:rsidRPr="00CB093C">
        <w:rPr>
          <w:rFonts w:ascii="Arial" w:hAnsi="Arial" w:cs="Arial"/>
          <w:szCs w:val="22"/>
          <w:lang w:val="en-GB"/>
        </w:rPr>
        <w:instrText xml:space="preserve"> REF _Ref271218562 \h  \* MERGEFORMAT </w:instrText>
      </w:r>
      <w:r w:rsidR="00C13A54" w:rsidRPr="00CB093C">
        <w:rPr>
          <w:rFonts w:ascii="Arial" w:hAnsi="Arial" w:cs="Arial"/>
          <w:szCs w:val="22"/>
          <w:lang w:val="en-GB"/>
        </w:rPr>
      </w:r>
      <w:r w:rsidR="00C13A54" w:rsidRPr="00CB093C">
        <w:rPr>
          <w:rFonts w:ascii="Arial" w:hAnsi="Arial" w:cs="Arial"/>
          <w:szCs w:val="22"/>
          <w:lang w:val="en-GB"/>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32</w:t>
      </w:r>
      <w:r w:rsidR="00C13A54" w:rsidRPr="00CB093C">
        <w:rPr>
          <w:rFonts w:ascii="Arial" w:hAnsi="Arial" w:cs="Arial"/>
          <w:szCs w:val="22"/>
          <w:lang w:val="en-GB"/>
        </w:rPr>
        <w:fldChar w:fldCharType="end"/>
      </w:r>
      <w:r w:rsidR="00C13A54" w:rsidRPr="00CB093C">
        <w:rPr>
          <w:rFonts w:ascii="Arial" w:hAnsi="Arial" w:cs="Arial"/>
          <w:szCs w:val="22"/>
          <w:lang w:val="en-GB"/>
        </w:rPr>
        <w:t>)</w:t>
      </w:r>
      <w:r w:rsidR="003611ED" w:rsidRPr="00CB093C">
        <w:rPr>
          <w:rFonts w:ascii="Arial" w:hAnsi="Arial" w:cs="Arial"/>
          <w:szCs w:val="22"/>
          <w:lang w:val="en-GB"/>
        </w:rPr>
        <w:t>.</w:t>
      </w:r>
    </w:p>
    <w:p w14:paraId="2EB06CEF" w14:textId="77777777" w:rsidR="003611ED" w:rsidRPr="00CB093C" w:rsidRDefault="00665D56" w:rsidP="00F758CA">
      <w:pPr>
        <w:keepNext/>
        <w:widowControl w:val="0"/>
        <w:spacing w:after="0"/>
        <w:jc w:val="center"/>
        <w:rPr>
          <w:rFonts w:ascii="Arial" w:hAnsi="Arial" w:cs="Arial"/>
          <w:color w:val="000000"/>
          <w:szCs w:val="22"/>
          <w:lang w:val="en-GB"/>
        </w:rPr>
      </w:pPr>
      <w:r w:rsidRPr="00CB093C">
        <w:rPr>
          <w:rFonts w:ascii="Arial" w:hAnsi="Arial" w:cs="Arial"/>
          <w:noProof/>
          <w:color w:val="000000"/>
          <w:szCs w:val="22"/>
          <w:lang w:val="en-US"/>
        </w:rPr>
        <w:drawing>
          <wp:inline distT="0" distB="0" distL="0" distR="0" wp14:anchorId="50BF7A15" wp14:editId="4B6ECCA9">
            <wp:extent cx="5760000" cy="2073600"/>
            <wp:effectExtent l="0" t="0" r="0" b="3175"/>
            <wp:docPr id="250" name="Picture 250" descr="Panel of two composite bar and scatter plot graphs showing seed banks (bars) and reproductive effort (dots) at inshore intertidal coastal and reef habitats in the Cape York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CY_repro16.png"/>
                    <pic:cNvPicPr/>
                  </pic:nvPicPr>
                  <pic:blipFill>
                    <a:blip r:embed="rId76">
                      <a:extLst>
                        <a:ext uri="{28A0092B-C50C-407E-A947-70E740481C1C}">
                          <a14:useLocalDpi xmlns:a14="http://schemas.microsoft.com/office/drawing/2010/main" val="0"/>
                        </a:ext>
                      </a:extLst>
                    </a:blip>
                    <a:stretch>
                      <a:fillRect/>
                    </a:stretch>
                  </pic:blipFill>
                  <pic:spPr>
                    <a:xfrm>
                      <a:off x="0" y="0"/>
                      <a:ext cx="5760000" cy="2073600"/>
                    </a:xfrm>
                    <a:prstGeom prst="rect">
                      <a:avLst/>
                    </a:prstGeom>
                  </pic:spPr>
                </pic:pic>
              </a:graphicData>
            </a:graphic>
          </wp:inline>
        </w:drawing>
      </w:r>
    </w:p>
    <w:p w14:paraId="071C54A4" w14:textId="2C0C7721" w:rsidR="0015251F" w:rsidRPr="00CB093C" w:rsidRDefault="005132EF" w:rsidP="0015251F">
      <w:pPr>
        <w:rPr>
          <w:rFonts w:ascii="Arial" w:hAnsi="Arial" w:cs="Arial"/>
          <w:i/>
          <w:vanish/>
          <w:szCs w:val="22"/>
          <w:specVanish/>
        </w:rPr>
      </w:pPr>
      <w:bookmarkStart w:id="247" w:name="_Ref271218562"/>
      <w:bookmarkStart w:id="248" w:name="_Toc431493830"/>
      <w:bookmarkStart w:id="249" w:name="_Toc6402797"/>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32</w:t>
      </w:r>
      <w:r w:rsidR="0073595B" w:rsidRPr="00CB093C">
        <w:rPr>
          <w:rFonts w:ascii="Arial" w:hAnsi="Arial" w:cs="Arial"/>
          <w:color w:val="000000"/>
          <w:szCs w:val="22"/>
        </w:rPr>
        <w:fldChar w:fldCharType="end"/>
      </w:r>
      <w:bookmarkEnd w:id="247"/>
      <w:r w:rsidRPr="00CB093C">
        <w:rPr>
          <w:rFonts w:ascii="Arial" w:hAnsi="Arial" w:cs="Arial"/>
          <w:color w:val="000000"/>
          <w:szCs w:val="22"/>
        </w:rPr>
        <w:t xml:space="preserve">. </w:t>
      </w:r>
      <w:r w:rsidR="00A927E0" w:rsidRPr="00CB093C">
        <w:rPr>
          <w:rFonts w:ascii="Arial" w:hAnsi="Arial" w:cs="Arial"/>
          <w:i/>
          <w:color w:val="000000"/>
          <w:szCs w:val="22"/>
        </w:rPr>
        <w:t xml:space="preserve">Seed banks and reproductive effort at inshore intertidal </w:t>
      </w:r>
      <w:r w:rsidR="002C16F4" w:rsidRPr="00CB093C">
        <w:rPr>
          <w:rFonts w:ascii="Arial" w:hAnsi="Arial" w:cs="Arial"/>
          <w:i/>
          <w:color w:val="000000"/>
          <w:szCs w:val="22"/>
        </w:rPr>
        <w:t xml:space="preserve">coastal </w:t>
      </w:r>
      <w:r w:rsidR="00B020D9" w:rsidRPr="00CB093C">
        <w:rPr>
          <w:rFonts w:ascii="Arial" w:hAnsi="Arial" w:cs="Arial"/>
          <w:i/>
          <w:color w:val="000000"/>
          <w:szCs w:val="22"/>
        </w:rPr>
        <w:t xml:space="preserve">(a) </w:t>
      </w:r>
      <w:r w:rsidR="002C16F4" w:rsidRPr="00CB093C">
        <w:rPr>
          <w:rFonts w:ascii="Arial" w:hAnsi="Arial" w:cs="Arial"/>
          <w:i/>
          <w:color w:val="000000"/>
          <w:szCs w:val="22"/>
        </w:rPr>
        <w:t xml:space="preserve">and </w:t>
      </w:r>
      <w:r w:rsidR="0032552E" w:rsidRPr="00CB093C">
        <w:rPr>
          <w:rFonts w:ascii="Arial" w:hAnsi="Arial" w:cs="Arial"/>
          <w:i/>
          <w:color w:val="000000"/>
          <w:szCs w:val="22"/>
        </w:rPr>
        <w:t>reef</w:t>
      </w:r>
      <w:r w:rsidRPr="00CB093C">
        <w:rPr>
          <w:rFonts w:ascii="Arial" w:hAnsi="Arial" w:cs="Arial"/>
          <w:i/>
          <w:color w:val="000000"/>
          <w:szCs w:val="22"/>
        </w:rPr>
        <w:t xml:space="preserve"> </w:t>
      </w:r>
      <w:r w:rsidR="00B020D9" w:rsidRPr="00CB093C">
        <w:rPr>
          <w:rFonts w:ascii="Arial" w:hAnsi="Arial" w:cs="Arial"/>
          <w:i/>
          <w:color w:val="000000"/>
          <w:szCs w:val="22"/>
        </w:rPr>
        <w:t xml:space="preserve">(b) </w:t>
      </w:r>
      <w:r w:rsidR="00A927E0" w:rsidRPr="00CB093C">
        <w:rPr>
          <w:rFonts w:ascii="Arial" w:hAnsi="Arial" w:cs="Arial"/>
          <w:i/>
          <w:color w:val="000000"/>
          <w:szCs w:val="22"/>
        </w:rPr>
        <w:t>habitats in the Cape York region</w:t>
      </w:r>
      <w:bookmarkEnd w:id="248"/>
      <w:bookmarkEnd w:id="249"/>
    </w:p>
    <w:p w14:paraId="316D9823" w14:textId="0DEFA49C" w:rsidR="00A927E0" w:rsidRPr="00CB093C" w:rsidRDefault="00A927E0" w:rsidP="0015251F">
      <w:pPr>
        <w:rPr>
          <w:rFonts w:ascii="Arial" w:hAnsi="Arial" w:cs="Arial"/>
          <w:i/>
          <w:color w:val="000000"/>
          <w:szCs w:val="22"/>
        </w:rPr>
      </w:pPr>
      <w:r w:rsidRPr="00CB093C">
        <w:rPr>
          <w:rFonts w:ascii="Arial" w:hAnsi="Arial" w:cs="Arial"/>
          <w:i/>
          <w:color w:val="000000"/>
          <w:szCs w:val="22"/>
        </w:rPr>
        <w:t xml:space="preserve"> </w:t>
      </w:r>
      <w:r w:rsidR="005132EF" w:rsidRPr="00CB093C">
        <w:rPr>
          <w:rFonts w:ascii="Arial" w:hAnsi="Arial" w:cs="Arial"/>
          <w:i/>
          <w:color w:val="000000"/>
          <w:szCs w:val="22"/>
        </w:rPr>
        <w:t xml:space="preserve">(species </w:t>
      </w:r>
      <w:r w:rsidR="00C21312" w:rsidRPr="00CB093C">
        <w:rPr>
          <w:rFonts w:ascii="Arial" w:hAnsi="Arial" w:cs="Arial"/>
          <w:i/>
          <w:color w:val="000000"/>
          <w:szCs w:val="22"/>
        </w:rPr>
        <w:t xml:space="preserve">and sites </w:t>
      </w:r>
      <w:r w:rsidR="005132EF" w:rsidRPr="00CB093C">
        <w:rPr>
          <w:rFonts w:ascii="Arial" w:hAnsi="Arial" w:cs="Arial"/>
          <w:i/>
          <w:color w:val="000000"/>
          <w:szCs w:val="22"/>
        </w:rPr>
        <w:t>pooled).</w:t>
      </w:r>
      <w:r w:rsidRPr="00CB093C">
        <w:rPr>
          <w:rFonts w:ascii="Arial" w:hAnsi="Arial" w:cs="Arial"/>
          <w:i/>
          <w:color w:val="000000"/>
          <w:szCs w:val="22"/>
        </w:rPr>
        <w:t xml:space="preserve"> Seed banks </w:t>
      </w:r>
      <w:r w:rsidR="008300F2" w:rsidRPr="00CB093C">
        <w:rPr>
          <w:rFonts w:ascii="Arial" w:hAnsi="Arial" w:cs="Arial"/>
          <w:i/>
          <w:color w:val="000000"/>
          <w:szCs w:val="22"/>
        </w:rPr>
        <w:t xml:space="preserve">(bars </w:t>
      </w:r>
      <w:r w:rsidR="008300F2" w:rsidRPr="00CB093C">
        <w:rPr>
          <w:rFonts w:ascii="Arial" w:hAnsi="Arial" w:cs="Arial"/>
          <w:i/>
          <w:color w:val="000000"/>
          <w:szCs w:val="22"/>
          <w:lang w:eastAsia="en-AU"/>
        </w:rPr>
        <w:t xml:space="preserve">± </w:t>
      </w:r>
      <w:r w:rsidR="009C7692" w:rsidRPr="00CB093C">
        <w:rPr>
          <w:rFonts w:ascii="Arial" w:hAnsi="Arial" w:cs="Arial"/>
          <w:i/>
          <w:color w:val="000000"/>
          <w:szCs w:val="22"/>
          <w:lang w:eastAsia="en-AU"/>
        </w:rPr>
        <w:t>SE</w:t>
      </w:r>
      <w:r w:rsidR="008300F2" w:rsidRPr="00CB093C">
        <w:rPr>
          <w:rFonts w:ascii="Arial" w:hAnsi="Arial" w:cs="Arial"/>
          <w:i/>
          <w:color w:val="000000"/>
          <w:szCs w:val="22"/>
        </w:rPr>
        <w:t xml:space="preserve">) </w:t>
      </w:r>
      <w:r w:rsidRPr="00CB093C">
        <w:rPr>
          <w:rFonts w:ascii="Arial" w:hAnsi="Arial" w:cs="Arial"/>
          <w:i/>
          <w:color w:val="000000"/>
          <w:szCs w:val="22"/>
        </w:rPr>
        <w:t>presented as the total number of seeds per m</w:t>
      </w:r>
      <w:r w:rsidRPr="00CB093C">
        <w:rPr>
          <w:rFonts w:ascii="Arial" w:hAnsi="Arial" w:cs="Arial"/>
          <w:i/>
          <w:color w:val="000000"/>
          <w:szCs w:val="22"/>
          <w:vertAlign w:val="superscript"/>
        </w:rPr>
        <w:t>2</w:t>
      </w:r>
      <w:r w:rsidRPr="00CB093C">
        <w:rPr>
          <w:rFonts w:ascii="Arial" w:hAnsi="Arial" w:cs="Arial"/>
          <w:i/>
          <w:color w:val="000000"/>
          <w:szCs w:val="22"/>
        </w:rPr>
        <w:t xml:space="preserve"> sediment surface. Reproductive effort for late dry season </w:t>
      </w:r>
      <w:r w:rsidR="008300F2" w:rsidRPr="00CB093C">
        <w:rPr>
          <w:rFonts w:ascii="Arial" w:hAnsi="Arial" w:cs="Arial"/>
          <w:i/>
          <w:color w:val="000000"/>
          <w:szCs w:val="22"/>
        </w:rPr>
        <w:t xml:space="preserve">(dots </w:t>
      </w:r>
      <w:r w:rsidR="008300F2" w:rsidRPr="00CB093C">
        <w:rPr>
          <w:rFonts w:ascii="Arial" w:hAnsi="Arial" w:cs="Arial"/>
          <w:i/>
          <w:color w:val="000000"/>
          <w:szCs w:val="22"/>
          <w:lang w:eastAsia="en-AU"/>
        </w:rPr>
        <w:t xml:space="preserve">± </w:t>
      </w:r>
      <w:r w:rsidR="009C7692" w:rsidRPr="00CB093C">
        <w:rPr>
          <w:rFonts w:ascii="Arial" w:hAnsi="Arial" w:cs="Arial"/>
          <w:i/>
          <w:color w:val="000000"/>
          <w:szCs w:val="22"/>
          <w:lang w:eastAsia="en-AU"/>
        </w:rPr>
        <w:t>SE</w:t>
      </w:r>
      <w:r w:rsidR="008300F2" w:rsidRPr="00CB093C">
        <w:rPr>
          <w:rFonts w:ascii="Arial" w:hAnsi="Arial" w:cs="Arial"/>
          <w:i/>
          <w:color w:val="000000"/>
          <w:szCs w:val="22"/>
        </w:rPr>
        <w:t xml:space="preserve">) </w:t>
      </w:r>
      <w:r w:rsidRPr="00CB093C">
        <w:rPr>
          <w:rFonts w:ascii="Arial" w:hAnsi="Arial" w:cs="Arial"/>
          <w:i/>
          <w:color w:val="000000"/>
          <w:szCs w:val="22"/>
        </w:rPr>
        <w:t>presented as the average number of reproductive structures per core.</w:t>
      </w:r>
    </w:p>
    <w:p w14:paraId="3D8AA9F2" w14:textId="77777777" w:rsidR="00824A7C" w:rsidRPr="00CB093C" w:rsidRDefault="00824A7C" w:rsidP="0015251F">
      <w:pPr>
        <w:rPr>
          <w:rFonts w:ascii="Arial" w:hAnsi="Arial" w:cs="Arial"/>
          <w:i/>
          <w:vanish/>
          <w:color w:val="000000"/>
          <w:szCs w:val="22"/>
        </w:rPr>
      </w:pPr>
    </w:p>
    <w:p w14:paraId="6829D2C2" w14:textId="2417EC93" w:rsidR="00273942" w:rsidRPr="00CB093C" w:rsidRDefault="00273942" w:rsidP="00BF420D">
      <w:pPr>
        <w:pStyle w:val="Heading3"/>
        <w:numPr>
          <w:ilvl w:val="3"/>
          <w:numId w:val="4"/>
        </w:numPr>
        <w:rPr>
          <w:rFonts w:ascii="Arial" w:hAnsi="Arial" w:cs="Arial"/>
          <w:b w:val="0"/>
          <w:i/>
          <w:color w:val="000000"/>
          <w:sz w:val="22"/>
          <w:szCs w:val="22"/>
        </w:rPr>
      </w:pPr>
      <w:bookmarkStart w:id="250" w:name="_Toc184101975"/>
      <w:bookmarkStart w:id="251" w:name="_Toc11394731"/>
      <w:bookmarkEnd w:id="244"/>
      <w:bookmarkEnd w:id="245"/>
      <w:bookmarkEnd w:id="246"/>
      <w:r w:rsidRPr="00CB093C">
        <w:rPr>
          <w:rFonts w:ascii="Arial" w:hAnsi="Arial" w:cs="Arial"/>
          <w:b w:val="0"/>
          <w:i/>
          <w:color w:val="000000"/>
          <w:sz w:val="22"/>
          <w:szCs w:val="22"/>
        </w:rPr>
        <w:t>Seagrass leaf tissue nutrients</w:t>
      </w:r>
      <w:bookmarkEnd w:id="250"/>
      <w:bookmarkEnd w:id="251"/>
    </w:p>
    <w:p w14:paraId="22CA5078" w14:textId="3FDD8385" w:rsidR="00D37158" w:rsidRPr="00CB093C" w:rsidRDefault="003611ED" w:rsidP="00CB5A6F">
      <w:pPr>
        <w:autoSpaceDE w:val="0"/>
        <w:autoSpaceDN w:val="0"/>
        <w:adjustRightInd w:val="0"/>
        <w:rPr>
          <w:rFonts w:ascii="Arial" w:hAnsi="Arial" w:cs="Arial"/>
          <w:iCs/>
          <w:color w:val="000000" w:themeColor="text1"/>
          <w:szCs w:val="22"/>
        </w:rPr>
      </w:pPr>
      <w:r w:rsidRPr="00CB093C">
        <w:rPr>
          <w:rFonts w:ascii="Arial" w:hAnsi="Arial" w:cs="Arial"/>
          <w:iCs/>
          <w:color w:val="000000" w:themeColor="text1"/>
          <w:szCs w:val="22"/>
        </w:rPr>
        <w:t xml:space="preserve">Seagrass leaf molar C:N ratios </w:t>
      </w:r>
      <w:r w:rsidR="00087D59" w:rsidRPr="00CB093C">
        <w:rPr>
          <w:rFonts w:ascii="Arial" w:hAnsi="Arial" w:cs="Arial"/>
          <w:iCs/>
          <w:color w:val="000000" w:themeColor="text1"/>
          <w:szCs w:val="22"/>
        </w:rPr>
        <w:t>decreased</w:t>
      </w:r>
      <w:r w:rsidR="005F1B3F" w:rsidRPr="00CB093C">
        <w:rPr>
          <w:rFonts w:ascii="Arial" w:hAnsi="Arial" w:cs="Arial"/>
          <w:iCs/>
          <w:color w:val="000000" w:themeColor="text1"/>
          <w:szCs w:val="22"/>
        </w:rPr>
        <w:t xml:space="preserve"> </w:t>
      </w:r>
      <w:r w:rsidR="00181CAC" w:rsidRPr="00CB093C">
        <w:rPr>
          <w:rFonts w:ascii="Arial" w:hAnsi="Arial" w:cs="Arial"/>
          <w:iCs/>
          <w:color w:val="000000" w:themeColor="text1"/>
          <w:szCs w:val="22"/>
        </w:rPr>
        <w:t>this year</w:t>
      </w:r>
      <w:r w:rsidR="005F1B3F" w:rsidRPr="00CB093C">
        <w:rPr>
          <w:rFonts w:ascii="Arial" w:hAnsi="Arial" w:cs="Arial"/>
          <w:iCs/>
          <w:color w:val="000000" w:themeColor="text1"/>
          <w:szCs w:val="22"/>
        </w:rPr>
        <w:t xml:space="preserve">, </w:t>
      </w:r>
      <w:r w:rsidR="00087D59" w:rsidRPr="00CB093C">
        <w:rPr>
          <w:rFonts w:ascii="Arial" w:hAnsi="Arial" w:cs="Arial"/>
          <w:iCs/>
          <w:color w:val="000000" w:themeColor="text1"/>
          <w:szCs w:val="22"/>
        </w:rPr>
        <w:t>particularly</w:t>
      </w:r>
      <w:r w:rsidR="005F1B3F" w:rsidRPr="00CB093C">
        <w:rPr>
          <w:rFonts w:ascii="Arial" w:hAnsi="Arial" w:cs="Arial"/>
          <w:iCs/>
          <w:color w:val="000000" w:themeColor="text1"/>
          <w:szCs w:val="22"/>
        </w:rPr>
        <w:t xml:space="preserve"> at coastal habitats (</w:t>
      </w:r>
      <w:r w:rsidR="00087D59" w:rsidRPr="00CB093C">
        <w:rPr>
          <w:rFonts w:ascii="Arial" w:hAnsi="Arial" w:cs="Arial"/>
          <w:iCs/>
          <w:color w:val="000000" w:themeColor="text1"/>
          <w:szCs w:val="22"/>
        </w:rPr>
        <w:fldChar w:fldCharType="begin"/>
      </w:r>
      <w:r w:rsidR="00087D59" w:rsidRPr="00CB093C">
        <w:rPr>
          <w:rFonts w:ascii="Arial" w:hAnsi="Arial" w:cs="Arial"/>
          <w:iCs/>
          <w:color w:val="000000" w:themeColor="text1"/>
          <w:szCs w:val="22"/>
        </w:rPr>
        <w:instrText xml:space="preserve"> REF _Ref380082962 \h  \* MERGEFORMAT </w:instrText>
      </w:r>
      <w:r w:rsidR="00087D59" w:rsidRPr="00CB093C">
        <w:rPr>
          <w:rFonts w:ascii="Arial" w:hAnsi="Arial" w:cs="Arial"/>
          <w:iCs/>
          <w:color w:val="000000" w:themeColor="text1"/>
          <w:szCs w:val="22"/>
        </w:rPr>
      </w:r>
      <w:r w:rsidR="00087D59" w:rsidRPr="00CB093C">
        <w:rPr>
          <w:rFonts w:ascii="Arial" w:hAnsi="Arial" w:cs="Arial"/>
          <w:iCs/>
          <w:color w:val="000000" w:themeColor="text1"/>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33</w:t>
      </w:r>
      <w:r w:rsidR="00087D59" w:rsidRPr="00CB093C">
        <w:rPr>
          <w:rFonts w:ascii="Arial" w:hAnsi="Arial" w:cs="Arial"/>
          <w:iCs/>
          <w:color w:val="000000" w:themeColor="text1"/>
          <w:szCs w:val="22"/>
        </w:rPr>
        <w:fldChar w:fldCharType="end"/>
      </w:r>
      <w:r w:rsidR="005F1B3F" w:rsidRPr="00CB093C">
        <w:rPr>
          <w:rFonts w:ascii="Arial" w:hAnsi="Arial" w:cs="Arial"/>
          <w:iCs/>
          <w:color w:val="000000" w:themeColor="text1"/>
          <w:szCs w:val="22"/>
        </w:rPr>
        <w:t xml:space="preserve">). </w:t>
      </w:r>
      <w:r w:rsidR="0063025A" w:rsidRPr="00CB093C">
        <w:rPr>
          <w:rFonts w:ascii="Arial" w:hAnsi="Arial" w:cs="Arial"/>
          <w:iCs/>
          <w:color w:val="000000" w:themeColor="text1"/>
          <w:szCs w:val="22"/>
        </w:rPr>
        <w:t xml:space="preserve">This indicates that the availability of nitrogen (N) </w:t>
      </w:r>
      <w:r w:rsidR="00D37158" w:rsidRPr="00CB093C">
        <w:rPr>
          <w:rFonts w:ascii="Arial" w:hAnsi="Arial" w:cs="Arial"/>
          <w:iCs/>
          <w:color w:val="000000" w:themeColor="text1"/>
          <w:szCs w:val="22"/>
        </w:rPr>
        <w:t>h</w:t>
      </w:r>
      <w:r w:rsidR="0063025A" w:rsidRPr="00CB093C">
        <w:rPr>
          <w:rFonts w:ascii="Arial" w:hAnsi="Arial" w:cs="Arial"/>
          <w:iCs/>
          <w:color w:val="000000" w:themeColor="text1"/>
          <w:szCs w:val="22"/>
        </w:rPr>
        <w:t xml:space="preserve">as </w:t>
      </w:r>
      <w:r w:rsidR="00087D59" w:rsidRPr="00CB093C">
        <w:rPr>
          <w:rFonts w:ascii="Arial" w:hAnsi="Arial" w:cs="Arial"/>
          <w:iCs/>
          <w:color w:val="000000" w:themeColor="text1"/>
          <w:szCs w:val="22"/>
        </w:rPr>
        <w:t>increased</w:t>
      </w:r>
      <w:r w:rsidR="0063025A" w:rsidRPr="00CB093C">
        <w:rPr>
          <w:rFonts w:ascii="Arial" w:hAnsi="Arial" w:cs="Arial"/>
          <w:iCs/>
          <w:color w:val="000000" w:themeColor="text1"/>
          <w:szCs w:val="22"/>
        </w:rPr>
        <w:t xml:space="preserve"> relative t</w:t>
      </w:r>
      <w:r w:rsidR="00181CAC" w:rsidRPr="00CB093C">
        <w:rPr>
          <w:rFonts w:ascii="Arial" w:hAnsi="Arial" w:cs="Arial"/>
          <w:iCs/>
          <w:color w:val="000000" w:themeColor="text1"/>
          <w:szCs w:val="22"/>
        </w:rPr>
        <w:t>o t</w:t>
      </w:r>
      <w:r w:rsidR="0063025A" w:rsidRPr="00CB093C">
        <w:rPr>
          <w:rFonts w:ascii="Arial" w:hAnsi="Arial" w:cs="Arial"/>
          <w:iCs/>
          <w:color w:val="000000" w:themeColor="text1"/>
          <w:szCs w:val="22"/>
        </w:rPr>
        <w:t xml:space="preserve">he demand for </w:t>
      </w:r>
      <w:r w:rsidR="00087D59" w:rsidRPr="00CB093C">
        <w:rPr>
          <w:rFonts w:ascii="Arial" w:hAnsi="Arial" w:cs="Arial"/>
          <w:iCs/>
          <w:color w:val="000000" w:themeColor="text1"/>
          <w:szCs w:val="22"/>
        </w:rPr>
        <w:t xml:space="preserve">carbon for </w:t>
      </w:r>
      <w:r w:rsidR="0063025A" w:rsidRPr="00CB093C">
        <w:rPr>
          <w:rFonts w:ascii="Arial" w:hAnsi="Arial" w:cs="Arial"/>
          <w:iCs/>
          <w:color w:val="000000" w:themeColor="text1"/>
          <w:szCs w:val="22"/>
        </w:rPr>
        <w:t xml:space="preserve">growth. </w:t>
      </w:r>
      <w:r w:rsidR="00181CAC" w:rsidRPr="00CB093C">
        <w:rPr>
          <w:rFonts w:ascii="Arial" w:hAnsi="Arial" w:cs="Arial"/>
          <w:iCs/>
          <w:color w:val="000000" w:themeColor="text1"/>
          <w:szCs w:val="22"/>
        </w:rPr>
        <w:t xml:space="preserve">Leaf </w:t>
      </w:r>
      <w:r w:rsidR="0063025A" w:rsidRPr="00CB093C">
        <w:rPr>
          <w:rFonts w:ascii="Arial" w:hAnsi="Arial" w:cs="Arial"/>
          <w:iCs/>
          <w:color w:val="000000" w:themeColor="text1"/>
          <w:szCs w:val="22"/>
        </w:rPr>
        <w:t xml:space="preserve">N:P ratios </w:t>
      </w:r>
      <w:r w:rsidR="00D37158" w:rsidRPr="00CB093C">
        <w:rPr>
          <w:rFonts w:ascii="Arial" w:hAnsi="Arial" w:cs="Arial"/>
          <w:iCs/>
          <w:color w:val="000000" w:themeColor="text1"/>
          <w:szCs w:val="22"/>
        </w:rPr>
        <w:t xml:space="preserve">and %N </w:t>
      </w:r>
      <w:r w:rsidR="00181CAC" w:rsidRPr="00CB093C">
        <w:rPr>
          <w:rFonts w:ascii="Arial" w:hAnsi="Arial" w:cs="Arial"/>
          <w:iCs/>
          <w:color w:val="000000" w:themeColor="text1"/>
          <w:szCs w:val="22"/>
        </w:rPr>
        <w:t xml:space="preserve">also </w:t>
      </w:r>
      <w:r w:rsidR="00087D59" w:rsidRPr="00CB093C">
        <w:rPr>
          <w:rFonts w:ascii="Arial" w:hAnsi="Arial" w:cs="Arial"/>
          <w:iCs/>
          <w:color w:val="000000" w:themeColor="text1"/>
          <w:szCs w:val="22"/>
        </w:rPr>
        <w:t>incr</w:t>
      </w:r>
      <w:r w:rsidR="00D37158" w:rsidRPr="00CB093C">
        <w:rPr>
          <w:rFonts w:ascii="Arial" w:hAnsi="Arial" w:cs="Arial"/>
          <w:iCs/>
          <w:color w:val="000000" w:themeColor="text1"/>
          <w:szCs w:val="22"/>
        </w:rPr>
        <w:t>eas</w:t>
      </w:r>
      <w:r w:rsidR="00087D59" w:rsidRPr="00CB093C">
        <w:rPr>
          <w:rFonts w:ascii="Arial" w:hAnsi="Arial" w:cs="Arial"/>
          <w:iCs/>
          <w:color w:val="000000" w:themeColor="text1"/>
          <w:szCs w:val="22"/>
        </w:rPr>
        <w:t>ed</w:t>
      </w:r>
      <w:r w:rsidR="0063025A" w:rsidRPr="00CB093C">
        <w:rPr>
          <w:rFonts w:ascii="Arial" w:hAnsi="Arial" w:cs="Arial"/>
          <w:iCs/>
          <w:color w:val="000000" w:themeColor="text1"/>
          <w:szCs w:val="22"/>
        </w:rPr>
        <w:t xml:space="preserve"> </w:t>
      </w:r>
      <w:r w:rsidR="00D37158" w:rsidRPr="00CB093C">
        <w:rPr>
          <w:rFonts w:ascii="Arial" w:hAnsi="Arial" w:cs="Arial"/>
          <w:iCs/>
          <w:color w:val="000000" w:themeColor="text1"/>
          <w:szCs w:val="22"/>
        </w:rPr>
        <w:t>(</w:t>
      </w:r>
      <w:r w:rsidR="00D37158" w:rsidRPr="00CB093C">
        <w:rPr>
          <w:rFonts w:ascii="Arial" w:hAnsi="Arial" w:cs="Arial"/>
          <w:iCs/>
          <w:color w:val="000000" w:themeColor="text1"/>
          <w:szCs w:val="22"/>
        </w:rPr>
        <w:fldChar w:fldCharType="begin"/>
      </w:r>
      <w:r w:rsidR="00D37158" w:rsidRPr="00CB093C">
        <w:rPr>
          <w:rFonts w:ascii="Arial" w:hAnsi="Arial" w:cs="Arial"/>
          <w:iCs/>
          <w:color w:val="000000" w:themeColor="text1"/>
          <w:szCs w:val="22"/>
        </w:rPr>
        <w:instrText xml:space="preserve"> REF _Ref380082962 \h  \* MERGEFORMAT </w:instrText>
      </w:r>
      <w:r w:rsidR="00D37158" w:rsidRPr="00CB093C">
        <w:rPr>
          <w:rFonts w:ascii="Arial" w:hAnsi="Arial" w:cs="Arial"/>
          <w:iCs/>
          <w:color w:val="000000" w:themeColor="text1"/>
          <w:szCs w:val="22"/>
        </w:rPr>
      </w:r>
      <w:r w:rsidR="00D37158" w:rsidRPr="00CB093C">
        <w:rPr>
          <w:rFonts w:ascii="Arial" w:hAnsi="Arial" w:cs="Arial"/>
          <w:iCs/>
          <w:color w:val="000000" w:themeColor="text1"/>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33</w:t>
      </w:r>
      <w:r w:rsidR="00D37158" w:rsidRPr="00CB093C">
        <w:rPr>
          <w:rFonts w:ascii="Arial" w:hAnsi="Arial" w:cs="Arial"/>
          <w:iCs/>
          <w:color w:val="000000" w:themeColor="text1"/>
          <w:szCs w:val="22"/>
        </w:rPr>
        <w:fldChar w:fldCharType="end"/>
      </w:r>
      <w:r w:rsidR="00D37158" w:rsidRPr="00CB093C">
        <w:rPr>
          <w:rFonts w:ascii="Arial" w:hAnsi="Arial" w:cs="Arial"/>
          <w:iCs/>
          <w:color w:val="000000" w:themeColor="text1"/>
          <w:szCs w:val="22"/>
        </w:rPr>
        <w:t>)</w:t>
      </w:r>
      <w:r w:rsidR="0063025A" w:rsidRPr="00CB093C">
        <w:rPr>
          <w:rFonts w:ascii="Arial" w:hAnsi="Arial" w:cs="Arial"/>
          <w:iCs/>
          <w:color w:val="000000" w:themeColor="text1"/>
          <w:szCs w:val="22"/>
        </w:rPr>
        <w:t xml:space="preserve">, providing further evidence that nitrogen has been </w:t>
      </w:r>
      <w:r w:rsidR="00087D59" w:rsidRPr="00CB093C">
        <w:rPr>
          <w:rFonts w:ascii="Arial" w:hAnsi="Arial" w:cs="Arial"/>
          <w:iCs/>
          <w:color w:val="000000" w:themeColor="text1"/>
          <w:szCs w:val="22"/>
        </w:rPr>
        <w:t>elevated</w:t>
      </w:r>
      <w:r w:rsidR="0063025A" w:rsidRPr="00CB093C">
        <w:rPr>
          <w:rFonts w:ascii="Arial" w:hAnsi="Arial" w:cs="Arial"/>
          <w:iCs/>
          <w:color w:val="000000" w:themeColor="text1"/>
          <w:szCs w:val="22"/>
        </w:rPr>
        <w:t xml:space="preserve"> in the seagrass habitats of Cape York</w:t>
      </w:r>
      <w:r w:rsidR="00087D59" w:rsidRPr="00CB093C">
        <w:rPr>
          <w:rFonts w:ascii="Arial" w:hAnsi="Arial" w:cs="Arial"/>
          <w:iCs/>
          <w:color w:val="000000" w:themeColor="text1"/>
          <w:szCs w:val="22"/>
        </w:rPr>
        <w:t xml:space="preserve">, but the low and reducing </w:t>
      </w:r>
      <w:r w:rsidR="00D37158" w:rsidRPr="00CB093C">
        <w:rPr>
          <w:rFonts w:ascii="Arial" w:hAnsi="Arial" w:cs="Arial"/>
          <w:iCs/>
          <w:color w:val="000000" w:themeColor="text1"/>
          <w:szCs w:val="22"/>
        </w:rPr>
        <w:t>δ</w:t>
      </w:r>
      <w:r w:rsidR="00087D59" w:rsidRPr="00CB093C">
        <w:rPr>
          <w:rFonts w:ascii="Arial" w:hAnsi="Arial" w:cs="Arial"/>
          <w:iCs/>
          <w:color w:val="000000" w:themeColor="text1"/>
          <w:szCs w:val="22"/>
          <w:vertAlign w:val="superscript"/>
        </w:rPr>
        <w:t>15</w:t>
      </w:r>
      <w:r w:rsidR="00087D59" w:rsidRPr="00CB093C">
        <w:rPr>
          <w:rFonts w:ascii="Arial" w:hAnsi="Arial" w:cs="Arial"/>
          <w:iCs/>
          <w:color w:val="000000" w:themeColor="text1"/>
          <w:szCs w:val="22"/>
        </w:rPr>
        <w:t xml:space="preserve">N </w:t>
      </w:r>
      <w:r w:rsidR="00D37158" w:rsidRPr="00CB093C">
        <w:rPr>
          <w:rFonts w:ascii="Arial" w:hAnsi="Arial" w:cs="Arial"/>
          <w:iCs/>
          <w:color w:val="000000" w:themeColor="text1"/>
          <w:szCs w:val="22"/>
        </w:rPr>
        <w:t>(</w:t>
      </w:r>
      <w:r w:rsidR="00D37158" w:rsidRPr="00CB093C">
        <w:rPr>
          <w:rFonts w:ascii="Arial" w:hAnsi="Arial" w:cs="Arial"/>
          <w:iCs/>
          <w:color w:val="000000" w:themeColor="text1"/>
          <w:szCs w:val="22"/>
        </w:rPr>
        <w:fldChar w:fldCharType="begin"/>
      </w:r>
      <w:r w:rsidR="00D37158" w:rsidRPr="00CB093C">
        <w:rPr>
          <w:rFonts w:ascii="Arial" w:hAnsi="Arial" w:cs="Arial"/>
          <w:iCs/>
          <w:color w:val="000000" w:themeColor="text1"/>
          <w:szCs w:val="22"/>
        </w:rPr>
        <w:instrText xml:space="preserve"> REF _Ref380082962 \h  \* MERGEFORMAT </w:instrText>
      </w:r>
      <w:r w:rsidR="00D37158" w:rsidRPr="00CB093C">
        <w:rPr>
          <w:rFonts w:ascii="Arial" w:hAnsi="Arial" w:cs="Arial"/>
          <w:iCs/>
          <w:color w:val="000000" w:themeColor="text1"/>
          <w:szCs w:val="22"/>
        </w:rPr>
      </w:r>
      <w:r w:rsidR="00D37158" w:rsidRPr="00CB093C">
        <w:rPr>
          <w:rFonts w:ascii="Arial" w:hAnsi="Arial" w:cs="Arial"/>
          <w:iCs/>
          <w:color w:val="000000" w:themeColor="text1"/>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33</w:t>
      </w:r>
      <w:r w:rsidR="00D37158" w:rsidRPr="00CB093C">
        <w:rPr>
          <w:rFonts w:ascii="Arial" w:hAnsi="Arial" w:cs="Arial"/>
          <w:iCs/>
          <w:color w:val="000000" w:themeColor="text1"/>
          <w:szCs w:val="22"/>
        </w:rPr>
        <w:fldChar w:fldCharType="end"/>
      </w:r>
      <w:r w:rsidR="00D37158" w:rsidRPr="00CB093C">
        <w:rPr>
          <w:rFonts w:ascii="Arial" w:hAnsi="Arial" w:cs="Arial"/>
          <w:iCs/>
          <w:color w:val="000000" w:themeColor="text1"/>
          <w:szCs w:val="22"/>
        </w:rPr>
        <w:t xml:space="preserve">) </w:t>
      </w:r>
      <w:r w:rsidR="00087D59" w:rsidRPr="00CB093C">
        <w:rPr>
          <w:rFonts w:ascii="Arial" w:hAnsi="Arial" w:cs="Arial"/>
          <w:iCs/>
          <w:color w:val="000000" w:themeColor="text1"/>
          <w:szCs w:val="22"/>
        </w:rPr>
        <w:t xml:space="preserve">suggests this is not an </w:t>
      </w:r>
      <w:r w:rsidR="007A70FE" w:rsidRPr="00CB093C">
        <w:rPr>
          <w:rFonts w:ascii="Arial" w:hAnsi="Arial" w:cs="Arial"/>
          <w:iCs/>
          <w:color w:val="000000" w:themeColor="text1"/>
          <w:szCs w:val="22"/>
        </w:rPr>
        <w:t>anthropogenic</w:t>
      </w:r>
      <w:r w:rsidR="00087D59" w:rsidRPr="00CB093C">
        <w:rPr>
          <w:rFonts w:ascii="Arial" w:hAnsi="Arial" w:cs="Arial"/>
          <w:iCs/>
          <w:color w:val="000000" w:themeColor="text1"/>
          <w:szCs w:val="22"/>
        </w:rPr>
        <w:t xml:space="preserve"> source of N.</w:t>
      </w:r>
    </w:p>
    <w:p w14:paraId="300B502C" w14:textId="4A9EBC44" w:rsidR="00884A13" w:rsidRPr="00CB093C" w:rsidRDefault="00884A13" w:rsidP="00CB5A6F">
      <w:pPr>
        <w:autoSpaceDE w:val="0"/>
        <w:autoSpaceDN w:val="0"/>
        <w:adjustRightInd w:val="0"/>
        <w:rPr>
          <w:rFonts w:ascii="Arial" w:hAnsi="Arial" w:cs="Arial"/>
          <w:iCs/>
          <w:color w:val="000000" w:themeColor="text1"/>
          <w:szCs w:val="22"/>
        </w:rPr>
      </w:pPr>
    </w:p>
    <w:p w14:paraId="46A94C0D" w14:textId="77777777" w:rsidR="00884A13" w:rsidRPr="00CB093C" w:rsidRDefault="00884A13" w:rsidP="00CB5A6F">
      <w:pPr>
        <w:autoSpaceDE w:val="0"/>
        <w:autoSpaceDN w:val="0"/>
        <w:adjustRightInd w:val="0"/>
        <w:rPr>
          <w:rFonts w:ascii="Arial" w:hAnsi="Arial" w:cs="Arial"/>
          <w:iCs/>
          <w:color w:val="000000" w:themeColor="text1"/>
          <w:szCs w:val="22"/>
        </w:rPr>
      </w:pPr>
    </w:p>
    <w:p w14:paraId="152C3065" w14:textId="467DCF41" w:rsidR="003611ED" w:rsidRPr="00CB093C" w:rsidRDefault="00087D59" w:rsidP="00CB5A6F">
      <w:pPr>
        <w:autoSpaceDE w:val="0"/>
        <w:autoSpaceDN w:val="0"/>
        <w:adjustRightInd w:val="0"/>
        <w:rPr>
          <w:rFonts w:ascii="Arial" w:hAnsi="Arial" w:cs="Arial"/>
          <w:iCs/>
          <w:color w:val="000000"/>
          <w:szCs w:val="22"/>
        </w:rPr>
      </w:pPr>
      <w:r w:rsidRPr="00CB093C">
        <w:rPr>
          <w:rFonts w:ascii="Arial" w:hAnsi="Arial" w:cs="Arial"/>
          <w:iCs/>
          <w:color w:val="000000" w:themeColor="text1"/>
          <w:szCs w:val="22"/>
        </w:rPr>
        <w:lastRenderedPageBreak/>
        <w:t xml:space="preserve"> </w:t>
      </w:r>
      <w:r w:rsidR="00665D56" w:rsidRPr="00CB093C">
        <w:rPr>
          <w:rFonts w:ascii="Arial" w:hAnsi="Arial" w:cs="Arial"/>
          <w:iCs/>
          <w:noProof/>
          <w:color w:val="000000"/>
          <w:szCs w:val="22"/>
          <w:lang w:val="en-US"/>
        </w:rPr>
        <w:drawing>
          <wp:inline distT="0" distB="0" distL="0" distR="0" wp14:anchorId="17B8C237" wp14:editId="15F9BFEB">
            <wp:extent cx="5557520" cy="6793574"/>
            <wp:effectExtent l="0" t="0" r="5080" b="7620"/>
            <wp:docPr id="251" name="Picture 251" descr="Set of fourteen scatter plots, displayed in seven by two matrix, with straight lines and markers showing annual elemental ratios (atomic) of seagrass leaf tissue C:N, N:P, C:P, percent Nitrogen, percent Phosphorous, delta 13 Carbon and delta 15 Nitrogen concentrations for the two seagrass habitats in the Cape York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CY_CN_yr_Dec16.png"/>
                    <pic:cNvPicPr/>
                  </pic:nvPicPr>
                  <pic:blipFill>
                    <a:blip r:embed="rId77"/>
                    <a:stretch>
                      <a:fillRect/>
                    </a:stretch>
                  </pic:blipFill>
                  <pic:spPr>
                    <a:xfrm>
                      <a:off x="0" y="0"/>
                      <a:ext cx="5560837" cy="6797629"/>
                    </a:xfrm>
                    <a:prstGeom prst="rect">
                      <a:avLst/>
                    </a:prstGeom>
                  </pic:spPr>
                </pic:pic>
              </a:graphicData>
            </a:graphic>
          </wp:inline>
        </w:drawing>
      </w:r>
    </w:p>
    <w:p w14:paraId="49BBCC2A" w14:textId="5961C397" w:rsidR="00930A4B" w:rsidRPr="00CB093C" w:rsidRDefault="00906FE6" w:rsidP="00930A4B">
      <w:pPr>
        <w:pStyle w:val="Caption"/>
        <w:rPr>
          <w:rFonts w:ascii="Arial" w:hAnsi="Arial" w:cs="Arial"/>
          <w:i/>
          <w:vanish/>
          <w:color w:val="000000" w:themeColor="text1"/>
          <w:szCs w:val="22"/>
          <w:specVanish/>
        </w:rPr>
      </w:pPr>
      <w:bookmarkStart w:id="252" w:name="_Ref380082962"/>
      <w:bookmarkStart w:id="253" w:name="_Toc431493832"/>
      <w:bookmarkStart w:id="254" w:name="_Toc6402798"/>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33</w:t>
      </w:r>
      <w:r w:rsidR="0073595B" w:rsidRPr="00CB093C">
        <w:rPr>
          <w:rFonts w:ascii="Arial" w:hAnsi="Arial" w:cs="Arial"/>
          <w:color w:val="000000"/>
          <w:szCs w:val="22"/>
        </w:rPr>
        <w:fldChar w:fldCharType="end"/>
      </w:r>
      <w:bookmarkEnd w:id="252"/>
      <w:r w:rsidRPr="00CB093C">
        <w:rPr>
          <w:rFonts w:ascii="Arial" w:hAnsi="Arial" w:cs="Arial"/>
          <w:color w:val="000000"/>
          <w:szCs w:val="22"/>
        </w:rPr>
        <w:t xml:space="preserve">. </w:t>
      </w:r>
      <w:bookmarkEnd w:id="253"/>
      <w:r w:rsidR="00930A4B" w:rsidRPr="00CB093C">
        <w:rPr>
          <w:rFonts w:ascii="Arial" w:hAnsi="Arial" w:cs="Arial"/>
          <w:i/>
          <w:color w:val="000000"/>
          <w:szCs w:val="22"/>
          <w:lang w:eastAsia="en-AU"/>
        </w:rPr>
        <w:t xml:space="preserve">Seagrass leaf tissue nutrient elemental ratios (C:N:P) and </w:t>
      </w:r>
      <w:r w:rsidR="00930A4B" w:rsidRPr="00CB093C">
        <w:rPr>
          <w:rFonts w:ascii="Arial" w:hAnsi="Arial" w:cs="Arial"/>
          <w:i/>
          <w:color w:val="000000"/>
          <w:szCs w:val="22"/>
          <w:lang w:val="en-US"/>
        </w:rPr>
        <w:t>concentrations (</w:t>
      </w:r>
      <w:r w:rsidR="00930A4B" w:rsidRPr="00CB093C">
        <w:rPr>
          <w:rFonts w:ascii="Arial" w:hAnsi="Arial" w:cs="Arial"/>
          <w:i/>
          <w:color w:val="000000"/>
          <w:szCs w:val="22"/>
          <w:lang w:eastAsia="en-AU"/>
        </w:rPr>
        <w:t xml:space="preserve">%N, %P, </w:t>
      </w:r>
      <w:r w:rsidR="00930A4B" w:rsidRPr="00CB093C">
        <w:rPr>
          <w:rFonts w:ascii="Arial" w:hAnsi="Arial" w:cs="Arial"/>
          <w:i/>
          <w:color w:val="000000"/>
          <w:szCs w:val="22"/>
        </w:rPr>
        <w:t>δ</w:t>
      </w:r>
      <w:r w:rsidR="00930A4B" w:rsidRPr="00CB093C">
        <w:rPr>
          <w:rFonts w:ascii="Arial" w:hAnsi="Arial" w:cs="Arial"/>
          <w:i/>
          <w:color w:val="000000"/>
          <w:szCs w:val="22"/>
          <w:vertAlign w:val="superscript"/>
        </w:rPr>
        <w:t>13</w:t>
      </w:r>
      <w:r w:rsidR="00930A4B" w:rsidRPr="00CB093C">
        <w:rPr>
          <w:rFonts w:ascii="Arial" w:hAnsi="Arial" w:cs="Arial"/>
          <w:i/>
          <w:color w:val="000000"/>
          <w:szCs w:val="22"/>
        </w:rPr>
        <w:t>C</w:t>
      </w:r>
      <w:r w:rsidR="00930A4B" w:rsidRPr="00CB093C">
        <w:rPr>
          <w:rFonts w:ascii="Arial" w:hAnsi="Arial" w:cs="Arial"/>
          <w:i/>
          <w:color w:val="000000"/>
          <w:szCs w:val="22"/>
          <w:lang w:val="en-US"/>
        </w:rPr>
        <w:t xml:space="preserve"> and </w:t>
      </w:r>
      <w:r w:rsidR="00930A4B" w:rsidRPr="00CB093C">
        <w:rPr>
          <w:rFonts w:ascii="Arial" w:hAnsi="Arial" w:cs="Arial"/>
          <w:i/>
          <w:color w:val="000000"/>
          <w:szCs w:val="22"/>
        </w:rPr>
        <w:t>δ</w:t>
      </w:r>
      <w:r w:rsidR="00930A4B" w:rsidRPr="00CB093C">
        <w:rPr>
          <w:rFonts w:ascii="Arial" w:hAnsi="Arial" w:cs="Arial"/>
          <w:i/>
          <w:color w:val="000000"/>
          <w:szCs w:val="22"/>
          <w:vertAlign w:val="superscript"/>
        </w:rPr>
        <w:t>15</w:t>
      </w:r>
      <w:r w:rsidR="00930A4B" w:rsidRPr="00CB093C">
        <w:rPr>
          <w:rFonts w:ascii="Arial" w:hAnsi="Arial" w:cs="Arial"/>
          <w:i/>
          <w:color w:val="000000"/>
          <w:szCs w:val="22"/>
        </w:rPr>
        <w:t>N)</w:t>
      </w:r>
      <w:r w:rsidR="00930A4B" w:rsidRPr="00CB093C">
        <w:rPr>
          <w:rFonts w:ascii="Arial" w:hAnsi="Arial" w:cs="Arial"/>
          <w:i/>
          <w:color w:val="000000"/>
          <w:szCs w:val="22"/>
          <w:lang w:val="en-US"/>
        </w:rPr>
        <w:t xml:space="preserve"> </w:t>
      </w:r>
      <w:r w:rsidR="00930A4B" w:rsidRPr="00CB093C">
        <w:rPr>
          <w:rFonts w:ascii="Arial" w:hAnsi="Arial" w:cs="Arial"/>
          <w:i/>
          <w:color w:val="000000"/>
          <w:szCs w:val="22"/>
          <w:lang w:eastAsia="en-AU"/>
        </w:rPr>
        <w:t>for each habitat in the Cape York NRM region</w:t>
      </w:r>
      <w:bookmarkEnd w:id="254"/>
    </w:p>
    <w:p w14:paraId="26A53F52" w14:textId="43FBAAFD" w:rsidR="00906FE6" w:rsidRPr="00CB093C" w:rsidRDefault="00930A4B" w:rsidP="00930A4B">
      <w:pPr>
        <w:rPr>
          <w:rFonts w:ascii="Arial" w:hAnsi="Arial" w:cs="Arial"/>
          <w:i/>
          <w:color w:val="000000"/>
          <w:szCs w:val="22"/>
          <w:lang w:eastAsia="en-AU"/>
        </w:rPr>
      </w:pPr>
      <w:r w:rsidRPr="00CB093C">
        <w:rPr>
          <w:rFonts w:ascii="Arial" w:hAnsi="Arial" w:cs="Arial"/>
          <w:i/>
          <w:color w:val="000000"/>
          <w:szCs w:val="22"/>
          <w:lang w:eastAsia="en-AU"/>
        </w:rPr>
        <w:t xml:space="preserve"> (± SE) (foundation species pooled). Horizontal shaded bands or dashed lines represents the accepted seagrass </w:t>
      </w:r>
      <w:r w:rsidRPr="00CB093C">
        <w:rPr>
          <w:rFonts w:ascii="Arial" w:hAnsi="Arial" w:cs="Arial"/>
          <w:i/>
          <w:color w:val="000000"/>
          <w:szCs w:val="22"/>
        </w:rPr>
        <w:t xml:space="preserve">guideline </w:t>
      </w:r>
      <w:r w:rsidRPr="00CB093C">
        <w:rPr>
          <w:rFonts w:ascii="Arial" w:hAnsi="Arial" w:cs="Arial"/>
          <w:i/>
          <w:color w:val="000000"/>
          <w:szCs w:val="22"/>
          <w:lang w:eastAsia="en-AU"/>
        </w:rPr>
        <w:t xml:space="preserve">values, where: C:N ratios within the band may </w:t>
      </w:r>
      <w:r w:rsidRPr="00CB093C">
        <w:rPr>
          <w:rFonts w:ascii="Arial" w:hAnsi="Arial" w:cs="Arial"/>
          <w:i/>
          <w:color w:val="000000"/>
          <w:szCs w:val="22"/>
        </w:rPr>
        <w:t xml:space="preserve">indicate reduced light availability and/or N enrichment; </w:t>
      </w:r>
      <w:r w:rsidRPr="00CB093C">
        <w:rPr>
          <w:rFonts w:ascii="Arial" w:hAnsi="Arial" w:cs="Arial"/>
          <w:i/>
          <w:color w:val="000000"/>
          <w:szCs w:val="22"/>
          <w:lang w:eastAsia="en-AU"/>
        </w:rPr>
        <w:t xml:space="preserve">N:P ratios above the band indicate P limitation, below indicate N limitation and within indicates replete, and; C:P ratios within the band may </w:t>
      </w:r>
      <w:r w:rsidRPr="00CB093C">
        <w:rPr>
          <w:rFonts w:ascii="Arial" w:hAnsi="Arial" w:cs="Arial"/>
          <w:i/>
          <w:color w:val="000000"/>
          <w:szCs w:val="22"/>
        </w:rPr>
        <w:t xml:space="preserve">indicate </w:t>
      </w:r>
      <w:r w:rsidRPr="00CB093C">
        <w:rPr>
          <w:rFonts w:ascii="Arial" w:hAnsi="Arial" w:cs="Arial"/>
          <w:i/>
          <w:color w:val="000000"/>
          <w:szCs w:val="22"/>
          <w:lang w:eastAsia="en-AU"/>
        </w:rPr>
        <w:t xml:space="preserve">nutrient rich </w:t>
      </w:r>
      <w:r w:rsidRPr="00CB093C">
        <w:rPr>
          <w:rFonts w:ascii="Arial" w:hAnsi="Arial" w:cs="Arial"/>
          <w:i/>
          <w:color w:val="000000"/>
          <w:szCs w:val="22"/>
          <w:lang w:eastAsia="en-AU"/>
        </w:rPr>
        <w:lastRenderedPageBreak/>
        <w:t>habitats (large P pool).</w:t>
      </w:r>
      <w:r w:rsidRPr="00CB093C">
        <w:rPr>
          <w:rFonts w:ascii="Arial" w:hAnsi="Arial" w:cs="Arial"/>
          <w:color w:val="000000"/>
          <w:szCs w:val="22"/>
          <w:lang w:eastAsia="en-AU"/>
        </w:rPr>
        <w:t xml:space="preserve"> </w:t>
      </w:r>
      <w:r w:rsidRPr="00CB093C">
        <w:rPr>
          <w:rFonts w:ascii="Arial" w:hAnsi="Arial" w:cs="Arial"/>
          <w:i/>
          <w:color w:val="000000"/>
          <w:szCs w:val="22"/>
        </w:rPr>
        <w:t xml:space="preserve">Dashed lines in %N and %P indicate global median values of 1.8 </w:t>
      </w:r>
      <w:r w:rsidR="00882B72" w:rsidRPr="00CB093C">
        <w:rPr>
          <w:rFonts w:ascii="Arial" w:hAnsi="Arial" w:cs="Arial"/>
          <w:i/>
          <w:color w:val="000000"/>
          <w:szCs w:val="22"/>
        </w:rPr>
        <w:t>%</w:t>
      </w:r>
      <w:r w:rsidRPr="00CB093C">
        <w:rPr>
          <w:rFonts w:ascii="Arial" w:hAnsi="Arial" w:cs="Arial"/>
          <w:i/>
          <w:color w:val="000000"/>
          <w:szCs w:val="22"/>
        </w:rPr>
        <w:t xml:space="preserve"> and 0.2 </w:t>
      </w:r>
      <w:r w:rsidR="00882B72" w:rsidRPr="00CB093C">
        <w:rPr>
          <w:rFonts w:ascii="Arial" w:hAnsi="Arial" w:cs="Arial"/>
          <w:i/>
          <w:color w:val="000000"/>
          <w:szCs w:val="22"/>
        </w:rPr>
        <w:t>%</w:t>
      </w:r>
      <w:r w:rsidRPr="00CB093C">
        <w:rPr>
          <w:rFonts w:ascii="Arial" w:hAnsi="Arial" w:cs="Arial"/>
          <w:i/>
          <w:color w:val="000000"/>
          <w:szCs w:val="22"/>
        </w:rPr>
        <w:t xml:space="preserve"> for tissue nitrogen and phosphorus, respectively (</w:t>
      </w:r>
      <w:hyperlink w:anchor="_ENREF_50" w:tooltip="Duarte, 1990 #1954" w:history="1">
        <w:r w:rsidR="00513C39" w:rsidRPr="00CB093C">
          <w:rPr>
            <w:rFonts w:ascii="Arial" w:hAnsi="Arial" w:cs="Arial"/>
            <w:i/>
            <w:color w:val="000000"/>
            <w:szCs w:val="22"/>
          </w:rPr>
          <w:fldChar w:fldCharType="begin"/>
        </w:r>
        <w:r w:rsidR="00513C39" w:rsidRPr="00CB093C">
          <w:rPr>
            <w:rFonts w:ascii="Arial" w:hAnsi="Arial" w:cs="Arial"/>
            <w:i/>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513C39" w:rsidRPr="00CB093C">
          <w:rPr>
            <w:rFonts w:ascii="Arial" w:hAnsi="Arial" w:cs="Arial"/>
            <w:i/>
            <w:color w:val="000000"/>
            <w:szCs w:val="22"/>
          </w:rPr>
          <w:fldChar w:fldCharType="separate"/>
        </w:r>
        <w:r w:rsidR="00513C39" w:rsidRPr="00CB093C">
          <w:rPr>
            <w:rFonts w:ascii="Arial" w:hAnsi="Arial" w:cs="Arial"/>
            <w:i/>
            <w:noProof/>
            <w:color w:val="000000"/>
            <w:szCs w:val="22"/>
          </w:rPr>
          <w:t>Duarte 1990</w:t>
        </w:r>
        <w:r w:rsidR="00513C39" w:rsidRPr="00CB093C">
          <w:rPr>
            <w:rFonts w:ascii="Arial" w:hAnsi="Arial" w:cs="Arial"/>
            <w:i/>
            <w:color w:val="000000"/>
            <w:szCs w:val="22"/>
          </w:rPr>
          <w:fldChar w:fldCharType="end"/>
        </w:r>
      </w:hyperlink>
      <w:r w:rsidRPr="00CB093C">
        <w:rPr>
          <w:rFonts w:ascii="Arial" w:hAnsi="Arial" w:cs="Arial"/>
          <w:i/>
          <w:color w:val="000000"/>
          <w:szCs w:val="22"/>
        </w:rPr>
        <w:t>).</w:t>
      </w:r>
    </w:p>
    <w:p w14:paraId="2F565465" w14:textId="6F49E1D5" w:rsidR="00906FE6" w:rsidRPr="00CB093C" w:rsidRDefault="00906FE6" w:rsidP="00BF420D">
      <w:pPr>
        <w:pStyle w:val="Heading3"/>
        <w:numPr>
          <w:ilvl w:val="3"/>
          <w:numId w:val="4"/>
        </w:numPr>
        <w:rPr>
          <w:rFonts w:ascii="Arial" w:hAnsi="Arial" w:cs="Arial"/>
          <w:b w:val="0"/>
          <w:i/>
          <w:color w:val="000000"/>
          <w:sz w:val="22"/>
          <w:szCs w:val="22"/>
        </w:rPr>
      </w:pPr>
      <w:bookmarkStart w:id="255" w:name="_Toc232845908"/>
      <w:bookmarkStart w:id="256" w:name="_Toc184101976"/>
      <w:bookmarkStart w:id="257" w:name="_Toc11394732"/>
      <w:r w:rsidRPr="00CB093C">
        <w:rPr>
          <w:rFonts w:ascii="Arial" w:hAnsi="Arial" w:cs="Arial"/>
          <w:b w:val="0"/>
          <w:i/>
          <w:color w:val="000000"/>
          <w:sz w:val="22"/>
          <w:szCs w:val="22"/>
        </w:rPr>
        <w:t>Epiphytes and macroalgae</w:t>
      </w:r>
      <w:bookmarkEnd w:id="255"/>
      <w:bookmarkEnd w:id="256"/>
      <w:bookmarkEnd w:id="257"/>
    </w:p>
    <w:p w14:paraId="107BF60D" w14:textId="1ED3E0AA" w:rsidR="00363A3D" w:rsidRPr="00CB093C" w:rsidRDefault="00906FE6" w:rsidP="00906FE6">
      <w:pPr>
        <w:rPr>
          <w:rFonts w:ascii="Arial" w:hAnsi="Arial" w:cs="Arial"/>
          <w:szCs w:val="22"/>
          <w:lang w:val="en-US"/>
        </w:rPr>
      </w:pPr>
      <w:r w:rsidRPr="00CB093C">
        <w:rPr>
          <w:rFonts w:ascii="Arial" w:hAnsi="Arial" w:cs="Arial"/>
          <w:szCs w:val="22"/>
          <w:lang w:val="en-US"/>
        </w:rPr>
        <w:t xml:space="preserve">Epiphyte cover on seagrass leaf blades </w:t>
      </w:r>
      <w:r w:rsidR="00DA6AEE" w:rsidRPr="00CB093C">
        <w:rPr>
          <w:rFonts w:ascii="Arial" w:hAnsi="Arial" w:cs="Arial"/>
          <w:szCs w:val="22"/>
          <w:lang w:val="en-US"/>
        </w:rPr>
        <w:t xml:space="preserve">remained below the long-term average at coastal habitats, and fluctuated close to the long-term average at </w:t>
      </w:r>
      <w:r w:rsidRPr="00CB093C">
        <w:rPr>
          <w:rFonts w:ascii="Arial" w:hAnsi="Arial" w:cs="Arial"/>
          <w:szCs w:val="22"/>
          <w:lang w:val="en-US"/>
        </w:rPr>
        <w:t xml:space="preserve">reef </w:t>
      </w:r>
      <w:r w:rsidR="00DA6AEE" w:rsidRPr="00CB093C">
        <w:rPr>
          <w:rFonts w:ascii="Arial" w:hAnsi="Arial" w:cs="Arial"/>
          <w:szCs w:val="22"/>
          <w:lang w:val="en-US"/>
        </w:rPr>
        <w:t>habitats</w:t>
      </w:r>
      <w:r w:rsidRPr="00CB093C">
        <w:rPr>
          <w:rFonts w:ascii="Arial" w:hAnsi="Arial" w:cs="Arial"/>
          <w:szCs w:val="22"/>
          <w:lang w:val="en-US"/>
        </w:rPr>
        <w:t xml:space="preserve"> (</w:t>
      </w:r>
      <w:r w:rsidRPr="00CB093C">
        <w:rPr>
          <w:rFonts w:ascii="Arial" w:hAnsi="Arial" w:cs="Arial"/>
          <w:szCs w:val="22"/>
          <w:lang w:val="en-US"/>
        </w:rPr>
        <w:fldChar w:fldCharType="begin"/>
      </w:r>
      <w:r w:rsidRPr="00CB093C">
        <w:rPr>
          <w:rFonts w:ascii="Arial" w:hAnsi="Arial" w:cs="Arial"/>
          <w:szCs w:val="22"/>
          <w:lang w:val="en-US"/>
        </w:rPr>
        <w:instrText xml:space="preserve"> REF _Ref380084379 \h  \* MERGEFORMAT </w:instrText>
      </w:r>
      <w:r w:rsidRPr="00CB093C">
        <w:rPr>
          <w:rFonts w:ascii="Arial" w:hAnsi="Arial" w:cs="Arial"/>
          <w:szCs w:val="22"/>
          <w:lang w:val="en-US"/>
        </w:rPr>
      </w:r>
      <w:r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34</w:t>
      </w:r>
      <w:r w:rsidRPr="00CB093C">
        <w:rPr>
          <w:rFonts w:ascii="Arial" w:hAnsi="Arial" w:cs="Arial"/>
          <w:szCs w:val="22"/>
          <w:lang w:val="en-US"/>
        </w:rPr>
        <w:fldChar w:fldCharType="end"/>
      </w:r>
      <w:r w:rsidRPr="00CB093C">
        <w:rPr>
          <w:rFonts w:ascii="Arial" w:hAnsi="Arial" w:cs="Arial"/>
          <w:szCs w:val="22"/>
          <w:lang w:val="en-US"/>
        </w:rPr>
        <w:t>).</w:t>
      </w:r>
      <w:r w:rsidR="00A202F1" w:rsidRPr="00CB093C">
        <w:rPr>
          <w:rFonts w:ascii="Arial" w:hAnsi="Arial" w:cs="Arial"/>
          <w:szCs w:val="22"/>
          <w:lang w:val="en-US"/>
        </w:rPr>
        <w:t xml:space="preserve"> </w:t>
      </w:r>
    </w:p>
    <w:p w14:paraId="2C423CE1" w14:textId="30ECCCEA" w:rsidR="00906FE6" w:rsidRPr="00CB093C" w:rsidRDefault="00906FE6" w:rsidP="00906FE6">
      <w:pPr>
        <w:rPr>
          <w:rFonts w:ascii="Arial" w:hAnsi="Arial" w:cs="Arial"/>
          <w:szCs w:val="22"/>
          <w:lang w:val="en-US"/>
        </w:rPr>
      </w:pPr>
      <w:r w:rsidRPr="00CB093C">
        <w:rPr>
          <w:rFonts w:ascii="Arial" w:hAnsi="Arial" w:cs="Arial"/>
          <w:szCs w:val="22"/>
          <w:lang w:val="en-US"/>
        </w:rPr>
        <w:t>Per</w:t>
      </w:r>
      <w:r w:rsidR="007813C4" w:rsidRPr="00CB093C">
        <w:rPr>
          <w:rFonts w:ascii="Arial" w:hAnsi="Arial" w:cs="Arial"/>
          <w:szCs w:val="22"/>
          <w:lang w:val="en-US"/>
        </w:rPr>
        <w:t> </w:t>
      </w:r>
      <w:r w:rsidRPr="00CB093C">
        <w:rPr>
          <w:rFonts w:ascii="Arial" w:hAnsi="Arial" w:cs="Arial"/>
          <w:szCs w:val="22"/>
          <w:lang w:val="en-US"/>
        </w:rPr>
        <w:t xml:space="preserve">cent cover of macroalgae was variable between </w:t>
      </w:r>
      <w:r w:rsidR="00AB5998" w:rsidRPr="00CB093C">
        <w:rPr>
          <w:rFonts w:ascii="Arial" w:hAnsi="Arial" w:cs="Arial"/>
          <w:szCs w:val="22"/>
          <w:lang w:val="en-US"/>
        </w:rPr>
        <w:t>locations</w:t>
      </w:r>
      <w:r w:rsidRPr="00CB093C">
        <w:rPr>
          <w:rFonts w:ascii="Arial" w:hAnsi="Arial" w:cs="Arial"/>
          <w:szCs w:val="22"/>
          <w:lang w:val="en-US"/>
        </w:rPr>
        <w:t xml:space="preserve">, and </w:t>
      </w:r>
      <w:r w:rsidR="00AB5998" w:rsidRPr="00CB093C">
        <w:rPr>
          <w:rFonts w:ascii="Arial" w:hAnsi="Arial" w:cs="Arial"/>
          <w:szCs w:val="22"/>
          <w:lang w:val="en-US"/>
        </w:rPr>
        <w:t>remained</w:t>
      </w:r>
      <w:r w:rsidRPr="00CB093C">
        <w:rPr>
          <w:rFonts w:ascii="Arial" w:hAnsi="Arial" w:cs="Arial"/>
          <w:szCs w:val="22"/>
          <w:lang w:val="en-US"/>
        </w:rPr>
        <w:t xml:space="preserve"> above the </w:t>
      </w:r>
      <w:r w:rsidR="003158FC" w:rsidRPr="00CB093C">
        <w:rPr>
          <w:rFonts w:ascii="Arial" w:hAnsi="Arial" w:cs="Arial"/>
          <w:szCs w:val="22"/>
          <w:lang w:val="en-US"/>
        </w:rPr>
        <w:t>Reef</w:t>
      </w:r>
      <w:r w:rsidRPr="00CB093C">
        <w:rPr>
          <w:rFonts w:ascii="Arial" w:hAnsi="Arial" w:cs="Arial"/>
          <w:szCs w:val="22"/>
          <w:lang w:val="en-US"/>
        </w:rPr>
        <w:t xml:space="preserve"> long-term average for reef habitats </w:t>
      </w:r>
      <w:r w:rsidR="00AB5998" w:rsidRPr="00CB093C">
        <w:rPr>
          <w:rFonts w:ascii="Arial" w:hAnsi="Arial" w:cs="Arial"/>
          <w:szCs w:val="22"/>
          <w:lang w:val="en-US"/>
        </w:rPr>
        <w:t xml:space="preserve">in the central and north of the region </w:t>
      </w:r>
      <w:r w:rsidR="00DA6AEE" w:rsidRPr="00CB093C">
        <w:rPr>
          <w:rFonts w:ascii="Arial" w:hAnsi="Arial" w:cs="Arial"/>
          <w:szCs w:val="22"/>
          <w:lang w:val="en-US"/>
        </w:rPr>
        <w:t>for the sixth consecutive year</w:t>
      </w:r>
      <w:r w:rsidRPr="00CB093C">
        <w:rPr>
          <w:rFonts w:ascii="Arial" w:hAnsi="Arial" w:cs="Arial"/>
          <w:szCs w:val="22"/>
          <w:lang w:val="en-US"/>
        </w:rPr>
        <w:t xml:space="preserve"> (</w:t>
      </w:r>
      <w:r w:rsidRPr="00CB093C">
        <w:rPr>
          <w:rFonts w:ascii="Arial" w:hAnsi="Arial" w:cs="Arial"/>
          <w:szCs w:val="22"/>
          <w:lang w:val="en-US"/>
        </w:rPr>
        <w:fldChar w:fldCharType="begin"/>
      </w:r>
      <w:r w:rsidRPr="00CB093C">
        <w:rPr>
          <w:rFonts w:ascii="Arial" w:hAnsi="Arial" w:cs="Arial"/>
          <w:szCs w:val="22"/>
          <w:lang w:val="en-US"/>
        </w:rPr>
        <w:instrText xml:space="preserve"> REF _Ref380084379 \h  \* MERGEFORMAT </w:instrText>
      </w:r>
      <w:r w:rsidRPr="00CB093C">
        <w:rPr>
          <w:rFonts w:ascii="Arial" w:hAnsi="Arial" w:cs="Arial"/>
          <w:szCs w:val="22"/>
          <w:lang w:val="en-US"/>
        </w:rPr>
      </w:r>
      <w:r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34</w:t>
      </w:r>
      <w:r w:rsidRPr="00CB093C">
        <w:rPr>
          <w:rFonts w:ascii="Arial" w:hAnsi="Arial" w:cs="Arial"/>
          <w:szCs w:val="22"/>
          <w:lang w:val="en-US"/>
        </w:rPr>
        <w:fldChar w:fldCharType="end"/>
      </w:r>
      <w:r w:rsidRPr="00CB093C">
        <w:rPr>
          <w:rFonts w:ascii="Arial" w:hAnsi="Arial" w:cs="Arial"/>
          <w:szCs w:val="22"/>
          <w:lang w:val="en-US"/>
        </w:rPr>
        <w:t xml:space="preserve">). Macroalgae cover </w:t>
      </w:r>
      <w:r w:rsidR="00EB13D2" w:rsidRPr="00CB093C">
        <w:rPr>
          <w:rFonts w:ascii="Arial" w:hAnsi="Arial" w:cs="Arial"/>
          <w:szCs w:val="22"/>
          <w:lang w:val="en-US"/>
        </w:rPr>
        <w:t xml:space="preserve">at coastal sites has varied little and </w:t>
      </w:r>
      <w:r w:rsidR="00363A3D" w:rsidRPr="00CB093C">
        <w:rPr>
          <w:rFonts w:ascii="Arial" w:hAnsi="Arial" w:cs="Arial"/>
          <w:szCs w:val="22"/>
          <w:lang w:val="en-US"/>
        </w:rPr>
        <w:t>this year</w:t>
      </w:r>
      <w:r w:rsidR="00EB13D2" w:rsidRPr="00CB093C">
        <w:rPr>
          <w:rFonts w:ascii="Arial" w:hAnsi="Arial" w:cs="Arial"/>
          <w:szCs w:val="22"/>
          <w:lang w:val="en-US"/>
        </w:rPr>
        <w:t xml:space="preserve"> remained near to</w:t>
      </w:r>
      <w:r w:rsidRPr="00CB093C">
        <w:rPr>
          <w:rFonts w:ascii="Arial" w:hAnsi="Arial" w:cs="Arial"/>
          <w:szCs w:val="22"/>
          <w:lang w:val="en-US"/>
        </w:rPr>
        <w:t xml:space="preserve"> the </w:t>
      </w:r>
      <w:r w:rsidR="00363A3D" w:rsidRPr="00CB093C">
        <w:rPr>
          <w:rFonts w:ascii="Arial" w:hAnsi="Arial" w:cs="Arial"/>
          <w:szCs w:val="22"/>
          <w:lang w:val="en-US"/>
        </w:rPr>
        <w:t xml:space="preserve">Reef-wide </w:t>
      </w:r>
      <w:r w:rsidRPr="00CB093C">
        <w:rPr>
          <w:rFonts w:ascii="Arial" w:hAnsi="Arial" w:cs="Arial"/>
          <w:szCs w:val="22"/>
          <w:lang w:val="en-US"/>
        </w:rPr>
        <w:t>long-term average (</w:t>
      </w:r>
      <w:r w:rsidRPr="00CB093C">
        <w:rPr>
          <w:rFonts w:ascii="Arial" w:hAnsi="Arial" w:cs="Arial"/>
          <w:szCs w:val="22"/>
          <w:lang w:val="en-US"/>
        </w:rPr>
        <w:fldChar w:fldCharType="begin"/>
      </w:r>
      <w:r w:rsidRPr="00CB093C">
        <w:rPr>
          <w:rFonts w:ascii="Arial" w:hAnsi="Arial" w:cs="Arial"/>
          <w:szCs w:val="22"/>
          <w:lang w:val="en-US"/>
        </w:rPr>
        <w:instrText xml:space="preserve"> REF _Ref380084379 \h  \* MERGEFORMAT </w:instrText>
      </w:r>
      <w:r w:rsidRPr="00CB093C">
        <w:rPr>
          <w:rFonts w:ascii="Arial" w:hAnsi="Arial" w:cs="Arial"/>
          <w:szCs w:val="22"/>
          <w:lang w:val="en-US"/>
        </w:rPr>
      </w:r>
      <w:r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34</w:t>
      </w:r>
      <w:r w:rsidRPr="00CB093C">
        <w:rPr>
          <w:rFonts w:ascii="Arial" w:hAnsi="Arial" w:cs="Arial"/>
          <w:szCs w:val="22"/>
          <w:lang w:val="en-US"/>
        </w:rPr>
        <w:fldChar w:fldCharType="end"/>
      </w:r>
      <w:r w:rsidRPr="00CB093C">
        <w:rPr>
          <w:rFonts w:ascii="Arial" w:hAnsi="Arial" w:cs="Arial"/>
          <w:szCs w:val="22"/>
          <w:lang w:val="en-US"/>
        </w:rPr>
        <w:t>).</w:t>
      </w:r>
    </w:p>
    <w:p w14:paraId="04265A79" w14:textId="77777777" w:rsidR="00906FE6" w:rsidRPr="00CB093C" w:rsidRDefault="00665D56" w:rsidP="008579CD">
      <w:pPr>
        <w:keepNext/>
        <w:widowControl w:val="0"/>
        <w:spacing w:after="0"/>
        <w:jc w:val="center"/>
        <w:rPr>
          <w:rFonts w:ascii="Arial" w:hAnsi="Arial" w:cs="Arial"/>
          <w:szCs w:val="22"/>
          <w:lang w:val="en-US"/>
        </w:rPr>
      </w:pPr>
      <w:bookmarkStart w:id="258" w:name="_Ref211836184"/>
      <w:bookmarkStart w:id="259" w:name="_Toc232845960"/>
      <w:r w:rsidRPr="00CB093C">
        <w:rPr>
          <w:rFonts w:ascii="Arial" w:hAnsi="Arial" w:cs="Arial"/>
          <w:noProof/>
          <w:szCs w:val="22"/>
          <w:lang w:val="en-US"/>
        </w:rPr>
        <w:drawing>
          <wp:inline distT="0" distB="0" distL="0" distR="0" wp14:anchorId="04B88AA4" wp14:editId="53503E13">
            <wp:extent cx="5360234" cy="2107976"/>
            <wp:effectExtent l="0" t="0" r="0" b="6985"/>
            <wp:docPr id="290" name="Picture 290" descr="Set of four bar charts showing long-term trend in mean epiphyte and macroalgae abundance (% cover) at monitoring sites in the Cape York region, relative to the long-term average for each inshore GBR intertidal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CY_epi_algae_change_2016.png"/>
                    <pic:cNvPicPr/>
                  </pic:nvPicPr>
                  <pic:blipFill>
                    <a:blip r:embed="rId78">
                      <a:extLst>
                        <a:ext uri="{28A0092B-C50C-407E-A947-70E740481C1C}">
                          <a14:useLocalDpi xmlns:a14="http://schemas.microsoft.com/office/drawing/2010/main" val="0"/>
                        </a:ext>
                      </a:extLst>
                    </a:blip>
                    <a:stretch>
                      <a:fillRect/>
                    </a:stretch>
                  </pic:blipFill>
                  <pic:spPr>
                    <a:xfrm>
                      <a:off x="0" y="0"/>
                      <a:ext cx="5360234" cy="2107976"/>
                    </a:xfrm>
                    <a:prstGeom prst="rect">
                      <a:avLst/>
                    </a:prstGeom>
                  </pic:spPr>
                </pic:pic>
              </a:graphicData>
            </a:graphic>
          </wp:inline>
        </w:drawing>
      </w:r>
    </w:p>
    <w:p w14:paraId="4E697DCE" w14:textId="68D7C8FB" w:rsidR="00906FE6" w:rsidRPr="00CB093C" w:rsidRDefault="00906FE6" w:rsidP="00906FE6">
      <w:pPr>
        <w:rPr>
          <w:rFonts w:ascii="Arial" w:hAnsi="Arial" w:cs="Arial"/>
          <w:i/>
          <w:vanish/>
          <w:szCs w:val="22"/>
          <w:specVanish/>
        </w:rPr>
      </w:pPr>
      <w:bookmarkStart w:id="260" w:name="_Ref380084379"/>
      <w:bookmarkStart w:id="261" w:name="_Toc431493834"/>
      <w:bookmarkStart w:id="262" w:name="_Toc6402799"/>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34</w:t>
      </w:r>
      <w:r w:rsidR="00C506C7" w:rsidRPr="00CB093C">
        <w:rPr>
          <w:rFonts w:ascii="Arial" w:hAnsi="Arial" w:cs="Arial"/>
          <w:noProof/>
          <w:szCs w:val="22"/>
        </w:rPr>
        <w:fldChar w:fldCharType="end"/>
      </w:r>
      <w:bookmarkEnd w:id="258"/>
      <w:bookmarkEnd w:id="260"/>
      <w:r w:rsidRPr="00CB093C">
        <w:rPr>
          <w:rFonts w:ascii="Arial" w:hAnsi="Arial" w:cs="Arial"/>
          <w:szCs w:val="22"/>
        </w:rPr>
        <w:t xml:space="preserve">. </w:t>
      </w:r>
      <w:bookmarkEnd w:id="259"/>
      <w:r w:rsidR="00257C1B" w:rsidRPr="00CB093C">
        <w:rPr>
          <w:rFonts w:ascii="Arial" w:hAnsi="Arial" w:cs="Arial"/>
          <w:i/>
          <w:szCs w:val="22"/>
        </w:rPr>
        <w:t>Deviations in mean epiphyte and macroalgae abundance (</w:t>
      </w:r>
      <w:r w:rsidR="00882B72" w:rsidRPr="00CB093C">
        <w:rPr>
          <w:rFonts w:ascii="Arial" w:hAnsi="Arial" w:cs="Arial"/>
          <w:i/>
          <w:szCs w:val="22"/>
        </w:rPr>
        <w:t>%</w:t>
      </w:r>
      <w:r w:rsidR="00257C1B" w:rsidRPr="00CB093C">
        <w:rPr>
          <w:rFonts w:ascii="Arial" w:hAnsi="Arial" w:cs="Arial"/>
          <w:i/>
          <w:szCs w:val="22"/>
        </w:rPr>
        <w:t xml:space="preserve"> cover) at monitoring habitats in the Cape York region</w:t>
      </w:r>
      <w:r w:rsidR="00F758CA" w:rsidRPr="00CB093C">
        <w:rPr>
          <w:rFonts w:ascii="Arial" w:hAnsi="Arial" w:cs="Arial"/>
          <w:i/>
          <w:szCs w:val="22"/>
        </w:rPr>
        <w:t xml:space="preserve">, </w:t>
      </w:r>
      <w:r w:rsidRPr="00CB093C">
        <w:rPr>
          <w:rFonts w:ascii="Arial" w:hAnsi="Arial" w:cs="Arial"/>
          <w:i/>
          <w:szCs w:val="22"/>
        </w:rPr>
        <w:t xml:space="preserve">relative to the </w:t>
      </w:r>
      <w:r w:rsidR="003158FC" w:rsidRPr="00CB093C">
        <w:rPr>
          <w:rFonts w:ascii="Arial" w:hAnsi="Arial" w:cs="Arial"/>
          <w:i/>
          <w:szCs w:val="22"/>
        </w:rPr>
        <w:t>Reef</w:t>
      </w:r>
      <w:r w:rsidR="00257C1B" w:rsidRPr="00CB093C">
        <w:rPr>
          <w:rFonts w:ascii="Arial" w:hAnsi="Arial" w:cs="Arial"/>
          <w:i/>
          <w:szCs w:val="22"/>
        </w:rPr>
        <w:t xml:space="preserve"> </w:t>
      </w:r>
      <w:r w:rsidRPr="00CB093C">
        <w:rPr>
          <w:rFonts w:ascii="Arial" w:hAnsi="Arial" w:cs="Arial"/>
          <w:i/>
          <w:szCs w:val="22"/>
        </w:rPr>
        <w:t>long-term average</w:t>
      </w:r>
      <w:bookmarkEnd w:id="261"/>
      <w:bookmarkEnd w:id="262"/>
    </w:p>
    <w:p w14:paraId="400C1F9D" w14:textId="4618E0F7" w:rsidR="00906FE6" w:rsidRPr="00CB093C" w:rsidRDefault="00906FE6" w:rsidP="00906FE6">
      <w:pPr>
        <w:rPr>
          <w:rFonts w:ascii="Arial" w:hAnsi="Arial" w:cs="Arial"/>
          <w:i/>
          <w:szCs w:val="22"/>
        </w:rPr>
      </w:pPr>
      <w:r w:rsidRPr="00CB093C">
        <w:rPr>
          <w:rFonts w:ascii="Arial" w:hAnsi="Arial" w:cs="Arial"/>
          <w:i/>
          <w:szCs w:val="22"/>
        </w:rPr>
        <w:t xml:space="preserve"> (sites pooled, ±SE). </w:t>
      </w:r>
      <w:r w:rsidR="00363A3D" w:rsidRPr="00CB093C">
        <w:rPr>
          <w:rFonts w:ascii="Arial" w:hAnsi="Arial" w:cs="Arial"/>
          <w:i/>
          <w:szCs w:val="22"/>
        </w:rPr>
        <w:t xml:space="preserve">Green bars indicate positive deviations for condition, red bars negative. </w:t>
      </w:r>
    </w:p>
    <w:p w14:paraId="50035C5B" w14:textId="77777777" w:rsidR="009A2C0F" w:rsidRPr="00CB093C" w:rsidRDefault="009A2C0F">
      <w:pPr>
        <w:spacing w:before="0" w:after="0"/>
        <w:rPr>
          <w:rFonts w:ascii="Arial" w:hAnsi="Arial" w:cs="Arial"/>
          <w:szCs w:val="22"/>
        </w:rPr>
      </w:pPr>
      <w:bookmarkStart w:id="263" w:name="_Toc175991066"/>
      <w:bookmarkStart w:id="264" w:name="_Toc232845911"/>
      <w:bookmarkStart w:id="265" w:name="_Toc184101981"/>
      <w:bookmarkStart w:id="266" w:name="_Toc431493763"/>
    </w:p>
    <w:p w14:paraId="347FD01A" w14:textId="77777777" w:rsidR="00F13465" w:rsidRPr="00CB093C" w:rsidRDefault="00F13465">
      <w:pPr>
        <w:spacing w:before="0" w:after="0"/>
        <w:rPr>
          <w:rFonts w:ascii="Arial" w:hAnsi="Arial" w:cs="Arial"/>
          <w:szCs w:val="22"/>
        </w:rPr>
      </w:pPr>
      <w:r w:rsidRPr="00CB093C">
        <w:rPr>
          <w:rFonts w:ascii="Arial" w:hAnsi="Arial" w:cs="Arial"/>
          <w:szCs w:val="22"/>
        </w:rPr>
        <w:br w:type="page"/>
      </w:r>
    </w:p>
    <w:p w14:paraId="575E9775" w14:textId="77777777" w:rsidR="00F13465" w:rsidRPr="00CB093C" w:rsidRDefault="00F13465" w:rsidP="0015509E">
      <w:pPr>
        <w:pStyle w:val="Heading2"/>
      </w:pPr>
      <w:bookmarkStart w:id="267" w:name="_Toc11394733"/>
      <w:r w:rsidRPr="00CB093C">
        <w:lastRenderedPageBreak/>
        <w:t>Wet Tropics</w:t>
      </w:r>
      <w:bookmarkEnd w:id="267"/>
    </w:p>
    <w:p w14:paraId="75C3EA68" w14:textId="4C1BA4EF" w:rsidR="005132EF" w:rsidRPr="00CB093C" w:rsidRDefault="003654C6" w:rsidP="00AD06D4">
      <w:pPr>
        <w:pStyle w:val="Heading3"/>
        <w:numPr>
          <w:ilvl w:val="2"/>
          <w:numId w:val="4"/>
        </w:numPr>
        <w:rPr>
          <w:rFonts w:ascii="Arial" w:hAnsi="Arial" w:cs="Arial"/>
          <w:color w:val="000000"/>
          <w:sz w:val="22"/>
          <w:szCs w:val="22"/>
        </w:rPr>
      </w:pPr>
      <w:bookmarkStart w:id="268" w:name="_Toc184101982"/>
      <w:bookmarkStart w:id="269" w:name="_Toc431493764"/>
      <w:bookmarkStart w:id="270" w:name="_Toc11394734"/>
      <w:bookmarkEnd w:id="263"/>
      <w:bookmarkEnd w:id="264"/>
      <w:bookmarkEnd w:id="265"/>
      <w:bookmarkEnd w:id="266"/>
      <w:r>
        <w:rPr>
          <w:rFonts w:ascii="Arial" w:hAnsi="Arial" w:cs="Arial"/>
          <w:color w:val="000000"/>
          <w:sz w:val="22"/>
          <w:szCs w:val="22"/>
        </w:rPr>
        <w:t>2017–18</w:t>
      </w:r>
      <w:r w:rsidR="00C81636" w:rsidRPr="00CB093C">
        <w:rPr>
          <w:rFonts w:ascii="Arial" w:hAnsi="Arial" w:cs="Arial"/>
          <w:color w:val="000000"/>
          <w:sz w:val="22"/>
          <w:szCs w:val="22"/>
        </w:rPr>
        <w:t xml:space="preserve"> </w:t>
      </w:r>
      <w:r w:rsidR="005132EF" w:rsidRPr="00CB093C">
        <w:rPr>
          <w:rFonts w:ascii="Arial" w:hAnsi="Arial" w:cs="Arial"/>
          <w:color w:val="000000"/>
          <w:sz w:val="22"/>
          <w:szCs w:val="22"/>
        </w:rPr>
        <w:t>Summary</w:t>
      </w:r>
      <w:bookmarkEnd w:id="268"/>
      <w:bookmarkEnd w:id="269"/>
      <w:bookmarkEnd w:id="270"/>
    </w:p>
    <w:p w14:paraId="3B55E46A" w14:textId="53B0A122" w:rsidR="00560329" w:rsidRPr="00CB093C" w:rsidRDefault="002A7E42" w:rsidP="002A7E42">
      <w:pPr>
        <w:rPr>
          <w:rFonts w:ascii="Arial" w:hAnsi="Arial" w:cs="Arial"/>
          <w:color w:val="000000" w:themeColor="text1"/>
          <w:szCs w:val="22"/>
        </w:rPr>
      </w:pPr>
      <w:bookmarkStart w:id="271" w:name="_Toc184101983"/>
      <w:bookmarkStart w:id="272" w:name="_Toc431493765"/>
      <w:r w:rsidRPr="00CB093C">
        <w:rPr>
          <w:rFonts w:ascii="Arial" w:hAnsi="Arial" w:cs="Arial"/>
          <w:color w:val="000000" w:themeColor="text1"/>
          <w:szCs w:val="22"/>
        </w:rPr>
        <w:t xml:space="preserve">Seagrass meadows within the Wet Tropics were the only ones across the </w:t>
      </w:r>
      <w:r w:rsidR="00560329" w:rsidRPr="00CB093C">
        <w:rPr>
          <w:rFonts w:ascii="Arial" w:hAnsi="Arial" w:cs="Arial"/>
          <w:color w:val="000000" w:themeColor="text1"/>
          <w:szCs w:val="22"/>
        </w:rPr>
        <w:t xml:space="preserve">Reef </w:t>
      </w:r>
      <w:r w:rsidRPr="00CB093C">
        <w:rPr>
          <w:rFonts w:ascii="Arial" w:hAnsi="Arial" w:cs="Arial"/>
          <w:color w:val="000000" w:themeColor="text1"/>
          <w:szCs w:val="22"/>
        </w:rPr>
        <w:t xml:space="preserve">to show an overall improvement in seagrass condition index in </w:t>
      </w:r>
      <w:r w:rsidR="003654C6">
        <w:rPr>
          <w:rFonts w:ascii="Arial" w:hAnsi="Arial" w:cs="Arial"/>
          <w:color w:val="000000" w:themeColor="text1"/>
          <w:szCs w:val="22"/>
        </w:rPr>
        <w:t>2017–18</w:t>
      </w:r>
      <w:r w:rsidRPr="00CB093C">
        <w:rPr>
          <w:rFonts w:ascii="Arial" w:hAnsi="Arial" w:cs="Arial"/>
          <w:color w:val="000000" w:themeColor="text1"/>
          <w:szCs w:val="22"/>
        </w:rPr>
        <w:t>, but they remain in a vulnerable state</w:t>
      </w:r>
      <w:r w:rsidR="00560329" w:rsidRPr="00CB093C">
        <w:rPr>
          <w:rFonts w:ascii="Arial" w:hAnsi="Arial" w:cs="Arial"/>
          <w:color w:val="000000" w:themeColor="text1"/>
          <w:szCs w:val="22"/>
        </w:rPr>
        <w:t>, particularly</w:t>
      </w:r>
      <w:r w:rsidRPr="00CB093C">
        <w:rPr>
          <w:rFonts w:ascii="Arial" w:hAnsi="Arial" w:cs="Arial"/>
          <w:color w:val="000000" w:themeColor="text1"/>
          <w:szCs w:val="22"/>
        </w:rPr>
        <w:t xml:space="preserve"> in the southern Wet Tropics region</w:t>
      </w:r>
      <w:r w:rsidR="00560329" w:rsidRPr="00CB093C">
        <w:rPr>
          <w:rFonts w:ascii="Arial" w:hAnsi="Arial" w:cs="Arial"/>
          <w:color w:val="000000" w:themeColor="text1"/>
          <w:szCs w:val="22"/>
        </w:rPr>
        <w:t xml:space="preserve">. Overall, the status of seagrass condition in the northern Wet Tropics NRM region was </w:t>
      </w:r>
      <w:r w:rsidR="00560329" w:rsidRPr="00CB093C">
        <w:rPr>
          <w:rFonts w:ascii="Arial" w:hAnsi="Arial" w:cs="Arial"/>
          <w:b/>
          <w:color w:val="000000" w:themeColor="text1"/>
          <w:szCs w:val="22"/>
        </w:rPr>
        <w:t>moderate</w:t>
      </w:r>
      <w:r w:rsidR="00560329" w:rsidRPr="00CB093C">
        <w:rPr>
          <w:rFonts w:ascii="Arial" w:hAnsi="Arial" w:cs="Arial"/>
          <w:color w:val="000000" w:themeColor="text1"/>
          <w:szCs w:val="22"/>
        </w:rPr>
        <w:t xml:space="preserve">, but remained </w:t>
      </w:r>
      <w:r w:rsidR="00560329" w:rsidRPr="00CB093C">
        <w:rPr>
          <w:rFonts w:ascii="Arial" w:hAnsi="Arial" w:cs="Arial"/>
          <w:b/>
          <w:szCs w:val="22"/>
        </w:rPr>
        <w:t>very poor</w:t>
      </w:r>
      <w:r w:rsidR="00560329" w:rsidRPr="00CB093C">
        <w:rPr>
          <w:rFonts w:ascii="Arial" w:hAnsi="Arial" w:cs="Arial"/>
          <w:szCs w:val="22"/>
        </w:rPr>
        <w:t xml:space="preserve"> </w:t>
      </w:r>
      <w:r w:rsidR="00560329" w:rsidRPr="00CB093C">
        <w:rPr>
          <w:rFonts w:ascii="Arial" w:hAnsi="Arial" w:cs="Arial"/>
          <w:color w:val="000000" w:themeColor="text1"/>
          <w:szCs w:val="22"/>
        </w:rPr>
        <w:t>in the south (</w:t>
      </w:r>
      <w:r w:rsidR="00560329" w:rsidRPr="00CB093C">
        <w:rPr>
          <w:rFonts w:ascii="Arial" w:hAnsi="Arial" w:cs="Arial"/>
          <w:color w:val="000000" w:themeColor="text1"/>
          <w:szCs w:val="22"/>
        </w:rPr>
        <w:fldChar w:fldCharType="begin"/>
      </w:r>
      <w:r w:rsidR="00560329" w:rsidRPr="00CB093C">
        <w:rPr>
          <w:rFonts w:ascii="Arial" w:hAnsi="Arial" w:cs="Arial"/>
          <w:color w:val="000000" w:themeColor="text1"/>
          <w:szCs w:val="22"/>
        </w:rPr>
        <w:instrText xml:space="preserve"> REF _Ref385233640 \h  \* MERGEFORMAT </w:instrText>
      </w:r>
      <w:r w:rsidR="00560329" w:rsidRPr="00CB093C">
        <w:rPr>
          <w:rFonts w:ascii="Arial" w:hAnsi="Arial" w:cs="Arial"/>
          <w:color w:val="000000" w:themeColor="text1"/>
          <w:szCs w:val="22"/>
        </w:rPr>
      </w:r>
      <w:r w:rsidR="00560329" w:rsidRPr="00CB093C">
        <w:rPr>
          <w:rFonts w:ascii="Arial" w:hAnsi="Arial" w:cs="Arial"/>
          <w:color w:val="000000" w:themeColor="text1"/>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35</w:t>
      </w:r>
      <w:r w:rsidR="00560329" w:rsidRPr="00CB093C">
        <w:rPr>
          <w:rFonts w:ascii="Arial" w:hAnsi="Arial" w:cs="Arial"/>
          <w:color w:val="000000" w:themeColor="text1"/>
          <w:szCs w:val="22"/>
        </w:rPr>
        <w:fldChar w:fldCharType="end"/>
      </w:r>
      <w:r w:rsidR="00560329" w:rsidRPr="00CB093C">
        <w:rPr>
          <w:rFonts w:ascii="Arial" w:hAnsi="Arial" w:cs="Arial"/>
          <w:color w:val="000000" w:themeColor="text1"/>
          <w:szCs w:val="22"/>
        </w:rPr>
        <w:t xml:space="preserve">). </w:t>
      </w:r>
      <w:r w:rsidR="00267443" w:rsidRPr="00CB093C">
        <w:rPr>
          <w:rFonts w:ascii="Arial" w:hAnsi="Arial" w:cs="Arial"/>
          <w:color w:val="000000" w:themeColor="text1"/>
          <w:szCs w:val="22"/>
        </w:rPr>
        <w:t xml:space="preserve">Combined regional condition was poor (Figure 7). </w:t>
      </w:r>
      <w:r w:rsidR="00A5072E" w:rsidRPr="00CB093C">
        <w:rPr>
          <w:rFonts w:ascii="Arial" w:hAnsi="Arial" w:cs="Arial"/>
          <w:color w:val="000000" w:themeColor="text1"/>
          <w:szCs w:val="22"/>
        </w:rPr>
        <w:t>Contributing indicators</w:t>
      </w:r>
      <w:r w:rsidR="00AC401F" w:rsidRPr="00CB093C">
        <w:rPr>
          <w:rFonts w:ascii="Arial" w:hAnsi="Arial" w:cs="Arial"/>
          <w:color w:val="000000" w:themeColor="text1"/>
          <w:szCs w:val="22"/>
        </w:rPr>
        <w:t xml:space="preserve"> in the north were:</w:t>
      </w:r>
    </w:p>
    <w:p w14:paraId="69EBFD65" w14:textId="1EB063F5" w:rsidR="00A5072E" w:rsidRPr="00CB093C" w:rsidRDefault="00A5072E" w:rsidP="00AD06D4">
      <w:pPr>
        <w:pStyle w:val="ListParagraph"/>
        <w:numPr>
          <w:ilvl w:val="0"/>
          <w:numId w:val="27"/>
        </w:numPr>
        <w:spacing w:after="0"/>
        <w:rPr>
          <w:rFonts w:ascii="Arial" w:hAnsi="Arial" w:cs="Arial"/>
          <w:szCs w:val="22"/>
        </w:rPr>
      </w:pPr>
      <w:r w:rsidRPr="00CB093C">
        <w:rPr>
          <w:rFonts w:ascii="Arial" w:hAnsi="Arial" w:cs="Arial"/>
          <w:szCs w:val="22"/>
        </w:rPr>
        <w:t>abundance score</w:t>
      </w:r>
      <w:r w:rsidR="00AC401F" w:rsidRPr="00CB093C">
        <w:rPr>
          <w:rFonts w:ascii="Arial" w:hAnsi="Arial" w:cs="Arial"/>
          <w:szCs w:val="22"/>
        </w:rPr>
        <w:t xml:space="preserve"> was moderate</w:t>
      </w:r>
    </w:p>
    <w:p w14:paraId="0D366354" w14:textId="77777777" w:rsidR="00A90D4E" w:rsidRPr="00CB093C" w:rsidRDefault="00A90D4E" w:rsidP="00AD06D4">
      <w:pPr>
        <w:pStyle w:val="ListParagraph"/>
        <w:numPr>
          <w:ilvl w:val="0"/>
          <w:numId w:val="27"/>
        </w:numPr>
        <w:spacing w:after="0"/>
        <w:rPr>
          <w:rFonts w:ascii="Arial" w:hAnsi="Arial" w:cs="Arial"/>
          <w:szCs w:val="22"/>
        </w:rPr>
      </w:pPr>
      <w:r w:rsidRPr="00CB093C">
        <w:rPr>
          <w:rFonts w:ascii="Arial" w:hAnsi="Arial" w:cs="Arial"/>
          <w:szCs w:val="22"/>
        </w:rPr>
        <w:t xml:space="preserve">reproductive effort score was poor </w:t>
      </w:r>
    </w:p>
    <w:p w14:paraId="44CC1E30" w14:textId="4AA3CC7B" w:rsidR="00A5072E" w:rsidRPr="00CB093C" w:rsidRDefault="00A5072E" w:rsidP="00AD06D4">
      <w:pPr>
        <w:pStyle w:val="ListParagraph"/>
        <w:numPr>
          <w:ilvl w:val="0"/>
          <w:numId w:val="27"/>
        </w:numPr>
        <w:spacing w:after="0"/>
        <w:rPr>
          <w:rFonts w:ascii="Arial" w:hAnsi="Arial" w:cs="Arial"/>
          <w:szCs w:val="22"/>
        </w:rPr>
      </w:pPr>
      <w:r w:rsidRPr="00CB093C">
        <w:rPr>
          <w:rFonts w:ascii="Arial" w:hAnsi="Arial" w:cs="Arial"/>
          <w:szCs w:val="22"/>
        </w:rPr>
        <w:t>tissue nutrient score</w:t>
      </w:r>
      <w:r w:rsidR="0090169A" w:rsidRPr="00CB093C">
        <w:rPr>
          <w:rFonts w:ascii="Arial" w:hAnsi="Arial" w:cs="Arial"/>
          <w:szCs w:val="22"/>
        </w:rPr>
        <w:t xml:space="preserve"> was poor</w:t>
      </w:r>
      <w:r w:rsidR="008D1915" w:rsidRPr="00CB093C">
        <w:rPr>
          <w:rFonts w:ascii="Arial" w:hAnsi="Arial" w:cs="Arial"/>
          <w:szCs w:val="22"/>
        </w:rPr>
        <w:t>.</w:t>
      </w:r>
      <w:r w:rsidRPr="00CB093C">
        <w:rPr>
          <w:rFonts w:ascii="Arial" w:hAnsi="Arial" w:cs="Arial"/>
          <w:color w:val="000000" w:themeColor="text1"/>
          <w:szCs w:val="22"/>
        </w:rPr>
        <w:t xml:space="preserve"> </w:t>
      </w:r>
    </w:p>
    <w:p w14:paraId="09F0C318" w14:textId="70BEBEC2" w:rsidR="0090169A" w:rsidRPr="00CB093C" w:rsidRDefault="0090169A" w:rsidP="0090169A">
      <w:pPr>
        <w:rPr>
          <w:rFonts w:ascii="Arial" w:hAnsi="Arial" w:cs="Arial"/>
          <w:color w:val="000000" w:themeColor="text1"/>
          <w:szCs w:val="22"/>
        </w:rPr>
      </w:pPr>
      <w:r w:rsidRPr="00CB093C">
        <w:rPr>
          <w:rFonts w:ascii="Arial" w:hAnsi="Arial" w:cs="Arial"/>
          <w:color w:val="000000" w:themeColor="text1"/>
          <w:szCs w:val="22"/>
        </w:rPr>
        <w:t>Contributing indicators in the south were:</w:t>
      </w:r>
    </w:p>
    <w:p w14:paraId="74208818" w14:textId="67A8409A" w:rsidR="00F94043" w:rsidRPr="00CB093C" w:rsidRDefault="00F94043" w:rsidP="00AD06D4">
      <w:pPr>
        <w:pStyle w:val="ListParagraph"/>
        <w:numPr>
          <w:ilvl w:val="0"/>
          <w:numId w:val="36"/>
        </w:numPr>
        <w:spacing w:after="0"/>
        <w:rPr>
          <w:rFonts w:ascii="Arial" w:hAnsi="Arial" w:cs="Arial"/>
          <w:szCs w:val="22"/>
        </w:rPr>
      </w:pPr>
      <w:r w:rsidRPr="00CB093C">
        <w:rPr>
          <w:rFonts w:ascii="Arial" w:hAnsi="Arial" w:cs="Arial"/>
          <w:szCs w:val="22"/>
        </w:rPr>
        <w:t>abundance score was poor</w:t>
      </w:r>
    </w:p>
    <w:p w14:paraId="72657AA7" w14:textId="77777777" w:rsidR="00A90D4E" w:rsidRPr="00CB093C" w:rsidRDefault="00F94043" w:rsidP="00AD06D4">
      <w:pPr>
        <w:pStyle w:val="ListParagraph"/>
        <w:numPr>
          <w:ilvl w:val="0"/>
          <w:numId w:val="36"/>
        </w:numPr>
        <w:rPr>
          <w:rFonts w:ascii="Arial" w:hAnsi="Arial" w:cs="Arial"/>
          <w:color w:val="000000" w:themeColor="text1"/>
          <w:szCs w:val="22"/>
        </w:rPr>
      </w:pPr>
      <w:r w:rsidRPr="00CB093C">
        <w:rPr>
          <w:rFonts w:ascii="Arial" w:hAnsi="Arial" w:cs="Arial"/>
          <w:szCs w:val="22"/>
        </w:rPr>
        <w:t>reproductive effort score was very poor</w:t>
      </w:r>
    </w:p>
    <w:p w14:paraId="60A900A0" w14:textId="4C6DD4EF" w:rsidR="0090169A" w:rsidRPr="00CB093C" w:rsidRDefault="00A90D4E" w:rsidP="00AD06D4">
      <w:pPr>
        <w:pStyle w:val="ListParagraph"/>
        <w:numPr>
          <w:ilvl w:val="0"/>
          <w:numId w:val="36"/>
        </w:numPr>
        <w:spacing w:after="0"/>
        <w:rPr>
          <w:rFonts w:ascii="Arial" w:hAnsi="Arial" w:cs="Arial"/>
          <w:szCs w:val="22"/>
        </w:rPr>
      </w:pPr>
      <w:r w:rsidRPr="00CB093C">
        <w:rPr>
          <w:rFonts w:ascii="Arial" w:hAnsi="Arial" w:cs="Arial"/>
          <w:szCs w:val="22"/>
        </w:rPr>
        <w:t>tissue nutrient score was poor</w:t>
      </w:r>
      <w:r w:rsidR="00F94043" w:rsidRPr="00CB093C">
        <w:rPr>
          <w:rFonts w:ascii="Arial" w:hAnsi="Arial" w:cs="Arial"/>
          <w:szCs w:val="22"/>
        </w:rPr>
        <w:t>.</w:t>
      </w:r>
      <w:r w:rsidR="00F94043" w:rsidRPr="00CB093C">
        <w:rPr>
          <w:rFonts w:ascii="Arial" w:hAnsi="Arial" w:cs="Arial"/>
          <w:color w:val="000000" w:themeColor="text1"/>
          <w:szCs w:val="22"/>
        </w:rPr>
        <w:t xml:space="preserve"> </w:t>
      </w:r>
    </w:p>
    <w:p w14:paraId="11772119" w14:textId="4A1614DF" w:rsidR="00A5072E" w:rsidRPr="00CB093C" w:rsidRDefault="002A7E42" w:rsidP="00A5072E">
      <w:pPr>
        <w:rPr>
          <w:rFonts w:ascii="Arial" w:hAnsi="Arial" w:cs="Arial"/>
          <w:szCs w:val="22"/>
        </w:rPr>
      </w:pPr>
      <w:r w:rsidRPr="00CB093C">
        <w:rPr>
          <w:rFonts w:ascii="Arial" w:hAnsi="Arial" w:cs="Arial"/>
          <w:color w:val="000000" w:themeColor="text1"/>
          <w:szCs w:val="22"/>
        </w:rPr>
        <w:t>S</w:t>
      </w:r>
      <w:r w:rsidRPr="00CB093C">
        <w:rPr>
          <w:rFonts w:ascii="Arial" w:hAnsi="Arial" w:cs="Arial"/>
          <w:szCs w:val="22"/>
        </w:rPr>
        <w:t xml:space="preserve">eagrass abundance increased relative to the previous period, </w:t>
      </w:r>
      <w:r w:rsidR="00A5072E" w:rsidRPr="00CB093C">
        <w:rPr>
          <w:rFonts w:ascii="Arial" w:hAnsi="Arial" w:cs="Arial"/>
          <w:szCs w:val="22"/>
        </w:rPr>
        <w:t>with</w:t>
      </w:r>
      <w:r w:rsidRPr="00CB093C">
        <w:rPr>
          <w:rFonts w:ascii="Arial" w:hAnsi="Arial" w:cs="Arial"/>
          <w:szCs w:val="22"/>
        </w:rPr>
        <w:t xml:space="preserve"> increases in </w:t>
      </w:r>
      <w:r w:rsidR="00882B72" w:rsidRPr="00CB093C">
        <w:rPr>
          <w:rFonts w:ascii="Arial" w:hAnsi="Arial" w:cs="Arial"/>
          <w:szCs w:val="22"/>
        </w:rPr>
        <w:t>%</w:t>
      </w:r>
      <w:r w:rsidRPr="00CB093C">
        <w:rPr>
          <w:rFonts w:ascii="Arial" w:hAnsi="Arial" w:cs="Arial"/>
          <w:szCs w:val="22"/>
        </w:rPr>
        <w:t xml:space="preserve"> cover at nearly 60% of sites, predominately in reef meadows. In the north, this was likely assisted by the lower river discharge, adequate light (&gt;10 mol m</w:t>
      </w:r>
      <w:r w:rsidRPr="00CB093C">
        <w:rPr>
          <w:rFonts w:ascii="Arial" w:hAnsi="Arial" w:cs="Arial"/>
          <w:szCs w:val="22"/>
          <w:vertAlign w:val="superscript"/>
        </w:rPr>
        <w:t>-2</w:t>
      </w:r>
      <w:r w:rsidRPr="00CB093C">
        <w:rPr>
          <w:rFonts w:ascii="Arial" w:hAnsi="Arial" w:cs="Arial"/>
          <w:szCs w:val="22"/>
        </w:rPr>
        <w:t xml:space="preserve"> d</w:t>
      </w:r>
      <w:r w:rsidRPr="00CB093C">
        <w:rPr>
          <w:rFonts w:ascii="Arial" w:hAnsi="Arial" w:cs="Arial"/>
          <w:szCs w:val="22"/>
          <w:vertAlign w:val="superscript"/>
        </w:rPr>
        <w:t>-1</w:t>
      </w:r>
      <w:r w:rsidRPr="00CB093C">
        <w:rPr>
          <w:rFonts w:ascii="Arial" w:hAnsi="Arial" w:cs="Arial"/>
          <w:szCs w:val="22"/>
        </w:rPr>
        <w:t xml:space="preserve">) and warmer </w:t>
      </w:r>
      <w:r w:rsidR="00CC6767" w:rsidRPr="00CB093C">
        <w:rPr>
          <w:rFonts w:ascii="Arial" w:hAnsi="Arial" w:cs="Arial"/>
          <w:szCs w:val="22"/>
        </w:rPr>
        <w:t xml:space="preserve">sea </w:t>
      </w:r>
      <w:r w:rsidRPr="00CB093C">
        <w:rPr>
          <w:rFonts w:ascii="Arial" w:hAnsi="Arial" w:cs="Arial"/>
          <w:szCs w:val="22"/>
        </w:rPr>
        <w:t>temperatures. In the south, the improvement was not as great, possibly due to lower available light (&lt;10 mol m</w:t>
      </w:r>
      <w:r w:rsidRPr="00CB093C">
        <w:rPr>
          <w:rFonts w:ascii="Arial" w:hAnsi="Arial" w:cs="Arial"/>
          <w:szCs w:val="22"/>
          <w:vertAlign w:val="superscript"/>
        </w:rPr>
        <w:t>-2</w:t>
      </w:r>
      <w:r w:rsidRPr="00CB093C">
        <w:rPr>
          <w:rFonts w:ascii="Arial" w:hAnsi="Arial" w:cs="Arial"/>
          <w:szCs w:val="22"/>
        </w:rPr>
        <w:t xml:space="preserve"> d</w:t>
      </w:r>
      <w:r w:rsidRPr="00CB093C">
        <w:rPr>
          <w:rFonts w:ascii="Arial" w:hAnsi="Arial" w:cs="Arial"/>
          <w:szCs w:val="22"/>
          <w:vertAlign w:val="superscript"/>
        </w:rPr>
        <w:t>-1</w:t>
      </w:r>
      <w:r w:rsidRPr="00CB093C">
        <w:rPr>
          <w:rFonts w:ascii="Arial" w:hAnsi="Arial" w:cs="Arial"/>
          <w:szCs w:val="22"/>
        </w:rPr>
        <w:t xml:space="preserve">), </w:t>
      </w:r>
      <w:r w:rsidR="00CC6767" w:rsidRPr="00CB093C">
        <w:rPr>
          <w:rFonts w:ascii="Arial" w:hAnsi="Arial" w:cs="Arial"/>
          <w:szCs w:val="22"/>
        </w:rPr>
        <w:t>due to</w:t>
      </w:r>
      <w:r w:rsidRPr="00CB093C">
        <w:rPr>
          <w:rFonts w:ascii="Arial" w:hAnsi="Arial" w:cs="Arial"/>
          <w:szCs w:val="22"/>
        </w:rPr>
        <w:t xml:space="preserve"> above</w:t>
      </w:r>
      <w:r w:rsidR="00CC6767" w:rsidRPr="00CB093C">
        <w:rPr>
          <w:rFonts w:ascii="Arial" w:hAnsi="Arial" w:cs="Arial"/>
          <w:szCs w:val="22"/>
        </w:rPr>
        <w:t>-</w:t>
      </w:r>
      <w:r w:rsidRPr="00CB093C">
        <w:rPr>
          <w:rFonts w:ascii="Arial" w:hAnsi="Arial" w:cs="Arial"/>
          <w:szCs w:val="22"/>
        </w:rPr>
        <w:t xml:space="preserve">average river discharge, coupled with the warmer temperatures exacerbating chronic stress conditions in the seagrass and further impacting growth. </w:t>
      </w:r>
    </w:p>
    <w:p w14:paraId="23CE7771" w14:textId="05CAAB97" w:rsidR="002A7E42" w:rsidRPr="00CB093C" w:rsidRDefault="002A7E42" w:rsidP="002A7E42">
      <w:pPr>
        <w:rPr>
          <w:rFonts w:ascii="Arial" w:hAnsi="Arial" w:cs="Arial"/>
          <w:szCs w:val="22"/>
        </w:rPr>
      </w:pPr>
      <w:r w:rsidRPr="00CB093C">
        <w:rPr>
          <w:rFonts w:ascii="Arial" w:hAnsi="Arial" w:cs="Arial"/>
          <w:szCs w:val="22"/>
        </w:rPr>
        <w:t>An examination of temporal trends in seagrass abundance across the region show a significant decrease over the long-term, however trends vary between the sub-regions reflecting a complex range of environmental and biological processes affecting recovery rates. In the north, 40% of reef sites have significantly declined in abundance over the long-term, while no trend was apparent for the remaining sites or habitats. In the south, only sites in coastal habitats have significantly declined over the long-term.</w:t>
      </w:r>
    </w:p>
    <w:p w14:paraId="4A5FE7CC" w14:textId="4B256877" w:rsidR="00A5072E" w:rsidRPr="00CB093C" w:rsidRDefault="002A7E42" w:rsidP="002A7E42">
      <w:pPr>
        <w:rPr>
          <w:rFonts w:ascii="Arial" w:hAnsi="Arial" w:cs="Arial"/>
          <w:color w:val="000000" w:themeColor="text1"/>
          <w:szCs w:val="22"/>
        </w:rPr>
      </w:pPr>
      <w:r w:rsidRPr="00CB093C">
        <w:rPr>
          <w:rFonts w:ascii="Arial" w:hAnsi="Arial" w:cs="Arial"/>
          <w:color w:val="000000" w:themeColor="text1"/>
          <w:szCs w:val="22"/>
        </w:rPr>
        <w:t xml:space="preserve">The declines are a consequence of the significant losses that occurred from 2009 to 2011, the result of multiple years of above-average rainfall and severe weather events. Recovery of seagrass meadows post 2011 has been challenged, particularly in the south, by unstable substrates (legacy of </w:t>
      </w:r>
      <w:r w:rsidR="00A5072E" w:rsidRPr="00CB093C">
        <w:rPr>
          <w:rFonts w:ascii="Arial" w:hAnsi="Arial" w:cs="Arial"/>
          <w:color w:val="000000" w:themeColor="text1"/>
          <w:szCs w:val="22"/>
        </w:rPr>
        <w:t xml:space="preserve">cyclone </w:t>
      </w:r>
      <w:r w:rsidRPr="00CB093C">
        <w:rPr>
          <w:rFonts w:ascii="Arial" w:hAnsi="Arial" w:cs="Arial"/>
          <w:color w:val="000000" w:themeColor="text1"/>
          <w:szCs w:val="22"/>
        </w:rPr>
        <w:t xml:space="preserve">Yasi), chronic poor water quality (high turbidity, light limitation, elevated temperatures), and limited recruitment capacity. </w:t>
      </w:r>
    </w:p>
    <w:p w14:paraId="42C8EFE2" w14:textId="554465A7" w:rsidR="002A7E42" w:rsidRPr="00CB093C" w:rsidRDefault="002A7E42" w:rsidP="002A7E42">
      <w:pPr>
        <w:rPr>
          <w:rFonts w:ascii="Arial" w:hAnsi="Arial" w:cs="Arial"/>
          <w:szCs w:val="22"/>
        </w:rPr>
      </w:pPr>
      <w:r w:rsidRPr="00CB093C">
        <w:rPr>
          <w:rFonts w:ascii="Arial" w:hAnsi="Arial" w:cs="Arial"/>
          <w:szCs w:val="22"/>
        </w:rPr>
        <w:lastRenderedPageBreak/>
        <w:t xml:space="preserve">While meadows in the north have maintained a healthy seed bank and </w:t>
      </w:r>
      <w:r w:rsidRPr="00CB093C">
        <w:rPr>
          <w:rFonts w:ascii="Arial" w:hAnsi="Arial" w:cs="Arial"/>
          <w:szCs w:val="22"/>
          <w:lang w:eastAsia="en-AU"/>
        </w:rPr>
        <w:t xml:space="preserve">reproductive effort peaked during </w:t>
      </w:r>
      <w:r w:rsidR="003654C6">
        <w:rPr>
          <w:rFonts w:ascii="Arial" w:hAnsi="Arial" w:cs="Arial"/>
          <w:szCs w:val="22"/>
          <w:lang w:eastAsia="en-AU"/>
        </w:rPr>
        <w:t>2017–18</w:t>
      </w:r>
      <w:r w:rsidRPr="00CB093C">
        <w:rPr>
          <w:rFonts w:ascii="Arial" w:hAnsi="Arial" w:cs="Arial"/>
          <w:szCs w:val="22"/>
          <w:lang w:eastAsia="en-AU"/>
        </w:rPr>
        <w:t>, in the south reproductive structures and seed banks remained absent. This has limited recovery in the south to rely</w:t>
      </w:r>
      <w:r w:rsidR="00A5072E" w:rsidRPr="00CB093C">
        <w:rPr>
          <w:rFonts w:ascii="Arial" w:hAnsi="Arial" w:cs="Arial"/>
          <w:szCs w:val="22"/>
          <w:lang w:eastAsia="en-AU"/>
        </w:rPr>
        <w:t>ing</w:t>
      </w:r>
      <w:r w:rsidRPr="00CB093C">
        <w:rPr>
          <w:rFonts w:ascii="Arial" w:hAnsi="Arial" w:cs="Arial"/>
          <w:szCs w:val="22"/>
          <w:lang w:eastAsia="en-AU"/>
        </w:rPr>
        <w:t xml:space="preserve"> on expansion of </w:t>
      </w:r>
      <w:r w:rsidR="00A5072E" w:rsidRPr="00CB093C">
        <w:rPr>
          <w:rFonts w:ascii="Arial" w:hAnsi="Arial" w:cs="Arial"/>
          <w:szCs w:val="22"/>
          <w:lang w:eastAsia="en-AU"/>
        </w:rPr>
        <w:t xml:space="preserve">remnant </w:t>
      </w:r>
      <w:r w:rsidRPr="00CB093C">
        <w:rPr>
          <w:rFonts w:ascii="Arial" w:hAnsi="Arial" w:cs="Arial"/>
          <w:szCs w:val="22"/>
          <w:lang w:eastAsia="en-AU"/>
        </w:rPr>
        <w:t xml:space="preserve">plants or recruitment from </w:t>
      </w:r>
      <w:r w:rsidR="00A5072E" w:rsidRPr="00CB093C">
        <w:rPr>
          <w:rFonts w:ascii="Arial" w:hAnsi="Arial" w:cs="Arial"/>
          <w:szCs w:val="22"/>
          <w:lang w:eastAsia="en-AU"/>
        </w:rPr>
        <w:t xml:space="preserve">elsewhere </w:t>
      </w:r>
      <w:r w:rsidR="00CC6767" w:rsidRPr="00CB093C">
        <w:rPr>
          <w:rFonts w:ascii="Arial" w:hAnsi="Arial" w:cs="Arial"/>
          <w:szCs w:val="22"/>
          <w:lang w:eastAsia="en-AU"/>
        </w:rPr>
        <w:t xml:space="preserve">(e.g., vegetative </w:t>
      </w:r>
      <w:r w:rsidRPr="00CB093C">
        <w:rPr>
          <w:rFonts w:ascii="Arial" w:hAnsi="Arial" w:cs="Arial"/>
          <w:szCs w:val="22"/>
          <w:lang w:eastAsia="en-AU"/>
        </w:rPr>
        <w:t>fragments</w:t>
      </w:r>
      <w:r w:rsidR="00CC6767" w:rsidRPr="00CB093C">
        <w:rPr>
          <w:rFonts w:ascii="Arial" w:hAnsi="Arial" w:cs="Arial"/>
          <w:szCs w:val="22"/>
          <w:lang w:eastAsia="en-AU"/>
        </w:rPr>
        <w:t>)</w:t>
      </w:r>
      <w:r w:rsidRPr="00CB093C">
        <w:rPr>
          <w:rFonts w:ascii="Arial" w:hAnsi="Arial" w:cs="Arial"/>
          <w:szCs w:val="22"/>
          <w:lang w:eastAsia="en-AU"/>
        </w:rPr>
        <w:t>. The absence of reproductive structures and seed banks may render the seagrass at risk from further disturbances, as recovery potential remains extremely low without a seed bank.</w:t>
      </w:r>
    </w:p>
    <w:p w14:paraId="31A79608" w14:textId="4DE424F3" w:rsidR="002A7E42" w:rsidRPr="00CB093C" w:rsidRDefault="002A7E42" w:rsidP="002A7E42">
      <w:pPr>
        <w:rPr>
          <w:rFonts w:ascii="Arial" w:hAnsi="Arial" w:cs="Arial"/>
          <w:color w:val="000000" w:themeColor="text1"/>
          <w:szCs w:val="22"/>
        </w:rPr>
      </w:pPr>
      <w:r w:rsidRPr="00CB093C">
        <w:rPr>
          <w:rFonts w:ascii="Arial" w:hAnsi="Arial" w:cs="Arial"/>
          <w:szCs w:val="22"/>
        </w:rPr>
        <w:t>Across both the north and south, leaf tissue nutrients (C:N), have remained unchanged for a number of years, and suggest an excess of nitrogen relative photosynthetic C uptake (C:N &lt;20), which is consistent with the high frequency of exposure to secondary water. Nutrient status therefore remained poor. Examination of the sub-regional indicator scores highlights the differences between the seagrass condition index in the north and south of the Wet Tropics.</w:t>
      </w:r>
      <w:r w:rsidRPr="00CB093C">
        <w:rPr>
          <w:rFonts w:ascii="Arial" w:hAnsi="Arial" w:cs="Arial"/>
          <w:szCs w:val="22"/>
          <w:lang w:val="en-GB"/>
        </w:rPr>
        <w:t xml:space="preserve"> The increase in the seagrass condition index was primarily due to improved scores in abundance, assisted in the north by reproductive effort. </w:t>
      </w:r>
    </w:p>
    <w:p w14:paraId="5032498D" w14:textId="77777777" w:rsidR="00334002" w:rsidRPr="00CB093C" w:rsidRDefault="00334002" w:rsidP="00F7114B">
      <w:pPr>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6854967B" wp14:editId="716A7528">
            <wp:extent cx="5764908" cy="2203840"/>
            <wp:effectExtent l="0" t="0" r="7620" b="6350"/>
            <wp:docPr id="291" name="Picture 291" descr="Paired scatter plot with straight lines and markers showing seagrass condition index (including standard errors), with contributing indicator scores for the northern and southern sections of the Wet Tropics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INDEX_WT_2016.png"/>
                    <pic:cNvPicPr/>
                  </pic:nvPicPr>
                  <pic:blipFill>
                    <a:blip r:embed="rId79">
                      <a:extLst>
                        <a:ext uri="{28A0092B-C50C-407E-A947-70E740481C1C}">
                          <a14:useLocalDpi xmlns:a14="http://schemas.microsoft.com/office/drawing/2010/main" val="0"/>
                        </a:ext>
                      </a:extLst>
                    </a:blip>
                    <a:stretch>
                      <a:fillRect/>
                    </a:stretch>
                  </pic:blipFill>
                  <pic:spPr>
                    <a:xfrm>
                      <a:off x="0" y="0"/>
                      <a:ext cx="5764908" cy="2203840"/>
                    </a:xfrm>
                    <a:prstGeom prst="rect">
                      <a:avLst/>
                    </a:prstGeom>
                  </pic:spPr>
                </pic:pic>
              </a:graphicData>
            </a:graphic>
          </wp:inline>
        </w:drawing>
      </w:r>
    </w:p>
    <w:p w14:paraId="343C87B5" w14:textId="28159C20" w:rsidR="00F7114B" w:rsidRPr="00CB093C" w:rsidRDefault="00F7114B" w:rsidP="00F7114B">
      <w:pPr>
        <w:rPr>
          <w:rFonts w:ascii="Arial" w:hAnsi="Arial" w:cs="Arial"/>
          <w:i/>
          <w:vanish/>
          <w:color w:val="000000"/>
          <w:szCs w:val="22"/>
          <w:specVanish/>
        </w:rPr>
      </w:pPr>
      <w:bookmarkStart w:id="273" w:name="_Ref385233640"/>
      <w:bookmarkStart w:id="274" w:name="_Toc431493839"/>
      <w:bookmarkStart w:id="275" w:name="_Toc6402800"/>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35</w:t>
      </w:r>
      <w:r w:rsidRPr="00CB093C">
        <w:rPr>
          <w:rFonts w:ascii="Arial" w:hAnsi="Arial" w:cs="Arial"/>
          <w:color w:val="000000"/>
          <w:szCs w:val="22"/>
        </w:rPr>
        <w:fldChar w:fldCharType="end"/>
      </w:r>
      <w:bookmarkEnd w:id="273"/>
      <w:r w:rsidRPr="00CB093C">
        <w:rPr>
          <w:rFonts w:ascii="Arial" w:hAnsi="Arial" w:cs="Arial"/>
          <w:color w:val="000000"/>
          <w:szCs w:val="22"/>
        </w:rPr>
        <w:t xml:space="preserve">. </w:t>
      </w:r>
      <w:r w:rsidRPr="00CB093C">
        <w:rPr>
          <w:rFonts w:ascii="Arial" w:hAnsi="Arial" w:cs="Arial"/>
          <w:i/>
          <w:color w:val="000000"/>
          <w:szCs w:val="22"/>
        </w:rPr>
        <w:t xml:space="preserve">Report card of seagrass </w:t>
      </w:r>
      <w:r w:rsidR="0092788B" w:rsidRPr="00CB093C">
        <w:rPr>
          <w:rFonts w:ascii="Arial" w:hAnsi="Arial" w:cs="Arial"/>
          <w:i/>
          <w:color w:val="000000"/>
          <w:szCs w:val="22"/>
        </w:rPr>
        <w:t xml:space="preserve">index and </w:t>
      </w:r>
      <w:r w:rsidRPr="00CB093C">
        <w:rPr>
          <w:rFonts w:ascii="Arial" w:hAnsi="Arial" w:cs="Arial"/>
          <w:i/>
          <w:color w:val="000000"/>
          <w:szCs w:val="22"/>
        </w:rPr>
        <w:t xml:space="preserve">indicators for the </w:t>
      </w:r>
      <w:r w:rsidR="0092788B" w:rsidRPr="00CB093C">
        <w:rPr>
          <w:rFonts w:ascii="Arial" w:hAnsi="Arial" w:cs="Arial"/>
          <w:i/>
          <w:color w:val="000000"/>
          <w:szCs w:val="22"/>
        </w:rPr>
        <w:t xml:space="preserve">northern (a.) and southern (b.) </w:t>
      </w:r>
      <w:r w:rsidRPr="00CB093C">
        <w:rPr>
          <w:rFonts w:ascii="Arial" w:hAnsi="Arial" w:cs="Arial"/>
          <w:i/>
          <w:color w:val="000000"/>
          <w:szCs w:val="22"/>
        </w:rPr>
        <w:t>Wet Tropics NRM region</w:t>
      </w:r>
      <w:bookmarkEnd w:id="274"/>
      <w:bookmarkEnd w:id="275"/>
    </w:p>
    <w:p w14:paraId="112EEA4C" w14:textId="52665FF3" w:rsidR="00F7114B" w:rsidRPr="00CB093C" w:rsidRDefault="00F7114B" w:rsidP="00F7114B">
      <w:pPr>
        <w:rPr>
          <w:rFonts w:ascii="Arial" w:hAnsi="Arial" w:cs="Arial"/>
          <w:i/>
          <w:szCs w:val="22"/>
        </w:rPr>
      </w:pPr>
      <w:r w:rsidRPr="00CB093C">
        <w:rPr>
          <w:rFonts w:ascii="Arial" w:hAnsi="Arial" w:cs="Arial"/>
          <w:i/>
          <w:color w:val="000000"/>
          <w:szCs w:val="22"/>
        </w:rPr>
        <w:t xml:space="preserve"> (average </w:t>
      </w:r>
      <w:r w:rsidRPr="00CB093C">
        <w:rPr>
          <w:rFonts w:ascii="Arial" w:hAnsi="Arial" w:cs="Arial"/>
          <w:i/>
          <w:szCs w:val="22"/>
        </w:rPr>
        <w:t xml:space="preserve">across habitats and sites). Values are indexed scores scaled </w:t>
      </w:r>
      <w:r w:rsidR="00884A13" w:rsidRPr="00CB093C">
        <w:rPr>
          <w:rFonts w:ascii="Arial" w:hAnsi="Arial" w:cs="Arial"/>
          <w:i/>
          <w:szCs w:val="22"/>
        </w:rPr>
        <w:t xml:space="preserve">0–100 and graded: </w:t>
      </w:r>
      <w:r w:rsidR="00884A13" w:rsidRPr="00CB093C">
        <w:rPr>
          <w:rFonts w:ascii="Arial" w:hAnsi="Arial" w:cs="Arial"/>
          <w:color w:val="008000"/>
          <w:szCs w:val="22"/>
        </w:rPr>
        <w:t>●</w:t>
      </w:r>
      <w:r w:rsidR="00884A13" w:rsidRPr="00CB093C">
        <w:rPr>
          <w:rFonts w:ascii="Arial" w:hAnsi="Arial" w:cs="Arial"/>
          <w:i/>
          <w:szCs w:val="22"/>
        </w:rPr>
        <w:t xml:space="preserve"> = very good (81-100), </w:t>
      </w:r>
      <w:r w:rsidR="00884A13" w:rsidRPr="00CB093C">
        <w:rPr>
          <w:rFonts w:ascii="Arial" w:hAnsi="Arial" w:cs="Arial"/>
          <w:color w:val="92D050"/>
          <w:szCs w:val="22"/>
        </w:rPr>
        <w:t>●</w:t>
      </w:r>
      <w:r w:rsidR="00884A13" w:rsidRPr="00CB093C">
        <w:rPr>
          <w:rFonts w:ascii="Arial" w:hAnsi="Arial" w:cs="Arial"/>
          <w:i/>
          <w:szCs w:val="22"/>
        </w:rPr>
        <w:t xml:space="preserve"> = good (61 - 80), </w:t>
      </w:r>
      <w:r w:rsidR="00884A13" w:rsidRPr="00CB093C">
        <w:rPr>
          <w:rFonts w:ascii="Arial" w:hAnsi="Arial" w:cs="Arial"/>
          <w:color w:val="FFFF00"/>
          <w:szCs w:val="22"/>
        </w:rPr>
        <w:t>●</w:t>
      </w:r>
      <w:r w:rsidR="00884A13" w:rsidRPr="00CB093C">
        <w:rPr>
          <w:rFonts w:ascii="Arial" w:hAnsi="Arial" w:cs="Arial"/>
          <w:i/>
          <w:szCs w:val="22"/>
        </w:rPr>
        <w:t xml:space="preserve"> = moderate (41 - 60), </w:t>
      </w:r>
      <w:r w:rsidR="00884A13" w:rsidRPr="00CB093C">
        <w:rPr>
          <w:rFonts w:ascii="Arial" w:hAnsi="Arial" w:cs="Arial"/>
          <w:i/>
          <w:color w:val="FFC000"/>
          <w:szCs w:val="22"/>
        </w:rPr>
        <w:t>●</w:t>
      </w:r>
      <w:r w:rsidR="00884A13" w:rsidRPr="00CB093C">
        <w:rPr>
          <w:rFonts w:ascii="Arial" w:hAnsi="Arial" w:cs="Arial"/>
          <w:i/>
          <w:szCs w:val="22"/>
        </w:rPr>
        <w:t xml:space="preserve"> = poor (21 - 40), </w:t>
      </w:r>
      <w:r w:rsidR="00884A13" w:rsidRPr="00CB093C">
        <w:rPr>
          <w:rFonts w:ascii="Arial" w:hAnsi="Arial" w:cs="Arial"/>
          <w:i/>
          <w:color w:val="FF0000"/>
          <w:szCs w:val="22"/>
        </w:rPr>
        <w:t>●</w:t>
      </w:r>
      <w:r w:rsidR="00884A13" w:rsidRPr="00CB093C">
        <w:rPr>
          <w:rFonts w:ascii="Arial" w:hAnsi="Arial" w:cs="Arial"/>
          <w:i/>
          <w:szCs w:val="22"/>
        </w:rPr>
        <w:t> = very poor (0 - 20).</w:t>
      </w:r>
      <w:r w:rsidR="00884A13" w:rsidRPr="00CB093C">
        <w:rPr>
          <w:rFonts w:ascii="Arial" w:hAnsi="Arial" w:cs="Arial"/>
          <w:i/>
          <w:color w:val="000000"/>
          <w:szCs w:val="22"/>
        </w:rPr>
        <w:t xml:space="preserve"> NB: Scores</w:t>
      </w:r>
      <w:r w:rsidR="00884A13" w:rsidRPr="00CB093C">
        <w:rPr>
          <w:rFonts w:ascii="Arial" w:hAnsi="Arial" w:cs="Arial"/>
          <w:i/>
          <w:szCs w:val="22"/>
        </w:rPr>
        <w:t xml:space="preserve"> are unitless.</w:t>
      </w:r>
    </w:p>
    <w:p w14:paraId="3373D563" w14:textId="77777777" w:rsidR="001227E6" w:rsidRPr="00CB093C" w:rsidRDefault="001227E6" w:rsidP="00AD06D4">
      <w:pPr>
        <w:pStyle w:val="Heading3"/>
        <w:numPr>
          <w:ilvl w:val="2"/>
          <w:numId w:val="4"/>
        </w:numPr>
        <w:rPr>
          <w:rFonts w:ascii="Arial" w:hAnsi="Arial" w:cs="Arial"/>
          <w:color w:val="000000"/>
          <w:sz w:val="22"/>
          <w:szCs w:val="22"/>
        </w:rPr>
      </w:pPr>
      <w:bookmarkStart w:id="276" w:name="_Toc11394735"/>
      <w:r w:rsidRPr="00CB093C">
        <w:rPr>
          <w:rFonts w:ascii="Arial" w:hAnsi="Arial" w:cs="Arial"/>
          <w:color w:val="000000"/>
          <w:sz w:val="22"/>
          <w:szCs w:val="22"/>
        </w:rPr>
        <w:t>Climate and environmental pressures</w:t>
      </w:r>
      <w:bookmarkEnd w:id="276"/>
    </w:p>
    <w:p w14:paraId="3B670779" w14:textId="66F07129" w:rsidR="004848CF" w:rsidRPr="00CB093C" w:rsidRDefault="004848CF" w:rsidP="004848CF">
      <w:pPr>
        <w:rPr>
          <w:rFonts w:ascii="Arial" w:hAnsi="Arial" w:cs="Arial"/>
          <w:color w:val="000000" w:themeColor="text1"/>
          <w:szCs w:val="22"/>
        </w:rPr>
      </w:pPr>
      <w:bookmarkStart w:id="277" w:name="_Toc431493766"/>
      <w:bookmarkStart w:id="278" w:name="_Toc170192305"/>
      <w:bookmarkEnd w:id="271"/>
      <w:bookmarkEnd w:id="272"/>
      <w:r w:rsidRPr="00CB093C">
        <w:rPr>
          <w:rFonts w:ascii="Arial" w:hAnsi="Arial" w:cs="Arial"/>
          <w:color w:val="000000" w:themeColor="text1"/>
          <w:szCs w:val="22"/>
        </w:rPr>
        <w:t xml:space="preserve">Annual rainfall and river discharge were </w:t>
      </w:r>
      <w:r w:rsidR="00F164F7" w:rsidRPr="00CB093C">
        <w:rPr>
          <w:rFonts w:ascii="Arial" w:hAnsi="Arial" w:cs="Arial"/>
          <w:color w:val="000000" w:themeColor="text1"/>
          <w:szCs w:val="22"/>
        </w:rPr>
        <w:t xml:space="preserve">slightly </w:t>
      </w:r>
      <w:r w:rsidR="00A90D4E" w:rsidRPr="00CB093C">
        <w:rPr>
          <w:rFonts w:ascii="Arial" w:hAnsi="Arial" w:cs="Arial"/>
          <w:color w:val="000000" w:themeColor="text1"/>
          <w:szCs w:val="22"/>
        </w:rPr>
        <w:t>above</w:t>
      </w:r>
      <w:r w:rsidRPr="00CB093C">
        <w:rPr>
          <w:rFonts w:ascii="Arial" w:hAnsi="Arial" w:cs="Arial"/>
          <w:color w:val="000000" w:themeColor="text1"/>
          <w:szCs w:val="22"/>
        </w:rPr>
        <w:t xml:space="preserve"> </w:t>
      </w:r>
      <w:r w:rsidR="00C10A9F" w:rsidRPr="00CB093C">
        <w:rPr>
          <w:rFonts w:ascii="Arial" w:hAnsi="Arial" w:cs="Arial"/>
          <w:color w:val="000000" w:themeColor="text1"/>
          <w:szCs w:val="22"/>
        </w:rPr>
        <w:t xml:space="preserve">the long-term </w:t>
      </w:r>
      <w:r w:rsidRPr="00CB093C">
        <w:rPr>
          <w:rFonts w:ascii="Arial" w:hAnsi="Arial" w:cs="Arial"/>
          <w:color w:val="000000" w:themeColor="text1"/>
          <w:szCs w:val="22"/>
        </w:rPr>
        <w:t xml:space="preserve">average across the northern Wet Tropics during </w:t>
      </w:r>
      <w:r w:rsidR="003654C6">
        <w:rPr>
          <w:rFonts w:ascii="Arial" w:hAnsi="Arial" w:cs="Arial"/>
          <w:color w:val="000000" w:themeColor="text1"/>
          <w:szCs w:val="22"/>
        </w:rPr>
        <w:t>2017–18</w:t>
      </w:r>
      <w:r w:rsidR="00A954FD" w:rsidRPr="00CB093C">
        <w:rPr>
          <w:rFonts w:ascii="Arial" w:hAnsi="Arial" w:cs="Arial"/>
          <w:color w:val="000000" w:themeColor="text1"/>
          <w:szCs w:val="22"/>
        </w:rPr>
        <w:t xml:space="preserve">. </w:t>
      </w:r>
      <w:r w:rsidR="004554C1" w:rsidRPr="00CB093C">
        <w:rPr>
          <w:rFonts w:ascii="Arial" w:hAnsi="Arial" w:cs="Arial"/>
          <w:color w:val="000000" w:themeColor="text1"/>
          <w:szCs w:val="22"/>
        </w:rPr>
        <w:t>Exposure to primary (‘brown’ sediment laden) or secondary (‘green’, phytoplankton rich) turbid water was similar to the long-term average and highly variable among sites (</w:t>
      </w:r>
      <w:r w:rsidR="004554C1" w:rsidRPr="00CB093C">
        <w:rPr>
          <w:rFonts w:ascii="Arial" w:hAnsi="Arial" w:cs="Arial"/>
          <w:color w:val="000000" w:themeColor="text1"/>
          <w:szCs w:val="22"/>
        </w:rPr>
        <w:fldChar w:fldCharType="begin"/>
      </w:r>
      <w:r w:rsidR="004554C1" w:rsidRPr="00CB093C">
        <w:rPr>
          <w:rFonts w:ascii="Arial" w:hAnsi="Arial" w:cs="Arial"/>
          <w:color w:val="000000" w:themeColor="text1"/>
          <w:szCs w:val="22"/>
        </w:rPr>
        <w:instrText xml:space="preserve"> REF _Ref533507332 \h </w:instrText>
      </w:r>
      <w:r w:rsidR="00CB093C" w:rsidRPr="00CB093C">
        <w:rPr>
          <w:rFonts w:ascii="Arial" w:hAnsi="Arial" w:cs="Arial"/>
          <w:color w:val="000000" w:themeColor="text1"/>
          <w:szCs w:val="22"/>
        </w:rPr>
        <w:instrText xml:space="preserve"> \* MERGEFORMAT </w:instrText>
      </w:r>
      <w:r w:rsidR="004554C1" w:rsidRPr="00CB093C">
        <w:rPr>
          <w:rFonts w:ascii="Arial" w:hAnsi="Arial" w:cs="Arial"/>
          <w:color w:val="000000" w:themeColor="text1"/>
          <w:szCs w:val="22"/>
        </w:rPr>
      </w:r>
      <w:r w:rsidR="004554C1"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36</w:t>
      </w:r>
      <w:r w:rsidR="004554C1" w:rsidRPr="00CB093C">
        <w:rPr>
          <w:rFonts w:ascii="Arial" w:hAnsi="Arial" w:cs="Arial"/>
          <w:color w:val="000000" w:themeColor="text1"/>
          <w:szCs w:val="22"/>
        </w:rPr>
        <w:fldChar w:fldCharType="end"/>
      </w:r>
      <w:r w:rsidR="004554C1" w:rsidRPr="00CB093C">
        <w:rPr>
          <w:rFonts w:ascii="Arial" w:hAnsi="Arial" w:cs="Arial"/>
          <w:color w:val="000000" w:themeColor="text1"/>
          <w:szCs w:val="22"/>
        </w:rPr>
        <w:t xml:space="preserve">). Coastal sites at Yule Point (YP1 and YP2) were the only sites exposed to ‘brown’, sediment laden, waters (15–30% of wet season weeks), while the remaining reef sites were only exposed to ‘green’, </w:t>
      </w:r>
      <w:r w:rsidR="004554C1" w:rsidRPr="00CB093C">
        <w:rPr>
          <w:rFonts w:ascii="Arial" w:hAnsi="Arial" w:cs="Arial"/>
          <w:szCs w:val="22"/>
        </w:rPr>
        <w:t>phytoplankton rich,</w:t>
      </w:r>
      <w:r w:rsidR="004554C1" w:rsidRPr="00CB093C">
        <w:rPr>
          <w:rFonts w:ascii="Arial" w:hAnsi="Arial" w:cs="Arial"/>
          <w:color w:val="000000" w:themeColor="text1"/>
          <w:szCs w:val="22"/>
        </w:rPr>
        <w:t xml:space="preserve"> waters (20–33% of </w:t>
      </w:r>
      <w:r w:rsidR="004554C1" w:rsidRPr="00CB093C">
        <w:rPr>
          <w:rFonts w:ascii="Arial" w:hAnsi="Arial" w:cs="Arial"/>
          <w:color w:val="000000" w:themeColor="text1"/>
          <w:szCs w:val="22"/>
        </w:rPr>
        <w:lastRenderedPageBreak/>
        <w:t>wet season weeks) (</w:t>
      </w:r>
      <w:r w:rsidR="004554C1" w:rsidRPr="00CB093C">
        <w:rPr>
          <w:rFonts w:ascii="Arial" w:hAnsi="Arial" w:cs="Arial"/>
          <w:color w:val="000000" w:themeColor="text1"/>
          <w:szCs w:val="22"/>
        </w:rPr>
        <w:fldChar w:fldCharType="begin"/>
      </w:r>
      <w:r w:rsidR="004554C1" w:rsidRPr="00CB093C">
        <w:rPr>
          <w:rFonts w:ascii="Arial" w:hAnsi="Arial" w:cs="Arial"/>
          <w:color w:val="000000" w:themeColor="text1"/>
          <w:szCs w:val="22"/>
        </w:rPr>
        <w:instrText xml:space="preserve"> REF _Ref533507332 \h </w:instrText>
      </w:r>
      <w:r w:rsidR="00CB093C" w:rsidRPr="00CB093C">
        <w:rPr>
          <w:rFonts w:ascii="Arial" w:hAnsi="Arial" w:cs="Arial"/>
          <w:color w:val="000000" w:themeColor="text1"/>
          <w:szCs w:val="22"/>
        </w:rPr>
        <w:instrText xml:space="preserve"> \* MERGEFORMAT </w:instrText>
      </w:r>
      <w:r w:rsidR="004554C1" w:rsidRPr="00CB093C">
        <w:rPr>
          <w:rFonts w:ascii="Arial" w:hAnsi="Arial" w:cs="Arial"/>
          <w:color w:val="000000" w:themeColor="text1"/>
          <w:szCs w:val="22"/>
        </w:rPr>
      </w:r>
      <w:r w:rsidR="004554C1"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36</w:t>
      </w:r>
      <w:r w:rsidR="004554C1" w:rsidRPr="00CB093C">
        <w:rPr>
          <w:rFonts w:ascii="Arial" w:hAnsi="Arial" w:cs="Arial"/>
          <w:color w:val="000000" w:themeColor="text1"/>
          <w:szCs w:val="22"/>
        </w:rPr>
        <w:fldChar w:fldCharType="end"/>
      </w:r>
      <w:r w:rsidR="004554C1" w:rsidRPr="00CB093C">
        <w:rPr>
          <w:rFonts w:ascii="Arial" w:hAnsi="Arial" w:cs="Arial"/>
          <w:color w:val="000000" w:themeColor="text1"/>
          <w:szCs w:val="22"/>
        </w:rPr>
        <w:t xml:space="preserve">). </w:t>
      </w:r>
      <w:r w:rsidR="003A41DB" w:rsidRPr="00CB093C">
        <w:rPr>
          <w:rFonts w:ascii="Arial" w:hAnsi="Arial" w:cs="Arial"/>
          <w:color w:val="000000" w:themeColor="text1"/>
          <w:szCs w:val="22"/>
        </w:rPr>
        <w:t>W</w:t>
      </w:r>
      <w:r w:rsidRPr="00CB093C">
        <w:rPr>
          <w:rFonts w:ascii="Arial" w:hAnsi="Arial" w:cs="Arial"/>
          <w:color w:val="000000" w:themeColor="text1"/>
          <w:szCs w:val="22"/>
        </w:rPr>
        <w:t xml:space="preserve">ithin-canopy light </w:t>
      </w:r>
      <w:r w:rsidR="003A41DB" w:rsidRPr="00CB093C">
        <w:rPr>
          <w:rFonts w:ascii="Arial" w:hAnsi="Arial" w:cs="Arial"/>
          <w:color w:val="000000" w:themeColor="text1"/>
          <w:szCs w:val="22"/>
        </w:rPr>
        <w:t>was above 10 mol m</w:t>
      </w:r>
      <w:r w:rsidR="003A41DB" w:rsidRPr="00CB093C">
        <w:rPr>
          <w:rFonts w:ascii="Arial" w:hAnsi="Arial" w:cs="Arial"/>
          <w:color w:val="000000" w:themeColor="text1"/>
          <w:szCs w:val="22"/>
          <w:vertAlign w:val="superscript"/>
        </w:rPr>
        <w:t>-2</w:t>
      </w:r>
      <w:r w:rsidR="003A41DB" w:rsidRPr="00CB093C">
        <w:rPr>
          <w:rFonts w:ascii="Arial" w:hAnsi="Arial" w:cs="Arial"/>
          <w:color w:val="000000" w:themeColor="text1"/>
          <w:szCs w:val="22"/>
        </w:rPr>
        <w:t xml:space="preserve"> d</w:t>
      </w:r>
      <w:r w:rsidR="003A41DB" w:rsidRPr="00CB093C">
        <w:rPr>
          <w:rFonts w:ascii="Arial" w:hAnsi="Arial" w:cs="Arial"/>
          <w:color w:val="000000" w:themeColor="text1"/>
          <w:szCs w:val="22"/>
          <w:vertAlign w:val="superscript"/>
        </w:rPr>
        <w:t>-1</w:t>
      </w:r>
      <w:r w:rsidR="003A41DB" w:rsidRPr="00CB093C">
        <w:rPr>
          <w:rFonts w:ascii="Arial" w:hAnsi="Arial" w:cs="Arial"/>
          <w:color w:val="000000" w:themeColor="text1"/>
          <w:szCs w:val="22"/>
        </w:rPr>
        <w:t xml:space="preserve"> on average (</w:t>
      </w:r>
      <w:r w:rsidR="004554C1" w:rsidRPr="00CB093C">
        <w:rPr>
          <w:rFonts w:ascii="Arial" w:hAnsi="Arial" w:cs="Arial"/>
          <w:color w:val="000000" w:themeColor="text1"/>
          <w:szCs w:val="22"/>
        </w:rPr>
        <w:t>12.0</w:t>
      </w:r>
      <w:r w:rsidR="003A41DB" w:rsidRPr="00CB093C">
        <w:rPr>
          <w:rFonts w:ascii="Arial" w:hAnsi="Arial" w:cs="Arial"/>
          <w:color w:val="000000" w:themeColor="text1"/>
          <w:szCs w:val="22"/>
        </w:rPr>
        <w:t xml:space="preserve"> mol m</w:t>
      </w:r>
      <w:r w:rsidR="003A41DB" w:rsidRPr="00CB093C">
        <w:rPr>
          <w:rFonts w:ascii="Arial" w:hAnsi="Arial" w:cs="Arial"/>
          <w:color w:val="000000" w:themeColor="text1"/>
          <w:szCs w:val="22"/>
          <w:vertAlign w:val="superscript"/>
        </w:rPr>
        <w:t>-2</w:t>
      </w:r>
      <w:r w:rsidR="003A41DB" w:rsidRPr="00CB093C">
        <w:rPr>
          <w:rFonts w:ascii="Arial" w:hAnsi="Arial" w:cs="Arial"/>
          <w:color w:val="000000" w:themeColor="text1"/>
          <w:szCs w:val="22"/>
        </w:rPr>
        <w:t xml:space="preserve"> d</w:t>
      </w:r>
      <w:r w:rsidR="003A41DB" w:rsidRPr="00CB093C">
        <w:rPr>
          <w:rFonts w:ascii="Arial" w:hAnsi="Arial" w:cs="Arial"/>
          <w:color w:val="000000" w:themeColor="text1"/>
          <w:szCs w:val="22"/>
          <w:vertAlign w:val="superscript"/>
        </w:rPr>
        <w:t>-1</w:t>
      </w:r>
      <w:r w:rsidR="004554C1" w:rsidRPr="00CB093C">
        <w:rPr>
          <w:rFonts w:ascii="Arial" w:hAnsi="Arial" w:cs="Arial"/>
          <w:color w:val="000000" w:themeColor="text1"/>
          <w:szCs w:val="22"/>
        </w:rPr>
        <w:t xml:space="preserve"> in 2017–18</w:t>
      </w:r>
      <w:r w:rsidR="003A41DB" w:rsidRPr="00CB093C">
        <w:rPr>
          <w:rFonts w:ascii="Arial" w:hAnsi="Arial" w:cs="Arial"/>
          <w:color w:val="000000" w:themeColor="text1"/>
          <w:szCs w:val="22"/>
        </w:rPr>
        <w:t xml:space="preserve">) but </w:t>
      </w:r>
      <w:r w:rsidR="003C09D6" w:rsidRPr="00CB093C">
        <w:rPr>
          <w:rFonts w:ascii="Arial" w:hAnsi="Arial" w:cs="Arial"/>
          <w:color w:val="000000" w:themeColor="text1"/>
          <w:szCs w:val="22"/>
        </w:rPr>
        <w:t xml:space="preserve">was </w:t>
      </w:r>
      <w:r w:rsidRPr="00CB093C">
        <w:rPr>
          <w:rFonts w:ascii="Arial" w:hAnsi="Arial" w:cs="Arial"/>
          <w:color w:val="000000" w:themeColor="text1"/>
          <w:szCs w:val="22"/>
        </w:rPr>
        <w:t>lower</w:t>
      </w:r>
      <w:r w:rsidR="003A41DB" w:rsidRPr="00CB093C">
        <w:rPr>
          <w:rFonts w:ascii="Arial" w:hAnsi="Arial" w:cs="Arial"/>
          <w:color w:val="000000" w:themeColor="text1"/>
          <w:szCs w:val="22"/>
        </w:rPr>
        <w:t xml:space="preserve"> than the long-term average (12.</w:t>
      </w:r>
      <w:r w:rsidR="004554C1" w:rsidRPr="00CB093C">
        <w:rPr>
          <w:rFonts w:ascii="Arial" w:hAnsi="Arial" w:cs="Arial"/>
          <w:color w:val="000000" w:themeColor="text1"/>
          <w:szCs w:val="22"/>
        </w:rPr>
        <w:t>7</w:t>
      </w:r>
      <w:r w:rsidR="003A41DB" w:rsidRPr="00CB093C">
        <w:rPr>
          <w:rFonts w:ascii="Arial" w:hAnsi="Arial" w:cs="Arial"/>
          <w:color w:val="000000" w:themeColor="text1"/>
          <w:szCs w:val="22"/>
        </w:rPr>
        <w:t xml:space="preserve"> mol m</w:t>
      </w:r>
      <w:r w:rsidR="003A41DB" w:rsidRPr="00CB093C">
        <w:rPr>
          <w:rFonts w:ascii="Arial" w:hAnsi="Arial" w:cs="Arial"/>
          <w:color w:val="000000" w:themeColor="text1"/>
          <w:szCs w:val="22"/>
          <w:vertAlign w:val="superscript"/>
        </w:rPr>
        <w:t>-2</w:t>
      </w:r>
      <w:r w:rsidR="003A41DB" w:rsidRPr="00CB093C">
        <w:rPr>
          <w:rFonts w:ascii="Arial" w:hAnsi="Arial" w:cs="Arial"/>
          <w:color w:val="000000" w:themeColor="text1"/>
          <w:szCs w:val="22"/>
        </w:rPr>
        <w:t xml:space="preserve"> d</w:t>
      </w:r>
      <w:r w:rsidR="003A41DB" w:rsidRPr="00CB093C">
        <w:rPr>
          <w:rFonts w:ascii="Arial" w:hAnsi="Arial" w:cs="Arial"/>
          <w:color w:val="000000" w:themeColor="text1"/>
          <w:szCs w:val="22"/>
          <w:vertAlign w:val="superscript"/>
        </w:rPr>
        <w:t>-1</w:t>
      </w:r>
      <w:r w:rsidR="003A41DB" w:rsidRPr="00CB093C">
        <w:rPr>
          <w:rFonts w:ascii="Arial" w:hAnsi="Arial" w:cs="Arial"/>
          <w:color w:val="000000" w:themeColor="text1"/>
          <w:szCs w:val="22"/>
        </w:rPr>
        <w:t xml:space="preserve">) </w:t>
      </w:r>
      <w:r w:rsidRPr="00CB093C">
        <w:rPr>
          <w:rFonts w:ascii="Arial" w:hAnsi="Arial" w:cs="Arial"/>
          <w:color w:val="000000" w:themeColor="text1"/>
          <w:szCs w:val="22"/>
        </w:rPr>
        <w:t>(</w:t>
      </w:r>
      <w:r w:rsidRPr="00CB093C">
        <w:rPr>
          <w:rFonts w:ascii="Arial" w:hAnsi="Arial" w:cs="Arial"/>
          <w:color w:val="000000" w:themeColor="text1"/>
          <w:szCs w:val="22"/>
        </w:rPr>
        <w:fldChar w:fldCharType="begin"/>
      </w:r>
      <w:r w:rsidRPr="00CB093C">
        <w:rPr>
          <w:rFonts w:ascii="Arial" w:hAnsi="Arial" w:cs="Arial"/>
          <w:color w:val="000000" w:themeColor="text1"/>
          <w:szCs w:val="22"/>
        </w:rPr>
        <w:instrText xml:space="preserve"> REF _Ref533507332 \h </w:instrText>
      </w:r>
      <w:r w:rsidR="00CB093C" w:rsidRPr="00CB093C">
        <w:rPr>
          <w:rFonts w:ascii="Arial" w:hAnsi="Arial" w:cs="Arial"/>
          <w:color w:val="000000" w:themeColor="text1"/>
          <w:szCs w:val="22"/>
        </w:rPr>
        <w:instrText xml:space="preserve"> \* MERGEFORMAT </w:instrText>
      </w:r>
      <w:r w:rsidRPr="00CB093C">
        <w:rPr>
          <w:rFonts w:ascii="Arial" w:hAnsi="Arial" w:cs="Arial"/>
          <w:color w:val="000000" w:themeColor="text1"/>
          <w:szCs w:val="22"/>
        </w:rPr>
      </w:r>
      <w:r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36</w:t>
      </w:r>
      <w:r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w:t>
      </w:r>
      <w:r w:rsidR="004554C1" w:rsidRPr="00CB093C">
        <w:rPr>
          <w:rFonts w:ascii="Arial" w:hAnsi="Arial" w:cs="Arial"/>
          <w:color w:val="000000" w:themeColor="text1"/>
          <w:szCs w:val="22"/>
        </w:rPr>
        <w:t>There was higher than average number of days where wind speeds exceeded 25 km hr</w:t>
      </w:r>
      <w:r w:rsidR="004554C1" w:rsidRPr="00CB093C">
        <w:rPr>
          <w:rFonts w:ascii="Arial" w:hAnsi="Arial" w:cs="Arial"/>
          <w:color w:val="000000" w:themeColor="text1"/>
          <w:szCs w:val="22"/>
          <w:vertAlign w:val="superscript"/>
        </w:rPr>
        <w:t>-1</w:t>
      </w:r>
      <w:r w:rsidR="004554C1" w:rsidRPr="00CB093C">
        <w:rPr>
          <w:rFonts w:ascii="Arial" w:hAnsi="Arial" w:cs="Arial"/>
          <w:color w:val="000000" w:themeColor="text1"/>
          <w:szCs w:val="22"/>
        </w:rPr>
        <w:t xml:space="preserve"> (</w:t>
      </w:r>
      <w:r w:rsidR="004554C1" w:rsidRPr="00CB093C">
        <w:rPr>
          <w:rFonts w:ascii="Arial" w:hAnsi="Arial" w:cs="Arial"/>
          <w:color w:val="000000" w:themeColor="text1"/>
          <w:szCs w:val="22"/>
        </w:rPr>
        <w:fldChar w:fldCharType="begin"/>
      </w:r>
      <w:r w:rsidR="004554C1" w:rsidRPr="00CB093C">
        <w:rPr>
          <w:rFonts w:ascii="Arial" w:hAnsi="Arial" w:cs="Arial"/>
          <w:color w:val="000000" w:themeColor="text1"/>
          <w:szCs w:val="22"/>
        </w:rPr>
        <w:instrText xml:space="preserve"> REF _Ref534123864 \h </w:instrText>
      </w:r>
      <w:r w:rsidR="00CB093C" w:rsidRPr="00CB093C">
        <w:rPr>
          <w:rFonts w:ascii="Arial" w:hAnsi="Arial" w:cs="Arial"/>
          <w:color w:val="000000" w:themeColor="text1"/>
          <w:szCs w:val="22"/>
        </w:rPr>
        <w:instrText xml:space="preserve"> \* MERGEFORMAT </w:instrText>
      </w:r>
      <w:r w:rsidR="004554C1" w:rsidRPr="00CB093C">
        <w:rPr>
          <w:rFonts w:ascii="Arial" w:hAnsi="Arial" w:cs="Arial"/>
          <w:color w:val="000000" w:themeColor="text1"/>
          <w:szCs w:val="22"/>
        </w:rPr>
      </w:r>
      <w:r w:rsidR="004554C1" w:rsidRPr="00CB093C">
        <w:rPr>
          <w:rFonts w:ascii="Arial" w:hAnsi="Arial" w:cs="Arial"/>
          <w:color w:val="000000" w:themeColor="text1"/>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93</w:t>
      </w:r>
      <w:r w:rsidR="004554C1" w:rsidRPr="00CB093C">
        <w:rPr>
          <w:rFonts w:ascii="Arial" w:hAnsi="Arial" w:cs="Arial"/>
          <w:color w:val="000000" w:themeColor="text1"/>
          <w:szCs w:val="22"/>
        </w:rPr>
        <w:fldChar w:fldCharType="end"/>
      </w:r>
      <w:r w:rsidR="004554C1" w:rsidRPr="00CB093C">
        <w:rPr>
          <w:rFonts w:ascii="Arial" w:hAnsi="Arial" w:cs="Arial"/>
          <w:color w:val="000000" w:themeColor="text1"/>
          <w:szCs w:val="22"/>
        </w:rPr>
        <w:t xml:space="preserve">), which resuspend fine sediments into the water column. </w:t>
      </w:r>
    </w:p>
    <w:p w14:paraId="274A1BDC" w14:textId="32F80F9E" w:rsidR="00FC219E" w:rsidRPr="00CB093C" w:rsidRDefault="00FC219E" w:rsidP="00FC219E">
      <w:pPr>
        <w:keepNext/>
        <w:widowControl w:val="0"/>
        <w:jc w:val="center"/>
        <w:rPr>
          <w:rFonts w:ascii="Arial" w:hAnsi="Arial" w:cs="Arial"/>
          <w:szCs w:val="22"/>
        </w:rPr>
      </w:pPr>
      <w:bookmarkStart w:id="279" w:name="_Ref442440216"/>
      <w:r w:rsidRPr="00CB093C">
        <w:rPr>
          <w:rFonts w:ascii="Arial" w:hAnsi="Arial" w:cs="Arial"/>
          <w:noProof/>
          <w:szCs w:val="22"/>
          <w:lang w:val="en-US"/>
        </w:rPr>
        <w:lastRenderedPageBreak/>
        <w:drawing>
          <wp:inline distT="0" distB="0" distL="0" distR="0" wp14:anchorId="717BF78A" wp14:editId="59263225">
            <wp:extent cx="5194798" cy="7734533"/>
            <wp:effectExtent l="0" t="0" r="6350" b="0"/>
            <wp:docPr id="7" name="Picture 7" descr="Composite figure showing environmental pressures in the northern Wet Tropics region during 2017-2018 including a map of turbid water exposure across the region, the frequency of exposure to wet season water type at each monitoring site, the average environmental conditions over the long-term and in 2017–18, daily light and the 28-day rolling mean of daily light for all sites, the number of day temperature exceeded 35°C, 38°C, 40°C and 43°C, and deviations from 13-year mean weekly temperature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T N Pressures page-02.png"/>
                    <pic:cNvPicPr/>
                  </pic:nvPicPr>
                  <pic:blipFill>
                    <a:blip r:embed="rId80">
                      <a:extLst>
                        <a:ext uri="{28A0092B-C50C-407E-A947-70E740481C1C}">
                          <a14:useLocalDpi xmlns:a14="http://schemas.microsoft.com/office/drawing/2010/main" val="0"/>
                        </a:ext>
                      </a:extLst>
                    </a:blip>
                    <a:stretch>
                      <a:fillRect/>
                    </a:stretch>
                  </pic:blipFill>
                  <pic:spPr>
                    <a:xfrm>
                      <a:off x="0" y="0"/>
                      <a:ext cx="5194798" cy="7734533"/>
                    </a:xfrm>
                    <a:prstGeom prst="rect">
                      <a:avLst/>
                    </a:prstGeom>
                  </pic:spPr>
                </pic:pic>
              </a:graphicData>
            </a:graphic>
          </wp:inline>
        </w:drawing>
      </w:r>
    </w:p>
    <w:p w14:paraId="3C67B350" w14:textId="078E8071" w:rsidR="000C5E7B" w:rsidRPr="00CB093C" w:rsidRDefault="00F12EEC" w:rsidP="000C5E7B">
      <w:pPr>
        <w:rPr>
          <w:rFonts w:ascii="Arial" w:hAnsi="Arial" w:cs="Arial"/>
          <w:vanish/>
          <w:color w:val="000000"/>
          <w:szCs w:val="22"/>
          <w:specVanish/>
        </w:rPr>
      </w:pPr>
      <w:bookmarkStart w:id="280" w:name="_Ref533507332"/>
      <w:bookmarkStart w:id="281" w:name="_Toc6402801"/>
      <w:r w:rsidRPr="00CB093C">
        <w:rPr>
          <w:rFonts w:ascii="Arial" w:hAnsi="Arial" w:cs="Arial"/>
          <w:szCs w:val="22"/>
        </w:rPr>
        <w:t xml:space="preserve">Figure </w:t>
      </w:r>
      <w:r w:rsidR="000E4688" w:rsidRPr="00CB093C">
        <w:rPr>
          <w:rFonts w:ascii="Arial" w:hAnsi="Arial" w:cs="Arial"/>
          <w:noProof/>
          <w:szCs w:val="22"/>
        </w:rPr>
        <w:fldChar w:fldCharType="begin"/>
      </w:r>
      <w:r w:rsidR="000E4688" w:rsidRPr="00CB093C">
        <w:rPr>
          <w:rFonts w:ascii="Arial" w:hAnsi="Arial" w:cs="Arial"/>
          <w:noProof/>
          <w:szCs w:val="22"/>
        </w:rPr>
        <w:instrText xml:space="preserve"> SEQ Figure \* ARABIC </w:instrText>
      </w:r>
      <w:r w:rsidR="000E4688" w:rsidRPr="00CB093C">
        <w:rPr>
          <w:rFonts w:ascii="Arial" w:hAnsi="Arial" w:cs="Arial"/>
          <w:noProof/>
          <w:szCs w:val="22"/>
        </w:rPr>
        <w:fldChar w:fldCharType="separate"/>
      </w:r>
      <w:r w:rsidR="005F00D4">
        <w:rPr>
          <w:rFonts w:ascii="Arial" w:hAnsi="Arial" w:cs="Arial"/>
          <w:noProof/>
          <w:szCs w:val="22"/>
        </w:rPr>
        <w:t>36</w:t>
      </w:r>
      <w:r w:rsidR="000E4688" w:rsidRPr="00CB093C">
        <w:rPr>
          <w:rFonts w:ascii="Arial" w:hAnsi="Arial" w:cs="Arial"/>
          <w:noProof/>
          <w:szCs w:val="22"/>
        </w:rPr>
        <w:fldChar w:fldCharType="end"/>
      </w:r>
      <w:bookmarkEnd w:id="280"/>
      <w:r w:rsidRPr="00CB093C">
        <w:rPr>
          <w:rFonts w:ascii="Arial" w:hAnsi="Arial" w:cs="Arial"/>
          <w:szCs w:val="22"/>
        </w:rPr>
        <w:t xml:space="preserve">. </w:t>
      </w:r>
      <w:r w:rsidRPr="00CB093C">
        <w:rPr>
          <w:rFonts w:ascii="Arial" w:hAnsi="Arial" w:cs="Arial"/>
          <w:i/>
          <w:szCs w:val="22"/>
        </w:rPr>
        <w:t xml:space="preserve">Environmental pressures in the </w:t>
      </w:r>
      <w:r w:rsidR="00FC219E" w:rsidRPr="00CB093C">
        <w:rPr>
          <w:rFonts w:ascii="Arial" w:hAnsi="Arial" w:cs="Arial"/>
          <w:i/>
          <w:szCs w:val="22"/>
        </w:rPr>
        <w:t xml:space="preserve">northern </w:t>
      </w:r>
      <w:r w:rsidRPr="00CB093C">
        <w:rPr>
          <w:rFonts w:ascii="Arial" w:hAnsi="Arial" w:cs="Arial"/>
          <w:i/>
          <w:szCs w:val="22"/>
        </w:rPr>
        <w:t>Wet Tropics region</w:t>
      </w:r>
      <w:bookmarkEnd w:id="281"/>
    </w:p>
    <w:p w14:paraId="275FCE89" w14:textId="68D65302" w:rsidR="00F12EEC" w:rsidRPr="00CB093C" w:rsidRDefault="00F12EEC" w:rsidP="00F12EEC">
      <w:pPr>
        <w:pStyle w:val="Caption"/>
        <w:rPr>
          <w:rFonts w:ascii="Arial" w:hAnsi="Arial" w:cs="Arial"/>
          <w:i/>
          <w:color w:val="000000"/>
          <w:szCs w:val="22"/>
        </w:rPr>
      </w:pPr>
      <w:r w:rsidRPr="00CB093C">
        <w:rPr>
          <w:rFonts w:ascii="Arial" w:hAnsi="Arial" w:cs="Arial"/>
          <w:i/>
          <w:szCs w:val="22"/>
        </w:rPr>
        <w:t xml:space="preserve"> including</w:t>
      </w:r>
      <w:r w:rsidR="009156D8" w:rsidRPr="00CB093C">
        <w:rPr>
          <w:rFonts w:ascii="Arial" w:hAnsi="Arial" w:cs="Arial"/>
          <w:i/>
          <w:szCs w:val="22"/>
        </w:rPr>
        <w:t>:</w:t>
      </w:r>
      <w:r w:rsidRPr="00CB093C">
        <w:rPr>
          <w:rFonts w:ascii="Arial" w:hAnsi="Arial" w:cs="Arial"/>
          <w:i/>
          <w:szCs w:val="22"/>
        </w:rPr>
        <w:t xml:space="preserve"> a.</w:t>
      </w:r>
      <w:r w:rsidRPr="00CB093C">
        <w:rPr>
          <w:rFonts w:ascii="Arial" w:hAnsi="Arial" w:cs="Arial"/>
          <w:szCs w:val="22"/>
        </w:rPr>
        <w:t xml:space="preserve"> </w:t>
      </w:r>
      <w:r w:rsidRPr="00CB093C">
        <w:rPr>
          <w:rFonts w:ascii="Arial" w:hAnsi="Arial" w:cs="Arial"/>
          <w:i/>
          <w:szCs w:val="22"/>
        </w:rPr>
        <w:t>frequency of exposure to turbid water (colour classes 1</w:t>
      </w:r>
      <w:r w:rsidR="009203FC" w:rsidRPr="00CB093C">
        <w:rPr>
          <w:rFonts w:ascii="Arial" w:hAnsi="Arial" w:cs="Arial"/>
          <w:i/>
          <w:szCs w:val="22"/>
        </w:rPr>
        <w:t>–</w:t>
      </w:r>
      <w:r w:rsidRPr="00CB093C">
        <w:rPr>
          <w:rFonts w:ascii="Arial" w:hAnsi="Arial" w:cs="Arial"/>
          <w:i/>
          <w:szCs w:val="22"/>
        </w:rPr>
        <w:t xml:space="preserve">5) (from </w:t>
      </w:r>
      <w:hyperlink w:anchor="_ENREF_65" w:tooltip="Gruber, 2019 #11860" w:history="1">
        <w:r w:rsidR="00513C39" w:rsidRPr="00CB093C">
          <w:rPr>
            <w:rFonts w:ascii="Arial" w:hAnsi="Arial" w:cs="Arial"/>
            <w:i/>
            <w:szCs w:val="22"/>
          </w:rPr>
          <w:fldChar w:fldCharType="begin"/>
        </w:r>
        <w:r w:rsidR="00513C39" w:rsidRPr="00CB093C">
          <w:rPr>
            <w:rFonts w:ascii="Arial" w:hAnsi="Arial" w:cs="Arial"/>
            <w:i/>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i/>
            <w:szCs w:val="22"/>
          </w:rPr>
          <w:fldChar w:fldCharType="separate"/>
        </w:r>
        <w:r w:rsidR="00513C39" w:rsidRPr="00CB093C">
          <w:rPr>
            <w:rFonts w:ascii="Arial" w:hAnsi="Arial" w:cs="Arial"/>
            <w:i/>
            <w:noProof/>
            <w:szCs w:val="22"/>
          </w:rPr>
          <w:t>Gruber et al. 2019</w:t>
        </w:r>
        <w:r w:rsidR="00513C39" w:rsidRPr="00CB093C">
          <w:rPr>
            <w:rFonts w:ascii="Arial" w:hAnsi="Arial" w:cs="Arial"/>
            <w:i/>
            <w:szCs w:val="22"/>
          </w:rPr>
          <w:fldChar w:fldCharType="end"/>
        </w:r>
      </w:hyperlink>
      <w:r w:rsidRPr="00CB093C">
        <w:rPr>
          <w:rFonts w:ascii="Arial" w:hAnsi="Arial" w:cs="Arial"/>
          <w:i/>
          <w:szCs w:val="22"/>
        </w:rPr>
        <w:t>)</w:t>
      </w:r>
      <w:r w:rsidR="009156D8" w:rsidRPr="00CB093C">
        <w:rPr>
          <w:rFonts w:ascii="Arial" w:hAnsi="Arial" w:cs="Arial"/>
          <w:i/>
          <w:szCs w:val="22"/>
        </w:rPr>
        <w:t>;</w:t>
      </w:r>
      <w:r w:rsidRPr="00CB093C">
        <w:rPr>
          <w:rFonts w:ascii="Arial" w:hAnsi="Arial" w:cs="Arial"/>
          <w:i/>
          <w:szCs w:val="22"/>
        </w:rPr>
        <w:t xml:space="preserve"> b. wet </w:t>
      </w:r>
      <w:r w:rsidRPr="00CB093C">
        <w:rPr>
          <w:rFonts w:ascii="Arial" w:hAnsi="Arial" w:cs="Arial"/>
          <w:i/>
          <w:szCs w:val="22"/>
        </w:rPr>
        <w:lastRenderedPageBreak/>
        <w:t xml:space="preserve">season water type at each </w:t>
      </w:r>
      <w:r w:rsidR="00FC219E" w:rsidRPr="00CB093C">
        <w:rPr>
          <w:rFonts w:ascii="Arial" w:hAnsi="Arial" w:cs="Arial"/>
          <w:i/>
          <w:szCs w:val="22"/>
        </w:rPr>
        <w:t>site</w:t>
      </w:r>
      <w:r w:rsidR="009156D8" w:rsidRPr="00CB093C">
        <w:rPr>
          <w:rFonts w:ascii="Arial" w:hAnsi="Arial" w:cs="Arial"/>
          <w:i/>
          <w:szCs w:val="22"/>
        </w:rPr>
        <w:t>;</w:t>
      </w:r>
      <w:r w:rsidRPr="00CB093C">
        <w:rPr>
          <w:rFonts w:ascii="Arial" w:hAnsi="Arial" w:cs="Arial"/>
          <w:i/>
          <w:szCs w:val="22"/>
        </w:rPr>
        <w:t xml:space="preserve"> c. average conditions over the long-term and in </w:t>
      </w:r>
      <w:r w:rsidR="003654C6">
        <w:rPr>
          <w:rFonts w:ascii="Arial" w:hAnsi="Arial" w:cs="Arial"/>
          <w:i/>
          <w:szCs w:val="22"/>
        </w:rPr>
        <w:t>2017–18</w:t>
      </w:r>
      <w:r w:rsidR="009156D8" w:rsidRPr="00CB093C">
        <w:rPr>
          <w:rFonts w:ascii="Arial" w:hAnsi="Arial" w:cs="Arial"/>
          <w:i/>
          <w:szCs w:val="22"/>
        </w:rPr>
        <w:t>;</w:t>
      </w:r>
      <w:r w:rsidRPr="00CB093C">
        <w:rPr>
          <w:rFonts w:ascii="Arial" w:hAnsi="Arial" w:cs="Arial"/>
          <w:i/>
          <w:szCs w:val="22"/>
        </w:rPr>
        <w:t xml:space="preserve"> d. daily light and the 28-day rolling mean of daily light for all sites</w:t>
      </w:r>
      <w:r w:rsidR="009156D8" w:rsidRPr="00CB093C">
        <w:rPr>
          <w:rFonts w:ascii="Arial" w:hAnsi="Arial" w:cs="Arial"/>
          <w:i/>
          <w:szCs w:val="22"/>
        </w:rPr>
        <w:t>;</w:t>
      </w:r>
      <w:r w:rsidRPr="00CB093C">
        <w:rPr>
          <w:rFonts w:ascii="Arial" w:hAnsi="Arial" w:cs="Arial"/>
          <w:i/>
          <w:szCs w:val="22"/>
        </w:rPr>
        <w:t xml:space="preserve"> e. number of day</w:t>
      </w:r>
      <w:r w:rsidR="009156D8" w:rsidRPr="00CB093C">
        <w:rPr>
          <w:rFonts w:ascii="Arial" w:hAnsi="Arial" w:cs="Arial"/>
          <w:i/>
          <w:szCs w:val="22"/>
        </w:rPr>
        <w:t>s</w:t>
      </w:r>
      <w:r w:rsidRPr="00CB093C">
        <w:rPr>
          <w:rFonts w:ascii="Arial" w:hAnsi="Arial" w:cs="Arial"/>
          <w:i/>
          <w:szCs w:val="22"/>
        </w:rPr>
        <w:t xml:space="preserve"> temperature exceeded 35°C, 38°C, 40°C and 43°C</w:t>
      </w:r>
      <w:r w:rsidR="00FC219E" w:rsidRPr="00CB093C">
        <w:rPr>
          <w:rFonts w:ascii="Arial" w:hAnsi="Arial" w:cs="Arial"/>
          <w:i/>
          <w:szCs w:val="22"/>
        </w:rPr>
        <w:t>;</w:t>
      </w:r>
      <w:r w:rsidRPr="00CB093C">
        <w:rPr>
          <w:rFonts w:ascii="Arial" w:hAnsi="Arial" w:cs="Arial"/>
          <w:i/>
          <w:szCs w:val="22"/>
        </w:rPr>
        <w:t xml:space="preserve"> f. </w:t>
      </w:r>
      <w:r w:rsidR="00FC219E" w:rsidRPr="00CB093C">
        <w:rPr>
          <w:rFonts w:ascii="Arial" w:hAnsi="Arial" w:cs="Arial"/>
          <w:i/>
          <w:szCs w:val="22"/>
        </w:rPr>
        <w:t xml:space="preserve">intertidal </w:t>
      </w:r>
      <w:r w:rsidR="00FC219E" w:rsidRPr="00CB093C">
        <w:rPr>
          <w:rFonts w:ascii="Arial" w:hAnsi="Arial" w:cs="Arial"/>
          <w:i/>
          <w:color w:val="000000"/>
          <w:szCs w:val="22"/>
        </w:rPr>
        <w:t xml:space="preserve">temperature </w:t>
      </w:r>
      <w:r w:rsidRPr="00CB093C">
        <w:rPr>
          <w:rFonts w:ascii="Arial" w:hAnsi="Arial" w:cs="Arial"/>
          <w:i/>
          <w:szCs w:val="22"/>
        </w:rPr>
        <w:t xml:space="preserve">deviations from 13-year </w:t>
      </w:r>
      <w:r w:rsidRPr="00CB093C">
        <w:rPr>
          <w:rFonts w:ascii="Arial" w:hAnsi="Arial" w:cs="Arial"/>
          <w:i/>
          <w:color w:val="000000"/>
          <w:szCs w:val="22"/>
        </w:rPr>
        <w:t>mean weekly records</w:t>
      </w:r>
      <w:r w:rsidR="009156D8" w:rsidRPr="00CB093C">
        <w:rPr>
          <w:rFonts w:ascii="Arial" w:hAnsi="Arial" w:cs="Arial"/>
          <w:i/>
          <w:color w:val="000000"/>
          <w:szCs w:val="22"/>
        </w:rPr>
        <w:t>,</w:t>
      </w:r>
      <w:r w:rsidR="00FC219E" w:rsidRPr="00CB093C">
        <w:rPr>
          <w:rFonts w:ascii="Arial" w:hAnsi="Arial" w:cs="Arial"/>
          <w:i/>
          <w:color w:val="000000"/>
          <w:szCs w:val="22"/>
        </w:rPr>
        <w:t xml:space="preserve"> and</w:t>
      </w:r>
      <w:r w:rsidR="009156D8" w:rsidRPr="00CB093C">
        <w:rPr>
          <w:rFonts w:ascii="Arial" w:hAnsi="Arial" w:cs="Arial"/>
          <w:i/>
          <w:color w:val="000000"/>
          <w:szCs w:val="22"/>
        </w:rPr>
        <w:t>;</w:t>
      </w:r>
      <w:r w:rsidR="00FC219E" w:rsidRPr="00CB093C">
        <w:rPr>
          <w:rFonts w:ascii="Arial" w:hAnsi="Arial" w:cs="Arial"/>
          <w:i/>
          <w:color w:val="000000"/>
          <w:szCs w:val="22"/>
        </w:rPr>
        <w:t xml:space="preserve"> g. sub</w:t>
      </w:r>
      <w:r w:rsidR="00FC219E" w:rsidRPr="00CB093C">
        <w:rPr>
          <w:rFonts w:ascii="Arial" w:hAnsi="Arial" w:cs="Arial"/>
          <w:i/>
          <w:szCs w:val="22"/>
        </w:rPr>
        <w:t xml:space="preserve">tidal </w:t>
      </w:r>
      <w:r w:rsidR="00FC219E" w:rsidRPr="00CB093C">
        <w:rPr>
          <w:rFonts w:ascii="Arial" w:hAnsi="Arial" w:cs="Arial"/>
          <w:i/>
          <w:color w:val="000000"/>
          <w:szCs w:val="22"/>
        </w:rPr>
        <w:t xml:space="preserve">temperature </w:t>
      </w:r>
      <w:r w:rsidR="00FC219E" w:rsidRPr="00CB093C">
        <w:rPr>
          <w:rFonts w:ascii="Arial" w:hAnsi="Arial" w:cs="Arial"/>
          <w:i/>
          <w:szCs w:val="22"/>
        </w:rPr>
        <w:t xml:space="preserve">deviations from 13-year </w:t>
      </w:r>
      <w:r w:rsidR="00FC219E" w:rsidRPr="00CB093C">
        <w:rPr>
          <w:rFonts w:ascii="Arial" w:hAnsi="Arial" w:cs="Arial"/>
          <w:i/>
          <w:color w:val="000000"/>
          <w:szCs w:val="22"/>
        </w:rPr>
        <w:t>mean weekly records</w:t>
      </w:r>
      <w:r w:rsidR="009156D8" w:rsidRPr="00CB093C">
        <w:rPr>
          <w:rFonts w:ascii="Arial" w:hAnsi="Arial" w:cs="Arial"/>
          <w:i/>
          <w:color w:val="000000"/>
          <w:szCs w:val="22"/>
        </w:rPr>
        <w:t>.</w:t>
      </w:r>
    </w:p>
    <w:p w14:paraId="07C16A79" w14:textId="213D78E1" w:rsidR="00C67057" w:rsidRPr="00CB093C" w:rsidRDefault="00C67057" w:rsidP="004848CF">
      <w:pPr>
        <w:rPr>
          <w:rFonts w:ascii="Arial" w:hAnsi="Arial" w:cs="Arial"/>
          <w:szCs w:val="22"/>
        </w:rPr>
      </w:pPr>
      <w:r w:rsidRPr="00CB093C">
        <w:rPr>
          <w:rFonts w:ascii="Arial" w:hAnsi="Arial" w:cs="Arial"/>
          <w:szCs w:val="22"/>
          <w:lang w:val="en-GB"/>
        </w:rPr>
        <w:t>This year</w:t>
      </w:r>
      <w:r w:rsidR="004848CF" w:rsidRPr="00CB093C">
        <w:rPr>
          <w:rFonts w:ascii="Arial" w:hAnsi="Arial" w:cs="Arial"/>
          <w:szCs w:val="22"/>
          <w:lang w:val="en-GB"/>
        </w:rPr>
        <w:t xml:space="preserve"> was the t</w:t>
      </w:r>
      <w:r w:rsidR="004848CF" w:rsidRPr="00CB093C">
        <w:rPr>
          <w:rFonts w:ascii="Arial" w:hAnsi="Arial" w:cs="Arial"/>
          <w:szCs w:val="22"/>
        </w:rPr>
        <w:t xml:space="preserve">hird consecutive year intertidal </w:t>
      </w:r>
      <w:r w:rsidR="004848CF" w:rsidRPr="00CB093C">
        <w:rPr>
          <w:rFonts w:ascii="Arial" w:hAnsi="Arial" w:cs="Arial"/>
          <w:szCs w:val="22"/>
          <w:lang w:val="en-GB"/>
        </w:rPr>
        <w:t xml:space="preserve">within-canopy </w:t>
      </w:r>
      <w:r w:rsidR="004848CF" w:rsidRPr="00CB093C">
        <w:rPr>
          <w:rFonts w:ascii="Arial" w:hAnsi="Arial" w:cs="Arial"/>
          <w:szCs w:val="22"/>
        </w:rPr>
        <w:t xml:space="preserve">temperatures in the northern Wet Tropics were above the long-term average and the fifth </w:t>
      </w:r>
      <w:r w:rsidR="004848CF" w:rsidRPr="00CB093C">
        <w:rPr>
          <w:rFonts w:ascii="Arial" w:hAnsi="Arial" w:cs="Arial"/>
          <w:szCs w:val="22"/>
          <w:lang w:val="en-GB"/>
        </w:rPr>
        <w:t xml:space="preserve">highest average annual temperature </w:t>
      </w:r>
      <w:r w:rsidR="004848CF" w:rsidRPr="00CB093C">
        <w:rPr>
          <w:rFonts w:ascii="Arial" w:hAnsi="Arial" w:cs="Arial"/>
          <w:szCs w:val="22"/>
        </w:rPr>
        <w:t>(27.0</w:t>
      </w:r>
      <w:r w:rsidR="004848CF" w:rsidRPr="00CB093C">
        <w:rPr>
          <w:rFonts w:ascii="Arial" w:hAnsi="Arial" w:cs="Arial"/>
          <w:szCs w:val="22"/>
          <w:lang w:val="en-GB"/>
        </w:rPr>
        <w:t>°C</w:t>
      </w:r>
      <w:r w:rsidR="004848CF" w:rsidRPr="00CB093C">
        <w:rPr>
          <w:rFonts w:ascii="Arial" w:hAnsi="Arial" w:cs="Arial"/>
          <w:szCs w:val="22"/>
        </w:rPr>
        <w:t>) since 2003 (</w:t>
      </w:r>
      <w:r w:rsidR="004848CF" w:rsidRPr="00CB093C">
        <w:rPr>
          <w:rFonts w:ascii="Arial" w:hAnsi="Arial" w:cs="Arial"/>
          <w:szCs w:val="22"/>
        </w:rPr>
        <w:fldChar w:fldCharType="begin"/>
      </w:r>
      <w:r w:rsidR="004848CF" w:rsidRPr="00CB093C">
        <w:rPr>
          <w:rFonts w:ascii="Arial" w:hAnsi="Arial" w:cs="Arial"/>
          <w:szCs w:val="22"/>
        </w:rPr>
        <w:instrText xml:space="preserve"> REF _Ref533507332 \h </w:instrText>
      </w:r>
      <w:r w:rsidR="00CB093C" w:rsidRPr="00CB093C">
        <w:rPr>
          <w:rFonts w:ascii="Arial" w:hAnsi="Arial" w:cs="Arial"/>
          <w:szCs w:val="22"/>
        </w:rPr>
        <w:instrText xml:space="preserve"> \* MERGEFORMAT </w:instrText>
      </w:r>
      <w:r w:rsidR="004848CF" w:rsidRPr="00CB093C">
        <w:rPr>
          <w:rFonts w:ascii="Arial" w:hAnsi="Arial" w:cs="Arial"/>
          <w:szCs w:val="22"/>
        </w:rPr>
      </w:r>
      <w:r w:rsidR="004848CF"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36</w:t>
      </w:r>
      <w:r w:rsidR="004848CF" w:rsidRPr="00CB093C">
        <w:rPr>
          <w:rFonts w:ascii="Arial" w:hAnsi="Arial" w:cs="Arial"/>
          <w:szCs w:val="22"/>
        </w:rPr>
        <w:fldChar w:fldCharType="end"/>
      </w:r>
      <w:r w:rsidR="004848CF" w:rsidRPr="00CB093C">
        <w:rPr>
          <w:rFonts w:ascii="Arial" w:hAnsi="Arial" w:cs="Arial"/>
          <w:szCs w:val="22"/>
        </w:rPr>
        <w:t xml:space="preserve">). Maximum intertidal </w:t>
      </w:r>
      <w:r w:rsidR="004848CF" w:rsidRPr="00CB093C">
        <w:rPr>
          <w:rFonts w:ascii="Arial" w:hAnsi="Arial" w:cs="Arial"/>
          <w:szCs w:val="22"/>
          <w:lang w:val="en-GB"/>
        </w:rPr>
        <w:t xml:space="preserve">within-canopy </w:t>
      </w:r>
      <w:r w:rsidR="004848CF" w:rsidRPr="00CB093C">
        <w:rPr>
          <w:rFonts w:ascii="Arial" w:hAnsi="Arial" w:cs="Arial"/>
          <w:szCs w:val="22"/>
        </w:rPr>
        <w:t>temperatures exceeded 35</w:t>
      </w:r>
      <w:r w:rsidR="004848CF" w:rsidRPr="00CB093C">
        <w:rPr>
          <w:rFonts w:ascii="Arial" w:hAnsi="Arial" w:cs="Arial"/>
          <w:szCs w:val="22"/>
          <w:lang w:val="en-GB"/>
        </w:rPr>
        <w:t>°C</w:t>
      </w:r>
      <w:r w:rsidR="004848CF" w:rsidRPr="00CB093C">
        <w:rPr>
          <w:rFonts w:ascii="Arial" w:hAnsi="Arial" w:cs="Arial"/>
          <w:szCs w:val="22"/>
        </w:rPr>
        <w:t xml:space="preserve"> for a total of 52 days during 2017</w:t>
      </w:r>
      <w:r w:rsidR="009203FC" w:rsidRPr="00CB093C">
        <w:rPr>
          <w:rFonts w:ascii="Arial" w:hAnsi="Arial" w:cs="Arial"/>
          <w:szCs w:val="22"/>
        </w:rPr>
        <w:t>–</w:t>
      </w:r>
      <w:r w:rsidR="004848CF" w:rsidRPr="00CB093C">
        <w:rPr>
          <w:rFonts w:ascii="Arial" w:hAnsi="Arial" w:cs="Arial"/>
          <w:szCs w:val="22"/>
        </w:rPr>
        <w:t>18, with the highest temperature recorded at 40.5</w:t>
      </w:r>
      <w:r w:rsidR="004848CF" w:rsidRPr="00CB093C">
        <w:rPr>
          <w:rFonts w:ascii="Arial" w:hAnsi="Arial" w:cs="Arial"/>
          <w:szCs w:val="22"/>
          <w:lang w:val="en-GB"/>
        </w:rPr>
        <w:t>°C</w:t>
      </w:r>
      <w:r w:rsidR="004848CF" w:rsidRPr="00CB093C">
        <w:rPr>
          <w:rFonts w:ascii="Arial" w:hAnsi="Arial" w:cs="Arial"/>
          <w:szCs w:val="22"/>
        </w:rPr>
        <w:t xml:space="preserve"> (YP1, 2:30pm 26Feb18). </w:t>
      </w:r>
    </w:p>
    <w:p w14:paraId="60242E47" w14:textId="7E0CEAFA" w:rsidR="00C67057" w:rsidRPr="00CB093C" w:rsidRDefault="00C67057" w:rsidP="004848CF">
      <w:pPr>
        <w:rPr>
          <w:rFonts w:ascii="Arial" w:hAnsi="Arial" w:cs="Arial"/>
          <w:szCs w:val="22"/>
        </w:rPr>
      </w:pPr>
      <w:r w:rsidRPr="00CB093C">
        <w:rPr>
          <w:rFonts w:ascii="Arial" w:hAnsi="Arial" w:cs="Arial"/>
          <w:szCs w:val="22"/>
        </w:rPr>
        <w:t>This</w:t>
      </w:r>
      <w:r w:rsidR="004848CF" w:rsidRPr="00CB093C">
        <w:rPr>
          <w:rFonts w:ascii="Arial" w:hAnsi="Arial" w:cs="Arial"/>
          <w:szCs w:val="22"/>
        </w:rPr>
        <w:t xml:space="preserve"> was the first year since 2014</w:t>
      </w:r>
      <w:r w:rsidR="009203FC" w:rsidRPr="00CB093C">
        <w:rPr>
          <w:rFonts w:ascii="Arial" w:hAnsi="Arial" w:cs="Arial"/>
          <w:szCs w:val="22"/>
        </w:rPr>
        <w:t>–</w:t>
      </w:r>
      <w:r w:rsidR="004848CF" w:rsidRPr="00CB093C">
        <w:rPr>
          <w:rFonts w:ascii="Arial" w:hAnsi="Arial" w:cs="Arial"/>
          <w:szCs w:val="22"/>
        </w:rPr>
        <w:t xml:space="preserve">15 where annual subtidal </w:t>
      </w:r>
      <w:r w:rsidR="004848CF" w:rsidRPr="00CB093C">
        <w:rPr>
          <w:rFonts w:ascii="Arial" w:hAnsi="Arial" w:cs="Arial"/>
          <w:szCs w:val="22"/>
          <w:lang w:val="en-GB"/>
        </w:rPr>
        <w:t xml:space="preserve">within-canopy </w:t>
      </w:r>
      <w:r w:rsidR="004848CF" w:rsidRPr="00CB093C">
        <w:rPr>
          <w:rFonts w:ascii="Arial" w:hAnsi="Arial" w:cs="Arial"/>
          <w:szCs w:val="22"/>
        </w:rPr>
        <w:t>temperatures in the north were below the long-term average and the fifth highest average annual temperature (26.6</w:t>
      </w:r>
      <w:r w:rsidR="004848CF" w:rsidRPr="00CB093C">
        <w:rPr>
          <w:rFonts w:ascii="Arial" w:hAnsi="Arial" w:cs="Arial"/>
          <w:szCs w:val="22"/>
          <w:lang w:val="en-GB"/>
        </w:rPr>
        <w:t>°C</w:t>
      </w:r>
      <w:r w:rsidR="004848CF" w:rsidRPr="00CB093C">
        <w:rPr>
          <w:rFonts w:ascii="Arial" w:hAnsi="Arial" w:cs="Arial"/>
          <w:szCs w:val="22"/>
        </w:rPr>
        <w:t xml:space="preserve">) since 2008. The maximum subtidal temperature recorded </w:t>
      </w:r>
      <w:r w:rsidRPr="00CB093C">
        <w:rPr>
          <w:rFonts w:ascii="Arial" w:hAnsi="Arial" w:cs="Arial"/>
          <w:szCs w:val="22"/>
        </w:rPr>
        <w:t>this year</w:t>
      </w:r>
      <w:r w:rsidR="004848CF" w:rsidRPr="00CB093C">
        <w:rPr>
          <w:rFonts w:ascii="Arial" w:hAnsi="Arial" w:cs="Arial"/>
          <w:szCs w:val="22"/>
        </w:rPr>
        <w:t xml:space="preserve"> was 30.9</w:t>
      </w:r>
      <w:r w:rsidR="004848CF" w:rsidRPr="00CB093C">
        <w:rPr>
          <w:rFonts w:ascii="Arial" w:hAnsi="Arial" w:cs="Arial"/>
          <w:szCs w:val="22"/>
          <w:lang w:val="en-GB"/>
        </w:rPr>
        <w:t>°C</w:t>
      </w:r>
      <w:r w:rsidRPr="00CB093C">
        <w:rPr>
          <w:rFonts w:ascii="Arial" w:hAnsi="Arial" w:cs="Arial"/>
          <w:szCs w:val="22"/>
          <w:lang w:val="en-GB"/>
        </w:rPr>
        <w:t>, below temperatures expected to stress seagrass</w:t>
      </w:r>
      <w:r w:rsidR="004848CF" w:rsidRPr="00CB093C">
        <w:rPr>
          <w:rFonts w:ascii="Arial" w:hAnsi="Arial" w:cs="Arial"/>
          <w:szCs w:val="22"/>
        </w:rPr>
        <w:t xml:space="preserve"> (LB2, 3pm 15Jan18).</w:t>
      </w:r>
      <w:r w:rsidR="000F3772" w:rsidRPr="00CB093C">
        <w:rPr>
          <w:rFonts w:ascii="Arial" w:hAnsi="Arial" w:cs="Arial"/>
          <w:szCs w:val="22"/>
        </w:rPr>
        <w:t xml:space="preserve"> </w:t>
      </w:r>
    </w:p>
    <w:p w14:paraId="7FE23261" w14:textId="55DBAA7D" w:rsidR="004848CF" w:rsidRPr="00CB093C" w:rsidRDefault="000F3772" w:rsidP="004848CF">
      <w:pPr>
        <w:rPr>
          <w:rFonts w:ascii="Arial" w:hAnsi="Arial" w:cs="Arial"/>
          <w:szCs w:val="22"/>
        </w:rPr>
      </w:pPr>
      <w:r w:rsidRPr="00CB093C">
        <w:rPr>
          <w:rFonts w:ascii="Arial" w:hAnsi="Arial" w:cs="Arial"/>
          <w:szCs w:val="22"/>
        </w:rPr>
        <w:t>With the exception of Green Island intertidal reef meadows, d</w:t>
      </w:r>
      <w:r w:rsidRPr="00CB093C">
        <w:rPr>
          <w:rFonts w:ascii="Arial" w:hAnsi="Arial" w:cs="Arial"/>
          <w:szCs w:val="22"/>
          <w:lang w:eastAsia="en-AU"/>
        </w:rPr>
        <w:t>aily tide exposure was below the long</w:t>
      </w:r>
      <w:r w:rsidRPr="00CB093C">
        <w:rPr>
          <w:rFonts w:ascii="Cambria Math" w:hAnsi="Cambria Math" w:cs="Cambria Math"/>
          <w:szCs w:val="22"/>
          <w:lang w:eastAsia="en-AU"/>
        </w:rPr>
        <w:t>‐</w:t>
      </w:r>
      <w:r w:rsidRPr="00CB093C">
        <w:rPr>
          <w:rFonts w:ascii="Arial" w:hAnsi="Arial" w:cs="Arial"/>
          <w:szCs w:val="22"/>
          <w:lang w:eastAsia="en-AU"/>
        </w:rPr>
        <w:t>term average for the second consecutive year (</w:t>
      </w:r>
      <w:r w:rsidRPr="00CB093C">
        <w:rPr>
          <w:rFonts w:ascii="Arial" w:hAnsi="Arial" w:cs="Arial"/>
          <w:szCs w:val="22"/>
        </w:rPr>
        <w:fldChar w:fldCharType="begin"/>
      </w:r>
      <w:r w:rsidRPr="00CB093C">
        <w:rPr>
          <w:rFonts w:ascii="Arial" w:hAnsi="Arial" w:cs="Arial"/>
          <w:szCs w:val="22"/>
        </w:rPr>
        <w:instrText xml:space="preserve"> REF _Ref533507332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36</w:t>
      </w:r>
      <w:r w:rsidRPr="00CB093C">
        <w:rPr>
          <w:rFonts w:ascii="Arial" w:hAnsi="Arial" w:cs="Arial"/>
          <w:szCs w:val="22"/>
        </w:rPr>
        <w:fldChar w:fldCharType="end"/>
      </w:r>
      <w:r w:rsidRPr="00CB093C">
        <w:rPr>
          <w:rFonts w:ascii="Arial" w:hAnsi="Arial" w:cs="Arial"/>
          <w:szCs w:val="22"/>
          <w:lang w:val="en-GB"/>
        </w:rPr>
        <w:t>,</w:t>
      </w:r>
      <w:r w:rsidR="00743C89"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_Ref410218142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99</w:t>
      </w:r>
      <w:r w:rsidRPr="00CB093C">
        <w:rPr>
          <w:rFonts w:ascii="Arial" w:hAnsi="Arial" w:cs="Arial"/>
          <w:szCs w:val="22"/>
          <w:lang w:val="en-GB"/>
        </w:rPr>
        <w:fldChar w:fldCharType="end"/>
      </w:r>
      <w:r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_Ref410218196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100</w:t>
      </w:r>
      <w:r w:rsidRPr="00CB093C">
        <w:rPr>
          <w:rFonts w:ascii="Arial" w:hAnsi="Arial" w:cs="Arial"/>
          <w:szCs w:val="22"/>
          <w:lang w:val="en-GB"/>
        </w:rPr>
        <w:fldChar w:fldCharType="end"/>
      </w:r>
      <w:r w:rsidRPr="00CB093C">
        <w:rPr>
          <w:rFonts w:ascii="Arial" w:hAnsi="Arial" w:cs="Arial"/>
          <w:szCs w:val="22"/>
          <w:lang w:eastAsia="en-AU"/>
        </w:rPr>
        <w:t xml:space="preserve">), which may have provided some respite from the elevated temperatures, particularly in coastal </w:t>
      </w:r>
      <w:r w:rsidR="007A70FE" w:rsidRPr="00CB093C">
        <w:rPr>
          <w:rFonts w:ascii="Arial" w:hAnsi="Arial" w:cs="Arial"/>
          <w:szCs w:val="22"/>
          <w:lang w:eastAsia="en-AU"/>
        </w:rPr>
        <w:t>habitats</w:t>
      </w:r>
      <w:r w:rsidRPr="00CB093C">
        <w:rPr>
          <w:rFonts w:ascii="Arial" w:hAnsi="Arial" w:cs="Arial"/>
          <w:szCs w:val="22"/>
          <w:lang w:eastAsia="en-AU"/>
        </w:rPr>
        <w:t>.</w:t>
      </w:r>
    </w:p>
    <w:p w14:paraId="45481DB5" w14:textId="4F968F33" w:rsidR="00227AF4" w:rsidRPr="00CB093C" w:rsidRDefault="00214587" w:rsidP="00227AF4">
      <w:pPr>
        <w:rPr>
          <w:rFonts w:ascii="Arial" w:hAnsi="Arial" w:cs="Arial"/>
          <w:szCs w:val="22"/>
          <w:lang w:val="en-GB"/>
        </w:rPr>
      </w:pPr>
      <w:r w:rsidRPr="00CB093C">
        <w:rPr>
          <w:rFonts w:ascii="Arial" w:hAnsi="Arial" w:cs="Arial"/>
          <w:szCs w:val="22"/>
          <w:lang w:val="en-GB"/>
        </w:rPr>
        <w:t>As for</w:t>
      </w:r>
      <w:r w:rsidR="001E5D5A" w:rsidRPr="00CB093C">
        <w:rPr>
          <w:rFonts w:ascii="Arial" w:hAnsi="Arial" w:cs="Arial"/>
          <w:szCs w:val="22"/>
          <w:lang w:val="en-GB"/>
        </w:rPr>
        <w:t xml:space="preserve"> </w:t>
      </w:r>
      <w:r w:rsidR="00227AF4" w:rsidRPr="00CB093C">
        <w:rPr>
          <w:rFonts w:ascii="Arial" w:hAnsi="Arial" w:cs="Arial"/>
          <w:szCs w:val="22"/>
          <w:lang w:val="en-GB"/>
        </w:rPr>
        <w:t>the northern Wet Tropics, annual river discharge w</w:t>
      </w:r>
      <w:r w:rsidR="00F164F7" w:rsidRPr="00CB093C">
        <w:rPr>
          <w:rFonts w:ascii="Arial" w:hAnsi="Arial" w:cs="Arial"/>
          <w:szCs w:val="22"/>
          <w:lang w:val="en-GB"/>
        </w:rPr>
        <w:t>as</w:t>
      </w:r>
      <w:r w:rsidR="00227AF4" w:rsidRPr="00CB093C">
        <w:rPr>
          <w:rFonts w:ascii="Arial" w:hAnsi="Arial" w:cs="Arial"/>
          <w:szCs w:val="22"/>
          <w:lang w:val="en-GB"/>
        </w:rPr>
        <w:t xml:space="preserve"> </w:t>
      </w:r>
      <w:r w:rsidRPr="00CB093C">
        <w:rPr>
          <w:rFonts w:ascii="Arial" w:hAnsi="Arial" w:cs="Arial"/>
          <w:szCs w:val="22"/>
          <w:lang w:val="en-GB"/>
        </w:rPr>
        <w:t xml:space="preserve">slightly </w:t>
      </w:r>
      <w:r w:rsidR="001E5D5A" w:rsidRPr="00CB093C">
        <w:rPr>
          <w:rFonts w:ascii="Arial" w:hAnsi="Arial" w:cs="Arial"/>
          <w:szCs w:val="22"/>
          <w:lang w:val="en-GB"/>
        </w:rPr>
        <w:t>above</w:t>
      </w:r>
      <w:r w:rsidR="00743C89" w:rsidRPr="00CB093C">
        <w:rPr>
          <w:rFonts w:ascii="Arial" w:hAnsi="Arial" w:cs="Arial"/>
          <w:szCs w:val="22"/>
          <w:lang w:val="en-GB"/>
        </w:rPr>
        <w:t>-</w:t>
      </w:r>
      <w:r w:rsidR="00227AF4" w:rsidRPr="00CB093C">
        <w:rPr>
          <w:rFonts w:ascii="Arial" w:hAnsi="Arial" w:cs="Arial"/>
          <w:szCs w:val="22"/>
          <w:lang w:val="en-GB"/>
        </w:rPr>
        <w:t>average across the southern Wet Tropics during 2017</w:t>
      </w:r>
      <w:r w:rsidR="009203FC" w:rsidRPr="00CB093C">
        <w:rPr>
          <w:rFonts w:ascii="Arial" w:hAnsi="Arial" w:cs="Arial"/>
          <w:szCs w:val="22"/>
          <w:lang w:val="en-GB"/>
        </w:rPr>
        <w:t>–</w:t>
      </w:r>
      <w:r w:rsidR="00227AF4" w:rsidRPr="00CB093C">
        <w:rPr>
          <w:rFonts w:ascii="Arial" w:hAnsi="Arial" w:cs="Arial"/>
          <w:szCs w:val="22"/>
          <w:lang w:val="en-GB"/>
        </w:rPr>
        <w:t>18</w:t>
      </w:r>
      <w:r w:rsidR="004554C1" w:rsidRPr="00CB093C">
        <w:rPr>
          <w:rFonts w:ascii="Arial" w:hAnsi="Arial" w:cs="Arial"/>
          <w:szCs w:val="22"/>
          <w:lang w:val="en-GB"/>
        </w:rPr>
        <w:t xml:space="preserve">. </w:t>
      </w:r>
      <w:r w:rsidRPr="00CB093C">
        <w:rPr>
          <w:rFonts w:ascii="Arial" w:hAnsi="Arial" w:cs="Arial"/>
          <w:szCs w:val="22"/>
          <w:lang w:val="en-GB"/>
        </w:rPr>
        <w:t>All sites monitored throughout the southern Wet Tropics were exposure to ‘brown’ or ‘green’ turbid water for the entire wet season (100% frequency of exposure) (</w:t>
      </w:r>
      <w:r w:rsidRPr="00CB093C">
        <w:rPr>
          <w:rFonts w:ascii="Arial" w:hAnsi="Arial" w:cs="Arial"/>
          <w:szCs w:val="22"/>
        </w:rPr>
        <w:fldChar w:fldCharType="begin"/>
      </w:r>
      <w:r w:rsidRPr="00CB093C">
        <w:rPr>
          <w:rFonts w:ascii="Arial" w:hAnsi="Arial" w:cs="Arial"/>
          <w:szCs w:val="22"/>
        </w:rPr>
        <w:instrText xml:space="preserve"> REF _Ref533507345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37</w:t>
      </w:r>
      <w:r w:rsidRPr="00CB093C">
        <w:rPr>
          <w:rFonts w:ascii="Arial" w:hAnsi="Arial" w:cs="Arial"/>
          <w:szCs w:val="22"/>
        </w:rPr>
        <w:fldChar w:fldCharType="end"/>
      </w:r>
      <w:r w:rsidRPr="00CB093C">
        <w:rPr>
          <w:rFonts w:ascii="Arial" w:hAnsi="Arial" w:cs="Arial"/>
          <w:szCs w:val="22"/>
          <w:lang w:val="en-GB"/>
        </w:rPr>
        <w:t xml:space="preserve">). Coastal sites at Lugger Bay (LB1 and LB2) experienced the highest exposure to ‘brown’ turbid water (76% of wet season weeks), while the remaining reef sites were exposed predominately to ‘green’ water (81–86% of wet season weeks). </w:t>
      </w:r>
      <w:r w:rsidR="004554C1" w:rsidRPr="00CB093C">
        <w:rPr>
          <w:rFonts w:ascii="Arial" w:hAnsi="Arial" w:cs="Arial"/>
          <w:szCs w:val="22"/>
          <w:lang w:val="en-GB"/>
        </w:rPr>
        <w:t xml:space="preserve">Light levels were below 10 </w:t>
      </w:r>
      <w:r w:rsidR="004554C1" w:rsidRPr="00CB093C">
        <w:rPr>
          <w:rFonts w:ascii="Arial" w:hAnsi="Arial" w:cs="Arial"/>
          <w:color w:val="000000" w:themeColor="text1"/>
          <w:szCs w:val="22"/>
        </w:rPr>
        <w:t>mol m</w:t>
      </w:r>
      <w:r w:rsidR="004554C1" w:rsidRPr="00CB093C">
        <w:rPr>
          <w:rFonts w:ascii="Arial" w:hAnsi="Arial" w:cs="Arial"/>
          <w:color w:val="000000" w:themeColor="text1"/>
          <w:szCs w:val="22"/>
          <w:vertAlign w:val="superscript"/>
        </w:rPr>
        <w:t>-2</w:t>
      </w:r>
      <w:r w:rsidR="004554C1" w:rsidRPr="00CB093C">
        <w:rPr>
          <w:rFonts w:ascii="Arial" w:hAnsi="Arial" w:cs="Arial"/>
          <w:color w:val="000000" w:themeColor="text1"/>
          <w:szCs w:val="22"/>
        </w:rPr>
        <w:t xml:space="preserve"> d</w:t>
      </w:r>
      <w:r w:rsidR="004554C1" w:rsidRPr="00CB093C">
        <w:rPr>
          <w:rFonts w:ascii="Arial" w:hAnsi="Arial" w:cs="Arial"/>
          <w:color w:val="000000" w:themeColor="text1"/>
          <w:szCs w:val="22"/>
          <w:vertAlign w:val="superscript"/>
        </w:rPr>
        <w:t>-1</w:t>
      </w:r>
      <w:r w:rsidR="004554C1" w:rsidRPr="00CB093C">
        <w:rPr>
          <w:rFonts w:ascii="Arial" w:hAnsi="Arial" w:cs="Arial"/>
          <w:color w:val="000000" w:themeColor="text1"/>
          <w:szCs w:val="22"/>
        </w:rPr>
        <w:t>, and the 2017–18 mean daily light (9.8 mol m</w:t>
      </w:r>
      <w:r w:rsidR="004554C1" w:rsidRPr="00CB093C">
        <w:rPr>
          <w:rFonts w:ascii="Arial" w:hAnsi="Arial" w:cs="Arial"/>
          <w:color w:val="000000" w:themeColor="text1"/>
          <w:szCs w:val="22"/>
          <w:vertAlign w:val="superscript"/>
        </w:rPr>
        <w:t>-2</w:t>
      </w:r>
      <w:r w:rsidR="004554C1" w:rsidRPr="00CB093C">
        <w:rPr>
          <w:rFonts w:ascii="Arial" w:hAnsi="Arial" w:cs="Arial"/>
          <w:color w:val="000000" w:themeColor="text1"/>
          <w:szCs w:val="22"/>
        </w:rPr>
        <w:t xml:space="preserve"> d</w:t>
      </w:r>
      <w:r w:rsidR="004554C1" w:rsidRPr="00CB093C">
        <w:rPr>
          <w:rFonts w:ascii="Arial" w:hAnsi="Arial" w:cs="Arial"/>
          <w:color w:val="000000" w:themeColor="text1"/>
          <w:szCs w:val="22"/>
          <w:vertAlign w:val="superscript"/>
        </w:rPr>
        <w:t>-1</w:t>
      </w:r>
      <w:r w:rsidR="004554C1" w:rsidRPr="00CB093C">
        <w:rPr>
          <w:rFonts w:ascii="Arial" w:hAnsi="Arial" w:cs="Arial"/>
          <w:color w:val="000000" w:themeColor="text1"/>
          <w:szCs w:val="22"/>
        </w:rPr>
        <w:t>), was lower than the long-term average (11.7 mol m</w:t>
      </w:r>
      <w:r w:rsidR="004554C1" w:rsidRPr="00CB093C">
        <w:rPr>
          <w:rFonts w:ascii="Arial" w:hAnsi="Arial" w:cs="Arial"/>
          <w:color w:val="000000" w:themeColor="text1"/>
          <w:szCs w:val="22"/>
          <w:vertAlign w:val="superscript"/>
        </w:rPr>
        <w:t>-2</w:t>
      </w:r>
      <w:r w:rsidR="004554C1" w:rsidRPr="00CB093C">
        <w:rPr>
          <w:rFonts w:ascii="Arial" w:hAnsi="Arial" w:cs="Arial"/>
          <w:color w:val="000000" w:themeColor="text1"/>
          <w:szCs w:val="22"/>
        </w:rPr>
        <w:t xml:space="preserve"> d</w:t>
      </w:r>
      <w:r w:rsidR="004554C1" w:rsidRPr="00CB093C">
        <w:rPr>
          <w:rFonts w:ascii="Arial" w:hAnsi="Arial" w:cs="Arial"/>
          <w:color w:val="000000" w:themeColor="text1"/>
          <w:szCs w:val="22"/>
          <w:vertAlign w:val="superscript"/>
        </w:rPr>
        <w:t>-1</w:t>
      </w:r>
      <w:r w:rsidR="004554C1" w:rsidRPr="00CB093C">
        <w:rPr>
          <w:rFonts w:ascii="Arial" w:hAnsi="Arial" w:cs="Arial"/>
          <w:color w:val="000000" w:themeColor="text1"/>
          <w:szCs w:val="22"/>
        </w:rPr>
        <w:t xml:space="preserve">) </w:t>
      </w:r>
      <w:r w:rsidR="000F3772" w:rsidRPr="00CB093C">
        <w:rPr>
          <w:rFonts w:ascii="Arial" w:hAnsi="Arial" w:cs="Arial"/>
          <w:szCs w:val="22"/>
          <w:lang w:val="en-GB"/>
        </w:rPr>
        <w:t>(</w:t>
      </w:r>
      <w:r w:rsidR="000F3772" w:rsidRPr="00CB093C">
        <w:rPr>
          <w:rFonts w:ascii="Arial" w:hAnsi="Arial" w:cs="Arial"/>
          <w:szCs w:val="22"/>
        </w:rPr>
        <w:fldChar w:fldCharType="begin"/>
      </w:r>
      <w:r w:rsidR="000F3772" w:rsidRPr="00CB093C">
        <w:rPr>
          <w:rFonts w:ascii="Arial" w:hAnsi="Arial" w:cs="Arial"/>
          <w:szCs w:val="22"/>
        </w:rPr>
        <w:instrText xml:space="preserve"> REF _Ref533507345 \h </w:instrText>
      </w:r>
      <w:r w:rsidR="00CB093C" w:rsidRPr="00CB093C">
        <w:rPr>
          <w:rFonts w:ascii="Arial" w:hAnsi="Arial" w:cs="Arial"/>
          <w:szCs w:val="22"/>
        </w:rPr>
        <w:instrText xml:space="preserve"> \* MERGEFORMAT </w:instrText>
      </w:r>
      <w:r w:rsidR="000F3772" w:rsidRPr="00CB093C">
        <w:rPr>
          <w:rFonts w:ascii="Arial" w:hAnsi="Arial" w:cs="Arial"/>
          <w:szCs w:val="22"/>
        </w:rPr>
      </w:r>
      <w:r w:rsidR="000F3772"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37</w:t>
      </w:r>
      <w:r w:rsidR="000F3772" w:rsidRPr="00CB093C">
        <w:rPr>
          <w:rFonts w:ascii="Arial" w:hAnsi="Arial" w:cs="Arial"/>
          <w:szCs w:val="22"/>
        </w:rPr>
        <w:fldChar w:fldCharType="end"/>
      </w:r>
      <w:r w:rsidR="000F3772" w:rsidRPr="00CB093C">
        <w:rPr>
          <w:rFonts w:ascii="Arial" w:hAnsi="Arial" w:cs="Arial"/>
          <w:szCs w:val="22"/>
        </w:rPr>
        <w:t xml:space="preserve">, </w:t>
      </w:r>
      <w:r w:rsidR="000F3772" w:rsidRPr="00CB093C">
        <w:rPr>
          <w:rFonts w:ascii="Arial" w:hAnsi="Arial" w:cs="Arial"/>
          <w:szCs w:val="22"/>
          <w:lang w:val="en-GB"/>
        </w:rPr>
        <w:fldChar w:fldCharType="begin"/>
      </w:r>
      <w:r w:rsidR="000F3772" w:rsidRPr="00CB093C">
        <w:rPr>
          <w:rFonts w:ascii="Arial" w:hAnsi="Arial" w:cs="Arial"/>
          <w:szCs w:val="22"/>
          <w:lang w:val="en-GB"/>
        </w:rPr>
        <w:instrText xml:space="preserve"> REF _Ref410218397 \h </w:instrText>
      </w:r>
      <w:r w:rsidR="00CB093C" w:rsidRPr="00CB093C">
        <w:rPr>
          <w:rFonts w:ascii="Arial" w:hAnsi="Arial" w:cs="Arial"/>
          <w:szCs w:val="22"/>
          <w:lang w:val="en-GB"/>
        </w:rPr>
        <w:instrText xml:space="preserve"> \* MERGEFORMAT </w:instrText>
      </w:r>
      <w:r w:rsidR="000F3772" w:rsidRPr="00CB093C">
        <w:rPr>
          <w:rFonts w:ascii="Arial" w:hAnsi="Arial" w:cs="Arial"/>
          <w:szCs w:val="22"/>
          <w:lang w:val="en-GB"/>
        </w:rPr>
      </w:r>
      <w:r w:rsidR="000F3772"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108</w:t>
      </w:r>
      <w:r w:rsidR="000F3772" w:rsidRPr="00CB093C">
        <w:rPr>
          <w:rFonts w:ascii="Arial" w:hAnsi="Arial" w:cs="Arial"/>
          <w:szCs w:val="22"/>
          <w:lang w:val="en-GB"/>
        </w:rPr>
        <w:fldChar w:fldCharType="end"/>
      </w:r>
      <w:r w:rsidR="000F3772" w:rsidRPr="00CB093C">
        <w:rPr>
          <w:rFonts w:ascii="Arial" w:hAnsi="Arial" w:cs="Arial"/>
          <w:szCs w:val="22"/>
          <w:lang w:val="en-GB"/>
        </w:rPr>
        <w:t>)</w:t>
      </w:r>
      <w:r w:rsidR="00227AF4" w:rsidRPr="00CB093C">
        <w:rPr>
          <w:rFonts w:ascii="Arial" w:hAnsi="Arial" w:cs="Arial"/>
          <w:szCs w:val="22"/>
          <w:lang w:val="en-GB"/>
        </w:rPr>
        <w:t xml:space="preserve">. </w:t>
      </w:r>
    </w:p>
    <w:p w14:paraId="23B3A7D4" w14:textId="02C2C47D" w:rsidR="004848CF" w:rsidRPr="00CB093C" w:rsidRDefault="004848CF" w:rsidP="004848CF">
      <w:pPr>
        <w:rPr>
          <w:rFonts w:ascii="Arial" w:hAnsi="Arial" w:cs="Arial"/>
          <w:szCs w:val="22"/>
        </w:rPr>
      </w:pPr>
      <w:r w:rsidRPr="00CB093C">
        <w:rPr>
          <w:rFonts w:ascii="Arial" w:hAnsi="Arial" w:cs="Arial"/>
          <w:szCs w:val="22"/>
        </w:rPr>
        <w:t xml:space="preserve">In the southern Wet Tropics, </w:t>
      </w:r>
      <w:r w:rsidR="001E5D5A" w:rsidRPr="00CB093C">
        <w:rPr>
          <w:rFonts w:ascii="Arial" w:hAnsi="Arial" w:cs="Arial"/>
          <w:szCs w:val="22"/>
          <w:lang w:val="en-GB"/>
        </w:rPr>
        <w:t xml:space="preserve">within-canopy </w:t>
      </w:r>
      <w:r w:rsidR="001E5D5A" w:rsidRPr="00CB093C">
        <w:rPr>
          <w:rFonts w:ascii="Arial" w:hAnsi="Arial" w:cs="Arial"/>
          <w:szCs w:val="22"/>
        </w:rPr>
        <w:t xml:space="preserve">temperatures in </w:t>
      </w:r>
      <w:r w:rsidRPr="00CB093C">
        <w:rPr>
          <w:rFonts w:ascii="Arial" w:hAnsi="Arial" w:cs="Arial"/>
          <w:szCs w:val="22"/>
        </w:rPr>
        <w:t>2017</w:t>
      </w:r>
      <w:r w:rsidR="009203FC" w:rsidRPr="00CB093C">
        <w:rPr>
          <w:rFonts w:ascii="Arial" w:hAnsi="Arial" w:cs="Arial"/>
          <w:szCs w:val="22"/>
        </w:rPr>
        <w:t>–</w:t>
      </w:r>
      <w:r w:rsidRPr="00CB093C">
        <w:rPr>
          <w:rFonts w:ascii="Arial" w:hAnsi="Arial" w:cs="Arial"/>
          <w:szCs w:val="22"/>
        </w:rPr>
        <w:t xml:space="preserve">18 </w:t>
      </w:r>
      <w:r w:rsidR="001E5D5A" w:rsidRPr="00CB093C">
        <w:rPr>
          <w:rFonts w:ascii="Arial" w:hAnsi="Arial" w:cs="Arial"/>
          <w:szCs w:val="22"/>
        </w:rPr>
        <w:t>were</w:t>
      </w:r>
      <w:r w:rsidRPr="00CB093C">
        <w:rPr>
          <w:rFonts w:ascii="Arial" w:hAnsi="Arial" w:cs="Arial"/>
          <w:szCs w:val="22"/>
        </w:rPr>
        <w:t xml:space="preserve"> the lowest (</w:t>
      </w:r>
      <w:r w:rsidR="00743C89" w:rsidRPr="00CB093C">
        <w:rPr>
          <w:rFonts w:ascii="Arial" w:hAnsi="Arial" w:cs="Arial"/>
          <w:szCs w:val="22"/>
        </w:rPr>
        <w:t xml:space="preserve">annual average = </w:t>
      </w:r>
      <w:r w:rsidRPr="00CB093C">
        <w:rPr>
          <w:rFonts w:ascii="Arial" w:hAnsi="Arial" w:cs="Arial"/>
          <w:szCs w:val="22"/>
        </w:rPr>
        <w:t>26.8</w:t>
      </w:r>
      <w:r w:rsidRPr="00CB093C">
        <w:rPr>
          <w:rFonts w:ascii="Arial" w:hAnsi="Arial" w:cs="Arial"/>
          <w:szCs w:val="22"/>
          <w:lang w:val="en-GB"/>
        </w:rPr>
        <w:t>°C</w:t>
      </w:r>
      <w:r w:rsidRPr="00CB093C">
        <w:rPr>
          <w:rFonts w:ascii="Arial" w:hAnsi="Arial" w:cs="Arial"/>
          <w:szCs w:val="22"/>
        </w:rPr>
        <w:t>) in 4 years, and first year below the long-term average since 2014</w:t>
      </w:r>
      <w:r w:rsidR="009203FC" w:rsidRPr="00CB093C">
        <w:rPr>
          <w:rFonts w:ascii="Arial" w:hAnsi="Arial" w:cs="Arial"/>
          <w:szCs w:val="22"/>
        </w:rPr>
        <w:t>–</w:t>
      </w:r>
      <w:r w:rsidRPr="00CB093C">
        <w:rPr>
          <w:rFonts w:ascii="Arial" w:hAnsi="Arial" w:cs="Arial"/>
          <w:szCs w:val="22"/>
        </w:rPr>
        <w:t>15 (</w:t>
      </w:r>
      <w:r w:rsidRPr="00CB093C">
        <w:rPr>
          <w:rFonts w:ascii="Arial" w:hAnsi="Arial" w:cs="Arial"/>
          <w:szCs w:val="22"/>
        </w:rPr>
        <w:fldChar w:fldCharType="begin"/>
      </w:r>
      <w:r w:rsidRPr="00CB093C">
        <w:rPr>
          <w:rFonts w:ascii="Arial" w:hAnsi="Arial" w:cs="Arial"/>
          <w:szCs w:val="22"/>
        </w:rPr>
        <w:instrText xml:space="preserve"> REF _Ref533507345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37</w:t>
      </w:r>
      <w:r w:rsidRPr="00CB093C">
        <w:rPr>
          <w:rFonts w:ascii="Arial" w:hAnsi="Arial" w:cs="Arial"/>
          <w:szCs w:val="22"/>
        </w:rPr>
        <w:fldChar w:fldCharType="end"/>
      </w:r>
      <w:r w:rsidRPr="00CB093C">
        <w:rPr>
          <w:rFonts w:ascii="Arial" w:hAnsi="Arial" w:cs="Arial"/>
          <w:szCs w:val="22"/>
        </w:rPr>
        <w:t xml:space="preserve">). Maximum intertidal </w:t>
      </w:r>
      <w:r w:rsidRPr="00CB093C">
        <w:rPr>
          <w:rFonts w:ascii="Arial" w:hAnsi="Arial" w:cs="Arial"/>
          <w:szCs w:val="22"/>
          <w:lang w:val="en-GB"/>
        </w:rPr>
        <w:t xml:space="preserve">within-canopy </w:t>
      </w:r>
      <w:r w:rsidRPr="00CB093C">
        <w:rPr>
          <w:rFonts w:ascii="Arial" w:hAnsi="Arial" w:cs="Arial"/>
          <w:szCs w:val="22"/>
        </w:rPr>
        <w:t>temperatures exceeded 35</w:t>
      </w:r>
      <w:r w:rsidRPr="00CB093C">
        <w:rPr>
          <w:rFonts w:ascii="Arial" w:hAnsi="Arial" w:cs="Arial"/>
          <w:szCs w:val="22"/>
          <w:lang w:val="en-GB"/>
        </w:rPr>
        <w:t>°C</w:t>
      </w:r>
      <w:r w:rsidRPr="00CB093C">
        <w:rPr>
          <w:rFonts w:ascii="Arial" w:hAnsi="Arial" w:cs="Arial"/>
          <w:szCs w:val="22"/>
        </w:rPr>
        <w:t xml:space="preserve"> for a total of 7 days during 2017</w:t>
      </w:r>
      <w:r w:rsidR="009203FC" w:rsidRPr="00CB093C">
        <w:rPr>
          <w:rFonts w:ascii="Arial" w:hAnsi="Arial" w:cs="Arial"/>
          <w:szCs w:val="22"/>
        </w:rPr>
        <w:t>–</w:t>
      </w:r>
      <w:r w:rsidRPr="00CB093C">
        <w:rPr>
          <w:rFonts w:ascii="Arial" w:hAnsi="Arial" w:cs="Arial"/>
          <w:szCs w:val="22"/>
        </w:rPr>
        <w:t>18, with the highest temperature recorded at 41.2</w:t>
      </w:r>
      <w:r w:rsidRPr="00CB093C">
        <w:rPr>
          <w:rFonts w:ascii="Arial" w:hAnsi="Arial" w:cs="Arial"/>
          <w:szCs w:val="22"/>
          <w:lang w:val="en-GB"/>
        </w:rPr>
        <w:t>°C</w:t>
      </w:r>
      <w:r w:rsidRPr="00CB093C">
        <w:rPr>
          <w:rFonts w:ascii="Arial" w:hAnsi="Arial" w:cs="Arial"/>
          <w:szCs w:val="22"/>
        </w:rPr>
        <w:t xml:space="preserve"> (DI2, 3:30pm 30Mar18). The maximum subtidal </w:t>
      </w:r>
      <w:r w:rsidRPr="00CB093C">
        <w:rPr>
          <w:rFonts w:ascii="Arial" w:hAnsi="Arial" w:cs="Arial"/>
          <w:szCs w:val="22"/>
          <w:lang w:val="en-GB"/>
        </w:rPr>
        <w:t xml:space="preserve">within-canopy </w:t>
      </w:r>
      <w:r w:rsidRPr="00CB093C">
        <w:rPr>
          <w:rFonts w:ascii="Arial" w:hAnsi="Arial" w:cs="Arial"/>
          <w:szCs w:val="22"/>
        </w:rPr>
        <w:t>temperature recorded during 2017-18 was 31.2</w:t>
      </w:r>
      <w:r w:rsidRPr="00CB093C">
        <w:rPr>
          <w:rFonts w:ascii="Arial" w:hAnsi="Arial" w:cs="Arial"/>
          <w:szCs w:val="22"/>
          <w:lang w:val="en-GB"/>
        </w:rPr>
        <w:t>°C</w:t>
      </w:r>
      <w:r w:rsidRPr="00CB093C">
        <w:rPr>
          <w:rFonts w:ascii="Arial" w:hAnsi="Arial" w:cs="Arial"/>
          <w:szCs w:val="22"/>
        </w:rPr>
        <w:t xml:space="preserve"> (3pm 01Jan18).</w:t>
      </w:r>
      <w:r w:rsidR="000F3772" w:rsidRPr="00CB093C">
        <w:rPr>
          <w:rFonts w:ascii="Arial" w:hAnsi="Arial" w:cs="Arial"/>
          <w:szCs w:val="22"/>
        </w:rPr>
        <w:t xml:space="preserve"> </w:t>
      </w:r>
      <w:r w:rsidR="000F3772" w:rsidRPr="00CB093C">
        <w:rPr>
          <w:rFonts w:ascii="Arial" w:hAnsi="Arial" w:cs="Arial"/>
          <w:szCs w:val="22"/>
          <w:lang w:eastAsia="en-AU"/>
        </w:rPr>
        <w:t>Daily tide exposure was below the long</w:t>
      </w:r>
      <w:r w:rsidR="000F3772" w:rsidRPr="00CB093C">
        <w:rPr>
          <w:rFonts w:ascii="Cambria Math" w:hAnsi="Cambria Math" w:cs="Cambria Math"/>
          <w:szCs w:val="22"/>
          <w:lang w:eastAsia="en-AU"/>
        </w:rPr>
        <w:t>‐</w:t>
      </w:r>
      <w:r w:rsidR="000F3772" w:rsidRPr="00CB093C">
        <w:rPr>
          <w:rFonts w:ascii="Arial" w:hAnsi="Arial" w:cs="Arial"/>
          <w:szCs w:val="22"/>
          <w:lang w:eastAsia="en-AU"/>
        </w:rPr>
        <w:t>term average for the second consecutive year (</w:t>
      </w:r>
      <w:r w:rsidR="000F3772" w:rsidRPr="00CB093C">
        <w:rPr>
          <w:rFonts w:ascii="Arial" w:hAnsi="Arial" w:cs="Arial"/>
          <w:szCs w:val="22"/>
        </w:rPr>
        <w:fldChar w:fldCharType="begin"/>
      </w:r>
      <w:r w:rsidR="000F3772" w:rsidRPr="00CB093C">
        <w:rPr>
          <w:rFonts w:ascii="Arial" w:hAnsi="Arial" w:cs="Arial"/>
          <w:szCs w:val="22"/>
        </w:rPr>
        <w:instrText xml:space="preserve"> REF _Ref533507332 \h </w:instrText>
      </w:r>
      <w:r w:rsidR="00CB093C" w:rsidRPr="00CB093C">
        <w:rPr>
          <w:rFonts w:ascii="Arial" w:hAnsi="Arial" w:cs="Arial"/>
          <w:szCs w:val="22"/>
        </w:rPr>
        <w:instrText xml:space="preserve"> \* MERGEFORMAT </w:instrText>
      </w:r>
      <w:r w:rsidR="000F3772" w:rsidRPr="00CB093C">
        <w:rPr>
          <w:rFonts w:ascii="Arial" w:hAnsi="Arial" w:cs="Arial"/>
          <w:szCs w:val="22"/>
        </w:rPr>
      </w:r>
      <w:r w:rsidR="000F3772"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36</w:t>
      </w:r>
      <w:r w:rsidR="000F3772" w:rsidRPr="00CB093C">
        <w:rPr>
          <w:rFonts w:ascii="Arial" w:hAnsi="Arial" w:cs="Arial"/>
          <w:szCs w:val="22"/>
        </w:rPr>
        <w:fldChar w:fldCharType="end"/>
      </w:r>
      <w:r w:rsidR="000F3772" w:rsidRPr="00CB093C">
        <w:rPr>
          <w:rFonts w:ascii="Arial" w:hAnsi="Arial" w:cs="Arial"/>
          <w:szCs w:val="22"/>
          <w:lang w:val="en-GB"/>
        </w:rPr>
        <w:t xml:space="preserve">, </w:t>
      </w:r>
      <w:r w:rsidR="000F3772" w:rsidRPr="00CB093C">
        <w:rPr>
          <w:rFonts w:ascii="Arial" w:hAnsi="Arial" w:cs="Arial"/>
          <w:szCs w:val="22"/>
          <w:lang w:val="en-GB"/>
        </w:rPr>
        <w:fldChar w:fldCharType="begin"/>
      </w:r>
      <w:r w:rsidR="000F3772" w:rsidRPr="00CB093C">
        <w:rPr>
          <w:rFonts w:ascii="Arial" w:hAnsi="Arial" w:cs="Arial"/>
          <w:szCs w:val="22"/>
          <w:lang w:val="en-GB"/>
        </w:rPr>
        <w:instrText xml:space="preserve"> REF _Ref410218142 \h </w:instrText>
      </w:r>
      <w:r w:rsidR="00CB093C" w:rsidRPr="00CB093C">
        <w:rPr>
          <w:rFonts w:ascii="Arial" w:hAnsi="Arial" w:cs="Arial"/>
          <w:szCs w:val="22"/>
          <w:lang w:val="en-GB"/>
        </w:rPr>
        <w:instrText xml:space="preserve"> \* MERGEFORMAT </w:instrText>
      </w:r>
      <w:r w:rsidR="000F3772" w:rsidRPr="00CB093C">
        <w:rPr>
          <w:rFonts w:ascii="Arial" w:hAnsi="Arial" w:cs="Arial"/>
          <w:szCs w:val="22"/>
          <w:lang w:val="en-GB"/>
        </w:rPr>
      </w:r>
      <w:r w:rsidR="000F3772"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99</w:t>
      </w:r>
      <w:r w:rsidR="000F3772" w:rsidRPr="00CB093C">
        <w:rPr>
          <w:rFonts w:ascii="Arial" w:hAnsi="Arial" w:cs="Arial"/>
          <w:szCs w:val="22"/>
          <w:lang w:val="en-GB"/>
        </w:rPr>
        <w:fldChar w:fldCharType="end"/>
      </w:r>
      <w:r w:rsidR="000F3772" w:rsidRPr="00CB093C">
        <w:rPr>
          <w:rFonts w:ascii="Arial" w:hAnsi="Arial" w:cs="Arial"/>
          <w:szCs w:val="22"/>
          <w:lang w:val="en-GB"/>
        </w:rPr>
        <w:t xml:space="preserve">, </w:t>
      </w:r>
      <w:r w:rsidR="000F3772" w:rsidRPr="00CB093C">
        <w:rPr>
          <w:rFonts w:ascii="Arial" w:hAnsi="Arial" w:cs="Arial"/>
          <w:szCs w:val="22"/>
          <w:lang w:val="en-GB"/>
        </w:rPr>
        <w:fldChar w:fldCharType="begin"/>
      </w:r>
      <w:r w:rsidR="000F3772" w:rsidRPr="00CB093C">
        <w:rPr>
          <w:rFonts w:ascii="Arial" w:hAnsi="Arial" w:cs="Arial"/>
          <w:szCs w:val="22"/>
          <w:lang w:val="en-GB"/>
        </w:rPr>
        <w:instrText xml:space="preserve"> REF _Ref410218196 \h </w:instrText>
      </w:r>
      <w:r w:rsidR="00CB093C" w:rsidRPr="00CB093C">
        <w:rPr>
          <w:rFonts w:ascii="Arial" w:hAnsi="Arial" w:cs="Arial"/>
          <w:szCs w:val="22"/>
          <w:lang w:val="en-GB"/>
        </w:rPr>
        <w:instrText xml:space="preserve"> \* MERGEFORMAT </w:instrText>
      </w:r>
      <w:r w:rsidR="000F3772" w:rsidRPr="00CB093C">
        <w:rPr>
          <w:rFonts w:ascii="Arial" w:hAnsi="Arial" w:cs="Arial"/>
          <w:szCs w:val="22"/>
          <w:lang w:val="en-GB"/>
        </w:rPr>
      </w:r>
      <w:r w:rsidR="000F3772"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100</w:t>
      </w:r>
      <w:r w:rsidR="000F3772" w:rsidRPr="00CB093C">
        <w:rPr>
          <w:rFonts w:ascii="Arial" w:hAnsi="Arial" w:cs="Arial"/>
          <w:szCs w:val="22"/>
          <w:lang w:val="en-GB"/>
        </w:rPr>
        <w:fldChar w:fldCharType="end"/>
      </w:r>
      <w:r w:rsidR="000F3772" w:rsidRPr="00CB093C">
        <w:rPr>
          <w:rFonts w:ascii="Arial" w:hAnsi="Arial" w:cs="Arial"/>
          <w:szCs w:val="22"/>
          <w:lang w:eastAsia="en-AU"/>
        </w:rPr>
        <w:t xml:space="preserve">), which may have provided some respite from the elevated temperatures, particularly in coastal </w:t>
      </w:r>
      <w:r w:rsidR="007A70FE" w:rsidRPr="00CB093C">
        <w:rPr>
          <w:rFonts w:ascii="Arial" w:hAnsi="Arial" w:cs="Arial"/>
          <w:szCs w:val="22"/>
          <w:lang w:eastAsia="en-AU"/>
        </w:rPr>
        <w:t>habitats</w:t>
      </w:r>
      <w:r w:rsidR="000F3772" w:rsidRPr="00CB093C">
        <w:rPr>
          <w:rFonts w:ascii="Arial" w:hAnsi="Arial" w:cs="Arial"/>
          <w:szCs w:val="22"/>
          <w:lang w:eastAsia="en-AU"/>
        </w:rPr>
        <w:t>.</w:t>
      </w:r>
    </w:p>
    <w:p w14:paraId="55A222D7" w14:textId="16B13989" w:rsidR="004848CF" w:rsidRPr="00CB093C" w:rsidRDefault="00227AF4" w:rsidP="004848CF">
      <w:pPr>
        <w:rPr>
          <w:rFonts w:ascii="Arial" w:hAnsi="Arial" w:cs="Arial"/>
          <w:szCs w:val="22"/>
          <w:lang w:val="en-GB"/>
        </w:rPr>
      </w:pPr>
      <w:r w:rsidRPr="00CB093C">
        <w:rPr>
          <w:rFonts w:ascii="Arial" w:hAnsi="Arial" w:cs="Arial"/>
          <w:szCs w:val="22"/>
          <w:lang w:val="en-GB"/>
        </w:rPr>
        <w:lastRenderedPageBreak/>
        <w:t xml:space="preserve">Overall, the inshore seagrass habitats throughout the southern Wet Tropics experienced much greater environmental pressures </w:t>
      </w:r>
      <w:r w:rsidR="001E5D5A" w:rsidRPr="00CB093C">
        <w:rPr>
          <w:rFonts w:ascii="Arial" w:hAnsi="Arial" w:cs="Arial"/>
          <w:szCs w:val="22"/>
          <w:lang w:val="en-GB"/>
        </w:rPr>
        <w:t>in 2017</w:t>
      </w:r>
      <w:r w:rsidR="009203FC" w:rsidRPr="00CB093C">
        <w:rPr>
          <w:rFonts w:ascii="Arial" w:hAnsi="Arial" w:cs="Arial"/>
          <w:szCs w:val="22"/>
          <w:lang w:val="en-GB"/>
        </w:rPr>
        <w:t>–</w:t>
      </w:r>
      <w:r w:rsidR="001E5D5A" w:rsidRPr="00CB093C">
        <w:rPr>
          <w:rFonts w:ascii="Arial" w:hAnsi="Arial" w:cs="Arial"/>
          <w:szCs w:val="22"/>
          <w:lang w:val="en-GB"/>
        </w:rPr>
        <w:t xml:space="preserve">18 </w:t>
      </w:r>
      <w:r w:rsidRPr="00CB093C">
        <w:rPr>
          <w:rFonts w:ascii="Arial" w:hAnsi="Arial" w:cs="Arial"/>
          <w:szCs w:val="22"/>
          <w:lang w:val="en-GB"/>
        </w:rPr>
        <w:t>than those in the northern Wet Tropics</w:t>
      </w:r>
      <w:r w:rsidR="001E5D5A" w:rsidRPr="00CB093C">
        <w:rPr>
          <w:rFonts w:ascii="Arial" w:hAnsi="Arial" w:cs="Arial"/>
          <w:szCs w:val="22"/>
          <w:lang w:val="en-GB"/>
        </w:rPr>
        <w:t>, and the previous monitoring period</w:t>
      </w:r>
      <w:r w:rsidRPr="00CB093C">
        <w:rPr>
          <w:rFonts w:ascii="Arial" w:hAnsi="Arial" w:cs="Arial"/>
          <w:szCs w:val="22"/>
          <w:lang w:val="en-GB"/>
        </w:rPr>
        <w:t>.</w:t>
      </w:r>
      <w:r w:rsidR="001E5D5A" w:rsidRPr="00CB093C">
        <w:rPr>
          <w:rFonts w:ascii="Arial" w:hAnsi="Arial" w:cs="Arial"/>
          <w:szCs w:val="22"/>
          <w:lang w:val="en-GB"/>
        </w:rPr>
        <w:t xml:space="preserve"> </w:t>
      </w:r>
    </w:p>
    <w:p w14:paraId="4F345EA9" w14:textId="77777777" w:rsidR="00924553" w:rsidRPr="00CB093C" w:rsidRDefault="00924553" w:rsidP="004848CF">
      <w:pPr>
        <w:rPr>
          <w:rFonts w:ascii="Arial" w:hAnsi="Arial" w:cs="Arial"/>
          <w:szCs w:val="22"/>
          <w:lang w:val="en-GB"/>
        </w:rPr>
      </w:pPr>
    </w:p>
    <w:p w14:paraId="3E272C91" w14:textId="15AE349D" w:rsidR="007A63C8" w:rsidRPr="00CB093C" w:rsidRDefault="00991C44" w:rsidP="00991C44">
      <w:pPr>
        <w:spacing w:before="0" w:after="0"/>
        <w:jc w:val="center"/>
        <w:rPr>
          <w:rFonts w:ascii="Arial" w:hAnsi="Arial" w:cs="Arial"/>
          <w:szCs w:val="22"/>
          <w:lang w:val="en-GB"/>
        </w:rPr>
      </w:pPr>
      <w:r w:rsidRPr="00CB093C">
        <w:rPr>
          <w:rFonts w:ascii="Arial" w:hAnsi="Arial" w:cs="Arial"/>
          <w:noProof/>
          <w:szCs w:val="22"/>
          <w:lang w:val="en-US"/>
        </w:rPr>
        <w:lastRenderedPageBreak/>
        <w:drawing>
          <wp:inline distT="0" distB="0" distL="0" distR="0" wp14:anchorId="57253357" wp14:editId="6A2806DC">
            <wp:extent cx="5137199" cy="7713096"/>
            <wp:effectExtent l="0" t="0" r="6350" b="2540"/>
            <wp:docPr id="10" name="Picture 10" descr="Composite figure showing environmental pressures in the southern Wet Tropics region during 2017-2018 including a map of turbid water exposure across the region, the frequency of exposure to wet season water type at each monitoring site, the average environmental conditions over the long-term and in 2017–18, daily light and the 28-day rolling mean of daily light for all sites, the number of day temperature exceeded 35°C, 38°C, 40°C and 43°C, and deviations from 13-year mean weekly temperature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T S Pressures page-02.png"/>
                    <pic:cNvPicPr/>
                  </pic:nvPicPr>
                  <pic:blipFill>
                    <a:blip r:embed="rId81">
                      <a:extLst>
                        <a:ext uri="{28A0092B-C50C-407E-A947-70E740481C1C}">
                          <a14:useLocalDpi xmlns:a14="http://schemas.microsoft.com/office/drawing/2010/main" val="0"/>
                        </a:ext>
                      </a:extLst>
                    </a:blip>
                    <a:stretch>
                      <a:fillRect/>
                    </a:stretch>
                  </pic:blipFill>
                  <pic:spPr>
                    <a:xfrm>
                      <a:off x="0" y="0"/>
                      <a:ext cx="5137199" cy="7713096"/>
                    </a:xfrm>
                    <a:prstGeom prst="rect">
                      <a:avLst/>
                    </a:prstGeom>
                  </pic:spPr>
                </pic:pic>
              </a:graphicData>
            </a:graphic>
          </wp:inline>
        </w:drawing>
      </w:r>
    </w:p>
    <w:p w14:paraId="75DA4574" w14:textId="4C2769F6" w:rsidR="00991C44" w:rsidRPr="00CB093C" w:rsidRDefault="007A63C8" w:rsidP="00991C44">
      <w:pPr>
        <w:rPr>
          <w:rFonts w:ascii="Arial" w:hAnsi="Arial" w:cs="Arial"/>
          <w:vanish/>
          <w:color w:val="000000"/>
          <w:szCs w:val="22"/>
          <w:specVanish/>
        </w:rPr>
      </w:pPr>
      <w:bookmarkStart w:id="282" w:name="_Ref533507345"/>
      <w:bookmarkStart w:id="283" w:name="_Toc6402802"/>
      <w:r w:rsidRPr="00CB093C">
        <w:rPr>
          <w:rFonts w:ascii="Arial" w:hAnsi="Arial" w:cs="Arial"/>
          <w:szCs w:val="22"/>
        </w:rPr>
        <w:t xml:space="preserve">Figure </w:t>
      </w:r>
      <w:r w:rsidR="000E4688" w:rsidRPr="00CB093C">
        <w:rPr>
          <w:rFonts w:ascii="Arial" w:hAnsi="Arial" w:cs="Arial"/>
          <w:noProof/>
          <w:szCs w:val="22"/>
        </w:rPr>
        <w:fldChar w:fldCharType="begin"/>
      </w:r>
      <w:r w:rsidR="000E4688" w:rsidRPr="00CB093C">
        <w:rPr>
          <w:rFonts w:ascii="Arial" w:hAnsi="Arial" w:cs="Arial"/>
          <w:noProof/>
          <w:szCs w:val="22"/>
        </w:rPr>
        <w:instrText xml:space="preserve"> SEQ Figure \* ARABIC </w:instrText>
      </w:r>
      <w:r w:rsidR="000E4688" w:rsidRPr="00CB093C">
        <w:rPr>
          <w:rFonts w:ascii="Arial" w:hAnsi="Arial" w:cs="Arial"/>
          <w:noProof/>
          <w:szCs w:val="22"/>
        </w:rPr>
        <w:fldChar w:fldCharType="separate"/>
      </w:r>
      <w:r w:rsidR="005F00D4">
        <w:rPr>
          <w:rFonts w:ascii="Arial" w:hAnsi="Arial" w:cs="Arial"/>
          <w:noProof/>
          <w:szCs w:val="22"/>
        </w:rPr>
        <w:t>37</w:t>
      </w:r>
      <w:r w:rsidR="000E4688" w:rsidRPr="00CB093C">
        <w:rPr>
          <w:rFonts w:ascii="Arial" w:hAnsi="Arial" w:cs="Arial"/>
          <w:noProof/>
          <w:szCs w:val="22"/>
        </w:rPr>
        <w:fldChar w:fldCharType="end"/>
      </w:r>
      <w:bookmarkEnd w:id="282"/>
      <w:r w:rsidRPr="00CB093C">
        <w:rPr>
          <w:rFonts w:ascii="Arial" w:hAnsi="Arial" w:cs="Arial"/>
          <w:szCs w:val="22"/>
        </w:rPr>
        <w:t xml:space="preserve">. </w:t>
      </w:r>
      <w:r w:rsidR="00991C44" w:rsidRPr="00CB093C">
        <w:rPr>
          <w:rFonts w:ascii="Arial" w:hAnsi="Arial" w:cs="Arial"/>
          <w:i/>
          <w:szCs w:val="22"/>
        </w:rPr>
        <w:t>Environmental pressures in the southern Wet Tropics region</w:t>
      </w:r>
      <w:bookmarkEnd w:id="283"/>
    </w:p>
    <w:p w14:paraId="14AF3864" w14:textId="5F3A75E2" w:rsidR="007A63C8" w:rsidRPr="00CB093C" w:rsidRDefault="00991C44" w:rsidP="00991C44">
      <w:pPr>
        <w:rPr>
          <w:rFonts w:ascii="Arial" w:hAnsi="Arial" w:cs="Arial"/>
          <w:i/>
          <w:color w:val="000000"/>
          <w:szCs w:val="22"/>
        </w:rPr>
      </w:pPr>
      <w:r w:rsidRPr="00CB093C">
        <w:rPr>
          <w:rFonts w:ascii="Arial" w:hAnsi="Arial" w:cs="Arial"/>
          <w:i/>
          <w:szCs w:val="22"/>
        </w:rPr>
        <w:t xml:space="preserve"> including: a.</w:t>
      </w:r>
      <w:r w:rsidRPr="00CB093C">
        <w:rPr>
          <w:rFonts w:ascii="Arial" w:hAnsi="Arial" w:cs="Arial"/>
          <w:szCs w:val="22"/>
        </w:rPr>
        <w:t xml:space="preserve"> </w:t>
      </w:r>
      <w:r w:rsidRPr="00CB093C">
        <w:rPr>
          <w:rFonts w:ascii="Arial" w:hAnsi="Arial" w:cs="Arial"/>
          <w:i/>
          <w:szCs w:val="22"/>
        </w:rPr>
        <w:t>frequency of exposure to turbid water (colour classes 1</w:t>
      </w:r>
      <w:r w:rsidR="009203FC" w:rsidRPr="00CB093C">
        <w:rPr>
          <w:rFonts w:ascii="Arial" w:hAnsi="Arial" w:cs="Arial"/>
          <w:i/>
          <w:szCs w:val="22"/>
        </w:rPr>
        <w:t>–</w:t>
      </w:r>
      <w:r w:rsidRPr="00CB093C">
        <w:rPr>
          <w:rFonts w:ascii="Arial" w:hAnsi="Arial" w:cs="Arial"/>
          <w:i/>
          <w:szCs w:val="22"/>
        </w:rPr>
        <w:t xml:space="preserve">5) (from </w:t>
      </w:r>
      <w:hyperlink w:anchor="_ENREF_65" w:tooltip="Gruber, 2019 #11860" w:history="1">
        <w:r w:rsidR="00513C39" w:rsidRPr="00CB093C">
          <w:rPr>
            <w:rFonts w:ascii="Arial" w:hAnsi="Arial" w:cs="Arial"/>
            <w:i/>
            <w:szCs w:val="22"/>
          </w:rPr>
          <w:fldChar w:fldCharType="begin"/>
        </w:r>
        <w:r w:rsidR="00513C39" w:rsidRPr="00CB093C">
          <w:rPr>
            <w:rFonts w:ascii="Arial" w:hAnsi="Arial" w:cs="Arial"/>
            <w:i/>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i/>
            <w:szCs w:val="22"/>
          </w:rPr>
          <w:fldChar w:fldCharType="separate"/>
        </w:r>
        <w:r w:rsidR="00513C39" w:rsidRPr="00CB093C">
          <w:rPr>
            <w:rFonts w:ascii="Arial" w:hAnsi="Arial" w:cs="Arial"/>
            <w:i/>
            <w:noProof/>
            <w:szCs w:val="22"/>
          </w:rPr>
          <w:t>Gruber et al. 2019</w:t>
        </w:r>
        <w:r w:rsidR="00513C39" w:rsidRPr="00CB093C">
          <w:rPr>
            <w:rFonts w:ascii="Arial" w:hAnsi="Arial" w:cs="Arial"/>
            <w:i/>
            <w:szCs w:val="22"/>
          </w:rPr>
          <w:fldChar w:fldCharType="end"/>
        </w:r>
      </w:hyperlink>
      <w:r w:rsidRPr="00CB093C">
        <w:rPr>
          <w:rFonts w:ascii="Arial" w:hAnsi="Arial" w:cs="Arial"/>
          <w:i/>
          <w:szCs w:val="22"/>
        </w:rPr>
        <w:t xml:space="preserve">); b. wet </w:t>
      </w:r>
      <w:r w:rsidRPr="00CB093C">
        <w:rPr>
          <w:rFonts w:ascii="Arial" w:hAnsi="Arial" w:cs="Arial"/>
          <w:i/>
          <w:szCs w:val="22"/>
        </w:rPr>
        <w:lastRenderedPageBreak/>
        <w:t xml:space="preserve">season water type at each site; c. average conditions over the long-term and in </w:t>
      </w:r>
      <w:r w:rsidR="003654C6">
        <w:rPr>
          <w:rFonts w:ascii="Arial" w:hAnsi="Arial" w:cs="Arial"/>
          <w:i/>
          <w:szCs w:val="22"/>
        </w:rPr>
        <w:t>2017–18</w:t>
      </w:r>
      <w:r w:rsidRPr="00CB093C">
        <w:rPr>
          <w:rFonts w:ascii="Arial" w:hAnsi="Arial" w:cs="Arial"/>
          <w:i/>
          <w:szCs w:val="22"/>
        </w:rPr>
        <w:t xml:space="preserve">; d. daily light and the 28-day rolling mean of daily light for all sites; e. number of days temperature exceeded 35°C, 38°C, 40°C and 43°C; f. intertidal </w:t>
      </w:r>
      <w:r w:rsidRPr="00CB093C">
        <w:rPr>
          <w:rFonts w:ascii="Arial" w:hAnsi="Arial" w:cs="Arial"/>
          <w:i/>
          <w:color w:val="000000"/>
          <w:szCs w:val="22"/>
        </w:rPr>
        <w:t xml:space="preserve">temperature </w:t>
      </w:r>
      <w:r w:rsidRPr="00CB093C">
        <w:rPr>
          <w:rFonts w:ascii="Arial" w:hAnsi="Arial" w:cs="Arial"/>
          <w:i/>
          <w:szCs w:val="22"/>
        </w:rPr>
        <w:t xml:space="preserve">deviations from 13-year </w:t>
      </w:r>
      <w:r w:rsidRPr="00CB093C">
        <w:rPr>
          <w:rFonts w:ascii="Arial" w:hAnsi="Arial" w:cs="Arial"/>
          <w:i/>
          <w:color w:val="000000"/>
          <w:szCs w:val="22"/>
        </w:rPr>
        <w:t>mean weekly records, and; g. sub</w:t>
      </w:r>
      <w:r w:rsidRPr="00CB093C">
        <w:rPr>
          <w:rFonts w:ascii="Arial" w:hAnsi="Arial" w:cs="Arial"/>
          <w:i/>
          <w:szCs w:val="22"/>
        </w:rPr>
        <w:t xml:space="preserve">tidal </w:t>
      </w:r>
      <w:r w:rsidRPr="00CB093C">
        <w:rPr>
          <w:rFonts w:ascii="Arial" w:hAnsi="Arial" w:cs="Arial"/>
          <w:i/>
          <w:color w:val="000000"/>
          <w:szCs w:val="22"/>
        </w:rPr>
        <w:t xml:space="preserve">temperature </w:t>
      </w:r>
      <w:r w:rsidRPr="00CB093C">
        <w:rPr>
          <w:rFonts w:ascii="Arial" w:hAnsi="Arial" w:cs="Arial"/>
          <w:i/>
          <w:szCs w:val="22"/>
        </w:rPr>
        <w:t xml:space="preserve">deviations from 13-year </w:t>
      </w:r>
      <w:r w:rsidRPr="00CB093C">
        <w:rPr>
          <w:rFonts w:ascii="Arial" w:hAnsi="Arial" w:cs="Arial"/>
          <w:i/>
          <w:color w:val="000000"/>
          <w:szCs w:val="22"/>
        </w:rPr>
        <w:t>mean weekly records.</w:t>
      </w:r>
    </w:p>
    <w:p w14:paraId="450DA47B" w14:textId="25D90D50" w:rsidR="000C678C" w:rsidRPr="00CB093C" w:rsidRDefault="0070001C" w:rsidP="00991C44">
      <w:pPr>
        <w:rPr>
          <w:rFonts w:ascii="Arial" w:hAnsi="Arial" w:cs="Arial"/>
          <w:i/>
          <w:color w:val="000000"/>
          <w:szCs w:val="22"/>
        </w:rPr>
      </w:pPr>
      <w:r w:rsidRPr="00CB093C">
        <w:rPr>
          <w:rFonts w:ascii="Arial" w:hAnsi="Arial" w:cs="Arial"/>
          <w:szCs w:val="22"/>
          <w:lang w:val="en-GB"/>
        </w:rPr>
        <w:t xml:space="preserve">In </w:t>
      </w:r>
      <w:r w:rsidR="003654C6">
        <w:rPr>
          <w:rFonts w:ascii="Arial" w:hAnsi="Arial" w:cs="Arial"/>
          <w:szCs w:val="22"/>
          <w:lang w:val="en-GB"/>
        </w:rPr>
        <w:t>2017–18</w:t>
      </w:r>
      <w:r w:rsidR="000C678C" w:rsidRPr="00CB093C">
        <w:rPr>
          <w:rFonts w:ascii="Arial" w:hAnsi="Arial" w:cs="Arial"/>
          <w:szCs w:val="22"/>
          <w:lang w:val="en-GB"/>
        </w:rPr>
        <w:t>, sediments appeared similar to the long-term and the proportion of fine sediments (i.e. mud) was well below the Reef-wide long-term average across all habitats (</w:t>
      </w:r>
      <w:r w:rsidR="000C678C" w:rsidRPr="00CB093C">
        <w:rPr>
          <w:rFonts w:ascii="Arial" w:hAnsi="Arial" w:cs="Arial"/>
          <w:szCs w:val="22"/>
          <w:lang w:val="en-GB"/>
        </w:rPr>
        <w:fldChar w:fldCharType="begin"/>
      </w:r>
      <w:r w:rsidR="000C678C" w:rsidRPr="00CB093C">
        <w:rPr>
          <w:rFonts w:ascii="Arial" w:hAnsi="Arial" w:cs="Arial"/>
          <w:szCs w:val="22"/>
          <w:lang w:val="en-GB"/>
        </w:rPr>
        <w:instrText xml:space="preserve"> REF _Ref511131260 \h </w:instrText>
      </w:r>
      <w:r w:rsidR="00CB093C" w:rsidRPr="00CB093C">
        <w:rPr>
          <w:rFonts w:ascii="Arial" w:hAnsi="Arial" w:cs="Arial"/>
          <w:szCs w:val="22"/>
          <w:lang w:val="en-GB"/>
        </w:rPr>
        <w:instrText xml:space="preserve"> \* MERGEFORMAT </w:instrText>
      </w:r>
      <w:r w:rsidR="000C678C" w:rsidRPr="00CB093C">
        <w:rPr>
          <w:rFonts w:ascii="Arial" w:hAnsi="Arial" w:cs="Arial"/>
          <w:szCs w:val="22"/>
          <w:lang w:val="en-GB"/>
        </w:rPr>
      </w:r>
      <w:r w:rsidR="000C678C"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115</w:t>
      </w:r>
      <w:r w:rsidR="000C678C" w:rsidRPr="00CB093C">
        <w:rPr>
          <w:rFonts w:ascii="Arial" w:hAnsi="Arial" w:cs="Arial"/>
          <w:szCs w:val="22"/>
          <w:lang w:val="en-GB"/>
        </w:rPr>
        <w:fldChar w:fldCharType="end"/>
      </w:r>
      <w:r w:rsidR="000C678C" w:rsidRPr="00CB093C">
        <w:rPr>
          <w:rFonts w:ascii="Arial" w:hAnsi="Arial" w:cs="Arial"/>
          <w:szCs w:val="22"/>
          <w:lang w:val="en-GB"/>
        </w:rPr>
        <w:t xml:space="preserve">, </w:t>
      </w:r>
      <w:r w:rsidR="000C678C" w:rsidRPr="00CB093C">
        <w:rPr>
          <w:rFonts w:ascii="Arial" w:hAnsi="Arial" w:cs="Arial"/>
          <w:szCs w:val="22"/>
          <w:lang w:val="en-GB"/>
        </w:rPr>
        <w:fldChar w:fldCharType="begin"/>
      </w:r>
      <w:r w:rsidR="000C678C" w:rsidRPr="00CB093C">
        <w:rPr>
          <w:rFonts w:ascii="Arial" w:hAnsi="Arial" w:cs="Arial"/>
          <w:szCs w:val="22"/>
          <w:lang w:val="en-GB"/>
        </w:rPr>
        <w:instrText xml:space="preserve"> REF _Ref511131261 \h </w:instrText>
      </w:r>
      <w:r w:rsidR="00CB093C" w:rsidRPr="00CB093C">
        <w:rPr>
          <w:rFonts w:ascii="Arial" w:hAnsi="Arial" w:cs="Arial"/>
          <w:szCs w:val="22"/>
          <w:lang w:val="en-GB"/>
        </w:rPr>
        <w:instrText xml:space="preserve"> \* MERGEFORMAT </w:instrText>
      </w:r>
      <w:r w:rsidR="000C678C" w:rsidRPr="00CB093C">
        <w:rPr>
          <w:rFonts w:ascii="Arial" w:hAnsi="Arial" w:cs="Arial"/>
          <w:szCs w:val="22"/>
          <w:lang w:val="en-GB"/>
        </w:rPr>
      </w:r>
      <w:r w:rsidR="000C678C"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116</w:t>
      </w:r>
      <w:r w:rsidR="000C678C" w:rsidRPr="00CB093C">
        <w:rPr>
          <w:rFonts w:ascii="Arial" w:hAnsi="Arial" w:cs="Arial"/>
          <w:szCs w:val="22"/>
          <w:lang w:val="en-GB"/>
        </w:rPr>
        <w:fldChar w:fldCharType="end"/>
      </w:r>
      <w:r w:rsidR="000C678C" w:rsidRPr="00CB093C">
        <w:rPr>
          <w:rFonts w:ascii="Arial" w:hAnsi="Arial" w:cs="Arial"/>
          <w:szCs w:val="22"/>
          <w:lang w:val="en-GB"/>
        </w:rPr>
        <w:t>). The only exception was one coastal site (YP1) in the northern Wet Tropics (</w:t>
      </w:r>
      <w:r w:rsidR="000C678C" w:rsidRPr="00CB093C">
        <w:rPr>
          <w:rFonts w:ascii="Arial" w:hAnsi="Arial" w:cs="Arial"/>
          <w:szCs w:val="22"/>
          <w:lang w:val="en-GB"/>
        </w:rPr>
        <w:fldChar w:fldCharType="begin"/>
      </w:r>
      <w:r w:rsidR="000C678C" w:rsidRPr="00CB093C">
        <w:rPr>
          <w:rFonts w:ascii="Arial" w:hAnsi="Arial" w:cs="Arial"/>
          <w:szCs w:val="22"/>
          <w:lang w:val="en-GB"/>
        </w:rPr>
        <w:instrText xml:space="preserve"> REF _Ref511130634 \h </w:instrText>
      </w:r>
      <w:r w:rsidR="00CB093C" w:rsidRPr="00CB093C">
        <w:rPr>
          <w:rFonts w:ascii="Arial" w:hAnsi="Arial" w:cs="Arial"/>
          <w:szCs w:val="22"/>
          <w:lang w:val="en-GB"/>
        </w:rPr>
        <w:instrText xml:space="preserve"> \* MERGEFORMAT </w:instrText>
      </w:r>
      <w:r w:rsidR="000C678C" w:rsidRPr="00CB093C">
        <w:rPr>
          <w:rFonts w:ascii="Arial" w:hAnsi="Arial" w:cs="Arial"/>
          <w:szCs w:val="22"/>
          <w:lang w:val="en-GB"/>
        </w:rPr>
      </w:r>
      <w:r w:rsidR="000C678C"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114</w:t>
      </w:r>
      <w:r w:rsidR="000C678C" w:rsidRPr="00CB093C">
        <w:rPr>
          <w:rFonts w:ascii="Arial" w:hAnsi="Arial" w:cs="Arial"/>
          <w:szCs w:val="22"/>
          <w:lang w:val="en-GB"/>
        </w:rPr>
        <w:fldChar w:fldCharType="end"/>
      </w:r>
      <w:r w:rsidR="000C678C" w:rsidRPr="00CB093C">
        <w:rPr>
          <w:rFonts w:ascii="Arial" w:hAnsi="Arial" w:cs="Arial"/>
          <w:szCs w:val="22"/>
          <w:lang w:val="en-GB"/>
        </w:rPr>
        <w:t>). Across the Wet Tropics region, coastal sediments were composed primarily of fine sand, while reef habitats were composed of sand and coarser sediments (</w:t>
      </w:r>
      <w:r w:rsidR="000C678C" w:rsidRPr="00CB093C">
        <w:rPr>
          <w:rFonts w:ascii="Arial" w:hAnsi="Arial" w:cs="Arial"/>
          <w:szCs w:val="22"/>
          <w:lang w:val="en-GB"/>
        </w:rPr>
        <w:fldChar w:fldCharType="begin"/>
      </w:r>
      <w:r w:rsidR="000C678C" w:rsidRPr="00CB093C">
        <w:rPr>
          <w:rFonts w:ascii="Arial" w:hAnsi="Arial" w:cs="Arial"/>
          <w:szCs w:val="22"/>
          <w:lang w:val="en-GB"/>
        </w:rPr>
        <w:instrText xml:space="preserve"> REF _Ref511131260 \h </w:instrText>
      </w:r>
      <w:r w:rsidR="00CB093C" w:rsidRPr="00CB093C">
        <w:rPr>
          <w:rFonts w:ascii="Arial" w:hAnsi="Arial" w:cs="Arial"/>
          <w:szCs w:val="22"/>
          <w:lang w:val="en-GB"/>
        </w:rPr>
        <w:instrText xml:space="preserve"> \* MERGEFORMAT </w:instrText>
      </w:r>
      <w:r w:rsidR="000C678C" w:rsidRPr="00CB093C">
        <w:rPr>
          <w:rFonts w:ascii="Arial" w:hAnsi="Arial" w:cs="Arial"/>
          <w:szCs w:val="22"/>
          <w:lang w:val="en-GB"/>
        </w:rPr>
      </w:r>
      <w:r w:rsidR="000C678C"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115</w:t>
      </w:r>
      <w:r w:rsidR="000C678C" w:rsidRPr="00CB093C">
        <w:rPr>
          <w:rFonts w:ascii="Arial" w:hAnsi="Arial" w:cs="Arial"/>
          <w:szCs w:val="22"/>
          <w:lang w:val="en-GB"/>
        </w:rPr>
        <w:fldChar w:fldCharType="end"/>
      </w:r>
      <w:r w:rsidR="000C678C" w:rsidRPr="00CB093C">
        <w:rPr>
          <w:rFonts w:ascii="Arial" w:hAnsi="Arial" w:cs="Arial"/>
          <w:szCs w:val="22"/>
          <w:lang w:val="en-GB"/>
        </w:rPr>
        <w:t xml:space="preserve">, </w:t>
      </w:r>
      <w:r w:rsidR="000C678C" w:rsidRPr="00CB093C">
        <w:rPr>
          <w:rFonts w:ascii="Arial" w:hAnsi="Arial" w:cs="Arial"/>
          <w:szCs w:val="22"/>
          <w:lang w:val="en-GB"/>
        </w:rPr>
        <w:fldChar w:fldCharType="begin"/>
      </w:r>
      <w:r w:rsidR="000C678C" w:rsidRPr="00CB093C">
        <w:rPr>
          <w:rFonts w:ascii="Arial" w:hAnsi="Arial" w:cs="Arial"/>
          <w:szCs w:val="22"/>
          <w:lang w:val="en-GB"/>
        </w:rPr>
        <w:instrText xml:space="preserve"> REF _Ref511131261 \h </w:instrText>
      </w:r>
      <w:r w:rsidR="00CB093C" w:rsidRPr="00CB093C">
        <w:rPr>
          <w:rFonts w:ascii="Arial" w:hAnsi="Arial" w:cs="Arial"/>
          <w:szCs w:val="22"/>
          <w:lang w:val="en-GB"/>
        </w:rPr>
        <w:instrText xml:space="preserve"> \* MERGEFORMAT </w:instrText>
      </w:r>
      <w:r w:rsidR="000C678C" w:rsidRPr="00CB093C">
        <w:rPr>
          <w:rFonts w:ascii="Arial" w:hAnsi="Arial" w:cs="Arial"/>
          <w:szCs w:val="22"/>
          <w:lang w:val="en-GB"/>
        </w:rPr>
      </w:r>
      <w:r w:rsidR="000C678C"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116</w:t>
      </w:r>
      <w:r w:rsidR="000C678C" w:rsidRPr="00CB093C">
        <w:rPr>
          <w:rFonts w:ascii="Arial" w:hAnsi="Arial" w:cs="Arial"/>
          <w:szCs w:val="22"/>
          <w:lang w:val="en-GB"/>
        </w:rPr>
        <w:fldChar w:fldCharType="end"/>
      </w:r>
      <w:r w:rsidR="000C678C" w:rsidRPr="00CB093C">
        <w:rPr>
          <w:rFonts w:ascii="Arial" w:hAnsi="Arial" w:cs="Arial"/>
          <w:szCs w:val="22"/>
          <w:lang w:val="en-GB"/>
        </w:rPr>
        <w:t>). Subtidal reef sediments were predominately sand, which in the southern region often included coarser grains (</w:t>
      </w:r>
      <w:r w:rsidR="000C678C" w:rsidRPr="00CB093C">
        <w:rPr>
          <w:rFonts w:ascii="Arial" w:hAnsi="Arial" w:cs="Arial"/>
          <w:szCs w:val="22"/>
          <w:lang w:val="en-GB"/>
        </w:rPr>
        <w:fldChar w:fldCharType="begin"/>
      </w:r>
      <w:r w:rsidR="000C678C" w:rsidRPr="00CB093C">
        <w:rPr>
          <w:rFonts w:ascii="Arial" w:hAnsi="Arial" w:cs="Arial"/>
          <w:szCs w:val="22"/>
          <w:lang w:val="en-GB"/>
        </w:rPr>
        <w:instrText xml:space="preserve"> REF _Ref511131267 \h </w:instrText>
      </w:r>
      <w:r w:rsidR="00CB093C" w:rsidRPr="00CB093C">
        <w:rPr>
          <w:rFonts w:ascii="Arial" w:hAnsi="Arial" w:cs="Arial"/>
          <w:szCs w:val="22"/>
          <w:lang w:val="en-GB"/>
        </w:rPr>
        <w:instrText xml:space="preserve"> \* MERGEFORMAT </w:instrText>
      </w:r>
      <w:r w:rsidR="000C678C" w:rsidRPr="00CB093C">
        <w:rPr>
          <w:rFonts w:ascii="Arial" w:hAnsi="Arial" w:cs="Arial"/>
          <w:szCs w:val="22"/>
          <w:lang w:val="en-GB"/>
        </w:rPr>
      </w:r>
      <w:r w:rsidR="000C678C"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117</w:t>
      </w:r>
      <w:r w:rsidR="000C678C" w:rsidRPr="00CB093C">
        <w:rPr>
          <w:rFonts w:ascii="Arial" w:hAnsi="Arial" w:cs="Arial"/>
          <w:szCs w:val="22"/>
          <w:lang w:val="en-GB"/>
        </w:rPr>
        <w:fldChar w:fldCharType="end"/>
      </w:r>
      <w:r w:rsidR="000C678C" w:rsidRPr="00CB093C">
        <w:rPr>
          <w:rFonts w:ascii="Arial" w:hAnsi="Arial" w:cs="Arial"/>
          <w:szCs w:val="22"/>
          <w:lang w:val="en-GB"/>
        </w:rPr>
        <w:t xml:space="preserve">). </w:t>
      </w:r>
    </w:p>
    <w:p w14:paraId="195ECF3E" w14:textId="77777777" w:rsidR="003737E9" w:rsidRPr="00CB093C" w:rsidRDefault="003737E9" w:rsidP="00AD06D4">
      <w:pPr>
        <w:pStyle w:val="Heading3"/>
        <w:numPr>
          <w:ilvl w:val="2"/>
          <w:numId w:val="4"/>
        </w:numPr>
        <w:rPr>
          <w:rFonts w:ascii="Arial" w:hAnsi="Arial" w:cs="Arial"/>
          <w:color w:val="000000"/>
          <w:sz w:val="22"/>
          <w:szCs w:val="22"/>
        </w:rPr>
      </w:pPr>
      <w:bookmarkStart w:id="284" w:name="_Toc11394736"/>
      <w:bookmarkEnd w:id="277"/>
      <w:bookmarkEnd w:id="279"/>
      <w:r w:rsidRPr="00CB093C">
        <w:rPr>
          <w:rFonts w:ascii="Arial" w:hAnsi="Arial" w:cs="Arial"/>
          <w:color w:val="000000"/>
          <w:sz w:val="22"/>
          <w:szCs w:val="22"/>
        </w:rPr>
        <w:t>Inshore seagrass and habitat condition</w:t>
      </w:r>
      <w:bookmarkEnd w:id="284"/>
    </w:p>
    <w:p w14:paraId="5A924BE9" w14:textId="7678AAF4" w:rsidR="004E1A5A" w:rsidRPr="00CB093C" w:rsidRDefault="001838E0" w:rsidP="00223B18">
      <w:pPr>
        <w:rPr>
          <w:rFonts w:ascii="Arial" w:hAnsi="Arial" w:cs="Arial"/>
          <w:szCs w:val="22"/>
        </w:rPr>
      </w:pPr>
      <w:r w:rsidRPr="00CB093C">
        <w:rPr>
          <w:rFonts w:ascii="Arial" w:hAnsi="Arial" w:cs="Arial"/>
          <w:szCs w:val="22"/>
        </w:rPr>
        <w:t>Three</w:t>
      </w:r>
      <w:r w:rsidR="004E1A5A" w:rsidRPr="00CB093C">
        <w:rPr>
          <w:rFonts w:ascii="Arial" w:hAnsi="Arial" w:cs="Arial"/>
          <w:szCs w:val="22"/>
        </w:rPr>
        <w:t xml:space="preserve"> seagrass habitat types were assessed across the Wet Tropics region with data from 1</w:t>
      </w:r>
      <w:r w:rsidRPr="00CB093C">
        <w:rPr>
          <w:rFonts w:ascii="Arial" w:hAnsi="Arial" w:cs="Arial"/>
          <w:szCs w:val="22"/>
        </w:rPr>
        <w:t>2</w:t>
      </w:r>
      <w:r w:rsidR="004E1A5A" w:rsidRPr="00CB093C">
        <w:rPr>
          <w:rFonts w:ascii="Arial" w:hAnsi="Arial" w:cs="Arial"/>
          <w:szCs w:val="22"/>
        </w:rPr>
        <w:t xml:space="preserve"> sites (</w:t>
      </w:r>
      <w:r w:rsidR="004E1A5A" w:rsidRPr="00CB093C">
        <w:rPr>
          <w:rFonts w:ascii="Arial" w:hAnsi="Arial" w:cs="Arial"/>
          <w:szCs w:val="22"/>
        </w:rPr>
        <w:fldChar w:fldCharType="begin"/>
      </w:r>
      <w:r w:rsidR="004E1A5A" w:rsidRPr="00CB093C">
        <w:rPr>
          <w:rFonts w:ascii="Arial" w:hAnsi="Arial" w:cs="Arial"/>
          <w:szCs w:val="22"/>
        </w:rPr>
        <w:instrText xml:space="preserve"> REF _Ref473897322 \h </w:instrText>
      </w:r>
      <w:r w:rsidR="00223B18" w:rsidRPr="00CB093C">
        <w:rPr>
          <w:rFonts w:ascii="Arial" w:hAnsi="Arial" w:cs="Arial"/>
          <w:szCs w:val="22"/>
        </w:rPr>
        <w:instrText xml:space="preserve"> \* MERGEFORMAT </w:instrText>
      </w:r>
      <w:r w:rsidR="004E1A5A" w:rsidRPr="00CB093C">
        <w:rPr>
          <w:rFonts w:ascii="Arial" w:hAnsi="Arial" w:cs="Arial"/>
          <w:szCs w:val="22"/>
        </w:rPr>
      </w:r>
      <w:r w:rsidR="004E1A5A" w:rsidRPr="00CB093C">
        <w:rPr>
          <w:rFonts w:ascii="Arial" w:hAnsi="Arial" w:cs="Arial"/>
          <w:szCs w:val="22"/>
        </w:rPr>
        <w:fldChar w:fldCharType="separate"/>
      </w:r>
      <w:r w:rsidR="005F00D4" w:rsidRPr="00CB093C">
        <w:rPr>
          <w:rFonts w:ascii="Arial" w:hAnsi="Arial" w:cs="Arial"/>
          <w:szCs w:val="22"/>
        </w:rPr>
        <w:t xml:space="preserve">Table </w:t>
      </w:r>
      <w:r w:rsidR="005F00D4">
        <w:rPr>
          <w:rFonts w:ascii="Arial" w:hAnsi="Arial" w:cs="Arial"/>
          <w:noProof/>
          <w:szCs w:val="22"/>
        </w:rPr>
        <w:t>12</w:t>
      </w:r>
      <w:r w:rsidR="004E1A5A" w:rsidRPr="00CB093C">
        <w:rPr>
          <w:rFonts w:ascii="Arial" w:hAnsi="Arial" w:cs="Arial"/>
          <w:szCs w:val="22"/>
        </w:rPr>
        <w:fldChar w:fldCharType="end"/>
      </w:r>
      <w:r w:rsidR="004E1A5A" w:rsidRPr="00CB093C">
        <w:rPr>
          <w:rFonts w:ascii="Arial" w:hAnsi="Arial" w:cs="Arial"/>
          <w:szCs w:val="22"/>
        </w:rPr>
        <w:t>).</w:t>
      </w:r>
    </w:p>
    <w:p w14:paraId="0527D4B5" w14:textId="63C1A564" w:rsidR="004E1A5A" w:rsidRPr="00CB093C" w:rsidRDefault="004E1A5A" w:rsidP="004E1A5A">
      <w:pPr>
        <w:rPr>
          <w:rFonts w:ascii="Arial" w:hAnsi="Arial" w:cs="Arial"/>
          <w:i/>
          <w:vanish/>
          <w:szCs w:val="22"/>
          <w:specVanish/>
        </w:rPr>
      </w:pPr>
      <w:bookmarkStart w:id="285" w:name="_Ref473897322"/>
      <w:bookmarkStart w:id="286" w:name="_Toc5616040"/>
      <w:r w:rsidRPr="00CB093C">
        <w:rPr>
          <w:rFonts w:ascii="Arial" w:hAnsi="Arial" w:cs="Arial"/>
          <w:szCs w:val="22"/>
        </w:rPr>
        <w:t xml:space="preserve">Table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Table \* ARABIC </w:instrText>
      </w:r>
      <w:r w:rsidR="00C506C7" w:rsidRPr="00CB093C">
        <w:rPr>
          <w:rFonts w:ascii="Arial" w:hAnsi="Arial" w:cs="Arial"/>
          <w:noProof/>
          <w:szCs w:val="22"/>
        </w:rPr>
        <w:fldChar w:fldCharType="separate"/>
      </w:r>
      <w:r w:rsidR="005F00D4">
        <w:rPr>
          <w:rFonts w:ascii="Arial" w:hAnsi="Arial" w:cs="Arial"/>
          <w:noProof/>
          <w:szCs w:val="22"/>
        </w:rPr>
        <w:t>12</w:t>
      </w:r>
      <w:r w:rsidR="00C506C7" w:rsidRPr="00CB093C">
        <w:rPr>
          <w:rFonts w:ascii="Arial" w:hAnsi="Arial" w:cs="Arial"/>
          <w:noProof/>
          <w:szCs w:val="22"/>
        </w:rPr>
        <w:fldChar w:fldCharType="end"/>
      </w:r>
      <w:bookmarkEnd w:id="285"/>
      <w:r w:rsidRPr="00CB093C">
        <w:rPr>
          <w:rFonts w:ascii="Arial" w:hAnsi="Arial" w:cs="Arial"/>
          <w:szCs w:val="22"/>
        </w:rPr>
        <w:t xml:space="preserve">. </w:t>
      </w:r>
      <w:r w:rsidRPr="00CB093C">
        <w:rPr>
          <w:rFonts w:ascii="Arial" w:hAnsi="Arial" w:cs="Arial"/>
          <w:i/>
          <w:szCs w:val="22"/>
        </w:rPr>
        <w:t>List of data sources of seagrass and environmental condition indicators for each seagrass habitat type in the Wet Tropics NRM region.</w:t>
      </w:r>
      <w:bookmarkEnd w:id="286"/>
    </w:p>
    <w:p w14:paraId="1B03949E" w14:textId="06BB7EFE" w:rsidR="004E1A5A" w:rsidRPr="00CB093C" w:rsidRDefault="004E1A5A" w:rsidP="004E1A5A">
      <w:pPr>
        <w:pStyle w:val="Caption"/>
        <w:rPr>
          <w:rFonts w:ascii="Arial" w:hAnsi="Arial" w:cs="Arial"/>
          <w:szCs w:val="22"/>
        </w:rPr>
      </w:pPr>
      <w:r w:rsidRPr="00CB093C">
        <w:rPr>
          <w:rFonts w:ascii="Arial" w:hAnsi="Arial" w:cs="Arial"/>
          <w:i/>
          <w:szCs w:val="22"/>
        </w:rPr>
        <w:t xml:space="preserve"> </w:t>
      </w:r>
      <w:r w:rsidR="009A1A75" w:rsidRPr="00CB093C">
        <w:rPr>
          <w:rFonts w:ascii="Arial" w:hAnsi="Arial" w:cs="Arial"/>
          <w:i/>
          <w:color w:val="000000"/>
          <w:szCs w:val="22"/>
          <w:vertAlign w:val="superscript"/>
        </w:rPr>
        <w:sym w:font="Wingdings 2" w:char="F085"/>
      </w:r>
      <w:r w:rsidR="009A1A75" w:rsidRPr="00CB093C">
        <w:rPr>
          <w:rFonts w:ascii="Arial" w:hAnsi="Arial" w:cs="Arial"/>
          <w:i/>
          <w:color w:val="000000"/>
          <w:szCs w:val="22"/>
        </w:rPr>
        <w:t xml:space="preserve"> drop camera sampling (QPWS), *Seagrass-Watch.</w:t>
      </w:r>
      <w:r w:rsidRPr="00CB093C">
        <w:rPr>
          <w:rFonts w:ascii="Arial" w:hAnsi="Arial" w:cs="Arial"/>
          <w:i/>
          <w:szCs w:val="22"/>
        </w:rPr>
        <w:t xml:space="preserve"> For site details see </w:t>
      </w:r>
      <w:r w:rsidRPr="00CB093C">
        <w:rPr>
          <w:rFonts w:ascii="Arial" w:hAnsi="Arial" w:cs="Arial"/>
          <w:i/>
          <w:szCs w:val="22"/>
        </w:rPr>
        <w:fldChar w:fldCharType="begin"/>
      </w:r>
      <w:r w:rsidRPr="00CB093C">
        <w:rPr>
          <w:rFonts w:ascii="Arial" w:hAnsi="Arial" w:cs="Arial"/>
          <w:i/>
          <w:szCs w:val="22"/>
        </w:rPr>
        <w:instrText xml:space="preserve"> REF _Ref236539751 \h  \* MERGEFORMAT </w:instrText>
      </w:r>
      <w:r w:rsidRPr="00CB093C">
        <w:rPr>
          <w:rFonts w:ascii="Arial" w:hAnsi="Arial" w:cs="Arial"/>
          <w:i/>
          <w:szCs w:val="22"/>
        </w:rPr>
      </w:r>
      <w:r w:rsidRPr="00CB093C">
        <w:rPr>
          <w:rFonts w:ascii="Arial" w:hAnsi="Arial" w:cs="Arial"/>
          <w:i/>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w:t>
      </w:r>
      <w:r w:rsidRPr="00CB093C">
        <w:rPr>
          <w:rFonts w:ascii="Arial" w:hAnsi="Arial" w:cs="Arial"/>
          <w:i/>
          <w:szCs w:val="22"/>
        </w:rPr>
        <w:fldChar w:fldCharType="end"/>
      </w:r>
      <w:r w:rsidRPr="00CB093C">
        <w:rPr>
          <w:rFonts w:ascii="Arial" w:hAnsi="Arial" w:cs="Arial"/>
          <w:i/>
          <w:szCs w:val="22"/>
        </w:rPr>
        <w:t xml:space="preserve"> and </w:t>
      </w:r>
      <w:r w:rsidRPr="00CB093C">
        <w:rPr>
          <w:rFonts w:ascii="Arial" w:hAnsi="Arial" w:cs="Arial"/>
          <w:i/>
          <w:szCs w:val="22"/>
        </w:rPr>
        <w:fldChar w:fldCharType="begin"/>
      </w:r>
      <w:r w:rsidRPr="00CB093C">
        <w:rPr>
          <w:rFonts w:ascii="Arial" w:hAnsi="Arial" w:cs="Arial"/>
          <w:i/>
          <w:szCs w:val="22"/>
        </w:rPr>
        <w:instrText xml:space="preserve"> REF _Ref461186562 \h  \* MERGEFORMAT </w:instrText>
      </w:r>
      <w:r w:rsidRPr="00CB093C">
        <w:rPr>
          <w:rFonts w:ascii="Arial" w:hAnsi="Arial" w:cs="Arial"/>
          <w:i/>
          <w:szCs w:val="22"/>
        </w:rPr>
      </w:r>
      <w:r w:rsidRPr="00CB093C">
        <w:rPr>
          <w:rFonts w:ascii="Arial" w:hAnsi="Arial" w:cs="Arial"/>
          <w:i/>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3</w:t>
      </w:r>
      <w:r w:rsidRPr="00CB093C">
        <w:rPr>
          <w:rFonts w:ascii="Arial" w:hAnsi="Arial" w:cs="Arial"/>
          <w:i/>
          <w:szCs w:val="22"/>
        </w:rPr>
        <w:fldChar w:fldCharType="end"/>
      </w:r>
      <w:r w:rsidRPr="00CB093C">
        <w:rPr>
          <w:rFonts w:ascii="Arial" w:hAnsi="Arial" w:cs="Arial"/>
          <w:i/>
          <w:szCs w:val="22"/>
        </w:rPr>
        <w:t>.</w:t>
      </w:r>
    </w:p>
    <w:tbl>
      <w:tblPr>
        <w:tblW w:w="8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9"/>
        <w:gridCol w:w="1048"/>
        <w:gridCol w:w="767"/>
        <w:gridCol w:w="1542"/>
        <w:gridCol w:w="475"/>
        <w:gridCol w:w="475"/>
        <w:gridCol w:w="475"/>
        <w:gridCol w:w="475"/>
        <w:gridCol w:w="475"/>
        <w:gridCol w:w="475"/>
        <w:gridCol w:w="475"/>
        <w:gridCol w:w="475"/>
        <w:gridCol w:w="475"/>
      </w:tblGrid>
      <w:tr w:rsidR="009F15CD" w:rsidRPr="00CB093C" w14:paraId="7CABE451" w14:textId="77777777" w:rsidTr="00381338">
        <w:trPr>
          <w:cantSplit/>
          <w:trHeight w:val="1803"/>
          <w:jc w:val="center"/>
        </w:trPr>
        <w:tc>
          <w:tcPr>
            <w:tcW w:w="747" w:type="dxa"/>
            <w:shd w:val="clear" w:color="auto" w:fill="BBE0E3"/>
            <w:vAlign w:val="center"/>
          </w:tcPr>
          <w:p w14:paraId="7432553D" w14:textId="2AF8A2DE" w:rsidR="009F15CD" w:rsidRPr="00CB093C" w:rsidRDefault="009F15CD" w:rsidP="009F15CD">
            <w:pPr>
              <w:spacing w:before="0" w:after="0"/>
              <w:jc w:val="center"/>
              <w:rPr>
                <w:rFonts w:ascii="Arial" w:hAnsi="Arial" w:cs="Arial"/>
                <w:b/>
                <w:bCs/>
                <w:color w:val="000000"/>
                <w:szCs w:val="22"/>
              </w:rPr>
            </w:pPr>
            <w:r w:rsidRPr="00CB093C">
              <w:rPr>
                <w:rFonts w:ascii="Arial" w:hAnsi="Arial" w:cs="Arial"/>
                <w:b/>
                <w:bCs/>
                <w:color w:val="000000"/>
                <w:szCs w:val="22"/>
              </w:rPr>
              <w:t>Sub region</w:t>
            </w:r>
          </w:p>
        </w:tc>
        <w:tc>
          <w:tcPr>
            <w:tcW w:w="963" w:type="dxa"/>
            <w:shd w:val="clear" w:color="auto" w:fill="BBE0E3"/>
            <w:vAlign w:val="center"/>
          </w:tcPr>
          <w:p w14:paraId="45E674A9" w14:textId="56C097A3" w:rsidR="009F15CD" w:rsidRPr="00CB093C" w:rsidRDefault="009F15CD" w:rsidP="009F15CD">
            <w:pPr>
              <w:spacing w:before="0" w:after="0"/>
              <w:jc w:val="center"/>
              <w:rPr>
                <w:rFonts w:ascii="Arial" w:hAnsi="Arial" w:cs="Arial"/>
                <w:b/>
                <w:bCs/>
                <w:color w:val="000000"/>
                <w:szCs w:val="22"/>
              </w:rPr>
            </w:pPr>
            <w:r w:rsidRPr="00CB093C">
              <w:rPr>
                <w:rFonts w:ascii="Arial" w:hAnsi="Arial" w:cs="Arial"/>
                <w:b/>
                <w:bCs/>
                <w:color w:val="000000"/>
                <w:szCs w:val="22"/>
              </w:rPr>
              <w:t>Habitat</w:t>
            </w:r>
          </w:p>
        </w:tc>
        <w:tc>
          <w:tcPr>
            <w:tcW w:w="2218" w:type="dxa"/>
            <w:gridSpan w:val="2"/>
            <w:shd w:val="clear" w:color="auto" w:fill="BBE0E3"/>
            <w:noWrap/>
            <w:vAlign w:val="center"/>
          </w:tcPr>
          <w:p w14:paraId="243CB11A" w14:textId="77777777" w:rsidR="009F15CD" w:rsidRPr="00CB093C" w:rsidRDefault="009F15CD" w:rsidP="00907D11">
            <w:pPr>
              <w:spacing w:before="0" w:after="0"/>
              <w:jc w:val="center"/>
              <w:rPr>
                <w:rFonts w:ascii="Arial" w:hAnsi="Arial" w:cs="Arial"/>
                <w:b/>
                <w:bCs/>
                <w:color w:val="000000"/>
                <w:szCs w:val="22"/>
              </w:rPr>
            </w:pPr>
            <w:r w:rsidRPr="00CB093C">
              <w:rPr>
                <w:rFonts w:ascii="Arial" w:hAnsi="Arial" w:cs="Arial"/>
                <w:b/>
                <w:bCs/>
                <w:color w:val="000000"/>
                <w:szCs w:val="22"/>
              </w:rPr>
              <w:t>Site</w:t>
            </w:r>
          </w:p>
        </w:tc>
        <w:tc>
          <w:tcPr>
            <w:tcW w:w="467" w:type="dxa"/>
            <w:shd w:val="clear" w:color="auto" w:fill="BBE0E3"/>
            <w:textDirection w:val="btLr"/>
            <w:vAlign w:val="center"/>
          </w:tcPr>
          <w:p w14:paraId="4762E7B8" w14:textId="77777777" w:rsidR="009F15CD" w:rsidRPr="00CB093C" w:rsidRDefault="009F15CD" w:rsidP="00907D11">
            <w:pPr>
              <w:spacing w:before="0" w:after="0"/>
              <w:rPr>
                <w:rFonts w:ascii="Arial" w:hAnsi="Arial" w:cs="Arial"/>
                <w:b/>
                <w:bCs/>
                <w:color w:val="000000"/>
                <w:szCs w:val="22"/>
              </w:rPr>
            </w:pPr>
            <w:r w:rsidRPr="00CB093C">
              <w:rPr>
                <w:rFonts w:ascii="Arial" w:hAnsi="Arial" w:cs="Arial"/>
                <w:b/>
                <w:bCs/>
                <w:color w:val="000000"/>
                <w:szCs w:val="22"/>
              </w:rPr>
              <w:t>abundance</w:t>
            </w:r>
          </w:p>
        </w:tc>
        <w:tc>
          <w:tcPr>
            <w:tcW w:w="467" w:type="dxa"/>
            <w:shd w:val="clear" w:color="auto" w:fill="BBE0E3"/>
            <w:textDirection w:val="btLr"/>
            <w:vAlign w:val="center"/>
          </w:tcPr>
          <w:p w14:paraId="38605D4E" w14:textId="77777777" w:rsidR="009F15CD" w:rsidRPr="00CB093C" w:rsidRDefault="009F15CD" w:rsidP="00907D11">
            <w:pPr>
              <w:spacing w:before="0" w:after="0"/>
              <w:rPr>
                <w:rFonts w:ascii="Arial" w:hAnsi="Arial" w:cs="Arial"/>
                <w:b/>
                <w:bCs/>
                <w:color w:val="000000"/>
                <w:szCs w:val="22"/>
              </w:rPr>
            </w:pPr>
            <w:r w:rsidRPr="00CB093C">
              <w:rPr>
                <w:rFonts w:ascii="Arial" w:hAnsi="Arial" w:cs="Arial"/>
                <w:b/>
                <w:bCs/>
                <w:color w:val="000000"/>
                <w:szCs w:val="22"/>
              </w:rPr>
              <w:t xml:space="preserve">composition </w:t>
            </w:r>
          </w:p>
        </w:tc>
        <w:tc>
          <w:tcPr>
            <w:tcW w:w="467" w:type="dxa"/>
            <w:shd w:val="clear" w:color="auto" w:fill="BBE0E3"/>
            <w:textDirection w:val="btLr"/>
            <w:vAlign w:val="center"/>
          </w:tcPr>
          <w:p w14:paraId="63E83C8B" w14:textId="77777777" w:rsidR="009F15CD" w:rsidRPr="00CB093C" w:rsidRDefault="009F15CD" w:rsidP="00907D11">
            <w:pPr>
              <w:spacing w:before="0" w:after="0"/>
              <w:rPr>
                <w:rFonts w:ascii="Arial" w:hAnsi="Arial" w:cs="Arial"/>
                <w:b/>
                <w:bCs/>
                <w:color w:val="000000"/>
                <w:szCs w:val="22"/>
              </w:rPr>
            </w:pPr>
            <w:r w:rsidRPr="00CB093C">
              <w:rPr>
                <w:rFonts w:ascii="Arial" w:hAnsi="Arial" w:cs="Arial"/>
                <w:b/>
                <w:bCs/>
                <w:color w:val="000000"/>
                <w:szCs w:val="22"/>
              </w:rPr>
              <w:t>distribution</w:t>
            </w:r>
          </w:p>
        </w:tc>
        <w:tc>
          <w:tcPr>
            <w:tcW w:w="467" w:type="dxa"/>
            <w:shd w:val="clear" w:color="auto" w:fill="BBE0E3"/>
            <w:textDirection w:val="btLr"/>
            <w:vAlign w:val="center"/>
          </w:tcPr>
          <w:p w14:paraId="5F679E13" w14:textId="77777777" w:rsidR="009F15CD" w:rsidRPr="00CB093C" w:rsidRDefault="009F15CD" w:rsidP="00907D11">
            <w:pPr>
              <w:spacing w:before="0" w:after="0"/>
              <w:rPr>
                <w:rFonts w:ascii="Arial" w:hAnsi="Arial" w:cs="Arial"/>
                <w:b/>
                <w:bCs/>
                <w:color w:val="000000"/>
                <w:szCs w:val="22"/>
              </w:rPr>
            </w:pPr>
            <w:r w:rsidRPr="00CB093C">
              <w:rPr>
                <w:rFonts w:ascii="Arial" w:hAnsi="Arial" w:cs="Arial"/>
                <w:b/>
                <w:bCs/>
                <w:color w:val="000000"/>
                <w:szCs w:val="22"/>
              </w:rPr>
              <w:t>Reproductive effort</w:t>
            </w:r>
          </w:p>
        </w:tc>
        <w:tc>
          <w:tcPr>
            <w:tcW w:w="467" w:type="dxa"/>
            <w:shd w:val="clear" w:color="auto" w:fill="BBE0E3"/>
            <w:textDirection w:val="btLr"/>
            <w:vAlign w:val="center"/>
          </w:tcPr>
          <w:p w14:paraId="2528293A" w14:textId="77777777" w:rsidR="009F15CD" w:rsidRPr="00CB093C" w:rsidRDefault="009F15CD" w:rsidP="00907D11">
            <w:pPr>
              <w:spacing w:before="0" w:after="0"/>
              <w:rPr>
                <w:rFonts w:ascii="Arial" w:hAnsi="Arial" w:cs="Arial"/>
                <w:b/>
                <w:bCs/>
                <w:color w:val="000000"/>
                <w:szCs w:val="22"/>
              </w:rPr>
            </w:pPr>
            <w:r w:rsidRPr="00CB093C">
              <w:rPr>
                <w:rFonts w:ascii="Arial" w:hAnsi="Arial" w:cs="Arial"/>
                <w:b/>
                <w:bCs/>
                <w:color w:val="000000"/>
                <w:szCs w:val="22"/>
              </w:rPr>
              <w:t>seed banks</w:t>
            </w:r>
          </w:p>
        </w:tc>
        <w:tc>
          <w:tcPr>
            <w:tcW w:w="467" w:type="dxa"/>
            <w:shd w:val="clear" w:color="auto" w:fill="BBE0E3"/>
            <w:textDirection w:val="btLr"/>
            <w:vAlign w:val="center"/>
          </w:tcPr>
          <w:p w14:paraId="10C2663F" w14:textId="77777777" w:rsidR="009F15CD" w:rsidRPr="00CB093C" w:rsidRDefault="009F15CD" w:rsidP="00907D11">
            <w:pPr>
              <w:spacing w:before="0" w:after="0"/>
              <w:rPr>
                <w:rFonts w:ascii="Arial" w:hAnsi="Arial" w:cs="Arial"/>
                <w:b/>
                <w:bCs/>
                <w:color w:val="000000"/>
                <w:szCs w:val="22"/>
              </w:rPr>
            </w:pPr>
            <w:r w:rsidRPr="00CB093C">
              <w:rPr>
                <w:rFonts w:ascii="Arial" w:hAnsi="Arial" w:cs="Arial"/>
                <w:b/>
                <w:bCs/>
                <w:color w:val="000000"/>
                <w:szCs w:val="22"/>
              </w:rPr>
              <w:t>Leaf tissue nutrients</w:t>
            </w:r>
          </w:p>
        </w:tc>
        <w:tc>
          <w:tcPr>
            <w:tcW w:w="467" w:type="dxa"/>
            <w:shd w:val="clear" w:color="auto" w:fill="BBE0E3"/>
            <w:textDirection w:val="btLr"/>
            <w:vAlign w:val="center"/>
          </w:tcPr>
          <w:p w14:paraId="0CD94001" w14:textId="77777777" w:rsidR="009F15CD" w:rsidRPr="00CB093C" w:rsidRDefault="009F15CD" w:rsidP="00907D11">
            <w:pPr>
              <w:spacing w:before="0" w:after="0"/>
              <w:rPr>
                <w:rFonts w:ascii="Arial" w:hAnsi="Arial" w:cs="Arial"/>
                <w:b/>
                <w:bCs/>
                <w:color w:val="000000"/>
                <w:szCs w:val="22"/>
              </w:rPr>
            </w:pPr>
            <w:r w:rsidRPr="00CB093C">
              <w:rPr>
                <w:rFonts w:ascii="Arial" w:hAnsi="Arial" w:cs="Arial"/>
                <w:b/>
                <w:bCs/>
                <w:color w:val="000000"/>
                <w:szCs w:val="22"/>
              </w:rPr>
              <w:t>Meadow sediments</w:t>
            </w:r>
          </w:p>
        </w:tc>
        <w:tc>
          <w:tcPr>
            <w:tcW w:w="467" w:type="dxa"/>
            <w:shd w:val="clear" w:color="auto" w:fill="BBE0E3"/>
            <w:textDirection w:val="btLr"/>
            <w:vAlign w:val="center"/>
          </w:tcPr>
          <w:p w14:paraId="057913EC" w14:textId="77777777" w:rsidR="009F15CD" w:rsidRPr="00CB093C" w:rsidRDefault="009F15CD" w:rsidP="00907D11">
            <w:pPr>
              <w:spacing w:before="0" w:after="0"/>
              <w:rPr>
                <w:rFonts w:ascii="Arial" w:hAnsi="Arial" w:cs="Arial"/>
                <w:b/>
                <w:bCs/>
                <w:color w:val="000000"/>
                <w:szCs w:val="22"/>
              </w:rPr>
            </w:pPr>
            <w:r w:rsidRPr="00CB093C">
              <w:rPr>
                <w:rFonts w:ascii="Arial" w:hAnsi="Arial" w:cs="Arial"/>
                <w:b/>
                <w:bCs/>
                <w:color w:val="000000"/>
                <w:szCs w:val="22"/>
              </w:rPr>
              <w:t>Epiphytes</w:t>
            </w:r>
          </w:p>
        </w:tc>
        <w:tc>
          <w:tcPr>
            <w:tcW w:w="467" w:type="dxa"/>
            <w:shd w:val="clear" w:color="auto" w:fill="BBE0E3"/>
            <w:textDirection w:val="btLr"/>
          </w:tcPr>
          <w:p w14:paraId="10FE08FF" w14:textId="77777777" w:rsidR="009F15CD" w:rsidRPr="00CB093C" w:rsidRDefault="009F15CD" w:rsidP="00907D11">
            <w:pPr>
              <w:spacing w:before="0" w:after="0"/>
              <w:rPr>
                <w:rFonts w:ascii="Arial" w:hAnsi="Arial" w:cs="Arial"/>
                <w:b/>
                <w:bCs/>
                <w:color w:val="000000"/>
                <w:szCs w:val="22"/>
              </w:rPr>
            </w:pPr>
            <w:r w:rsidRPr="00CB093C">
              <w:rPr>
                <w:rFonts w:ascii="Arial" w:hAnsi="Arial" w:cs="Arial"/>
                <w:b/>
                <w:bCs/>
                <w:color w:val="000000"/>
                <w:szCs w:val="22"/>
              </w:rPr>
              <w:t>Macroalgae</w:t>
            </w:r>
          </w:p>
        </w:tc>
      </w:tr>
      <w:tr w:rsidR="009F15CD" w:rsidRPr="00CB093C" w14:paraId="22B809BD" w14:textId="77777777" w:rsidTr="00381338">
        <w:trPr>
          <w:trHeight w:val="170"/>
          <w:jc w:val="center"/>
        </w:trPr>
        <w:tc>
          <w:tcPr>
            <w:tcW w:w="747" w:type="dxa"/>
            <w:vMerge w:val="restart"/>
            <w:shd w:val="clear" w:color="auto" w:fill="auto"/>
            <w:vAlign w:val="center"/>
          </w:tcPr>
          <w:p w14:paraId="6E8BBC1D" w14:textId="036D8AC2"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north</w:t>
            </w:r>
          </w:p>
        </w:tc>
        <w:tc>
          <w:tcPr>
            <w:tcW w:w="963" w:type="dxa"/>
            <w:vMerge w:val="restart"/>
            <w:shd w:val="clear" w:color="auto" w:fill="E7F3F4"/>
            <w:vAlign w:val="center"/>
          </w:tcPr>
          <w:p w14:paraId="01BCA39E"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coastal intertidal</w:t>
            </w:r>
          </w:p>
        </w:tc>
        <w:tc>
          <w:tcPr>
            <w:tcW w:w="676" w:type="dxa"/>
            <w:shd w:val="clear" w:color="auto" w:fill="E7F3F4"/>
            <w:noWrap/>
            <w:vAlign w:val="center"/>
          </w:tcPr>
          <w:p w14:paraId="3CDD9A46"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YP1</w:t>
            </w:r>
          </w:p>
        </w:tc>
        <w:tc>
          <w:tcPr>
            <w:tcW w:w="1542" w:type="dxa"/>
            <w:shd w:val="clear" w:color="auto" w:fill="E7F3F4"/>
            <w:noWrap/>
            <w:vAlign w:val="center"/>
          </w:tcPr>
          <w:p w14:paraId="1C7439EA"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Yule Point</w:t>
            </w:r>
          </w:p>
        </w:tc>
        <w:tc>
          <w:tcPr>
            <w:tcW w:w="467" w:type="dxa"/>
            <w:shd w:val="clear" w:color="auto" w:fill="E7F3F4"/>
            <w:vAlign w:val="center"/>
          </w:tcPr>
          <w:p w14:paraId="31DE7F41"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FC4B1C3"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7E454D0"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D969AA3"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5B7286B"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E967C78"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E31DB24"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9B0BBDC"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C23C137"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13B4EA74" w14:textId="77777777" w:rsidTr="00381338">
        <w:trPr>
          <w:trHeight w:val="170"/>
          <w:jc w:val="center"/>
        </w:trPr>
        <w:tc>
          <w:tcPr>
            <w:tcW w:w="747" w:type="dxa"/>
            <w:vMerge/>
            <w:shd w:val="clear" w:color="auto" w:fill="auto"/>
            <w:vAlign w:val="center"/>
          </w:tcPr>
          <w:p w14:paraId="095A5854" w14:textId="77777777" w:rsidR="009F15CD" w:rsidRPr="00CB093C" w:rsidRDefault="009F15CD" w:rsidP="009F15CD">
            <w:pPr>
              <w:spacing w:before="0" w:after="0"/>
              <w:jc w:val="center"/>
              <w:rPr>
                <w:rFonts w:ascii="Arial" w:hAnsi="Arial" w:cs="Arial"/>
                <w:color w:val="000000"/>
                <w:szCs w:val="22"/>
              </w:rPr>
            </w:pPr>
          </w:p>
        </w:tc>
        <w:tc>
          <w:tcPr>
            <w:tcW w:w="963" w:type="dxa"/>
            <w:vMerge/>
            <w:shd w:val="clear" w:color="auto" w:fill="E7F3F4"/>
            <w:vAlign w:val="center"/>
          </w:tcPr>
          <w:p w14:paraId="69FB38A0" w14:textId="77777777" w:rsidR="009F15CD" w:rsidRPr="00CB093C" w:rsidRDefault="009F15CD" w:rsidP="009F15CD">
            <w:pPr>
              <w:spacing w:before="0" w:after="0"/>
              <w:jc w:val="center"/>
              <w:rPr>
                <w:rFonts w:ascii="Arial" w:hAnsi="Arial" w:cs="Arial"/>
                <w:color w:val="000000"/>
                <w:szCs w:val="22"/>
              </w:rPr>
            </w:pPr>
          </w:p>
        </w:tc>
        <w:tc>
          <w:tcPr>
            <w:tcW w:w="676" w:type="dxa"/>
            <w:shd w:val="clear" w:color="auto" w:fill="E7F3F4"/>
            <w:noWrap/>
            <w:vAlign w:val="center"/>
          </w:tcPr>
          <w:p w14:paraId="65B82F1C"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YP2</w:t>
            </w:r>
          </w:p>
        </w:tc>
        <w:tc>
          <w:tcPr>
            <w:tcW w:w="1542" w:type="dxa"/>
            <w:shd w:val="clear" w:color="auto" w:fill="E7F3F4"/>
            <w:noWrap/>
            <w:vAlign w:val="center"/>
          </w:tcPr>
          <w:p w14:paraId="65F42EF8"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Yule Point</w:t>
            </w:r>
          </w:p>
        </w:tc>
        <w:tc>
          <w:tcPr>
            <w:tcW w:w="467" w:type="dxa"/>
            <w:shd w:val="clear" w:color="auto" w:fill="E7F3F4"/>
            <w:vAlign w:val="center"/>
          </w:tcPr>
          <w:p w14:paraId="63BACC37"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03937F2"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E23E9D8"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2CF06BE"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B4289DB"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2AF6070"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D138645"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113003F"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0FD6268"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2B848270" w14:textId="77777777" w:rsidTr="00381338">
        <w:trPr>
          <w:trHeight w:val="170"/>
          <w:jc w:val="center"/>
        </w:trPr>
        <w:tc>
          <w:tcPr>
            <w:tcW w:w="747" w:type="dxa"/>
            <w:vMerge/>
            <w:shd w:val="clear" w:color="auto" w:fill="auto"/>
            <w:vAlign w:val="center"/>
          </w:tcPr>
          <w:p w14:paraId="4BC32EF7" w14:textId="77777777" w:rsidR="009F15CD" w:rsidRPr="00CB093C" w:rsidRDefault="009F15CD" w:rsidP="009F15CD">
            <w:pPr>
              <w:spacing w:before="0" w:after="0"/>
              <w:jc w:val="center"/>
              <w:rPr>
                <w:rFonts w:ascii="Arial" w:hAnsi="Arial" w:cs="Arial"/>
                <w:color w:val="000000"/>
                <w:szCs w:val="22"/>
              </w:rPr>
            </w:pPr>
          </w:p>
        </w:tc>
        <w:tc>
          <w:tcPr>
            <w:tcW w:w="963" w:type="dxa"/>
            <w:vMerge w:val="restart"/>
            <w:shd w:val="clear" w:color="auto" w:fill="F3F9FA"/>
            <w:vAlign w:val="center"/>
          </w:tcPr>
          <w:p w14:paraId="19EDAA47"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reef intertidal</w:t>
            </w:r>
          </w:p>
        </w:tc>
        <w:tc>
          <w:tcPr>
            <w:tcW w:w="676" w:type="dxa"/>
            <w:shd w:val="clear" w:color="auto" w:fill="F3F9FA"/>
            <w:noWrap/>
            <w:vAlign w:val="center"/>
          </w:tcPr>
          <w:p w14:paraId="4DAA1286"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LI1</w:t>
            </w:r>
          </w:p>
        </w:tc>
        <w:tc>
          <w:tcPr>
            <w:tcW w:w="1542" w:type="dxa"/>
            <w:shd w:val="clear" w:color="auto" w:fill="F3F9FA"/>
            <w:noWrap/>
            <w:vAlign w:val="center"/>
          </w:tcPr>
          <w:p w14:paraId="10958961"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Low Isles</w:t>
            </w:r>
          </w:p>
        </w:tc>
        <w:tc>
          <w:tcPr>
            <w:tcW w:w="467" w:type="dxa"/>
            <w:shd w:val="clear" w:color="auto" w:fill="F3F9FA"/>
            <w:vAlign w:val="center"/>
          </w:tcPr>
          <w:p w14:paraId="53C41AE4"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5486FB3"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6F1FBD1"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C56804D"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D850215"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2ADC011"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EADF6E2"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2E52A79"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C9B43CA"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1FE46E63" w14:textId="77777777" w:rsidTr="00381338">
        <w:trPr>
          <w:trHeight w:val="170"/>
          <w:jc w:val="center"/>
        </w:trPr>
        <w:tc>
          <w:tcPr>
            <w:tcW w:w="747" w:type="dxa"/>
            <w:vMerge/>
            <w:shd w:val="clear" w:color="auto" w:fill="auto"/>
            <w:vAlign w:val="center"/>
          </w:tcPr>
          <w:p w14:paraId="158CC54D" w14:textId="77777777" w:rsidR="009F15CD" w:rsidRPr="00CB093C" w:rsidRDefault="009F15CD" w:rsidP="009F15CD">
            <w:pPr>
              <w:spacing w:before="0" w:after="0"/>
              <w:jc w:val="center"/>
              <w:rPr>
                <w:rFonts w:ascii="Arial" w:hAnsi="Arial" w:cs="Arial"/>
                <w:color w:val="000000"/>
                <w:szCs w:val="22"/>
              </w:rPr>
            </w:pPr>
          </w:p>
        </w:tc>
        <w:tc>
          <w:tcPr>
            <w:tcW w:w="963" w:type="dxa"/>
            <w:vMerge/>
            <w:shd w:val="clear" w:color="auto" w:fill="F3F9FA"/>
            <w:vAlign w:val="center"/>
          </w:tcPr>
          <w:p w14:paraId="5479E0CE" w14:textId="77777777" w:rsidR="009F15CD" w:rsidRPr="00CB093C" w:rsidRDefault="009F15CD" w:rsidP="009F15CD">
            <w:pPr>
              <w:spacing w:before="0" w:after="0"/>
              <w:jc w:val="center"/>
              <w:rPr>
                <w:rFonts w:ascii="Arial" w:hAnsi="Arial" w:cs="Arial"/>
                <w:color w:val="000000"/>
                <w:szCs w:val="22"/>
              </w:rPr>
            </w:pPr>
          </w:p>
        </w:tc>
        <w:tc>
          <w:tcPr>
            <w:tcW w:w="676" w:type="dxa"/>
            <w:shd w:val="clear" w:color="auto" w:fill="F3F9FA"/>
            <w:noWrap/>
            <w:vAlign w:val="center"/>
          </w:tcPr>
          <w:p w14:paraId="62B223C3"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GI1</w:t>
            </w:r>
          </w:p>
        </w:tc>
        <w:tc>
          <w:tcPr>
            <w:tcW w:w="1542" w:type="dxa"/>
            <w:shd w:val="clear" w:color="auto" w:fill="F3F9FA"/>
            <w:noWrap/>
            <w:vAlign w:val="center"/>
          </w:tcPr>
          <w:p w14:paraId="6712E361"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Green Island</w:t>
            </w:r>
          </w:p>
        </w:tc>
        <w:tc>
          <w:tcPr>
            <w:tcW w:w="467" w:type="dxa"/>
            <w:shd w:val="clear" w:color="auto" w:fill="F3F9FA"/>
            <w:vAlign w:val="center"/>
          </w:tcPr>
          <w:p w14:paraId="5AA9DD86"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1A43CFD"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4C4918C"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4108752"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9241800"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8B98F37"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1B81B4D"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EFC4F82"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08315B3"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1FAB6589" w14:textId="77777777" w:rsidTr="00381338">
        <w:trPr>
          <w:trHeight w:val="170"/>
          <w:jc w:val="center"/>
        </w:trPr>
        <w:tc>
          <w:tcPr>
            <w:tcW w:w="747" w:type="dxa"/>
            <w:vMerge/>
            <w:shd w:val="clear" w:color="auto" w:fill="auto"/>
            <w:vAlign w:val="center"/>
          </w:tcPr>
          <w:p w14:paraId="196B9732" w14:textId="77777777" w:rsidR="009F15CD" w:rsidRPr="00CB093C" w:rsidRDefault="009F15CD" w:rsidP="009F15CD">
            <w:pPr>
              <w:spacing w:before="0" w:after="0"/>
              <w:jc w:val="center"/>
              <w:rPr>
                <w:rFonts w:ascii="Arial" w:hAnsi="Arial" w:cs="Arial"/>
                <w:color w:val="000000"/>
                <w:szCs w:val="22"/>
              </w:rPr>
            </w:pPr>
          </w:p>
        </w:tc>
        <w:tc>
          <w:tcPr>
            <w:tcW w:w="963" w:type="dxa"/>
            <w:vMerge/>
            <w:shd w:val="clear" w:color="auto" w:fill="F3F9FA"/>
            <w:vAlign w:val="center"/>
          </w:tcPr>
          <w:p w14:paraId="4F941ABA" w14:textId="77777777" w:rsidR="009F15CD" w:rsidRPr="00CB093C" w:rsidRDefault="009F15CD" w:rsidP="009F15CD">
            <w:pPr>
              <w:spacing w:before="0" w:after="0"/>
              <w:jc w:val="center"/>
              <w:rPr>
                <w:rFonts w:ascii="Arial" w:hAnsi="Arial" w:cs="Arial"/>
                <w:color w:val="000000"/>
                <w:szCs w:val="22"/>
              </w:rPr>
            </w:pPr>
          </w:p>
        </w:tc>
        <w:tc>
          <w:tcPr>
            <w:tcW w:w="676" w:type="dxa"/>
            <w:shd w:val="clear" w:color="auto" w:fill="F3F9FA"/>
            <w:noWrap/>
            <w:vAlign w:val="center"/>
          </w:tcPr>
          <w:p w14:paraId="7FD228EF"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GI2</w:t>
            </w:r>
          </w:p>
        </w:tc>
        <w:tc>
          <w:tcPr>
            <w:tcW w:w="1542" w:type="dxa"/>
            <w:shd w:val="clear" w:color="auto" w:fill="F3F9FA"/>
            <w:noWrap/>
            <w:vAlign w:val="center"/>
          </w:tcPr>
          <w:p w14:paraId="3C795116"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Green Island</w:t>
            </w:r>
          </w:p>
        </w:tc>
        <w:tc>
          <w:tcPr>
            <w:tcW w:w="467" w:type="dxa"/>
            <w:shd w:val="clear" w:color="auto" w:fill="F3F9FA"/>
            <w:vAlign w:val="center"/>
          </w:tcPr>
          <w:p w14:paraId="15288100"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DE9A5D4"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78BA523"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34AF180"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D1FA7C5"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2741C76"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B74CA49"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A81302E"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9223080"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5B1F877C" w14:textId="77777777" w:rsidTr="00381338">
        <w:trPr>
          <w:trHeight w:val="170"/>
          <w:jc w:val="center"/>
        </w:trPr>
        <w:tc>
          <w:tcPr>
            <w:tcW w:w="747" w:type="dxa"/>
            <w:vMerge/>
            <w:shd w:val="clear" w:color="auto" w:fill="auto"/>
            <w:vAlign w:val="center"/>
          </w:tcPr>
          <w:p w14:paraId="379A233F" w14:textId="77777777" w:rsidR="009F15CD" w:rsidRPr="00CB093C" w:rsidRDefault="009F15CD" w:rsidP="009F15CD">
            <w:pPr>
              <w:spacing w:before="0" w:after="0"/>
              <w:jc w:val="center"/>
              <w:rPr>
                <w:rFonts w:ascii="Arial" w:hAnsi="Arial" w:cs="Arial"/>
                <w:color w:val="000000"/>
                <w:szCs w:val="22"/>
              </w:rPr>
            </w:pPr>
          </w:p>
        </w:tc>
        <w:tc>
          <w:tcPr>
            <w:tcW w:w="963" w:type="dxa"/>
            <w:vMerge w:val="restart"/>
            <w:shd w:val="clear" w:color="auto" w:fill="E7F3F4"/>
            <w:vAlign w:val="center"/>
          </w:tcPr>
          <w:p w14:paraId="2F46FC55"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reef subtidal</w:t>
            </w:r>
          </w:p>
        </w:tc>
        <w:tc>
          <w:tcPr>
            <w:tcW w:w="676" w:type="dxa"/>
            <w:shd w:val="clear" w:color="auto" w:fill="E7F3F4"/>
            <w:noWrap/>
            <w:vAlign w:val="center"/>
          </w:tcPr>
          <w:p w14:paraId="514B178E"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LI2</w:t>
            </w:r>
          </w:p>
        </w:tc>
        <w:tc>
          <w:tcPr>
            <w:tcW w:w="1542" w:type="dxa"/>
            <w:shd w:val="clear" w:color="auto" w:fill="E7F3F4"/>
            <w:noWrap/>
            <w:vAlign w:val="center"/>
          </w:tcPr>
          <w:p w14:paraId="48D371C9"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Low Isles</w:t>
            </w:r>
          </w:p>
        </w:tc>
        <w:tc>
          <w:tcPr>
            <w:tcW w:w="467" w:type="dxa"/>
            <w:shd w:val="clear" w:color="auto" w:fill="E7F3F4"/>
            <w:vAlign w:val="center"/>
          </w:tcPr>
          <w:p w14:paraId="72C105A2"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201FAFB"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1065503"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AF8283B"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D2C5EF7"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A43E333"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9700195"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8F973BD"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4DA05DC"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50261670" w14:textId="77777777" w:rsidTr="00381338">
        <w:trPr>
          <w:trHeight w:val="170"/>
          <w:jc w:val="center"/>
        </w:trPr>
        <w:tc>
          <w:tcPr>
            <w:tcW w:w="747" w:type="dxa"/>
            <w:vMerge/>
            <w:shd w:val="clear" w:color="auto" w:fill="auto"/>
            <w:vAlign w:val="center"/>
          </w:tcPr>
          <w:p w14:paraId="50C4AA28" w14:textId="77777777" w:rsidR="009F15CD" w:rsidRPr="00CB093C" w:rsidRDefault="009F15CD" w:rsidP="009F15CD">
            <w:pPr>
              <w:spacing w:before="0" w:after="0"/>
              <w:jc w:val="center"/>
              <w:rPr>
                <w:rFonts w:ascii="Arial" w:hAnsi="Arial" w:cs="Arial"/>
                <w:color w:val="000000"/>
                <w:szCs w:val="22"/>
              </w:rPr>
            </w:pPr>
          </w:p>
        </w:tc>
        <w:tc>
          <w:tcPr>
            <w:tcW w:w="963" w:type="dxa"/>
            <w:vMerge/>
            <w:shd w:val="clear" w:color="auto" w:fill="E7F3F4"/>
            <w:vAlign w:val="center"/>
          </w:tcPr>
          <w:p w14:paraId="23C0AD67" w14:textId="0E9D2FB0" w:rsidR="009F15CD" w:rsidRPr="00CB093C" w:rsidRDefault="009F15CD" w:rsidP="009F15CD">
            <w:pPr>
              <w:spacing w:before="0" w:after="0"/>
              <w:jc w:val="center"/>
              <w:rPr>
                <w:rFonts w:ascii="Arial" w:hAnsi="Arial" w:cs="Arial"/>
                <w:color w:val="000000"/>
                <w:szCs w:val="22"/>
              </w:rPr>
            </w:pPr>
          </w:p>
        </w:tc>
        <w:tc>
          <w:tcPr>
            <w:tcW w:w="676" w:type="dxa"/>
            <w:shd w:val="clear" w:color="auto" w:fill="E7F3F4"/>
            <w:noWrap/>
            <w:vAlign w:val="center"/>
          </w:tcPr>
          <w:p w14:paraId="31C91F56"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GI3</w:t>
            </w:r>
          </w:p>
        </w:tc>
        <w:tc>
          <w:tcPr>
            <w:tcW w:w="1542" w:type="dxa"/>
            <w:shd w:val="clear" w:color="auto" w:fill="E7F3F4"/>
            <w:noWrap/>
            <w:vAlign w:val="center"/>
          </w:tcPr>
          <w:p w14:paraId="0BC3F4B2"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t>Green Island</w:t>
            </w:r>
          </w:p>
        </w:tc>
        <w:tc>
          <w:tcPr>
            <w:tcW w:w="467" w:type="dxa"/>
            <w:shd w:val="clear" w:color="auto" w:fill="E7F3F4"/>
            <w:vAlign w:val="center"/>
          </w:tcPr>
          <w:p w14:paraId="778F0AF5"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5A43EFB"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9110544"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D03D2A1"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6B42490"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7EB5305"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9DCD530"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7EB5B45"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B192ED3" w14:textId="77777777" w:rsidR="009F15CD" w:rsidRPr="00CB093C" w:rsidRDefault="009F15CD" w:rsidP="00577C11">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59328EC0" w14:textId="77777777" w:rsidTr="00381338">
        <w:trPr>
          <w:trHeight w:val="170"/>
          <w:jc w:val="center"/>
        </w:trPr>
        <w:tc>
          <w:tcPr>
            <w:tcW w:w="747" w:type="dxa"/>
            <w:vMerge w:val="restart"/>
            <w:shd w:val="clear" w:color="auto" w:fill="auto"/>
            <w:vAlign w:val="center"/>
          </w:tcPr>
          <w:p w14:paraId="0BE3059A" w14:textId="1C70E5DB"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south</w:t>
            </w:r>
          </w:p>
        </w:tc>
        <w:tc>
          <w:tcPr>
            <w:tcW w:w="963" w:type="dxa"/>
            <w:vMerge w:val="restart"/>
            <w:shd w:val="clear" w:color="auto" w:fill="F3F9FA"/>
            <w:vAlign w:val="center"/>
          </w:tcPr>
          <w:p w14:paraId="35650EE4" w14:textId="2805645A"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coastal intertidal</w:t>
            </w:r>
          </w:p>
        </w:tc>
        <w:tc>
          <w:tcPr>
            <w:tcW w:w="676" w:type="dxa"/>
            <w:shd w:val="clear" w:color="auto" w:fill="F3F9FA"/>
            <w:noWrap/>
            <w:vAlign w:val="center"/>
          </w:tcPr>
          <w:p w14:paraId="14557227"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LB1</w:t>
            </w:r>
          </w:p>
        </w:tc>
        <w:tc>
          <w:tcPr>
            <w:tcW w:w="1542" w:type="dxa"/>
            <w:shd w:val="clear" w:color="auto" w:fill="F3F9FA"/>
            <w:noWrap/>
            <w:vAlign w:val="center"/>
          </w:tcPr>
          <w:p w14:paraId="2D08FF50"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Lugger Bay</w:t>
            </w:r>
          </w:p>
        </w:tc>
        <w:tc>
          <w:tcPr>
            <w:tcW w:w="467" w:type="dxa"/>
            <w:shd w:val="clear" w:color="auto" w:fill="F3F9FA"/>
            <w:vAlign w:val="center"/>
          </w:tcPr>
          <w:p w14:paraId="4D375BEE"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FCE9852"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3B659FC"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5A6C401"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9BA41B0"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976E948"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1E0622B"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82304ED"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280FB38"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0999E1B3" w14:textId="77777777" w:rsidTr="00381338">
        <w:trPr>
          <w:trHeight w:val="170"/>
          <w:jc w:val="center"/>
        </w:trPr>
        <w:tc>
          <w:tcPr>
            <w:tcW w:w="747" w:type="dxa"/>
            <w:vMerge/>
            <w:shd w:val="clear" w:color="auto" w:fill="auto"/>
          </w:tcPr>
          <w:p w14:paraId="740BBC95" w14:textId="77777777" w:rsidR="009F15CD" w:rsidRPr="00CB093C" w:rsidRDefault="009F15CD" w:rsidP="009F15CD">
            <w:pPr>
              <w:spacing w:before="0" w:after="0"/>
              <w:jc w:val="center"/>
              <w:rPr>
                <w:rFonts w:ascii="Arial" w:hAnsi="Arial" w:cs="Arial"/>
                <w:color w:val="000000"/>
                <w:szCs w:val="22"/>
              </w:rPr>
            </w:pPr>
          </w:p>
        </w:tc>
        <w:tc>
          <w:tcPr>
            <w:tcW w:w="963" w:type="dxa"/>
            <w:vMerge/>
            <w:shd w:val="clear" w:color="auto" w:fill="F3F9FA"/>
            <w:vAlign w:val="center"/>
          </w:tcPr>
          <w:p w14:paraId="6DD4970F" w14:textId="77777777" w:rsidR="009F15CD" w:rsidRPr="00CB093C" w:rsidRDefault="009F15CD" w:rsidP="009F15CD">
            <w:pPr>
              <w:spacing w:before="0" w:after="0"/>
              <w:jc w:val="center"/>
              <w:rPr>
                <w:rFonts w:ascii="Arial" w:hAnsi="Arial" w:cs="Arial"/>
                <w:color w:val="000000"/>
                <w:szCs w:val="22"/>
              </w:rPr>
            </w:pPr>
          </w:p>
        </w:tc>
        <w:tc>
          <w:tcPr>
            <w:tcW w:w="676" w:type="dxa"/>
            <w:shd w:val="clear" w:color="auto" w:fill="F3F9FA"/>
            <w:noWrap/>
            <w:vAlign w:val="center"/>
          </w:tcPr>
          <w:p w14:paraId="755528A9" w14:textId="77777777" w:rsidR="009F15CD" w:rsidRPr="00CB093C" w:rsidRDefault="009F15CD" w:rsidP="009F15CD">
            <w:pPr>
              <w:spacing w:before="0" w:after="0"/>
              <w:jc w:val="center"/>
              <w:rPr>
                <w:rFonts w:ascii="Arial" w:hAnsi="Arial" w:cs="Arial"/>
                <w:iCs/>
                <w:color w:val="000000"/>
                <w:szCs w:val="22"/>
              </w:rPr>
            </w:pPr>
            <w:r w:rsidRPr="00CB093C">
              <w:rPr>
                <w:rFonts w:ascii="Arial" w:hAnsi="Arial" w:cs="Arial"/>
                <w:iCs/>
                <w:color w:val="000000"/>
                <w:szCs w:val="22"/>
              </w:rPr>
              <w:t>LB2</w:t>
            </w:r>
          </w:p>
        </w:tc>
        <w:tc>
          <w:tcPr>
            <w:tcW w:w="1542" w:type="dxa"/>
            <w:shd w:val="clear" w:color="auto" w:fill="F3F9FA"/>
            <w:noWrap/>
            <w:vAlign w:val="center"/>
          </w:tcPr>
          <w:p w14:paraId="5F05DA3F"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Lugger Bay</w:t>
            </w:r>
          </w:p>
        </w:tc>
        <w:tc>
          <w:tcPr>
            <w:tcW w:w="467" w:type="dxa"/>
            <w:shd w:val="clear" w:color="auto" w:fill="F3F9FA"/>
            <w:vAlign w:val="center"/>
          </w:tcPr>
          <w:p w14:paraId="7E9290A7"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7C45AD7"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2DDD3D5"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314512C"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D7AC0B4"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93F8A50"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5A9FF7E"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5BB7C36"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498EBC6"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381338" w:rsidRPr="00CB093C" w14:paraId="239312E9" w14:textId="77777777" w:rsidTr="00381338">
        <w:trPr>
          <w:trHeight w:val="170"/>
          <w:jc w:val="center"/>
        </w:trPr>
        <w:tc>
          <w:tcPr>
            <w:tcW w:w="747" w:type="dxa"/>
            <w:vMerge/>
            <w:shd w:val="clear" w:color="auto" w:fill="auto"/>
          </w:tcPr>
          <w:p w14:paraId="01E639B3" w14:textId="77777777" w:rsidR="00381338" w:rsidRPr="00CB093C" w:rsidRDefault="00381338" w:rsidP="00381338">
            <w:pPr>
              <w:spacing w:before="0" w:after="0"/>
              <w:jc w:val="center"/>
              <w:rPr>
                <w:rFonts w:ascii="Arial" w:hAnsi="Arial" w:cs="Arial"/>
                <w:color w:val="000000"/>
                <w:szCs w:val="22"/>
              </w:rPr>
            </w:pPr>
          </w:p>
        </w:tc>
        <w:tc>
          <w:tcPr>
            <w:tcW w:w="963" w:type="dxa"/>
            <w:vMerge w:val="restart"/>
            <w:shd w:val="clear" w:color="auto" w:fill="E7F3F4"/>
            <w:vAlign w:val="center"/>
          </w:tcPr>
          <w:p w14:paraId="52BEEBA9" w14:textId="27854C38"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t>coastal subtidal</w:t>
            </w:r>
          </w:p>
        </w:tc>
        <w:tc>
          <w:tcPr>
            <w:tcW w:w="676" w:type="dxa"/>
            <w:shd w:val="clear" w:color="auto" w:fill="E7F3F4"/>
            <w:noWrap/>
            <w:vAlign w:val="center"/>
          </w:tcPr>
          <w:p w14:paraId="2093E51B" w14:textId="7C77BC7A"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t>MS1</w:t>
            </w:r>
            <w:r w:rsidRPr="00CB093C">
              <w:rPr>
                <w:rFonts w:ascii="Arial" w:hAnsi="Arial" w:cs="Arial"/>
                <w:color w:val="000000"/>
                <w:szCs w:val="22"/>
                <w:vertAlign w:val="superscript"/>
              </w:rPr>
              <w:sym w:font="Wingdings 2" w:char="F085"/>
            </w:r>
          </w:p>
        </w:tc>
        <w:tc>
          <w:tcPr>
            <w:tcW w:w="1542" w:type="dxa"/>
            <w:shd w:val="clear" w:color="auto" w:fill="E7F3F4"/>
            <w:noWrap/>
            <w:vAlign w:val="center"/>
          </w:tcPr>
          <w:p w14:paraId="64C8F514" w14:textId="77777777"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t>Missionary Bay</w:t>
            </w:r>
          </w:p>
        </w:tc>
        <w:tc>
          <w:tcPr>
            <w:tcW w:w="467" w:type="dxa"/>
            <w:shd w:val="clear" w:color="auto" w:fill="E7F3F4"/>
            <w:vAlign w:val="center"/>
          </w:tcPr>
          <w:p w14:paraId="0C6EE9EB" w14:textId="768B297A"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6109432" w14:textId="7E384792"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5120202"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6EE3B0E9"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3006BE9A"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0DCAD96A"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3A036537"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2F4EC12E"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7B55BF26" w14:textId="30F62DD2"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381338" w:rsidRPr="00CB093C" w14:paraId="36AAD416" w14:textId="77777777" w:rsidTr="00381338">
        <w:trPr>
          <w:trHeight w:val="170"/>
          <w:jc w:val="center"/>
        </w:trPr>
        <w:tc>
          <w:tcPr>
            <w:tcW w:w="747" w:type="dxa"/>
            <w:vMerge/>
            <w:shd w:val="clear" w:color="auto" w:fill="auto"/>
          </w:tcPr>
          <w:p w14:paraId="54A784FC" w14:textId="77777777" w:rsidR="00381338" w:rsidRPr="00CB093C" w:rsidRDefault="00381338" w:rsidP="00381338">
            <w:pPr>
              <w:spacing w:before="0" w:after="0"/>
              <w:jc w:val="center"/>
              <w:rPr>
                <w:rFonts w:ascii="Arial" w:hAnsi="Arial" w:cs="Arial"/>
                <w:color w:val="000000"/>
                <w:szCs w:val="22"/>
              </w:rPr>
            </w:pPr>
          </w:p>
        </w:tc>
        <w:tc>
          <w:tcPr>
            <w:tcW w:w="963" w:type="dxa"/>
            <w:vMerge/>
            <w:shd w:val="clear" w:color="auto" w:fill="E7F3F4"/>
            <w:vAlign w:val="center"/>
          </w:tcPr>
          <w:p w14:paraId="654F3137" w14:textId="77777777" w:rsidR="00381338" w:rsidRPr="00CB093C" w:rsidRDefault="00381338" w:rsidP="00381338">
            <w:pPr>
              <w:spacing w:before="0" w:after="0"/>
              <w:jc w:val="center"/>
              <w:rPr>
                <w:rFonts w:ascii="Arial" w:hAnsi="Arial" w:cs="Arial"/>
                <w:color w:val="000000"/>
                <w:szCs w:val="22"/>
              </w:rPr>
            </w:pPr>
          </w:p>
        </w:tc>
        <w:tc>
          <w:tcPr>
            <w:tcW w:w="676" w:type="dxa"/>
            <w:shd w:val="clear" w:color="auto" w:fill="E7F3F4"/>
            <w:noWrap/>
            <w:vAlign w:val="center"/>
          </w:tcPr>
          <w:p w14:paraId="019FD061" w14:textId="3AECE4A9"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t>MS2</w:t>
            </w:r>
            <w:r w:rsidRPr="00CB093C">
              <w:rPr>
                <w:rFonts w:ascii="Arial" w:hAnsi="Arial" w:cs="Arial"/>
                <w:color w:val="000000"/>
                <w:szCs w:val="22"/>
                <w:vertAlign w:val="superscript"/>
              </w:rPr>
              <w:sym w:font="Wingdings 2" w:char="F085"/>
            </w:r>
          </w:p>
        </w:tc>
        <w:tc>
          <w:tcPr>
            <w:tcW w:w="1542" w:type="dxa"/>
            <w:shd w:val="clear" w:color="auto" w:fill="E7F3F4"/>
            <w:noWrap/>
            <w:vAlign w:val="center"/>
          </w:tcPr>
          <w:p w14:paraId="6B09D8DA" w14:textId="77777777"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t>Missionary Bay</w:t>
            </w:r>
          </w:p>
        </w:tc>
        <w:tc>
          <w:tcPr>
            <w:tcW w:w="467" w:type="dxa"/>
            <w:shd w:val="clear" w:color="auto" w:fill="E7F3F4"/>
            <w:vAlign w:val="center"/>
          </w:tcPr>
          <w:p w14:paraId="73D10533" w14:textId="0A35ED71"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4C17163" w14:textId="01A8A293"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C27A02E"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1738EDEA"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7E0BDE61"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285F2E2B"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667AF612"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163EF133" w14:textId="77777777" w:rsidR="00381338" w:rsidRPr="00CB093C" w:rsidRDefault="00381338" w:rsidP="00381338">
            <w:pPr>
              <w:spacing w:before="0" w:after="0"/>
              <w:jc w:val="center"/>
              <w:rPr>
                <w:rFonts w:ascii="Arial" w:hAnsi="Arial" w:cs="Arial"/>
                <w:color w:val="000000"/>
                <w:szCs w:val="22"/>
              </w:rPr>
            </w:pPr>
          </w:p>
        </w:tc>
        <w:tc>
          <w:tcPr>
            <w:tcW w:w="467" w:type="dxa"/>
            <w:shd w:val="clear" w:color="auto" w:fill="E7F3F4"/>
            <w:vAlign w:val="center"/>
          </w:tcPr>
          <w:p w14:paraId="07B7F125" w14:textId="51418983" w:rsidR="00381338" w:rsidRPr="00CB093C" w:rsidRDefault="00381338" w:rsidP="00381338">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519118EC" w14:textId="77777777" w:rsidTr="00381338">
        <w:trPr>
          <w:trHeight w:val="170"/>
          <w:jc w:val="center"/>
        </w:trPr>
        <w:tc>
          <w:tcPr>
            <w:tcW w:w="747" w:type="dxa"/>
            <w:vMerge/>
            <w:shd w:val="clear" w:color="auto" w:fill="auto"/>
          </w:tcPr>
          <w:p w14:paraId="1EDB9F3E" w14:textId="77777777" w:rsidR="009F15CD" w:rsidRPr="00CB093C" w:rsidRDefault="009F15CD" w:rsidP="009F15CD">
            <w:pPr>
              <w:spacing w:before="0" w:after="0"/>
              <w:jc w:val="center"/>
              <w:rPr>
                <w:rFonts w:ascii="Arial" w:hAnsi="Arial" w:cs="Arial"/>
                <w:color w:val="000000"/>
                <w:szCs w:val="22"/>
              </w:rPr>
            </w:pPr>
          </w:p>
        </w:tc>
        <w:tc>
          <w:tcPr>
            <w:tcW w:w="963" w:type="dxa"/>
            <w:vMerge w:val="restart"/>
            <w:shd w:val="clear" w:color="auto" w:fill="F3F9FA"/>
            <w:vAlign w:val="center"/>
          </w:tcPr>
          <w:p w14:paraId="25A57D66" w14:textId="728E07D4"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reef intertidal</w:t>
            </w:r>
          </w:p>
        </w:tc>
        <w:tc>
          <w:tcPr>
            <w:tcW w:w="676" w:type="dxa"/>
            <w:shd w:val="clear" w:color="auto" w:fill="F3F9FA"/>
            <w:noWrap/>
            <w:vAlign w:val="center"/>
          </w:tcPr>
          <w:p w14:paraId="09CB3D79" w14:textId="77777777" w:rsidR="009F15CD" w:rsidRPr="00CB093C" w:rsidRDefault="009F15CD" w:rsidP="009F15CD">
            <w:pPr>
              <w:spacing w:before="0" w:after="0"/>
              <w:jc w:val="center"/>
              <w:rPr>
                <w:rFonts w:ascii="Arial" w:hAnsi="Arial" w:cs="Arial"/>
                <w:iCs/>
                <w:color w:val="000000"/>
                <w:szCs w:val="22"/>
              </w:rPr>
            </w:pPr>
            <w:r w:rsidRPr="00CB093C">
              <w:rPr>
                <w:rFonts w:ascii="Arial" w:hAnsi="Arial" w:cs="Arial"/>
                <w:iCs/>
                <w:color w:val="000000"/>
                <w:szCs w:val="22"/>
              </w:rPr>
              <w:t>DI1</w:t>
            </w:r>
          </w:p>
        </w:tc>
        <w:tc>
          <w:tcPr>
            <w:tcW w:w="1542" w:type="dxa"/>
            <w:shd w:val="clear" w:color="auto" w:fill="F3F9FA"/>
            <w:noWrap/>
            <w:vAlign w:val="center"/>
          </w:tcPr>
          <w:p w14:paraId="5501F54A"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Dunk Island</w:t>
            </w:r>
          </w:p>
        </w:tc>
        <w:tc>
          <w:tcPr>
            <w:tcW w:w="467" w:type="dxa"/>
            <w:shd w:val="clear" w:color="auto" w:fill="F3F9FA"/>
            <w:vAlign w:val="center"/>
          </w:tcPr>
          <w:p w14:paraId="472C09C6"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F7FCE5D"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51CB307"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90D0D74"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4C9E2ED"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0135205"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03E854D"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98C9BA2"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23B8CB0"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416A30DF" w14:textId="77777777" w:rsidTr="00381338">
        <w:trPr>
          <w:trHeight w:val="170"/>
          <w:jc w:val="center"/>
        </w:trPr>
        <w:tc>
          <w:tcPr>
            <w:tcW w:w="747" w:type="dxa"/>
            <w:vMerge/>
            <w:shd w:val="clear" w:color="auto" w:fill="auto"/>
          </w:tcPr>
          <w:p w14:paraId="3A25B9E8" w14:textId="77777777" w:rsidR="009F15CD" w:rsidRPr="00CB093C" w:rsidRDefault="009F15CD" w:rsidP="009F15CD">
            <w:pPr>
              <w:spacing w:before="0" w:after="0"/>
              <w:jc w:val="center"/>
              <w:rPr>
                <w:rFonts w:ascii="Arial" w:hAnsi="Arial" w:cs="Arial"/>
                <w:color w:val="000000"/>
                <w:szCs w:val="22"/>
              </w:rPr>
            </w:pPr>
          </w:p>
        </w:tc>
        <w:tc>
          <w:tcPr>
            <w:tcW w:w="963" w:type="dxa"/>
            <w:vMerge/>
            <w:shd w:val="clear" w:color="auto" w:fill="F3F9FA"/>
            <w:vAlign w:val="center"/>
          </w:tcPr>
          <w:p w14:paraId="1F752FD5" w14:textId="77777777" w:rsidR="009F15CD" w:rsidRPr="00CB093C" w:rsidRDefault="009F15CD" w:rsidP="009F15CD">
            <w:pPr>
              <w:spacing w:before="0" w:after="0"/>
              <w:jc w:val="center"/>
              <w:rPr>
                <w:rFonts w:ascii="Arial" w:hAnsi="Arial" w:cs="Arial"/>
                <w:color w:val="000000"/>
                <w:szCs w:val="22"/>
              </w:rPr>
            </w:pPr>
          </w:p>
        </w:tc>
        <w:tc>
          <w:tcPr>
            <w:tcW w:w="676" w:type="dxa"/>
            <w:shd w:val="clear" w:color="auto" w:fill="F3F9FA"/>
            <w:noWrap/>
            <w:vAlign w:val="center"/>
          </w:tcPr>
          <w:p w14:paraId="37D8F087" w14:textId="77777777" w:rsidR="009F15CD" w:rsidRPr="00CB093C" w:rsidRDefault="009F15CD" w:rsidP="009F15CD">
            <w:pPr>
              <w:spacing w:before="0" w:after="0"/>
              <w:jc w:val="center"/>
              <w:rPr>
                <w:rFonts w:ascii="Arial" w:hAnsi="Arial" w:cs="Arial"/>
                <w:iCs/>
                <w:color w:val="000000"/>
                <w:szCs w:val="22"/>
              </w:rPr>
            </w:pPr>
            <w:r w:rsidRPr="00CB093C">
              <w:rPr>
                <w:rFonts w:ascii="Arial" w:hAnsi="Arial" w:cs="Arial"/>
                <w:iCs/>
                <w:color w:val="000000"/>
                <w:szCs w:val="22"/>
              </w:rPr>
              <w:t>DI2</w:t>
            </w:r>
          </w:p>
        </w:tc>
        <w:tc>
          <w:tcPr>
            <w:tcW w:w="1542" w:type="dxa"/>
            <w:shd w:val="clear" w:color="auto" w:fill="F3F9FA"/>
            <w:noWrap/>
            <w:vAlign w:val="center"/>
          </w:tcPr>
          <w:p w14:paraId="18904901"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Dunk Island</w:t>
            </w:r>
          </w:p>
        </w:tc>
        <w:tc>
          <w:tcPr>
            <w:tcW w:w="467" w:type="dxa"/>
            <w:shd w:val="clear" w:color="auto" w:fill="F3F9FA"/>
            <w:vAlign w:val="center"/>
          </w:tcPr>
          <w:p w14:paraId="724D7CA8"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1B43C4F"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A7A5F2B"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3A1BE80"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F161216"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CC0AAD0"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665B8B8"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76C2571"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AE5152C"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F15CD" w:rsidRPr="00CB093C" w14:paraId="15B536DC" w14:textId="77777777" w:rsidTr="00381338">
        <w:trPr>
          <w:trHeight w:val="170"/>
          <w:jc w:val="center"/>
        </w:trPr>
        <w:tc>
          <w:tcPr>
            <w:tcW w:w="747" w:type="dxa"/>
            <w:vMerge/>
            <w:shd w:val="clear" w:color="auto" w:fill="auto"/>
          </w:tcPr>
          <w:p w14:paraId="7A629B07" w14:textId="77777777" w:rsidR="009F15CD" w:rsidRPr="00CB093C" w:rsidRDefault="009F15CD" w:rsidP="009F15CD">
            <w:pPr>
              <w:spacing w:before="0" w:after="0"/>
              <w:jc w:val="center"/>
              <w:rPr>
                <w:rFonts w:ascii="Arial" w:hAnsi="Arial" w:cs="Arial"/>
                <w:color w:val="000000"/>
                <w:szCs w:val="22"/>
              </w:rPr>
            </w:pPr>
          </w:p>
        </w:tc>
        <w:tc>
          <w:tcPr>
            <w:tcW w:w="963" w:type="dxa"/>
            <w:vMerge/>
            <w:shd w:val="clear" w:color="auto" w:fill="F3F9FA"/>
            <w:vAlign w:val="center"/>
          </w:tcPr>
          <w:p w14:paraId="7A725E7E" w14:textId="77777777" w:rsidR="009F15CD" w:rsidRPr="00CB093C" w:rsidRDefault="009F15CD" w:rsidP="009F15CD">
            <w:pPr>
              <w:spacing w:before="0" w:after="0"/>
              <w:jc w:val="center"/>
              <w:rPr>
                <w:rFonts w:ascii="Arial" w:hAnsi="Arial" w:cs="Arial"/>
                <w:color w:val="000000"/>
                <w:szCs w:val="22"/>
              </w:rPr>
            </w:pPr>
          </w:p>
        </w:tc>
        <w:tc>
          <w:tcPr>
            <w:tcW w:w="676" w:type="dxa"/>
            <w:shd w:val="clear" w:color="auto" w:fill="F3F9FA"/>
            <w:noWrap/>
            <w:vAlign w:val="center"/>
          </w:tcPr>
          <w:p w14:paraId="75F852C6" w14:textId="18DF5103"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GO1*</w:t>
            </w:r>
          </w:p>
        </w:tc>
        <w:tc>
          <w:tcPr>
            <w:tcW w:w="1542" w:type="dxa"/>
            <w:shd w:val="clear" w:color="auto" w:fill="F3F9FA"/>
            <w:noWrap/>
            <w:vAlign w:val="center"/>
          </w:tcPr>
          <w:p w14:paraId="528C7468"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Goold Island</w:t>
            </w:r>
          </w:p>
        </w:tc>
        <w:tc>
          <w:tcPr>
            <w:tcW w:w="467" w:type="dxa"/>
            <w:shd w:val="clear" w:color="auto" w:fill="F3F9FA"/>
            <w:vAlign w:val="center"/>
          </w:tcPr>
          <w:p w14:paraId="715AAAFF" w14:textId="74E1BF48"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F3F9FA"/>
            <w:vAlign w:val="center"/>
          </w:tcPr>
          <w:p w14:paraId="3E5EE416" w14:textId="6A563BAB"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F3F9FA"/>
            <w:vAlign w:val="center"/>
          </w:tcPr>
          <w:p w14:paraId="5960E5C0" w14:textId="77777777" w:rsidR="009F15CD" w:rsidRPr="00CB093C" w:rsidRDefault="009F15CD" w:rsidP="009F15CD">
            <w:pPr>
              <w:spacing w:before="0" w:after="0"/>
              <w:jc w:val="center"/>
              <w:rPr>
                <w:rFonts w:ascii="Arial" w:hAnsi="Arial" w:cs="Arial"/>
                <w:color w:val="000000"/>
                <w:szCs w:val="22"/>
              </w:rPr>
            </w:pPr>
          </w:p>
        </w:tc>
        <w:tc>
          <w:tcPr>
            <w:tcW w:w="467" w:type="dxa"/>
            <w:shd w:val="clear" w:color="auto" w:fill="F3F9FA"/>
            <w:vAlign w:val="center"/>
          </w:tcPr>
          <w:p w14:paraId="755AD4B5" w14:textId="77777777" w:rsidR="009F15CD" w:rsidRPr="00CB093C" w:rsidRDefault="009F15CD" w:rsidP="009F15CD">
            <w:pPr>
              <w:spacing w:before="0" w:after="0"/>
              <w:jc w:val="center"/>
              <w:rPr>
                <w:rFonts w:ascii="Arial" w:hAnsi="Arial" w:cs="Arial"/>
                <w:color w:val="000000"/>
                <w:szCs w:val="22"/>
              </w:rPr>
            </w:pPr>
          </w:p>
        </w:tc>
        <w:tc>
          <w:tcPr>
            <w:tcW w:w="467" w:type="dxa"/>
            <w:shd w:val="clear" w:color="auto" w:fill="F3F9FA"/>
            <w:vAlign w:val="center"/>
          </w:tcPr>
          <w:p w14:paraId="389F1B6A" w14:textId="5CB23C8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F3F9FA"/>
            <w:vAlign w:val="center"/>
          </w:tcPr>
          <w:p w14:paraId="4AEB8E7E" w14:textId="77777777" w:rsidR="009F15CD" w:rsidRPr="00CB093C" w:rsidRDefault="009F15CD" w:rsidP="009F15CD">
            <w:pPr>
              <w:spacing w:before="0" w:after="0"/>
              <w:jc w:val="center"/>
              <w:rPr>
                <w:rFonts w:ascii="Arial" w:hAnsi="Arial" w:cs="Arial"/>
                <w:color w:val="000000"/>
                <w:szCs w:val="22"/>
              </w:rPr>
            </w:pPr>
          </w:p>
        </w:tc>
        <w:tc>
          <w:tcPr>
            <w:tcW w:w="467" w:type="dxa"/>
            <w:shd w:val="clear" w:color="auto" w:fill="F3F9FA"/>
            <w:vAlign w:val="center"/>
          </w:tcPr>
          <w:p w14:paraId="49C66192" w14:textId="013731FA"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F3F9FA"/>
            <w:vAlign w:val="center"/>
          </w:tcPr>
          <w:p w14:paraId="5A9A0A29" w14:textId="2FFEDC92"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A8"/>
            </w:r>
          </w:p>
        </w:tc>
        <w:tc>
          <w:tcPr>
            <w:tcW w:w="467" w:type="dxa"/>
            <w:shd w:val="clear" w:color="auto" w:fill="F3F9FA"/>
            <w:vAlign w:val="center"/>
          </w:tcPr>
          <w:p w14:paraId="6284A4DA" w14:textId="1703790A"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A8"/>
            </w:r>
          </w:p>
        </w:tc>
      </w:tr>
      <w:tr w:rsidR="009F15CD" w:rsidRPr="00CB093C" w14:paraId="7DE3E12F" w14:textId="77777777" w:rsidTr="00381338">
        <w:trPr>
          <w:trHeight w:val="170"/>
          <w:jc w:val="center"/>
        </w:trPr>
        <w:tc>
          <w:tcPr>
            <w:tcW w:w="747" w:type="dxa"/>
            <w:vMerge/>
            <w:shd w:val="clear" w:color="auto" w:fill="auto"/>
          </w:tcPr>
          <w:p w14:paraId="6E97BBAF" w14:textId="77777777" w:rsidR="009F15CD" w:rsidRPr="00CB093C" w:rsidRDefault="009F15CD" w:rsidP="009F15CD">
            <w:pPr>
              <w:spacing w:before="0" w:after="0"/>
              <w:jc w:val="center"/>
              <w:rPr>
                <w:rFonts w:ascii="Arial" w:hAnsi="Arial" w:cs="Arial"/>
                <w:color w:val="000000"/>
                <w:szCs w:val="22"/>
              </w:rPr>
            </w:pPr>
          </w:p>
        </w:tc>
        <w:tc>
          <w:tcPr>
            <w:tcW w:w="963" w:type="dxa"/>
            <w:shd w:val="clear" w:color="auto" w:fill="E7F3F4"/>
            <w:vAlign w:val="center"/>
          </w:tcPr>
          <w:p w14:paraId="7221D612" w14:textId="12369A95"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reef subtidal</w:t>
            </w:r>
          </w:p>
        </w:tc>
        <w:tc>
          <w:tcPr>
            <w:tcW w:w="676" w:type="dxa"/>
            <w:shd w:val="clear" w:color="auto" w:fill="E7F3F4"/>
            <w:noWrap/>
            <w:vAlign w:val="center"/>
          </w:tcPr>
          <w:p w14:paraId="0B8DC45D" w14:textId="77777777" w:rsidR="009F15CD" w:rsidRPr="00CB093C" w:rsidRDefault="009F15CD" w:rsidP="009F15CD">
            <w:pPr>
              <w:spacing w:before="0" w:after="0"/>
              <w:jc w:val="center"/>
              <w:rPr>
                <w:rFonts w:ascii="Arial" w:hAnsi="Arial" w:cs="Arial"/>
                <w:iCs/>
                <w:color w:val="000000"/>
                <w:szCs w:val="22"/>
              </w:rPr>
            </w:pPr>
            <w:r w:rsidRPr="00CB093C">
              <w:rPr>
                <w:rFonts w:ascii="Arial" w:hAnsi="Arial" w:cs="Arial"/>
                <w:iCs/>
                <w:color w:val="000000"/>
                <w:szCs w:val="22"/>
              </w:rPr>
              <w:t>DI3</w:t>
            </w:r>
          </w:p>
        </w:tc>
        <w:tc>
          <w:tcPr>
            <w:tcW w:w="1542" w:type="dxa"/>
            <w:shd w:val="clear" w:color="auto" w:fill="E7F3F4"/>
            <w:noWrap/>
            <w:vAlign w:val="center"/>
          </w:tcPr>
          <w:p w14:paraId="58B2D5B0"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t>Dunk Island</w:t>
            </w:r>
          </w:p>
        </w:tc>
        <w:tc>
          <w:tcPr>
            <w:tcW w:w="467" w:type="dxa"/>
            <w:shd w:val="clear" w:color="auto" w:fill="E7F3F4"/>
            <w:vAlign w:val="center"/>
          </w:tcPr>
          <w:p w14:paraId="5FBC99BA"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16257C6"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4CE33A7"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5A056A6"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328F4FF"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54BBA8C"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5405385"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FD0D3CF"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95A7268" w14:textId="77777777" w:rsidR="009F15CD" w:rsidRPr="00CB093C" w:rsidRDefault="009F15CD" w:rsidP="009F15C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bl>
    <w:p w14:paraId="4A1F2953" w14:textId="7B70CB44" w:rsidR="00BB7FB9" w:rsidRPr="00CB093C" w:rsidRDefault="00A90D4E" w:rsidP="000F3AC4">
      <w:pPr>
        <w:pStyle w:val="Heading3"/>
        <w:numPr>
          <w:ilvl w:val="3"/>
          <w:numId w:val="4"/>
        </w:numPr>
        <w:rPr>
          <w:rFonts w:ascii="Arial" w:hAnsi="Arial" w:cs="Arial"/>
          <w:b w:val="0"/>
          <w:i/>
          <w:color w:val="000000"/>
          <w:sz w:val="22"/>
          <w:szCs w:val="22"/>
        </w:rPr>
      </w:pPr>
      <w:r w:rsidRPr="00CB093C">
        <w:rPr>
          <w:rFonts w:ascii="Arial" w:hAnsi="Arial" w:cs="Arial"/>
          <w:b w:val="0"/>
          <w:i/>
          <w:color w:val="000000"/>
          <w:sz w:val="22"/>
          <w:szCs w:val="22"/>
        </w:rPr>
        <w:t xml:space="preserve"> </w:t>
      </w:r>
      <w:bookmarkStart w:id="287" w:name="_Toc11394737"/>
      <w:r w:rsidR="00BB7FB9" w:rsidRPr="00CB093C">
        <w:rPr>
          <w:rFonts w:ascii="Arial" w:hAnsi="Arial" w:cs="Arial"/>
          <w:b w:val="0"/>
          <w:i/>
          <w:color w:val="000000"/>
          <w:sz w:val="22"/>
          <w:szCs w:val="22"/>
        </w:rPr>
        <w:t>Seagrass index and indicator scores</w:t>
      </w:r>
      <w:bookmarkEnd w:id="287"/>
    </w:p>
    <w:p w14:paraId="3E89DE60" w14:textId="19E9833A" w:rsidR="00EF544A" w:rsidRPr="00CB093C" w:rsidRDefault="005D6BC8" w:rsidP="005D6BC8">
      <w:pPr>
        <w:rPr>
          <w:rFonts w:ascii="Arial" w:hAnsi="Arial" w:cs="Arial"/>
          <w:szCs w:val="22"/>
          <w:lang w:val="en-GB"/>
        </w:rPr>
      </w:pPr>
      <w:r w:rsidRPr="00CB093C">
        <w:rPr>
          <w:rFonts w:ascii="Arial" w:hAnsi="Arial" w:cs="Arial"/>
          <w:szCs w:val="22"/>
          <w:lang w:val="en-GB"/>
        </w:rPr>
        <w:t xml:space="preserve">In the 2017-18 monitoring period, the seagrass condition index for the overall Wet Tropics region increased to the highest score since reporting was established, but the overall grade remained poor </w:t>
      </w:r>
      <w:r w:rsidRPr="00CB093C">
        <w:rPr>
          <w:rFonts w:ascii="Arial" w:hAnsi="Arial" w:cs="Arial"/>
          <w:szCs w:val="22"/>
        </w:rPr>
        <w:t>(</w:t>
      </w:r>
      <w:r w:rsidR="00AC1659" w:rsidRPr="00CB093C">
        <w:rPr>
          <w:rFonts w:ascii="Arial" w:hAnsi="Arial" w:cs="Arial"/>
          <w:szCs w:val="22"/>
        </w:rPr>
        <w:fldChar w:fldCharType="begin"/>
      </w:r>
      <w:r w:rsidR="00AC1659" w:rsidRPr="00CB093C">
        <w:rPr>
          <w:rFonts w:ascii="Arial" w:hAnsi="Arial" w:cs="Arial"/>
          <w:szCs w:val="22"/>
        </w:rPr>
        <w:instrText xml:space="preserve"> REF _Ref179412965 \h  \* MERGEFORMAT </w:instrText>
      </w:r>
      <w:r w:rsidR="00AC1659" w:rsidRPr="00CB093C">
        <w:rPr>
          <w:rFonts w:ascii="Arial" w:hAnsi="Arial" w:cs="Arial"/>
          <w:szCs w:val="22"/>
        </w:rPr>
      </w:r>
      <w:r w:rsidR="00AC1659"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38</w:t>
      </w:r>
      <w:r w:rsidR="00AC1659" w:rsidRPr="00CB093C">
        <w:rPr>
          <w:rFonts w:ascii="Arial" w:hAnsi="Arial" w:cs="Arial"/>
          <w:szCs w:val="22"/>
        </w:rPr>
        <w:fldChar w:fldCharType="end"/>
      </w:r>
      <w:r w:rsidR="00AC1659" w:rsidRPr="00CB093C">
        <w:rPr>
          <w:rFonts w:ascii="Arial" w:hAnsi="Arial" w:cs="Arial"/>
          <w:color w:val="0000FF"/>
          <w:szCs w:val="22"/>
        </w:rPr>
        <w:t>)</w:t>
      </w:r>
      <w:r w:rsidRPr="00CB093C">
        <w:rPr>
          <w:rFonts w:ascii="Arial" w:hAnsi="Arial" w:cs="Arial"/>
          <w:szCs w:val="22"/>
          <w:lang w:val="en-GB"/>
        </w:rPr>
        <w:t>. The increase was due to improved scores in two indicators: abundance and reproductive effort. The only indicator to change grade from the previous year was reproductive effort</w:t>
      </w:r>
      <w:r w:rsidRPr="00CB093C">
        <w:rPr>
          <w:rFonts w:ascii="Arial" w:hAnsi="Arial" w:cs="Arial"/>
          <w:szCs w:val="22"/>
        </w:rPr>
        <w:t xml:space="preserve">, which increased from very poor to poor. </w:t>
      </w:r>
      <w:r w:rsidR="007A70FE" w:rsidRPr="00CB093C">
        <w:rPr>
          <w:rFonts w:ascii="Arial" w:hAnsi="Arial" w:cs="Arial"/>
          <w:szCs w:val="22"/>
        </w:rPr>
        <w:t>Examination</w:t>
      </w:r>
      <w:r w:rsidR="00EF544A" w:rsidRPr="00CB093C">
        <w:rPr>
          <w:rFonts w:ascii="Arial" w:hAnsi="Arial" w:cs="Arial"/>
          <w:szCs w:val="22"/>
        </w:rPr>
        <w:t xml:space="preserve"> of </w:t>
      </w:r>
      <w:r w:rsidR="00FD5559" w:rsidRPr="00CB093C">
        <w:rPr>
          <w:rFonts w:ascii="Arial" w:hAnsi="Arial" w:cs="Arial"/>
          <w:szCs w:val="22"/>
        </w:rPr>
        <w:t xml:space="preserve">the </w:t>
      </w:r>
      <w:r w:rsidR="00EF544A" w:rsidRPr="00CB093C">
        <w:rPr>
          <w:rFonts w:ascii="Arial" w:hAnsi="Arial" w:cs="Arial"/>
          <w:szCs w:val="22"/>
        </w:rPr>
        <w:t>sub-regional scores highlights the differences between seagrass condition in the north and south of the Wet Tropics (</w:t>
      </w:r>
      <w:r w:rsidR="00EF544A" w:rsidRPr="00CB093C">
        <w:rPr>
          <w:rFonts w:ascii="Arial" w:hAnsi="Arial" w:cs="Arial"/>
          <w:szCs w:val="22"/>
        </w:rPr>
        <w:fldChar w:fldCharType="begin"/>
      </w:r>
      <w:r w:rsidR="00EF544A" w:rsidRPr="00CB093C">
        <w:rPr>
          <w:rFonts w:ascii="Arial" w:hAnsi="Arial" w:cs="Arial"/>
          <w:szCs w:val="22"/>
        </w:rPr>
        <w:instrText xml:space="preserve"> REF _Ref385233640 \h </w:instrText>
      </w:r>
      <w:r w:rsidR="00CB093C" w:rsidRPr="00CB093C">
        <w:rPr>
          <w:rFonts w:ascii="Arial" w:hAnsi="Arial" w:cs="Arial"/>
          <w:szCs w:val="22"/>
        </w:rPr>
        <w:instrText xml:space="preserve"> \* MERGEFORMAT </w:instrText>
      </w:r>
      <w:r w:rsidR="00EF544A" w:rsidRPr="00CB093C">
        <w:rPr>
          <w:rFonts w:ascii="Arial" w:hAnsi="Arial" w:cs="Arial"/>
          <w:szCs w:val="22"/>
        </w:rPr>
      </w:r>
      <w:r w:rsidR="00EF544A"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35</w:t>
      </w:r>
      <w:r w:rsidR="00EF544A" w:rsidRPr="00CB093C">
        <w:rPr>
          <w:rFonts w:ascii="Arial" w:hAnsi="Arial" w:cs="Arial"/>
          <w:szCs w:val="22"/>
        </w:rPr>
        <w:fldChar w:fldCharType="end"/>
      </w:r>
      <w:r w:rsidR="00EF544A" w:rsidRPr="00CB093C">
        <w:rPr>
          <w:rFonts w:ascii="Arial" w:hAnsi="Arial" w:cs="Arial"/>
          <w:szCs w:val="22"/>
        </w:rPr>
        <w:t>).</w:t>
      </w:r>
    </w:p>
    <w:p w14:paraId="14259D31" w14:textId="2E5BF853" w:rsidR="00267443" w:rsidRPr="00CB093C" w:rsidRDefault="00EF544A" w:rsidP="00FD5559">
      <w:pPr>
        <w:rPr>
          <w:rFonts w:ascii="Arial" w:hAnsi="Arial" w:cs="Arial"/>
          <w:szCs w:val="22"/>
          <w:lang w:val="en-GB"/>
        </w:rPr>
      </w:pPr>
      <w:r w:rsidRPr="00CB093C">
        <w:rPr>
          <w:rFonts w:ascii="Arial" w:hAnsi="Arial" w:cs="Arial"/>
          <w:szCs w:val="22"/>
        </w:rPr>
        <w:t xml:space="preserve">In the northern Wet Tropics, </w:t>
      </w:r>
      <w:r w:rsidR="00173C6C" w:rsidRPr="00CB093C">
        <w:rPr>
          <w:rFonts w:ascii="Arial" w:hAnsi="Arial" w:cs="Arial"/>
          <w:szCs w:val="22"/>
          <w:lang w:val="en-GB"/>
        </w:rPr>
        <w:t xml:space="preserve">the seagrass condition index increased to the highest score since reporting was established, improving to a moderate grading </w:t>
      </w:r>
      <w:r w:rsidR="00173C6C" w:rsidRPr="00CB093C">
        <w:rPr>
          <w:rFonts w:ascii="Arial" w:hAnsi="Arial" w:cs="Arial"/>
          <w:szCs w:val="22"/>
        </w:rPr>
        <w:t>(</w:t>
      </w:r>
      <w:r w:rsidR="00173C6C" w:rsidRPr="00CB093C">
        <w:rPr>
          <w:rFonts w:ascii="Arial" w:hAnsi="Arial" w:cs="Arial"/>
          <w:szCs w:val="22"/>
        </w:rPr>
        <w:fldChar w:fldCharType="begin"/>
      </w:r>
      <w:r w:rsidR="00173C6C" w:rsidRPr="00CB093C">
        <w:rPr>
          <w:rFonts w:ascii="Arial" w:hAnsi="Arial" w:cs="Arial"/>
          <w:szCs w:val="22"/>
        </w:rPr>
        <w:instrText xml:space="preserve"> REF _Ref179412965 \h </w:instrText>
      </w:r>
      <w:r w:rsidR="00CB093C" w:rsidRPr="00CB093C">
        <w:rPr>
          <w:rFonts w:ascii="Arial" w:hAnsi="Arial" w:cs="Arial"/>
          <w:szCs w:val="22"/>
        </w:rPr>
        <w:instrText xml:space="preserve"> \* MERGEFORMAT </w:instrText>
      </w:r>
      <w:r w:rsidR="00173C6C" w:rsidRPr="00CB093C">
        <w:rPr>
          <w:rFonts w:ascii="Arial" w:hAnsi="Arial" w:cs="Arial"/>
          <w:szCs w:val="22"/>
        </w:rPr>
      </w:r>
      <w:r w:rsidR="00173C6C"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38</w:t>
      </w:r>
      <w:r w:rsidR="00173C6C" w:rsidRPr="00CB093C">
        <w:rPr>
          <w:rFonts w:ascii="Arial" w:hAnsi="Arial" w:cs="Arial"/>
          <w:szCs w:val="22"/>
        </w:rPr>
        <w:fldChar w:fldCharType="end"/>
      </w:r>
      <w:r w:rsidR="00173C6C" w:rsidRPr="00CB093C">
        <w:rPr>
          <w:rFonts w:ascii="Arial" w:hAnsi="Arial" w:cs="Arial"/>
          <w:szCs w:val="22"/>
        </w:rPr>
        <w:t>)</w:t>
      </w:r>
      <w:r w:rsidR="00173C6C" w:rsidRPr="00CB093C">
        <w:rPr>
          <w:rFonts w:ascii="Arial" w:hAnsi="Arial" w:cs="Arial"/>
          <w:szCs w:val="22"/>
          <w:lang w:val="en-GB"/>
        </w:rPr>
        <w:t xml:space="preserve">. Similar to the overall </w:t>
      </w:r>
      <w:r w:rsidR="00381338" w:rsidRPr="00CB093C">
        <w:rPr>
          <w:rFonts w:ascii="Arial" w:hAnsi="Arial" w:cs="Arial"/>
          <w:szCs w:val="22"/>
          <w:lang w:val="en-GB"/>
        </w:rPr>
        <w:t xml:space="preserve">NRM </w:t>
      </w:r>
      <w:r w:rsidR="00173C6C" w:rsidRPr="00CB093C">
        <w:rPr>
          <w:rFonts w:ascii="Arial" w:hAnsi="Arial" w:cs="Arial"/>
          <w:szCs w:val="22"/>
          <w:lang w:val="en-GB"/>
        </w:rPr>
        <w:t xml:space="preserve">regional grade, the increase appears </w:t>
      </w:r>
      <w:r w:rsidR="007A70FE" w:rsidRPr="00CB093C">
        <w:rPr>
          <w:rFonts w:ascii="Arial" w:hAnsi="Arial" w:cs="Arial"/>
          <w:szCs w:val="22"/>
          <w:lang w:val="en-GB"/>
        </w:rPr>
        <w:t>primarily</w:t>
      </w:r>
      <w:r w:rsidR="00173C6C" w:rsidRPr="00CB093C">
        <w:rPr>
          <w:rFonts w:ascii="Arial" w:hAnsi="Arial" w:cs="Arial"/>
          <w:szCs w:val="22"/>
          <w:lang w:val="en-GB"/>
        </w:rPr>
        <w:t xml:space="preserve"> due to improved abundance and reproductive effort scores. </w:t>
      </w:r>
    </w:p>
    <w:p w14:paraId="686C700B" w14:textId="4A76742E" w:rsidR="00267443" w:rsidRPr="00CB093C" w:rsidRDefault="00173C6C" w:rsidP="00FD5559">
      <w:pPr>
        <w:rPr>
          <w:rFonts w:ascii="Arial" w:hAnsi="Arial" w:cs="Arial"/>
          <w:szCs w:val="22"/>
        </w:rPr>
      </w:pPr>
      <w:r w:rsidRPr="00CB093C">
        <w:rPr>
          <w:rFonts w:ascii="Arial" w:hAnsi="Arial" w:cs="Arial"/>
          <w:szCs w:val="22"/>
          <w:lang w:val="en-GB"/>
        </w:rPr>
        <w:t>T</w:t>
      </w:r>
      <w:r w:rsidR="00EF544A" w:rsidRPr="00CB093C">
        <w:rPr>
          <w:rFonts w:ascii="Arial" w:hAnsi="Arial" w:cs="Arial"/>
          <w:szCs w:val="22"/>
        </w:rPr>
        <w:t xml:space="preserve">he </w:t>
      </w:r>
      <w:r w:rsidR="001B6AA0" w:rsidRPr="00CB093C">
        <w:rPr>
          <w:rFonts w:ascii="Arial" w:hAnsi="Arial" w:cs="Arial"/>
          <w:szCs w:val="22"/>
        </w:rPr>
        <w:t xml:space="preserve">seagrass abundance </w:t>
      </w:r>
      <w:r w:rsidR="00EF544A" w:rsidRPr="00CB093C">
        <w:rPr>
          <w:rFonts w:ascii="Arial" w:hAnsi="Arial" w:cs="Arial"/>
          <w:szCs w:val="22"/>
        </w:rPr>
        <w:t xml:space="preserve">score has </w:t>
      </w:r>
      <w:r w:rsidR="00FD5559" w:rsidRPr="00CB093C">
        <w:rPr>
          <w:rFonts w:ascii="Arial" w:hAnsi="Arial" w:cs="Arial"/>
          <w:szCs w:val="22"/>
        </w:rPr>
        <w:t>progressively</w:t>
      </w:r>
      <w:r w:rsidR="00EF544A" w:rsidRPr="00CB093C">
        <w:rPr>
          <w:rFonts w:ascii="Arial" w:hAnsi="Arial" w:cs="Arial"/>
          <w:szCs w:val="22"/>
        </w:rPr>
        <w:t xml:space="preserve"> </w:t>
      </w:r>
      <w:r w:rsidR="00FD5559" w:rsidRPr="00CB093C">
        <w:rPr>
          <w:rFonts w:ascii="Arial" w:hAnsi="Arial" w:cs="Arial"/>
          <w:szCs w:val="22"/>
        </w:rPr>
        <w:t>improved</w:t>
      </w:r>
      <w:r w:rsidR="00EF544A" w:rsidRPr="00CB093C">
        <w:rPr>
          <w:rFonts w:ascii="Arial" w:hAnsi="Arial" w:cs="Arial"/>
          <w:szCs w:val="22"/>
        </w:rPr>
        <w:t xml:space="preserve"> since 201</w:t>
      </w:r>
      <w:r w:rsidR="00FD5559" w:rsidRPr="00CB093C">
        <w:rPr>
          <w:rFonts w:ascii="Arial" w:hAnsi="Arial" w:cs="Arial"/>
          <w:szCs w:val="22"/>
        </w:rPr>
        <w:t>4</w:t>
      </w:r>
      <w:r w:rsidR="009203FC" w:rsidRPr="00CB093C">
        <w:rPr>
          <w:rFonts w:ascii="Arial" w:hAnsi="Arial" w:cs="Arial"/>
          <w:szCs w:val="22"/>
        </w:rPr>
        <w:t>–</w:t>
      </w:r>
      <w:r w:rsidR="0070001C" w:rsidRPr="00CB093C">
        <w:rPr>
          <w:rFonts w:ascii="Arial" w:hAnsi="Arial" w:cs="Arial"/>
          <w:szCs w:val="22"/>
        </w:rPr>
        <w:t>20</w:t>
      </w:r>
      <w:r w:rsidR="00EF544A" w:rsidRPr="00CB093C">
        <w:rPr>
          <w:rFonts w:ascii="Arial" w:hAnsi="Arial" w:cs="Arial"/>
          <w:szCs w:val="22"/>
        </w:rPr>
        <w:t>1</w:t>
      </w:r>
      <w:r w:rsidR="00FD5559" w:rsidRPr="00CB093C">
        <w:rPr>
          <w:rFonts w:ascii="Arial" w:hAnsi="Arial" w:cs="Arial"/>
          <w:szCs w:val="22"/>
        </w:rPr>
        <w:t>5</w:t>
      </w:r>
      <w:r w:rsidR="00EF544A" w:rsidRPr="00CB093C">
        <w:rPr>
          <w:rFonts w:ascii="Arial" w:hAnsi="Arial" w:cs="Arial"/>
          <w:szCs w:val="22"/>
        </w:rPr>
        <w:t xml:space="preserve">, </w:t>
      </w:r>
      <w:r w:rsidR="00FD5559" w:rsidRPr="00CB093C">
        <w:rPr>
          <w:rFonts w:ascii="Arial" w:hAnsi="Arial" w:cs="Arial"/>
          <w:szCs w:val="22"/>
        </w:rPr>
        <w:t>and</w:t>
      </w:r>
      <w:r w:rsidR="00EF544A" w:rsidRPr="00CB093C">
        <w:rPr>
          <w:rFonts w:ascii="Arial" w:hAnsi="Arial" w:cs="Arial"/>
          <w:szCs w:val="22"/>
        </w:rPr>
        <w:t xml:space="preserve"> </w:t>
      </w:r>
      <w:r w:rsidRPr="00CB093C">
        <w:rPr>
          <w:rFonts w:ascii="Arial" w:hAnsi="Arial" w:cs="Arial"/>
          <w:szCs w:val="22"/>
        </w:rPr>
        <w:t>although the highest since 2009</w:t>
      </w:r>
      <w:r w:rsidR="009203FC" w:rsidRPr="00CB093C">
        <w:rPr>
          <w:rFonts w:ascii="Arial" w:hAnsi="Arial" w:cs="Arial"/>
          <w:szCs w:val="22"/>
        </w:rPr>
        <w:t>–</w:t>
      </w:r>
      <w:r w:rsidRPr="00CB093C">
        <w:rPr>
          <w:rFonts w:ascii="Arial" w:hAnsi="Arial" w:cs="Arial"/>
          <w:szCs w:val="22"/>
        </w:rPr>
        <w:t xml:space="preserve">10 (and similar to 2008-09), </w:t>
      </w:r>
      <w:r w:rsidR="00EF544A" w:rsidRPr="00CB093C">
        <w:rPr>
          <w:rFonts w:ascii="Arial" w:hAnsi="Arial" w:cs="Arial"/>
          <w:szCs w:val="22"/>
        </w:rPr>
        <w:t>remain</w:t>
      </w:r>
      <w:r w:rsidR="00FD5559" w:rsidRPr="00CB093C">
        <w:rPr>
          <w:rFonts w:ascii="Arial" w:hAnsi="Arial" w:cs="Arial"/>
          <w:szCs w:val="22"/>
        </w:rPr>
        <w:t>s</w:t>
      </w:r>
      <w:r w:rsidR="00EF544A" w:rsidRPr="00CB093C">
        <w:rPr>
          <w:rFonts w:ascii="Arial" w:hAnsi="Arial" w:cs="Arial"/>
          <w:szCs w:val="22"/>
        </w:rPr>
        <w:t xml:space="preserve"> </w:t>
      </w:r>
      <w:r w:rsidR="00754C3C" w:rsidRPr="00CB093C">
        <w:rPr>
          <w:rFonts w:ascii="Arial" w:hAnsi="Arial" w:cs="Arial"/>
          <w:szCs w:val="22"/>
        </w:rPr>
        <w:t>graded</w:t>
      </w:r>
      <w:r w:rsidR="001B6AA0" w:rsidRPr="00CB093C">
        <w:rPr>
          <w:rFonts w:ascii="Arial" w:hAnsi="Arial" w:cs="Arial"/>
          <w:szCs w:val="22"/>
        </w:rPr>
        <w:t xml:space="preserve"> as </w:t>
      </w:r>
      <w:r w:rsidR="00EF544A" w:rsidRPr="00CB093C">
        <w:rPr>
          <w:rFonts w:ascii="Arial" w:hAnsi="Arial" w:cs="Arial"/>
          <w:szCs w:val="22"/>
        </w:rPr>
        <w:t>moderate</w:t>
      </w:r>
      <w:r w:rsidR="00F37E11" w:rsidRPr="00CB093C">
        <w:rPr>
          <w:rFonts w:ascii="Arial" w:hAnsi="Arial" w:cs="Arial"/>
          <w:szCs w:val="22"/>
        </w:rPr>
        <w:t xml:space="preserve"> in </w:t>
      </w:r>
      <w:r w:rsidR="003654C6">
        <w:rPr>
          <w:rFonts w:ascii="Arial" w:hAnsi="Arial" w:cs="Arial"/>
          <w:szCs w:val="22"/>
        </w:rPr>
        <w:t>2017–18</w:t>
      </w:r>
      <w:r w:rsidR="001B6AA0" w:rsidRPr="00CB093C">
        <w:rPr>
          <w:rFonts w:ascii="Arial" w:hAnsi="Arial" w:cs="Arial"/>
          <w:szCs w:val="22"/>
        </w:rPr>
        <w:t xml:space="preserve"> (</w:t>
      </w:r>
      <w:r w:rsidR="00EF544A" w:rsidRPr="00CB093C">
        <w:rPr>
          <w:rFonts w:ascii="Arial" w:hAnsi="Arial" w:cs="Arial"/>
          <w:szCs w:val="22"/>
        </w:rPr>
        <w:fldChar w:fldCharType="begin"/>
      </w:r>
      <w:r w:rsidR="00EF544A" w:rsidRPr="00CB093C">
        <w:rPr>
          <w:rFonts w:ascii="Arial" w:hAnsi="Arial" w:cs="Arial"/>
          <w:szCs w:val="22"/>
        </w:rPr>
        <w:instrText xml:space="preserve"> REF _Ref179412965 \h </w:instrText>
      </w:r>
      <w:r w:rsidR="00CB093C" w:rsidRPr="00CB093C">
        <w:rPr>
          <w:rFonts w:ascii="Arial" w:hAnsi="Arial" w:cs="Arial"/>
          <w:szCs w:val="22"/>
        </w:rPr>
        <w:instrText xml:space="preserve"> \* MERGEFORMAT </w:instrText>
      </w:r>
      <w:r w:rsidR="00EF544A" w:rsidRPr="00CB093C">
        <w:rPr>
          <w:rFonts w:ascii="Arial" w:hAnsi="Arial" w:cs="Arial"/>
          <w:szCs w:val="22"/>
        </w:rPr>
      </w:r>
      <w:r w:rsidR="00EF544A"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38</w:t>
      </w:r>
      <w:r w:rsidR="00EF544A" w:rsidRPr="00CB093C">
        <w:rPr>
          <w:rFonts w:ascii="Arial" w:hAnsi="Arial" w:cs="Arial"/>
          <w:szCs w:val="22"/>
        </w:rPr>
        <w:fldChar w:fldCharType="end"/>
      </w:r>
      <w:r w:rsidR="001B6AA0" w:rsidRPr="00CB093C">
        <w:rPr>
          <w:rFonts w:ascii="Arial" w:hAnsi="Arial" w:cs="Arial"/>
          <w:szCs w:val="22"/>
        </w:rPr>
        <w:t xml:space="preserve">). </w:t>
      </w:r>
      <w:r w:rsidR="00097E34" w:rsidRPr="00CB093C">
        <w:rPr>
          <w:rFonts w:ascii="Arial" w:hAnsi="Arial" w:cs="Arial"/>
          <w:szCs w:val="22"/>
        </w:rPr>
        <w:t xml:space="preserve">The long-term trend in seagrass </w:t>
      </w:r>
      <w:r w:rsidR="00882B72" w:rsidRPr="00CB093C">
        <w:rPr>
          <w:rFonts w:ascii="Arial" w:hAnsi="Arial" w:cs="Arial"/>
          <w:szCs w:val="22"/>
        </w:rPr>
        <w:t>%</w:t>
      </w:r>
      <w:r w:rsidR="00097E34" w:rsidRPr="00CB093C">
        <w:rPr>
          <w:rFonts w:ascii="Arial" w:hAnsi="Arial" w:cs="Arial"/>
          <w:szCs w:val="22"/>
        </w:rPr>
        <w:t xml:space="preserve"> cover is variable between monitoring locations, but closely reflects the </w:t>
      </w:r>
      <w:r w:rsidRPr="00CB093C">
        <w:rPr>
          <w:rFonts w:ascii="Arial" w:hAnsi="Arial" w:cs="Arial"/>
          <w:szCs w:val="22"/>
        </w:rPr>
        <w:t>sub-regional</w:t>
      </w:r>
      <w:r w:rsidR="00097E34" w:rsidRPr="00CB093C">
        <w:rPr>
          <w:rFonts w:ascii="Arial" w:hAnsi="Arial" w:cs="Arial"/>
          <w:szCs w:val="22"/>
        </w:rPr>
        <w:t xml:space="preserve"> scores with improved cover from 2015. </w:t>
      </w:r>
    </w:p>
    <w:p w14:paraId="35CDCBFF" w14:textId="53D6E789" w:rsidR="00267443" w:rsidRPr="00CB093C" w:rsidRDefault="00FD5559" w:rsidP="00FD5559">
      <w:pPr>
        <w:rPr>
          <w:rFonts w:ascii="Arial" w:hAnsi="Arial" w:cs="Arial"/>
          <w:szCs w:val="22"/>
        </w:rPr>
      </w:pPr>
      <w:r w:rsidRPr="00CB093C">
        <w:rPr>
          <w:rFonts w:ascii="Arial" w:hAnsi="Arial" w:cs="Arial"/>
          <w:szCs w:val="22"/>
        </w:rPr>
        <w:t>Rep</w:t>
      </w:r>
      <w:r w:rsidR="000D1BFF" w:rsidRPr="00CB093C">
        <w:rPr>
          <w:rFonts w:ascii="Arial" w:hAnsi="Arial" w:cs="Arial"/>
          <w:szCs w:val="22"/>
        </w:rPr>
        <w:t>r</w:t>
      </w:r>
      <w:r w:rsidRPr="00CB093C">
        <w:rPr>
          <w:rFonts w:ascii="Arial" w:hAnsi="Arial" w:cs="Arial"/>
          <w:szCs w:val="22"/>
        </w:rPr>
        <w:t xml:space="preserve">oductive effort has fluctuated the most of the three condition indicators, and in </w:t>
      </w:r>
      <w:r w:rsidR="003654C6">
        <w:rPr>
          <w:rFonts w:ascii="Arial" w:hAnsi="Arial" w:cs="Arial"/>
          <w:szCs w:val="22"/>
        </w:rPr>
        <w:t>2017–18</w:t>
      </w:r>
      <w:r w:rsidRPr="00CB093C">
        <w:rPr>
          <w:rFonts w:ascii="Arial" w:hAnsi="Arial" w:cs="Arial"/>
          <w:szCs w:val="22"/>
        </w:rPr>
        <w:t xml:space="preserve"> was the highest score since monitoring was </w:t>
      </w:r>
      <w:r w:rsidR="007A70FE" w:rsidRPr="00CB093C">
        <w:rPr>
          <w:rFonts w:ascii="Arial" w:hAnsi="Arial" w:cs="Arial"/>
          <w:szCs w:val="22"/>
        </w:rPr>
        <w:t>established</w:t>
      </w:r>
      <w:r w:rsidRPr="00CB093C">
        <w:rPr>
          <w:rFonts w:ascii="Arial" w:hAnsi="Arial" w:cs="Arial"/>
          <w:szCs w:val="22"/>
        </w:rPr>
        <w:t xml:space="preserve"> (</w:t>
      </w:r>
      <w:r w:rsidRPr="00CB093C">
        <w:rPr>
          <w:rFonts w:ascii="Arial" w:hAnsi="Arial" w:cs="Arial"/>
          <w:szCs w:val="22"/>
        </w:rPr>
        <w:fldChar w:fldCharType="begin"/>
      </w:r>
      <w:r w:rsidRPr="00CB093C">
        <w:rPr>
          <w:rFonts w:ascii="Arial" w:hAnsi="Arial" w:cs="Arial"/>
          <w:szCs w:val="22"/>
        </w:rPr>
        <w:instrText xml:space="preserve"> REF _Ref179412965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38</w:t>
      </w:r>
      <w:r w:rsidRPr="00CB093C">
        <w:rPr>
          <w:rFonts w:ascii="Arial" w:hAnsi="Arial" w:cs="Arial"/>
          <w:szCs w:val="22"/>
        </w:rPr>
        <w:fldChar w:fldCharType="end"/>
      </w:r>
      <w:r w:rsidRPr="00CB093C">
        <w:rPr>
          <w:rFonts w:ascii="Arial" w:hAnsi="Arial" w:cs="Arial"/>
          <w:szCs w:val="22"/>
        </w:rPr>
        <w:t>).</w:t>
      </w:r>
      <w:r w:rsidR="00097E34" w:rsidRPr="00CB093C">
        <w:rPr>
          <w:rFonts w:ascii="Arial" w:hAnsi="Arial" w:cs="Arial"/>
          <w:szCs w:val="22"/>
        </w:rPr>
        <w:t xml:space="preserve"> Due to the variable nature of sexual reproduction in seagrass systems, no long term trends are </w:t>
      </w:r>
      <w:r w:rsidR="007A70FE" w:rsidRPr="00CB093C">
        <w:rPr>
          <w:rFonts w:ascii="Arial" w:hAnsi="Arial" w:cs="Arial"/>
          <w:szCs w:val="22"/>
        </w:rPr>
        <w:t>apparent</w:t>
      </w:r>
      <w:r w:rsidR="00097E34" w:rsidRPr="00CB093C">
        <w:rPr>
          <w:rFonts w:ascii="Arial" w:hAnsi="Arial" w:cs="Arial"/>
          <w:szCs w:val="22"/>
        </w:rPr>
        <w:t xml:space="preserve">. </w:t>
      </w:r>
    </w:p>
    <w:p w14:paraId="500265D5" w14:textId="409D4696" w:rsidR="00FD5559" w:rsidRPr="00CB093C" w:rsidRDefault="00097E34" w:rsidP="00FD5559">
      <w:pPr>
        <w:rPr>
          <w:rFonts w:ascii="Arial" w:hAnsi="Arial" w:cs="Arial"/>
          <w:szCs w:val="22"/>
        </w:rPr>
      </w:pPr>
      <w:r w:rsidRPr="00CB093C">
        <w:rPr>
          <w:rFonts w:ascii="Arial" w:hAnsi="Arial" w:cs="Arial"/>
          <w:szCs w:val="22"/>
        </w:rPr>
        <w:t>In contract, s</w:t>
      </w:r>
      <w:r w:rsidR="00FD5559" w:rsidRPr="00CB093C">
        <w:rPr>
          <w:rFonts w:ascii="Arial" w:hAnsi="Arial" w:cs="Arial"/>
          <w:szCs w:val="22"/>
        </w:rPr>
        <w:t xml:space="preserve">eagrass leaf nutrient (C:N) status has varied the least of all indicators, and although declined marginally in </w:t>
      </w:r>
      <w:r w:rsidR="003654C6">
        <w:rPr>
          <w:rFonts w:ascii="Arial" w:hAnsi="Arial" w:cs="Arial"/>
          <w:szCs w:val="22"/>
        </w:rPr>
        <w:t>2017–18</w:t>
      </w:r>
      <w:r w:rsidR="00FD5559" w:rsidRPr="00CB093C">
        <w:rPr>
          <w:rFonts w:ascii="Arial" w:hAnsi="Arial" w:cs="Arial"/>
          <w:szCs w:val="22"/>
        </w:rPr>
        <w:t xml:space="preserve">, </w:t>
      </w:r>
      <w:r w:rsidRPr="00CB093C">
        <w:rPr>
          <w:rFonts w:ascii="Arial" w:hAnsi="Arial" w:cs="Arial"/>
          <w:szCs w:val="22"/>
        </w:rPr>
        <w:t xml:space="preserve">has </w:t>
      </w:r>
      <w:r w:rsidR="00FD5559" w:rsidRPr="00CB093C">
        <w:rPr>
          <w:rFonts w:ascii="Arial" w:hAnsi="Arial" w:cs="Arial"/>
          <w:szCs w:val="22"/>
        </w:rPr>
        <w:t>remained in a poor grade (</w:t>
      </w:r>
      <w:r w:rsidR="00FD5559" w:rsidRPr="00CB093C">
        <w:rPr>
          <w:rFonts w:ascii="Arial" w:hAnsi="Arial" w:cs="Arial"/>
          <w:szCs w:val="22"/>
        </w:rPr>
        <w:fldChar w:fldCharType="begin"/>
      </w:r>
      <w:r w:rsidR="00FD5559" w:rsidRPr="00CB093C">
        <w:rPr>
          <w:rFonts w:ascii="Arial" w:hAnsi="Arial" w:cs="Arial"/>
          <w:szCs w:val="22"/>
        </w:rPr>
        <w:instrText xml:space="preserve"> REF _Ref179412965 \h </w:instrText>
      </w:r>
      <w:r w:rsidR="00CB093C" w:rsidRPr="00CB093C">
        <w:rPr>
          <w:rFonts w:ascii="Arial" w:hAnsi="Arial" w:cs="Arial"/>
          <w:szCs w:val="22"/>
        </w:rPr>
        <w:instrText xml:space="preserve"> \* MERGEFORMAT </w:instrText>
      </w:r>
      <w:r w:rsidR="00FD5559" w:rsidRPr="00CB093C">
        <w:rPr>
          <w:rFonts w:ascii="Arial" w:hAnsi="Arial" w:cs="Arial"/>
          <w:szCs w:val="22"/>
        </w:rPr>
      </w:r>
      <w:r w:rsidR="00FD5559"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38</w:t>
      </w:r>
      <w:r w:rsidR="00FD5559" w:rsidRPr="00CB093C">
        <w:rPr>
          <w:rFonts w:ascii="Arial" w:hAnsi="Arial" w:cs="Arial"/>
          <w:szCs w:val="22"/>
        </w:rPr>
        <w:fldChar w:fldCharType="end"/>
      </w:r>
      <w:r w:rsidR="00FD5559" w:rsidRPr="00CB093C">
        <w:rPr>
          <w:rFonts w:ascii="Arial" w:hAnsi="Arial" w:cs="Arial"/>
          <w:szCs w:val="22"/>
        </w:rPr>
        <w:t>).</w:t>
      </w:r>
      <w:r w:rsidRPr="00CB093C">
        <w:rPr>
          <w:rFonts w:ascii="Arial" w:hAnsi="Arial" w:cs="Arial"/>
          <w:szCs w:val="22"/>
        </w:rPr>
        <w:t xml:space="preserve"> Examination of the long-term trend in nutrient status, </w:t>
      </w:r>
      <w:r w:rsidR="00173C6C" w:rsidRPr="00CB093C">
        <w:rPr>
          <w:rFonts w:ascii="Arial" w:hAnsi="Arial" w:cs="Arial"/>
          <w:szCs w:val="22"/>
        </w:rPr>
        <w:t>suggests</w:t>
      </w:r>
      <w:r w:rsidRPr="00CB093C">
        <w:rPr>
          <w:rFonts w:ascii="Arial" w:hAnsi="Arial" w:cs="Arial"/>
          <w:szCs w:val="22"/>
        </w:rPr>
        <w:t xml:space="preserve"> a significant increase for a period between 2006 and 2009</w:t>
      </w:r>
      <w:r w:rsidR="00173C6C" w:rsidRPr="00CB093C">
        <w:rPr>
          <w:rFonts w:ascii="Arial" w:hAnsi="Arial" w:cs="Arial"/>
          <w:szCs w:val="22"/>
        </w:rPr>
        <w:t xml:space="preserve"> (</w:t>
      </w:r>
      <w:r w:rsidR="00173C6C" w:rsidRPr="00CB093C">
        <w:rPr>
          <w:rFonts w:ascii="Arial" w:hAnsi="Arial" w:cs="Arial"/>
          <w:szCs w:val="22"/>
        </w:rPr>
        <w:fldChar w:fldCharType="begin"/>
      </w:r>
      <w:r w:rsidR="00173C6C" w:rsidRPr="00CB093C">
        <w:rPr>
          <w:rFonts w:ascii="Arial" w:hAnsi="Arial" w:cs="Arial"/>
          <w:szCs w:val="22"/>
        </w:rPr>
        <w:instrText xml:space="preserve"> REF _Ref179412965 \h </w:instrText>
      </w:r>
      <w:r w:rsidR="00CB093C" w:rsidRPr="00CB093C">
        <w:rPr>
          <w:rFonts w:ascii="Arial" w:hAnsi="Arial" w:cs="Arial"/>
          <w:szCs w:val="22"/>
        </w:rPr>
        <w:instrText xml:space="preserve"> \* MERGEFORMAT </w:instrText>
      </w:r>
      <w:r w:rsidR="00173C6C" w:rsidRPr="00CB093C">
        <w:rPr>
          <w:rFonts w:ascii="Arial" w:hAnsi="Arial" w:cs="Arial"/>
          <w:szCs w:val="22"/>
        </w:rPr>
      </w:r>
      <w:r w:rsidR="00173C6C"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38</w:t>
      </w:r>
      <w:r w:rsidR="00173C6C" w:rsidRPr="00CB093C">
        <w:rPr>
          <w:rFonts w:ascii="Arial" w:hAnsi="Arial" w:cs="Arial"/>
          <w:szCs w:val="22"/>
        </w:rPr>
        <w:fldChar w:fldCharType="end"/>
      </w:r>
      <w:r w:rsidR="00173C6C" w:rsidRPr="00CB093C">
        <w:rPr>
          <w:rFonts w:ascii="Arial" w:hAnsi="Arial" w:cs="Arial"/>
          <w:szCs w:val="22"/>
        </w:rPr>
        <w:t>).</w:t>
      </w:r>
    </w:p>
    <w:p w14:paraId="0B6711F2" w14:textId="61D235FE" w:rsidR="0058085D" w:rsidRPr="00CB093C" w:rsidRDefault="0058085D" w:rsidP="00907D11">
      <w:pPr>
        <w:jc w:val="center"/>
        <w:rPr>
          <w:rFonts w:ascii="Arial" w:hAnsi="Arial" w:cs="Arial"/>
          <w:color w:val="000000"/>
          <w:szCs w:val="22"/>
        </w:rPr>
      </w:pPr>
      <w:r w:rsidRPr="00CB093C">
        <w:rPr>
          <w:rFonts w:ascii="Arial" w:hAnsi="Arial" w:cs="Arial"/>
          <w:noProof/>
          <w:color w:val="000000"/>
          <w:szCs w:val="22"/>
          <w:lang w:val="en-US"/>
        </w:rPr>
        <w:lastRenderedPageBreak/>
        <w:drawing>
          <wp:inline distT="0" distB="0" distL="0" distR="0" wp14:anchorId="586E4C4E" wp14:editId="4F2308D5">
            <wp:extent cx="5424572" cy="4997557"/>
            <wp:effectExtent l="0" t="0" r="5080" b="0"/>
            <wp:docPr id="538" name="Picture 538" descr="Composite figure of four graphs showing temporal trends in the northern Wet Tropics seagrass condition index and each of the individual indicators used to calculate the index, represented by GAM plots and coloured lines representing location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 name="B combined plots-01.png"/>
                    <pic:cNvPicPr/>
                  </pic:nvPicPr>
                  <pic:blipFill>
                    <a:blip r:embed="rId82">
                      <a:extLst>
                        <a:ext uri="{28A0092B-C50C-407E-A947-70E740481C1C}">
                          <a14:useLocalDpi xmlns:a14="http://schemas.microsoft.com/office/drawing/2010/main" val="0"/>
                        </a:ext>
                      </a:extLst>
                    </a:blip>
                    <a:stretch>
                      <a:fillRect/>
                    </a:stretch>
                  </pic:blipFill>
                  <pic:spPr>
                    <a:xfrm>
                      <a:off x="0" y="0"/>
                      <a:ext cx="5424572" cy="4997557"/>
                    </a:xfrm>
                    <a:prstGeom prst="rect">
                      <a:avLst/>
                    </a:prstGeom>
                  </pic:spPr>
                </pic:pic>
              </a:graphicData>
            </a:graphic>
          </wp:inline>
        </w:drawing>
      </w:r>
    </w:p>
    <w:p w14:paraId="76C0F7D0" w14:textId="42ABB371" w:rsidR="00076C1A" w:rsidRPr="00CB093C" w:rsidRDefault="005132EF" w:rsidP="00076C1A">
      <w:pPr>
        <w:rPr>
          <w:rFonts w:ascii="Arial" w:hAnsi="Arial" w:cs="Arial"/>
          <w:vanish/>
          <w:color w:val="000000"/>
          <w:szCs w:val="22"/>
          <w:specVanish/>
        </w:rPr>
      </w:pPr>
      <w:bookmarkStart w:id="288" w:name="_Ref179412965"/>
      <w:bookmarkStart w:id="289" w:name="_Toc176158861"/>
      <w:bookmarkStart w:id="290" w:name="_Toc232845966"/>
      <w:bookmarkStart w:id="291" w:name="_Toc431493840"/>
      <w:bookmarkStart w:id="292" w:name="_Toc6402803"/>
      <w:bookmarkEnd w:id="278"/>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38</w:t>
      </w:r>
      <w:r w:rsidR="0073595B" w:rsidRPr="00CB093C">
        <w:rPr>
          <w:rFonts w:ascii="Arial" w:hAnsi="Arial" w:cs="Arial"/>
          <w:color w:val="000000"/>
          <w:szCs w:val="22"/>
        </w:rPr>
        <w:fldChar w:fldCharType="end"/>
      </w:r>
      <w:bookmarkEnd w:id="288"/>
      <w:r w:rsidRPr="00CB093C">
        <w:rPr>
          <w:rFonts w:ascii="Arial" w:hAnsi="Arial" w:cs="Arial"/>
          <w:color w:val="000000"/>
          <w:szCs w:val="22"/>
        </w:rPr>
        <w:t xml:space="preserve">. </w:t>
      </w:r>
      <w:bookmarkEnd w:id="289"/>
      <w:bookmarkEnd w:id="290"/>
      <w:bookmarkEnd w:id="291"/>
      <w:r w:rsidR="00076C1A" w:rsidRPr="00CB093C">
        <w:rPr>
          <w:rFonts w:ascii="Arial" w:hAnsi="Arial" w:cs="Arial"/>
          <w:i/>
          <w:szCs w:val="22"/>
        </w:rPr>
        <w:t>Temporal trends in the northern Wet Tropics seagrass condition index and the indicators used to calculate the index</w:t>
      </w:r>
      <w:bookmarkEnd w:id="292"/>
    </w:p>
    <w:p w14:paraId="04496599" w14:textId="749622AC" w:rsidR="00AE3499" w:rsidRPr="00CB093C" w:rsidRDefault="00076C1A" w:rsidP="00076C1A">
      <w:pPr>
        <w:rPr>
          <w:rFonts w:ascii="Arial" w:hAnsi="Arial" w:cs="Arial"/>
          <w:i/>
          <w:szCs w:val="22"/>
          <w:lang w:val="en-GB"/>
        </w:rPr>
      </w:pPr>
      <w:r w:rsidRPr="00CB093C">
        <w:rPr>
          <w:rFonts w:ascii="Arial" w:hAnsi="Arial" w:cs="Arial"/>
          <w:i/>
          <w:szCs w:val="22"/>
        </w:rPr>
        <w:t>: a. seagrass condition index (circles) and indicator trends (lines); b. GAM plots of seagrass abundance (</w:t>
      </w:r>
      <w:r w:rsidR="00882B72" w:rsidRPr="00CB093C">
        <w:rPr>
          <w:rFonts w:ascii="Arial" w:hAnsi="Arial" w:cs="Arial"/>
          <w:i/>
          <w:szCs w:val="22"/>
        </w:rPr>
        <w:t>%</w:t>
      </w:r>
      <w:r w:rsidRPr="00CB093C">
        <w:rPr>
          <w:rFonts w:ascii="Arial" w:hAnsi="Arial" w:cs="Arial"/>
          <w:i/>
          <w:szCs w:val="22"/>
        </w:rPr>
        <w:t xml:space="preserve"> cover) trends for each location (coloured lines) and the region (black line with grey shaded area defining 95% confidence intervals); c. average number of reproductive structures (±SE) (GAM not possible due to high count of zero values); and d. elemental ratios (atomic) of leaf tissue C:N nutrient content at each site (coloured circles) and regional trend represented by a GAM plot as dark line with shaded areas defining 95% confidence intervals of the trend.</w:t>
      </w:r>
      <w:r w:rsidR="00AE3499" w:rsidRPr="00CB093C">
        <w:rPr>
          <w:rFonts w:ascii="Arial" w:hAnsi="Arial" w:cs="Arial"/>
          <w:i/>
          <w:szCs w:val="22"/>
          <w:lang w:val="en-GB"/>
        </w:rPr>
        <w:t xml:space="preserve"> </w:t>
      </w:r>
    </w:p>
    <w:p w14:paraId="7F353958" w14:textId="36C46299" w:rsidR="00267443" w:rsidRPr="00CB093C" w:rsidRDefault="00267443" w:rsidP="00267443">
      <w:pPr>
        <w:rPr>
          <w:rFonts w:ascii="Arial" w:hAnsi="Arial" w:cs="Arial"/>
          <w:szCs w:val="22"/>
          <w:lang w:val="en-GB"/>
        </w:rPr>
      </w:pPr>
      <w:r w:rsidRPr="00CB093C">
        <w:rPr>
          <w:rFonts w:ascii="Arial" w:hAnsi="Arial" w:cs="Arial"/>
          <w:szCs w:val="22"/>
        </w:rPr>
        <w:t xml:space="preserve">In the southern Wet Tropics, </w:t>
      </w:r>
      <w:r w:rsidRPr="00CB093C">
        <w:rPr>
          <w:rFonts w:ascii="Arial" w:hAnsi="Arial" w:cs="Arial"/>
          <w:szCs w:val="22"/>
          <w:lang w:val="en-GB"/>
        </w:rPr>
        <w:t>the seagrass condition index remains very poor</w:t>
      </w:r>
      <w:r w:rsidR="00BD44E5" w:rsidRPr="00CB093C">
        <w:rPr>
          <w:rFonts w:ascii="Arial" w:hAnsi="Arial" w:cs="Arial"/>
          <w:szCs w:val="22"/>
          <w:lang w:val="en-GB"/>
        </w:rPr>
        <w:t>, but has been close to reaching a poor grade in the last three reporting years</w:t>
      </w:r>
      <w:r w:rsidRPr="00CB093C">
        <w:rPr>
          <w:rFonts w:ascii="Arial" w:hAnsi="Arial" w:cs="Arial"/>
          <w:szCs w:val="22"/>
          <w:lang w:val="en-GB"/>
        </w:rPr>
        <w:t xml:space="preserve"> </w:t>
      </w:r>
      <w:r w:rsidRPr="00CB093C">
        <w:rPr>
          <w:rFonts w:ascii="Arial" w:hAnsi="Arial" w:cs="Arial"/>
          <w:szCs w:val="22"/>
        </w:rPr>
        <w:t>(</w:t>
      </w:r>
      <w:r w:rsidRPr="00CB093C">
        <w:rPr>
          <w:rFonts w:ascii="Arial" w:hAnsi="Arial" w:cs="Arial"/>
          <w:szCs w:val="22"/>
        </w:rPr>
        <w:fldChar w:fldCharType="begin"/>
      </w:r>
      <w:r w:rsidRPr="00CB093C">
        <w:rPr>
          <w:rFonts w:ascii="Arial" w:hAnsi="Arial" w:cs="Arial"/>
          <w:szCs w:val="22"/>
        </w:rPr>
        <w:instrText xml:space="preserve"> REF _Ref533675817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39</w:t>
      </w:r>
      <w:r w:rsidRPr="00CB093C">
        <w:rPr>
          <w:rFonts w:ascii="Arial" w:hAnsi="Arial" w:cs="Arial"/>
          <w:szCs w:val="22"/>
        </w:rPr>
        <w:fldChar w:fldCharType="end"/>
      </w:r>
      <w:r w:rsidRPr="00CB093C">
        <w:rPr>
          <w:rFonts w:ascii="Arial" w:hAnsi="Arial" w:cs="Arial"/>
          <w:szCs w:val="22"/>
        </w:rPr>
        <w:t>)</w:t>
      </w:r>
      <w:r w:rsidRPr="00CB093C">
        <w:rPr>
          <w:rFonts w:ascii="Arial" w:hAnsi="Arial" w:cs="Arial"/>
          <w:szCs w:val="22"/>
          <w:lang w:val="en-GB"/>
        </w:rPr>
        <w:t xml:space="preserve">. </w:t>
      </w:r>
    </w:p>
    <w:p w14:paraId="4AE35586" w14:textId="0E54CB2D" w:rsidR="00831D8A" w:rsidRPr="00CB093C" w:rsidRDefault="00831D8A" w:rsidP="00AE3499">
      <w:pPr>
        <w:rPr>
          <w:rFonts w:ascii="Arial" w:hAnsi="Arial" w:cs="Arial"/>
          <w:i/>
          <w:szCs w:val="22"/>
          <w:lang w:val="en-GB"/>
        </w:rPr>
      </w:pPr>
    </w:p>
    <w:p w14:paraId="43C10C6E" w14:textId="7E5B1A8F" w:rsidR="00831D8A" w:rsidRPr="00CB093C" w:rsidRDefault="00831D8A" w:rsidP="00831D8A">
      <w:pPr>
        <w:pStyle w:val="Caption"/>
        <w:rPr>
          <w:rFonts w:ascii="Arial" w:hAnsi="Arial" w:cs="Arial"/>
          <w:szCs w:val="22"/>
        </w:rPr>
      </w:pPr>
      <w:r w:rsidRPr="00CB093C">
        <w:rPr>
          <w:rFonts w:ascii="Arial" w:hAnsi="Arial" w:cs="Arial"/>
          <w:noProof/>
          <w:szCs w:val="22"/>
          <w:lang w:val="en-US"/>
        </w:rPr>
        <w:lastRenderedPageBreak/>
        <w:drawing>
          <wp:inline distT="0" distB="0" distL="0" distR="0" wp14:anchorId="0816E9AC" wp14:editId="63C0F8FB">
            <wp:extent cx="5727700" cy="5279689"/>
            <wp:effectExtent l="0" t="0" r="6350" b="0"/>
            <wp:docPr id="43" name="Picture 43" descr="Composite figure of four graphs showing temporal trends in the southern Wet Tropics seagrass condition index and each of the individual indicators used to calculate the index, represented by GAM plots and coloured lines representing location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SWT combined plots-01.png"/>
                    <pic:cNvPicPr/>
                  </pic:nvPicPr>
                  <pic:blipFill>
                    <a:blip r:embed="rId83">
                      <a:extLst>
                        <a:ext uri="{28A0092B-C50C-407E-A947-70E740481C1C}">
                          <a14:useLocalDpi xmlns:a14="http://schemas.microsoft.com/office/drawing/2010/main" val="0"/>
                        </a:ext>
                      </a:extLst>
                    </a:blip>
                    <a:stretch>
                      <a:fillRect/>
                    </a:stretch>
                  </pic:blipFill>
                  <pic:spPr>
                    <a:xfrm>
                      <a:off x="0" y="0"/>
                      <a:ext cx="5727700" cy="5279689"/>
                    </a:xfrm>
                    <a:prstGeom prst="rect">
                      <a:avLst/>
                    </a:prstGeom>
                  </pic:spPr>
                </pic:pic>
              </a:graphicData>
            </a:graphic>
          </wp:inline>
        </w:drawing>
      </w:r>
    </w:p>
    <w:p w14:paraId="61873119" w14:textId="204797C7" w:rsidR="000C5E7B" w:rsidRPr="00CB093C" w:rsidRDefault="00831D8A" w:rsidP="000C5E7B">
      <w:pPr>
        <w:rPr>
          <w:rFonts w:ascii="Arial" w:hAnsi="Arial" w:cs="Arial"/>
          <w:vanish/>
          <w:color w:val="000000"/>
          <w:szCs w:val="22"/>
          <w:specVanish/>
        </w:rPr>
      </w:pPr>
      <w:bookmarkStart w:id="293" w:name="_Ref533675817"/>
      <w:bookmarkStart w:id="294" w:name="_Toc6402804"/>
      <w:r w:rsidRPr="00CB093C">
        <w:rPr>
          <w:rFonts w:ascii="Arial" w:hAnsi="Arial" w:cs="Arial"/>
          <w:szCs w:val="22"/>
        </w:rPr>
        <w:t xml:space="preserve">Figure </w:t>
      </w:r>
      <w:r w:rsidR="000E4688" w:rsidRPr="00CB093C">
        <w:rPr>
          <w:rFonts w:ascii="Arial" w:hAnsi="Arial" w:cs="Arial"/>
          <w:noProof/>
          <w:szCs w:val="22"/>
        </w:rPr>
        <w:fldChar w:fldCharType="begin"/>
      </w:r>
      <w:r w:rsidR="000E4688" w:rsidRPr="00CB093C">
        <w:rPr>
          <w:rFonts w:ascii="Arial" w:hAnsi="Arial" w:cs="Arial"/>
          <w:noProof/>
          <w:szCs w:val="22"/>
        </w:rPr>
        <w:instrText xml:space="preserve"> SEQ Figure \* ARABIC </w:instrText>
      </w:r>
      <w:r w:rsidR="000E4688" w:rsidRPr="00CB093C">
        <w:rPr>
          <w:rFonts w:ascii="Arial" w:hAnsi="Arial" w:cs="Arial"/>
          <w:noProof/>
          <w:szCs w:val="22"/>
        </w:rPr>
        <w:fldChar w:fldCharType="separate"/>
      </w:r>
      <w:r w:rsidR="005F00D4">
        <w:rPr>
          <w:rFonts w:ascii="Arial" w:hAnsi="Arial" w:cs="Arial"/>
          <w:noProof/>
          <w:szCs w:val="22"/>
        </w:rPr>
        <w:t>39</w:t>
      </w:r>
      <w:r w:rsidR="000E4688" w:rsidRPr="00CB093C">
        <w:rPr>
          <w:rFonts w:ascii="Arial" w:hAnsi="Arial" w:cs="Arial"/>
          <w:noProof/>
          <w:szCs w:val="22"/>
        </w:rPr>
        <w:fldChar w:fldCharType="end"/>
      </w:r>
      <w:bookmarkEnd w:id="293"/>
      <w:r w:rsidRPr="00CB093C">
        <w:rPr>
          <w:rFonts w:ascii="Arial" w:hAnsi="Arial" w:cs="Arial"/>
          <w:szCs w:val="22"/>
        </w:rPr>
        <w:t xml:space="preserve">. </w:t>
      </w:r>
      <w:r w:rsidRPr="00CB093C">
        <w:rPr>
          <w:rFonts w:ascii="Arial" w:hAnsi="Arial" w:cs="Arial"/>
          <w:i/>
          <w:szCs w:val="22"/>
        </w:rPr>
        <w:t>T</w:t>
      </w:r>
      <w:r w:rsidR="00BB4AB0" w:rsidRPr="00CB093C">
        <w:rPr>
          <w:rFonts w:ascii="Arial" w:hAnsi="Arial" w:cs="Arial"/>
          <w:i/>
          <w:szCs w:val="22"/>
        </w:rPr>
        <w:t>emporal t</w:t>
      </w:r>
      <w:r w:rsidRPr="00CB093C">
        <w:rPr>
          <w:rFonts w:ascii="Arial" w:hAnsi="Arial" w:cs="Arial"/>
          <w:i/>
          <w:szCs w:val="22"/>
        </w:rPr>
        <w:t xml:space="preserve">rends in the </w:t>
      </w:r>
      <w:r w:rsidR="00BB4AB0" w:rsidRPr="00CB093C">
        <w:rPr>
          <w:rFonts w:ascii="Arial" w:hAnsi="Arial" w:cs="Arial"/>
          <w:i/>
          <w:szCs w:val="22"/>
        </w:rPr>
        <w:t xml:space="preserve">southern </w:t>
      </w:r>
      <w:r w:rsidR="000C5E7B" w:rsidRPr="00CB093C">
        <w:rPr>
          <w:rFonts w:ascii="Arial" w:hAnsi="Arial" w:cs="Arial"/>
          <w:i/>
          <w:szCs w:val="22"/>
        </w:rPr>
        <w:t xml:space="preserve">Wet Tropics seagrass </w:t>
      </w:r>
      <w:r w:rsidR="00BB4AB0" w:rsidRPr="00CB093C">
        <w:rPr>
          <w:rFonts w:ascii="Arial" w:hAnsi="Arial" w:cs="Arial"/>
          <w:i/>
          <w:szCs w:val="22"/>
        </w:rPr>
        <w:t xml:space="preserve">condition </w:t>
      </w:r>
      <w:r w:rsidR="000C5E7B" w:rsidRPr="00CB093C">
        <w:rPr>
          <w:rFonts w:ascii="Arial" w:hAnsi="Arial" w:cs="Arial"/>
          <w:i/>
          <w:szCs w:val="22"/>
        </w:rPr>
        <w:t xml:space="preserve">index </w:t>
      </w:r>
      <w:r w:rsidRPr="00CB093C">
        <w:rPr>
          <w:rFonts w:ascii="Arial" w:hAnsi="Arial" w:cs="Arial"/>
          <w:i/>
          <w:szCs w:val="22"/>
        </w:rPr>
        <w:t>and the indicators used to calculate the index</w:t>
      </w:r>
      <w:bookmarkEnd w:id="294"/>
    </w:p>
    <w:p w14:paraId="66033A7D" w14:textId="74602283" w:rsidR="00831D8A" w:rsidRPr="00CB093C" w:rsidRDefault="00BB4AB0" w:rsidP="000C5E7B">
      <w:pPr>
        <w:pStyle w:val="Caption"/>
        <w:rPr>
          <w:rFonts w:ascii="Arial" w:hAnsi="Arial" w:cs="Arial"/>
          <w:i/>
          <w:szCs w:val="22"/>
        </w:rPr>
      </w:pPr>
      <w:r w:rsidRPr="00CB093C">
        <w:rPr>
          <w:rFonts w:ascii="Arial" w:hAnsi="Arial" w:cs="Arial"/>
          <w:i/>
          <w:szCs w:val="22"/>
        </w:rPr>
        <w:t>:</w:t>
      </w:r>
      <w:r w:rsidR="00831D8A" w:rsidRPr="00CB093C">
        <w:rPr>
          <w:rFonts w:ascii="Arial" w:hAnsi="Arial" w:cs="Arial"/>
          <w:i/>
          <w:szCs w:val="22"/>
        </w:rPr>
        <w:t xml:space="preserve"> a. seagrass </w:t>
      </w:r>
      <w:r w:rsidRPr="00CB093C">
        <w:rPr>
          <w:rFonts w:ascii="Arial" w:hAnsi="Arial" w:cs="Arial"/>
          <w:i/>
          <w:szCs w:val="22"/>
        </w:rPr>
        <w:t xml:space="preserve">condition </w:t>
      </w:r>
      <w:r w:rsidR="00831D8A" w:rsidRPr="00CB093C">
        <w:rPr>
          <w:rFonts w:ascii="Arial" w:hAnsi="Arial" w:cs="Arial"/>
          <w:i/>
          <w:szCs w:val="22"/>
        </w:rPr>
        <w:t xml:space="preserve">index (circles) and </w:t>
      </w:r>
      <w:r w:rsidRPr="00CB093C">
        <w:rPr>
          <w:rFonts w:ascii="Arial" w:hAnsi="Arial" w:cs="Arial"/>
          <w:i/>
          <w:szCs w:val="22"/>
        </w:rPr>
        <w:t>indicator</w:t>
      </w:r>
      <w:r w:rsidR="00831D8A" w:rsidRPr="00CB093C">
        <w:rPr>
          <w:rFonts w:ascii="Arial" w:hAnsi="Arial" w:cs="Arial"/>
          <w:i/>
          <w:szCs w:val="22"/>
        </w:rPr>
        <w:t xml:space="preserve"> trends (lines); b. </w:t>
      </w:r>
      <w:r w:rsidR="009F60C8" w:rsidRPr="00CB093C">
        <w:rPr>
          <w:rFonts w:ascii="Arial" w:hAnsi="Arial" w:cs="Arial"/>
          <w:i/>
          <w:szCs w:val="22"/>
        </w:rPr>
        <w:t xml:space="preserve">GAM plots of </w:t>
      </w:r>
      <w:r w:rsidR="00831D8A" w:rsidRPr="00CB093C">
        <w:rPr>
          <w:rFonts w:ascii="Arial" w:hAnsi="Arial" w:cs="Arial"/>
          <w:i/>
          <w:szCs w:val="22"/>
        </w:rPr>
        <w:t>seagrass abundance (</w:t>
      </w:r>
      <w:r w:rsidR="00882B72" w:rsidRPr="00CB093C">
        <w:rPr>
          <w:rFonts w:ascii="Arial" w:hAnsi="Arial" w:cs="Arial"/>
          <w:i/>
          <w:szCs w:val="22"/>
        </w:rPr>
        <w:t>%</w:t>
      </w:r>
      <w:r w:rsidR="00831D8A" w:rsidRPr="00CB093C">
        <w:rPr>
          <w:rFonts w:ascii="Arial" w:hAnsi="Arial" w:cs="Arial"/>
          <w:i/>
          <w:szCs w:val="22"/>
        </w:rPr>
        <w:t xml:space="preserve"> cover)</w:t>
      </w:r>
      <w:r w:rsidR="009F60C8" w:rsidRPr="00CB093C">
        <w:rPr>
          <w:rFonts w:ascii="Arial" w:hAnsi="Arial" w:cs="Arial"/>
          <w:i/>
          <w:szCs w:val="22"/>
        </w:rPr>
        <w:t xml:space="preserve"> trends for each</w:t>
      </w:r>
      <w:r w:rsidR="00831D8A" w:rsidRPr="00CB093C">
        <w:rPr>
          <w:rFonts w:ascii="Arial" w:hAnsi="Arial" w:cs="Arial"/>
          <w:i/>
          <w:szCs w:val="22"/>
        </w:rPr>
        <w:t xml:space="preserve"> </w:t>
      </w:r>
      <w:r w:rsidR="009F60C8" w:rsidRPr="00CB093C">
        <w:rPr>
          <w:rFonts w:ascii="Arial" w:hAnsi="Arial" w:cs="Arial"/>
          <w:i/>
          <w:szCs w:val="22"/>
        </w:rPr>
        <w:t>location (coloured lines) and the region (black line with grey shaded area defining 95% confidence intervals)</w:t>
      </w:r>
      <w:r w:rsidR="00831D8A" w:rsidRPr="00CB093C">
        <w:rPr>
          <w:rFonts w:ascii="Arial" w:hAnsi="Arial" w:cs="Arial"/>
          <w:i/>
          <w:szCs w:val="22"/>
        </w:rPr>
        <w:t xml:space="preserve">; c. </w:t>
      </w:r>
      <w:r w:rsidR="009F60C8" w:rsidRPr="00CB093C">
        <w:rPr>
          <w:rFonts w:ascii="Arial" w:hAnsi="Arial" w:cs="Arial"/>
          <w:i/>
          <w:szCs w:val="22"/>
        </w:rPr>
        <w:t xml:space="preserve">average number of </w:t>
      </w:r>
      <w:r w:rsidR="00831D8A" w:rsidRPr="00CB093C">
        <w:rPr>
          <w:rFonts w:ascii="Arial" w:hAnsi="Arial" w:cs="Arial"/>
          <w:i/>
          <w:szCs w:val="22"/>
        </w:rPr>
        <w:t>reproductive structures</w:t>
      </w:r>
      <w:r w:rsidR="00076C1A" w:rsidRPr="00CB093C">
        <w:rPr>
          <w:rFonts w:ascii="Arial" w:hAnsi="Arial" w:cs="Arial"/>
          <w:i/>
          <w:szCs w:val="22"/>
        </w:rPr>
        <w:t xml:space="preserve"> (±SE)</w:t>
      </w:r>
      <w:r w:rsidR="00831D8A" w:rsidRPr="00CB093C">
        <w:rPr>
          <w:rFonts w:ascii="Arial" w:hAnsi="Arial" w:cs="Arial"/>
          <w:i/>
          <w:szCs w:val="22"/>
        </w:rPr>
        <w:t xml:space="preserve"> (</w:t>
      </w:r>
      <w:r w:rsidR="009F60C8" w:rsidRPr="00CB093C">
        <w:rPr>
          <w:rFonts w:ascii="Arial" w:hAnsi="Arial" w:cs="Arial"/>
          <w:i/>
          <w:szCs w:val="22"/>
        </w:rPr>
        <w:t>GAM</w:t>
      </w:r>
      <w:r w:rsidR="00831D8A" w:rsidRPr="00CB093C">
        <w:rPr>
          <w:rFonts w:ascii="Arial" w:hAnsi="Arial" w:cs="Arial"/>
          <w:i/>
          <w:szCs w:val="22"/>
        </w:rPr>
        <w:t xml:space="preserve"> not possible due to high count of zero</w:t>
      </w:r>
      <w:r w:rsidR="009F60C8" w:rsidRPr="00CB093C">
        <w:rPr>
          <w:rFonts w:ascii="Arial" w:hAnsi="Arial" w:cs="Arial"/>
          <w:i/>
          <w:szCs w:val="22"/>
        </w:rPr>
        <w:t xml:space="preserve"> values</w:t>
      </w:r>
      <w:r w:rsidR="00831D8A" w:rsidRPr="00CB093C">
        <w:rPr>
          <w:rFonts w:ascii="Arial" w:hAnsi="Arial" w:cs="Arial"/>
          <w:i/>
          <w:szCs w:val="22"/>
        </w:rPr>
        <w:t xml:space="preserve">); and d. </w:t>
      </w:r>
      <w:r w:rsidR="00076C1A" w:rsidRPr="00CB093C">
        <w:rPr>
          <w:rFonts w:ascii="Arial" w:hAnsi="Arial" w:cs="Arial"/>
          <w:i/>
          <w:szCs w:val="22"/>
        </w:rPr>
        <w:t xml:space="preserve">elemental ratios (atomic) of </w:t>
      </w:r>
      <w:r w:rsidR="009F60C8" w:rsidRPr="00CB093C">
        <w:rPr>
          <w:rFonts w:ascii="Arial" w:hAnsi="Arial" w:cs="Arial"/>
          <w:i/>
          <w:szCs w:val="22"/>
        </w:rPr>
        <w:t xml:space="preserve">leaf </w:t>
      </w:r>
      <w:r w:rsidR="00831D8A" w:rsidRPr="00CB093C">
        <w:rPr>
          <w:rFonts w:ascii="Arial" w:hAnsi="Arial" w:cs="Arial"/>
          <w:i/>
          <w:szCs w:val="22"/>
        </w:rPr>
        <w:t xml:space="preserve">tissue </w:t>
      </w:r>
      <w:r w:rsidR="00076C1A" w:rsidRPr="00CB093C">
        <w:rPr>
          <w:rFonts w:ascii="Arial" w:hAnsi="Arial" w:cs="Arial"/>
          <w:i/>
          <w:szCs w:val="22"/>
        </w:rPr>
        <w:t xml:space="preserve">C:N </w:t>
      </w:r>
      <w:r w:rsidR="00831D8A" w:rsidRPr="00CB093C">
        <w:rPr>
          <w:rFonts w:ascii="Arial" w:hAnsi="Arial" w:cs="Arial"/>
          <w:i/>
          <w:szCs w:val="22"/>
        </w:rPr>
        <w:t xml:space="preserve">nutrient content </w:t>
      </w:r>
      <w:r w:rsidR="009F60C8" w:rsidRPr="00CB093C">
        <w:rPr>
          <w:rFonts w:ascii="Arial" w:hAnsi="Arial" w:cs="Arial"/>
          <w:i/>
          <w:szCs w:val="22"/>
        </w:rPr>
        <w:t xml:space="preserve">at each site (coloured circles) and regional trend </w:t>
      </w:r>
      <w:r w:rsidR="00831D8A" w:rsidRPr="00CB093C">
        <w:rPr>
          <w:rFonts w:ascii="Arial" w:hAnsi="Arial" w:cs="Arial"/>
          <w:i/>
          <w:szCs w:val="22"/>
        </w:rPr>
        <w:t>represented by a GAM plot as dark line with shaded areas defining 95</w:t>
      </w:r>
      <w:r w:rsidR="009F60C8" w:rsidRPr="00CB093C">
        <w:rPr>
          <w:rFonts w:ascii="Arial" w:hAnsi="Arial" w:cs="Arial"/>
          <w:i/>
          <w:szCs w:val="22"/>
        </w:rPr>
        <w:t>%</w:t>
      </w:r>
      <w:r w:rsidR="00831D8A" w:rsidRPr="00CB093C">
        <w:rPr>
          <w:rFonts w:ascii="Arial" w:hAnsi="Arial" w:cs="Arial"/>
          <w:i/>
          <w:szCs w:val="22"/>
        </w:rPr>
        <w:t xml:space="preserve"> confidence intervals of th</w:t>
      </w:r>
      <w:r w:rsidR="009F60C8" w:rsidRPr="00CB093C">
        <w:rPr>
          <w:rFonts w:ascii="Arial" w:hAnsi="Arial" w:cs="Arial"/>
          <w:i/>
          <w:szCs w:val="22"/>
        </w:rPr>
        <w:t>e</w:t>
      </w:r>
      <w:r w:rsidR="00831D8A" w:rsidRPr="00CB093C">
        <w:rPr>
          <w:rFonts w:ascii="Arial" w:hAnsi="Arial" w:cs="Arial"/>
          <w:i/>
          <w:szCs w:val="22"/>
        </w:rPr>
        <w:t xml:space="preserve"> trend.</w:t>
      </w:r>
    </w:p>
    <w:p w14:paraId="2C369F7D" w14:textId="7B443F9D" w:rsidR="00CB5A6F" w:rsidRPr="00CB093C" w:rsidRDefault="00CB5A6F" w:rsidP="00907D11">
      <w:pPr>
        <w:rPr>
          <w:rFonts w:ascii="Arial" w:hAnsi="Arial" w:cs="Arial"/>
          <w:szCs w:val="22"/>
        </w:rPr>
      </w:pPr>
    </w:p>
    <w:p w14:paraId="01A68F3F" w14:textId="2CF638CA" w:rsidR="00BB7FB9" w:rsidRPr="00CB093C" w:rsidRDefault="00BB7FB9" w:rsidP="000F3AC4">
      <w:pPr>
        <w:pStyle w:val="Heading3"/>
        <w:numPr>
          <w:ilvl w:val="3"/>
          <w:numId w:val="4"/>
        </w:numPr>
        <w:rPr>
          <w:rFonts w:ascii="Arial" w:hAnsi="Arial" w:cs="Arial"/>
          <w:b w:val="0"/>
          <w:i/>
          <w:color w:val="000000"/>
          <w:sz w:val="22"/>
          <w:szCs w:val="22"/>
        </w:rPr>
      </w:pPr>
      <w:bookmarkStart w:id="295" w:name="_Toc11394738"/>
      <w:r w:rsidRPr="00CB093C">
        <w:rPr>
          <w:rFonts w:ascii="Arial" w:hAnsi="Arial" w:cs="Arial"/>
          <w:b w:val="0"/>
          <w:i/>
          <w:color w:val="000000"/>
          <w:sz w:val="22"/>
          <w:szCs w:val="22"/>
        </w:rPr>
        <w:lastRenderedPageBreak/>
        <w:t>Seagrass abundance, community and extent</w:t>
      </w:r>
      <w:bookmarkEnd w:id="295"/>
    </w:p>
    <w:p w14:paraId="603AAC52" w14:textId="02701248" w:rsidR="00EC7C5F" w:rsidRPr="00CB093C" w:rsidRDefault="00336A58" w:rsidP="00255512">
      <w:pPr>
        <w:rPr>
          <w:rFonts w:ascii="Arial" w:hAnsi="Arial" w:cs="Arial"/>
          <w:szCs w:val="22"/>
        </w:rPr>
      </w:pPr>
      <w:r w:rsidRPr="00CB093C">
        <w:rPr>
          <w:rFonts w:ascii="Arial" w:hAnsi="Arial" w:cs="Arial"/>
          <w:szCs w:val="22"/>
        </w:rPr>
        <w:t xml:space="preserve">Seagrass </w:t>
      </w:r>
      <w:r w:rsidR="00C63FF1" w:rsidRPr="00CB093C">
        <w:rPr>
          <w:rFonts w:ascii="Arial" w:hAnsi="Arial" w:cs="Arial"/>
          <w:szCs w:val="22"/>
        </w:rPr>
        <w:t xml:space="preserve">meadows </w:t>
      </w:r>
      <w:r w:rsidR="00DC5B6F" w:rsidRPr="00CB093C">
        <w:rPr>
          <w:rFonts w:ascii="Arial" w:hAnsi="Arial" w:cs="Arial"/>
          <w:szCs w:val="22"/>
        </w:rPr>
        <w:t>are</w:t>
      </w:r>
      <w:r w:rsidRPr="00CB093C">
        <w:rPr>
          <w:rFonts w:ascii="Arial" w:hAnsi="Arial" w:cs="Arial"/>
          <w:szCs w:val="22"/>
        </w:rPr>
        <w:t xml:space="preserve"> more abundant across all habitats in the northern than the southern Wet Tropics</w:t>
      </w:r>
      <w:r w:rsidR="00DC5B6F" w:rsidRPr="00CB093C">
        <w:rPr>
          <w:rFonts w:ascii="Arial" w:hAnsi="Arial" w:cs="Arial"/>
          <w:szCs w:val="22"/>
        </w:rPr>
        <w:t xml:space="preserve"> (</w:t>
      </w:r>
      <w:r w:rsidR="00DC5B6F" w:rsidRPr="00CB093C">
        <w:rPr>
          <w:rFonts w:ascii="Arial" w:hAnsi="Arial" w:cs="Arial"/>
          <w:szCs w:val="22"/>
        </w:rPr>
        <w:fldChar w:fldCharType="begin"/>
      </w:r>
      <w:r w:rsidR="00DC5B6F" w:rsidRPr="00CB093C">
        <w:rPr>
          <w:rFonts w:ascii="Arial" w:hAnsi="Arial" w:cs="Arial"/>
          <w:szCs w:val="22"/>
        </w:rPr>
        <w:instrText xml:space="preserve"> REF _Ref348439596 \h </w:instrText>
      </w:r>
      <w:r w:rsidR="00CB093C" w:rsidRPr="00CB093C">
        <w:rPr>
          <w:rFonts w:ascii="Arial" w:hAnsi="Arial" w:cs="Arial"/>
          <w:szCs w:val="22"/>
        </w:rPr>
        <w:instrText xml:space="preserve"> \* MERGEFORMAT </w:instrText>
      </w:r>
      <w:r w:rsidR="00DC5B6F" w:rsidRPr="00CB093C">
        <w:rPr>
          <w:rFonts w:ascii="Arial" w:hAnsi="Arial" w:cs="Arial"/>
          <w:szCs w:val="22"/>
        </w:rPr>
      </w:r>
      <w:r w:rsidR="00DC5B6F"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40</w:t>
      </w:r>
      <w:r w:rsidR="00DC5B6F" w:rsidRPr="00CB093C">
        <w:rPr>
          <w:rFonts w:ascii="Arial" w:hAnsi="Arial" w:cs="Arial"/>
          <w:szCs w:val="22"/>
        </w:rPr>
        <w:fldChar w:fldCharType="end"/>
      </w:r>
      <w:r w:rsidR="00DC5B6F" w:rsidRPr="00CB093C">
        <w:rPr>
          <w:rFonts w:ascii="Arial" w:hAnsi="Arial" w:cs="Arial"/>
          <w:szCs w:val="22"/>
        </w:rPr>
        <w:t xml:space="preserve">, </w:t>
      </w:r>
      <w:r w:rsidR="00DC5B6F" w:rsidRPr="00CB093C">
        <w:rPr>
          <w:rFonts w:ascii="Arial" w:hAnsi="Arial" w:cs="Arial"/>
          <w:szCs w:val="22"/>
        </w:rPr>
        <w:fldChar w:fldCharType="begin"/>
      </w:r>
      <w:r w:rsidR="00DC5B6F" w:rsidRPr="00CB093C">
        <w:rPr>
          <w:rFonts w:ascii="Arial" w:hAnsi="Arial" w:cs="Arial"/>
          <w:szCs w:val="22"/>
        </w:rPr>
        <w:instrText xml:space="preserve"> REF _Ref533677820 \h </w:instrText>
      </w:r>
      <w:r w:rsidR="00CB093C" w:rsidRPr="00CB093C">
        <w:rPr>
          <w:rFonts w:ascii="Arial" w:hAnsi="Arial" w:cs="Arial"/>
          <w:szCs w:val="22"/>
        </w:rPr>
        <w:instrText xml:space="preserve"> \* MERGEFORMAT </w:instrText>
      </w:r>
      <w:r w:rsidR="00DC5B6F" w:rsidRPr="00CB093C">
        <w:rPr>
          <w:rFonts w:ascii="Arial" w:hAnsi="Arial" w:cs="Arial"/>
          <w:szCs w:val="22"/>
        </w:rPr>
      </w:r>
      <w:r w:rsidR="00DC5B6F"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41</w:t>
      </w:r>
      <w:r w:rsidR="00DC5B6F" w:rsidRPr="00CB093C">
        <w:rPr>
          <w:rFonts w:ascii="Arial" w:hAnsi="Arial" w:cs="Arial"/>
          <w:szCs w:val="22"/>
        </w:rPr>
        <w:fldChar w:fldCharType="end"/>
      </w:r>
      <w:r w:rsidR="00DC5B6F" w:rsidRPr="00CB093C">
        <w:rPr>
          <w:rFonts w:ascii="Arial" w:hAnsi="Arial" w:cs="Arial"/>
          <w:szCs w:val="22"/>
        </w:rPr>
        <w:t>)</w:t>
      </w:r>
      <w:r w:rsidRPr="00CB093C">
        <w:rPr>
          <w:rFonts w:ascii="Arial" w:hAnsi="Arial" w:cs="Arial"/>
          <w:szCs w:val="22"/>
        </w:rPr>
        <w:t>.</w:t>
      </w:r>
      <w:r w:rsidR="00DC5B6F" w:rsidRPr="00CB093C">
        <w:rPr>
          <w:rFonts w:ascii="Arial" w:hAnsi="Arial" w:cs="Arial"/>
          <w:szCs w:val="22"/>
        </w:rPr>
        <w:t xml:space="preserve"> </w:t>
      </w:r>
      <w:r w:rsidR="00E87E87" w:rsidRPr="00CB093C">
        <w:rPr>
          <w:rFonts w:ascii="Arial" w:hAnsi="Arial" w:cs="Arial"/>
          <w:szCs w:val="22"/>
        </w:rPr>
        <w:t xml:space="preserve">In the northern Wet Tropics, </w:t>
      </w:r>
      <w:r w:rsidR="00135A74" w:rsidRPr="00CB093C">
        <w:rPr>
          <w:rFonts w:ascii="Arial" w:hAnsi="Arial" w:cs="Arial"/>
          <w:szCs w:val="22"/>
        </w:rPr>
        <w:t>seagrass abundance over the long-term is higher at intertidal reef (25.8</w:t>
      </w:r>
      <w:r w:rsidR="008626FF" w:rsidRPr="00CB093C">
        <w:rPr>
          <w:rFonts w:ascii="Arial" w:hAnsi="Arial" w:cs="Arial"/>
          <w:szCs w:val="22"/>
        </w:rPr>
        <w:t xml:space="preserve"> </w:t>
      </w:r>
      <w:r w:rsidR="00135A74" w:rsidRPr="00CB093C">
        <w:rPr>
          <w:rFonts w:ascii="Arial" w:hAnsi="Arial" w:cs="Arial"/>
          <w:szCs w:val="22"/>
        </w:rPr>
        <w:t>±1.9%) than subtidal reef (17.0</w:t>
      </w:r>
      <w:r w:rsidR="008626FF" w:rsidRPr="00CB093C">
        <w:rPr>
          <w:rFonts w:ascii="Arial" w:hAnsi="Arial" w:cs="Arial"/>
          <w:szCs w:val="22"/>
        </w:rPr>
        <w:t xml:space="preserve"> </w:t>
      </w:r>
      <w:r w:rsidR="00135A74" w:rsidRPr="00CB093C">
        <w:rPr>
          <w:rFonts w:ascii="Arial" w:hAnsi="Arial" w:cs="Arial"/>
          <w:szCs w:val="22"/>
        </w:rPr>
        <w:t>±2.5%) or coastal habitats (13.6</w:t>
      </w:r>
      <w:r w:rsidR="008626FF" w:rsidRPr="00CB093C">
        <w:rPr>
          <w:rFonts w:ascii="Arial" w:hAnsi="Arial" w:cs="Arial"/>
          <w:szCs w:val="22"/>
        </w:rPr>
        <w:t xml:space="preserve"> </w:t>
      </w:r>
      <w:r w:rsidR="00135A74" w:rsidRPr="00CB093C">
        <w:rPr>
          <w:rFonts w:ascii="Arial" w:hAnsi="Arial" w:cs="Arial"/>
          <w:szCs w:val="22"/>
        </w:rPr>
        <w:t xml:space="preserve">±1.5%). </w:t>
      </w:r>
    </w:p>
    <w:p w14:paraId="03F9A737" w14:textId="45F1ABC4" w:rsidR="00146652" w:rsidRPr="00CB093C" w:rsidRDefault="00135A74" w:rsidP="00255512">
      <w:pPr>
        <w:rPr>
          <w:rFonts w:ascii="Arial" w:hAnsi="Arial" w:cs="Arial"/>
          <w:szCs w:val="22"/>
        </w:rPr>
      </w:pPr>
      <w:r w:rsidRPr="00CB093C">
        <w:rPr>
          <w:rFonts w:ascii="Arial" w:hAnsi="Arial" w:cs="Arial"/>
          <w:szCs w:val="22"/>
        </w:rPr>
        <w:t xml:space="preserve">Although seagrass </w:t>
      </w:r>
      <w:r w:rsidR="00146652" w:rsidRPr="00CB093C">
        <w:rPr>
          <w:rFonts w:ascii="Arial" w:hAnsi="Arial" w:cs="Arial"/>
          <w:szCs w:val="22"/>
        </w:rPr>
        <w:t>losses have occurred at the local level (e.g. individual site) for some period</w:t>
      </w:r>
      <w:r w:rsidRPr="00CB093C">
        <w:rPr>
          <w:rFonts w:ascii="Arial" w:hAnsi="Arial" w:cs="Arial"/>
          <w:szCs w:val="22"/>
        </w:rPr>
        <w:t xml:space="preserve"> over the duration of the monitoring, </w:t>
      </w:r>
      <w:r w:rsidR="00146652" w:rsidRPr="00CB093C">
        <w:rPr>
          <w:rFonts w:ascii="Arial" w:hAnsi="Arial" w:cs="Arial"/>
          <w:szCs w:val="22"/>
        </w:rPr>
        <w:t xml:space="preserve">complete </w:t>
      </w:r>
      <w:r w:rsidRPr="00CB093C">
        <w:rPr>
          <w:rFonts w:ascii="Arial" w:hAnsi="Arial" w:cs="Arial"/>
          <w:szCs w:val="22"/>
        </w:rPr>
        <w:t>los</w:t>
      </w:r>
      <w:r w:rsidR="00146652" w:rsidRPr="00CB093C">
        <w:rPr>
          <w:rFonts w:ascii="Arial" w:hAnsi="Arial" w:cs="Arial"/>
          <w:szCs w:val="22"/>
        </w:rPr>
        <w:t>s has not occurred at</w:t>
      </w:r>
      <w:r w:rsidRPr="00CB093C">
        <w:rPr>
          <w:rFonts w:ascii="Arial" w:hAnsi="Arial" w:cs="Arial"/>
          <w:szCs w:val="22"/>
        </w:rPr>
        <w:t xml:space="preserve"> </w:t>
      </w:r>
      <w:r w:rsidR="00146652" w:rsidRPr="00CB093C">
        <w:rPr>
          <w:rFonts w:ascii="Arial" w:hAnsi="Arial" w:cs="Arial"/>
          <w:szCs w:val="22"/>
        </w:rPr>
        <w:t>the</w:t>
      </w:r>
      <w:r w:rsidRPr="00CB093C">
        <w:rPr>
          <w:rFonts w:ascii="Arial" w:hAnsi="Arial" w:cs="Arial"/>
          <w:szCs w:val="22"/>
        </w:rPr>
        <w:t xml:space="preserve"> habitat</w:t>
      </w:r>
      <w:r w:rsidR="008626FF" w:rsidRPr="00CB093C">
        <w:rPr>
          <w:rFonts w:ascii="Arial" w:hAnsi="Arial" w:cs="Arial"/>
          <w:szCs w:val="22"/>
        </w:rPr>
        <w:t xml:space="preserve"> level</w:t>
      </w:r>
      <w:r w:rsidR="00146652" w:rsidRPr="00CB093C">
        <w:rPr>
          <w:rFonts w:ascii="Arial" w:hAnsi="Arial" w:cs="Arial"/>
          <w:szCs w:val="22"/>
        </w:rPr>
        <w:t>. Nevertheless</w:t>
      </w:r>
      <w:r w:rsidRPr="00CB093C">
        <w:rPr>
          <w:rFonts w:ascii="Arial" w:hAnsi="Arial" w:cs="Arial"/>
          <w:szCs w:val="22"/>
        </w:rPr>
        <w:t xml:space="preserve">, abundance </w:t>
      </w:r>
      <w:r w:rsidR="008355EC" w:rsidRPr="00CB093C">
        <w:rPr>
          <w:rFonts w:ascii="Arial" w:hAnsi="Arial" w:cs="Arial"/>
          <w:szCs w:val="22"/>
        </w:rPr>
        <w:t xml:space="preserve">has </w:t>
      </w:r>
      <w:r w:rsidRPr="00CB093C">
        <w:rPr>
          <w:rFonts w:ascii="Arial" w:hAnsi="Arial" w:cs="Arial"/>
          <w:szCs w:val="22"/>
        </w:rPr>
        <w:t>fluctuate</w:t>
      </w:r>
      <w:r w:rsidR="008355EC" w:rsidRPr="00CB093C">
        <w:rPr>
          <w:rFonts w:ascii="Arial" w:hAnsi="Arial" w:cs="Arial"/>
          <w:szCs w:val="22"/>
        </w:rPr>
        <w:t>d</w:t>
      </w:r>
      <w:r w:rsidRPr="00CB093C">
        <w:rPr>
          <w:rFonts w:ascii="Arial" w:hAnsi="Arial" w:cs="Arial"/>
          <w:szCs w:val="22"/>
        </w:rPr>
        <w:t xml:space="preserve"> between and within years. For example, </w:t>
      </w:r>
      <w:r w:rsidR="00255512" w:rsidRPr="00CB093C">
        <w:rPr>
          <w:rFonts w:ascii="Arial" w:hAnsi="Arial" w:cs="Arial"/>
          <w:szCs w:val="22"/>
        </w:rPr>
        <w:t xml:space="preserve">seagrass cover at coastal habitats </w:t>
      </w:r>
      <w:r w:rsidR="00E67AFD" w:rsidRPr="00CB093C">
        <w:rPr>
          <w:rFonts w:ascii="Arial" w:hAnsi="Arial" w:cs="Arial"/>
          <w:szCs w:val="22"/>
        </w:rPr>
        <w:t>differs</w:t>
      </w:r>
      <w:r w:rsidR="00255512" w:rsidRPr="00CB093C">
        <w:rPr>
          <w:rFonts w:ascii="Arial" w:hAnsi="Arial" w:cs="Arial"/>
          <w:szCs w:val="22"/>
        </w:rPr>
        <w:t xml:space="preserve"> between seasons</w:t>
      </w:r>
      <w:r w:rsidRPr="00CB093C">
        <w:rPr>
          <w:rFonts w:ascii="Arial" w:hAnsi="Arial" w:cs="Arial"/>
          <w:szCs w:val="22"/>
        </w:rPr>
        <w:t xml:space="preserve"> (</w:t>
      </w:r>
      <w:r w:rsidR="00E67AFD" w:rsidRPr="00CB093C">
        <w:rPr>
          <w:rFonts w:ascii="Arial" w:hAnsi="Arial" w:cs="Arial"/>
          <w:szCs w:val="22"/>
        </w:rPr>
        <w:t>10.5</w:t>
      </w:r>
      <w:r w:rsidR="00255512" w:rsidRPr="00CB093C">
        <w:rPr>
          <w:rFonts w:ascii="Arial" w:hAnsi="Arial" w:cs="Arial"/>
          <w:szCs w:val="22"/>
        </w:rPr>
        <w:t xml:space="preserve"> ±</w:t>
      </w:r>
      <w:r w:rsidR="00E67AFD" w:rsidRPr="00CB093C">
        <w:rPr>
          <w:rFonts w:ascii="Arial" w:hAnsi="Arial" w:cs="Arial"/>
          <w:szCs w:val="22"/>
        </w:rPr>
        <w:t>1.3</w:t>
      </w:r>
      <w:r w:rsidR="008626FF" w:rsidRPr="00CB093C">
        <w:rPr>
          <w:rFonts w:ascii="Arial" w:hAnsi="Arial" w:cs="Arial"/>
          <w:szCs w:val="22"/>
        </w:rPr>
        <w:t>%</w:t>
      </w:r>
      <w:r w:rsidR="00255512" w:rsidRPr="00CB093C">
        <w:rPr>
          <w:rFonts w:ascii="Arial" w:hAnsi="Arial" w:cs="Arial"/>
          <w:szCs w:val="22"/>
        </w:rPr>
        <w:t xml:space="preserve"> in the dry and 1</w:t>
      </w:r>
      <w:r w:rsidR="00E67AFD" w:rsidRPr="00CB093C">
        <w:rPr>
          <w:rFonts w:ascii="Arial" w:hAnsi="Arial" w:cs="Arial"/>
          <w:szCs w:val="22"/>
        </w:rPr>
        <w:t>7.5</w:t>
      </w:r>
      <w:r w:rsidR="00255512" w:rsidRPr="00CB093C">
        <w:rPr>
          <w:rFonts w:ascii="Arial" w:hAnsi="Arial" w:cs="Arial"/>
          <w:szCs w:val="22"/>
        </w:rPr>
        <w:t xml:space="preserve"> ±</w:t>
      </w:r>
      <w:r w:rsidR="00E67AFD" w:rsidRPr="00CB093C">
        <w:rPr>
          <w:rFonts w:ascii="Arial" w:hAnsi="Arial" w:cs="Arial"/>
          <w:szCs w:val="22"/>
        </w:rPr>
        <w:t>1.8</w:t>
      </w:r>
      <w:r w:rsidR="008626FF" w:rsidRPr="00CB093C">
        <w:rPr>
          <w:rFonts w:ascii="Arial" w:hAnsi="Arial" w:cs="Arial"/>
          <w:szCs w:val="22"/>
        </w:rPr>
        <w:t>%</w:t>
      </w:r>
      <w:r w:rsidR="00255512" w:rsidRPr="00CB093C">
        <w:rPr>
          <w:rFonts w:ascii="Arial" w:hAnsi="Arial" w:cs="Arial"/>
          <w:szCs w:val="22"/>
        </w:rPr>
        <w:t xml:space="preserve"> in the wet</w:t>
      </w:r>
      <w:r w:rsidRPr="00CB093C">
        <w:rPr>
          <w:rFonts w:ascii="Arial" w:hAnsi="Arial" w:cs="Arial"/>
          <w:szCs w:val="22"/>
        </w:rPr>
        <w:t>) and years (from 3.6</w:t>
      </w:r>
      <w:r w:rsidR="008626FF" w:rsidRPr="00CB093C">
        <w:rPr>
          <w:rFonts w:ascii="Arial" w:hAnsi="Arial" w:cs="Arial"/>
          <w:szCs w:val="22"/>
        </w:rPr>
        <w:t>%</w:t>
      </w:r>
      <w:r w:rsidRPr="00CB093C">
        <w:rPr>
          <w:rFonts w:ascii="Arial" w:hAnsi="Arial" w:cs="Arial"/>
          <w:szCs w:val="22"/>
        </w:rPr>
        <w:t xml:space="preserve"> to 24.6</w:t>
      </w:r>
      <w:r w:rsidR="008626FF" w:rsidRPr="00CB093C">
        <w:rPr>
          <w:rFonts w:ascii="Arial" w:hAnsi="Arial" w:cs="Arial"/>
          <w:szCs w:val="22"/>
        </w:rPr>
        <w:t xml:space="preserve">% </w:t>
      </w:r>
      <w:r w:rsidR="008355EC" w:rsidRPr="00CB093C">
        <w:rPr>
          <w:rFonts w:ascii="Arial" w:hAnsi="Arial" w:cs="Arial"/>
          <w:szCs w:val="22"/>
        </w:rPr>
        <w:t>annual average</w:t>
      </w:r>
      <w:r w:rsidRPr="00CB093C">
        <w:rPr>
          <w:rFonts w:ascii="Arial" w:hAnsi="Arial" w:cs="Arial"/>
          <w:szCs w:val="22"/>
        </w:rPr>
        <w:t>)</w:t>
      </w:r>
      <w:r w:rsidR="00146652" w:rsidRPr="00CB093C">
        <w:rPr>
          <w:rFonts w:ascii="Arial" w:hAnsi="Arial" w:cs="Arial"/>
          <w:szCs w:val="22"/>
        </w:rPr>
        <w:t xml:space="preserve">. </w:t>
      </w:r>
    </w:p>
    <w:p w14:paraId="14CF31B0" w14:textId="44F6268E" w:rsidR="00146652" w:rsidRPr="00CB093C" w:rsidRDefault="00146652" w:rsidP="00255512">
      <w:pPr>
        <w:rPr>
          <w:rFonts w:ascii="Arial" w:hAnsi="Arial" w:cs="Arial"/>
          <w:szCs w:val="22"/>
        </w:rPr>
      </w:pPr>
      <w:r w:rsidRPr="00CB093C">
        <w:rPr>
          <w:rFonts w:ascii="Arial" w:hAnsi="Arial" w:cs="Arial"/>
          <w:szCs w:val="22"/>
        </w:rPr>
        <w:t xml:space="preserve">In the southern Wet Tropics, </w:t>
      </w:r>
      <w:r w:rsidR="008626FF" w:rsidRPr="00CB093C">
        <w:rPr>
          <w:rFonts w:ascii="Arial" w:hAnsi="Arial" w:cs="Arial"/>
          <w:szCs w:val="22"/>
        </w:rPr>
        <w:t xml:space="preserve">although seagrass abundance is similarly higher at intertidal reef (3.8 ±1.0%) than subtidal reef (1.73 ±0.7%) or coastal habitats (1.5 ±0.5%), the abundances are a </w:t>
      </w:r>
      <w:r w:rsidR="008355EC" w:rsidRPr="00CB093C">
        <w:rPr>
          <w:rFonts w:ascii="Arial" w:hAnsi="Arial" w:cs="Arial"/>
          <w:szCs w:val="22"/>
        </w:rPr>
        <w:t>mere</w:t>
      </w:r>
      <w:r w:rsidR="008626FF" w:rsidRPr="00CB093C">
        <w:rPr>
          <w:rFonts w:ascii="Arial" w:hAnsi="Arial" w:cs="Arial"/>
          <w:szCs w:val="22"/>
        </w:rPr>
        <w:t xml:space="preserve"> tenth of those to the north. This is a consequence of periods of complete loss occurring at all habitats for at least 3-6 months since early 2011. At coastal habitats in Lugger Bay, complete loss has been sustained for periods of years. </w:t>
      </w:r>
      <w:r w:rsidR="00EF746E" w:rsidRPr="00CB093C">
        <w:rPr>
          <w:rFonts w:ascii="Arial" w:hAnsi="Arial" w:cs="Arial"/>
          <w:szCs w:val="22"/>
        </w:rPr>
        <w:t xml:space="preserve">Although recovery is very slow, </w:t>
      </w:r>
      <w:r w:rsidR="008626FF" w:rsidRPr="00CB093C">
        <w:rPr>
          <w:rFonts w:ascii="Arial" w:hAnsi="Arial" w:cs="Arial"/>
          <w:szCs w:val="22"/>
        </w:rPr>
        <w:t xml:space="preserve">isolated </w:t>
      </w:r>
      <w:r w:rsidR="00C63FF1" w:rsidRPr="00CB093C">
        <w:rPr>
          <w:rFonts w:ascii="Arial" w:hAnsi="Arial" w:cs="Arial"/>
          <w:szCs w:val="22"/>
        </w:rPr>
        <w:t xml:space="preserve">seagrass </w:t>
      </w:r>
      <w:r w:rsidR="008626FF" w:rsidRPr="00CB093C">
        <w:rPr>
          <w:rFonts w:ascii="Arial" w:hAnsi="Arial" w:cs="Arial"/>
          <w:szCs w:val="22"/>
        </w:rPr>
        <w:t xml:space="preserve">shoots appeared at Lugger Bay sites </w:t>
      </w:r>
      <w:r w:rsidR="00EF746E" w:rsidRPr="00CB093C">
        <w:rPr>
          <w:rFonts w:ascii="Arial" w:hAnsi="Arial" w:cs="Arial"/>
          <w:szCs w:val="22"/>
        </w:rPr>
        <w:t>in 2016</w:t>
      </w:r>
      <w:r w:rsidR="009203FC" w:rsidRPr="00CB093C">
        <w:rPr>
          <w:rFonts w:ascii="Arial" w:hAnsi="Arial" w:cs="Arial"/>
          <w:szCs w:val="22"/>
        </w:rPr>
        <w:t>–</w:t>
      </w:r>
      <w:r w:rsidR="00EF746E" w:rsidRPr="00CB093C">
        <w:rPr>
          <w:rFonts w:ascii="Arial" w:hAnsi="Arial" w:cs="Arial"/>
          <w:szCs w:val="22"/>
        </w:rPr>
        <w:t xml:space="preserve">17, </w:t>
      </w:r>
      <w:r w:rsidR="008626FF" w:rsidRPr="00CB093C">
        <w:rPr>
          <w:rFonts w:ascii="Arial" w:hAnsi="Arial" w:cs="Arial"/>
          <w:szCs w:val="22"/>
        </w:rPr>
        <w:t xml:space="preserve">and </w:t>
      </w:r>
      <w:r w:rsidR="00C63FF1" w:rsidRPr="00CB093C">
        <w:rPr>
          <w:rFonts w:ascii="Arial" w:hAnsi="Arial" w:cs="Arial"/>
          <w:szCs w:val="22"/>
        </w:rPr>
        <w:t>by</w:t>
      </w:r>
      <w:r w:rsidR="008626FF" w:rsidRPr="00CB093C">
        <w:rPr>
          <w:rFonts w:ascii="Arial" w:hAnsi="Arial" w:cs="Arial"/>
          <w:szCs w:val="22"/>
        </w:rPr>
        <w:t xml:space="preserve"> </w:t>
      </w:r>
      <w:r w:rsidR="003654C6">
        <w:rPr>
          <w:rFonts w:ascii="Arial" w:hAnsi="Arial" w:cs="Arial"/>
          <w:szCs w:val="22"/>
        </w:rPr>
        <w:t>2017–18</w:t>
      </w:r>
      <w:r w:rsidR="008626FF" w:rsidRPr="00CB093C">
        <w:rPr>
          <w:rFonts w:ascii="Arial" w:hAnsi="Arial" w:cs="Arial"/>
          <w:szCs w:val="22"/>
        </w:rPr>
        <w:t xml:space="preserve"> small patches had established</w:t>
      </w:r>
      <w:r w:rsidR="008355EC" w:rsidRPr="00CB093C">
        <w:rPr>
          <w:rFonts w:ascii="Arial" w:hAnsi="Arial" w:cs="Arial"/>
          <w:szCs w:val="22"/>
        </w:rPr>
        <w:t>. Abundances similarly improved at the reef intertidal habitats</w:t>
      </w:r>
      <w:r w:rsidR="00EF746E" w:rsidRPr="00CB093C">
        <w:rPr>
          <w:rFonts w:ascii="Arial" w:hAnsi="Arial" w:cs="Arial"/>
          <w:szCs w:val="22"/>
        </w:rPr>
        <w:t>, but remain well below historical levels.</w:t>
      </w:r>
    </w:p>
    <w:p w14:paraId="3CFD42CB" w14:textId="2079F833" w:rsidR="005D74D4" w:rsidRPr="00CB093C" w:rsidRDefault="00EF746E" w:rsidP="00EF544A">
      <w:pPr>
        <w:rPr>
          <w:rFonts w:ascii="Arial" w:hAnsi="Arial" w:cs="Arial"/>
          <w:szCs w:val="22"/>
        </w:rPr>
      </w:pPr>
      <w:r w:rsidRPr="00CB093C">
        <w:rPr>
          <w:rFonts w:ascii="Arial" w:hAnsi="Arial" w:cs="Arial"/>
          <w:szCs w:val="22"/>
        </w:rPr>
        <w:t>An e</w:t>
      </w:r>
      <w:r w:rsidR="008355EC" w:rsidRPr="00CB093C">
        <w:rPr>
          <w:rFonts w:ascii="Arial" w:hAnsi="Arial" w:cs="Arial"/>
          <w:szCs w:val="22"/>
        </w:rPr>
        <w:t>xamination of temporal trends in seagrass abundance across the Wet Tropics NRM region show a significant decrease over the long-term (</w:t>
      </w:r>
      <w:r w:rsidR="008355EC" w:rsidRPr="00CB093C">
        <w:rPr>
          <w:rFonts w:ascii="Arial" w:hAnsi="Arial" w:cs="Arial"/>
          <w:szCs w:val="22"/>
        </w:rPr>
        <w:fldChar w:fldCharType="begin"/>
      </w:r>
      <w:r w:rsidR="008355EC" w:rsidRPr="00CB093C">
        <w:rPr>
          <w:rFonts w:ascii="Arial" w:hAnsi="Arial" w:cs="Arial"/>
          <w:szCs w:val="22"/>
        </w:rPr>
        <w:instrText xml:space="preserve"> REF _Ref511310045 \h </w:instrText>
      </w:r>
      <w:r w:rsidR="00CB093C" w:rsidRPr="00CB093C">
        <w:rPr>
          <w:rFonts w:ascii="Arial" w:hAnsi="Arial" w:cs="Arial"/>
          <w:szCs w:val="22"/>
        </w:rPr>
        <w:instrText xml:space="preserve"> \* MERGEFORMAT </w:instrText>
      </w:r>
      <w:r w:rsidR="008355EC" w:rsidRPr="00CB093C">
        <w:rPr>
          <w:rFonts w:ascii="Arial" w:hAnsi="Arial" w:cs="Arial"/>
          <w:szCs w:val="22"/>
        </w:rPr>
      </w:r>
      <w:r w:rsidR="008355EC" w:rsidRPr="00CB093C">
        <w:rPr>
          <w:rFonts w:ascii="Arial" w:hAnsi="Arial" w:cs="Arial"/>
          <w:szCs w:val="22"/>
        </w:rPr>
        <w:fldChar w:fldCharType="separate"/>
      </w:r>
      <w:r w:rsidR="005F00D4" w:rsidRPr="00CB093C">
        <w:rPr>
          <w:rFonts w:ascii="Arial" w:hAnsi="Arial" w:cs="Arial"/>
          <w:szCs w:val="22"/>
        </w:rPr>
        <w:t xml:space="preserve">Table </w:t>
      </w:r>
      <w:r w:rsidR="005F00D4">
        <w:rPr>
          <w:rFonts w:ascii="Arial" w:hAnsi="Arial" w:cs="Arial"/>
          <w:noProof/>
          <w:szCs w:val="22"/>
        </w:rPr>
        <w:t>23</w:t>
      </w:r>
      <w:r w:rsidR="008355EC" w:rsidRPr="00CB093C">
        <w:rPr>
          <w:rFonts w:ascii="Arial" w:hAnsi="Arial" w:cs="Arial"/>
          <w:szCs w:val="22"/>
        </w:rPr>
        <w:fldChar w:fldCharType="end"/>
      </w:r>
      <w:r w:rsidR="008355EC" w:rsidRPr="00CB093C">
        <w:rPr>
          <w:rFonts w:ascii="Arial" w:hAnsi="Arial" w:cs="Arial"/>
          <w:szCs w:val="22"/>
        </w:rPr>
        <w:t>). In the northern Wet Tropics, c</w:t>
      </w:r>
      <w:r w:rsidR="00255512" w:rsidRPr="00CB093C">
        <w:rPr>
          <w:rFonts w:ascii="Arial" w:hAnsi="Arial" w:cs="Arial"/>
          <w:szCs w:val="22"/>
        </w:rPr>
        <w:t xml:space="preserve">hanges in seagrass abundance </w:t>
      </w:r>
      <w:r w:rsidR="00146652" w:rsidRPr="00CB093C">
        <w:rPr>
          <w:rFonts w:ascii="Arial" w:hAnsi="Arial" w:cs="Arial"/>
          <w:szCs w:val="22"/>
        </w:rPr>
        <w:t xml:space="preserve">were variable among habitats, with 29% of sites significantly declining over the long-term, while no trend was apparent for the remaining sites. The declines in the north </w:t>
      </w:r>
      <w:r w:rsidR="00EC7C5F" w:rsidRPr="00CB093C">
        <w:rPr>
          <w:rFonts w:ascii="Arial" w:hAnsi="Arial" w:cs="Arial"/>
          <w:szCs w:val="22"/>
        </w:rPr>
        <w:t>are all</w:t>
      </w:r>
      <w:r w:rsidR="00146652" w:rsidRPr="00CB093C">
        <w:rPr>
          <w:rFonts w:ascii="Arial" w:hAnsi="Arial" w:cs="Arial"/>
          <w:szCs w:val="22"/>
        </w:rPr>
        <w:t xml:space="preserve"> in reef habitats; 33% of intertidal and 50% subtidal.</w:t>
      </w:r>
      <w:r w:rsidR="008355EC" w:rsidRPr="00CB093C">
        <w:rPr>
          <w:rFonts w:ascii="Arial" w:hAnsi="Arial" w:cs="Arial"/>
          <w:szCs w:val="22"/>
        </w:rPr>
        <w:t xml:space="preserve"> </w:t>
      </w:r>
      <w:r w:rsidR="00E87E87" w:rsidRPr="00CB093C">
        <w:rPr>
          <w:rFonts w:ascii="Arial" w:hAnsi="Arial" w:cs="Arial"/>
          <w:szCs w:val="22"/>
        </w:rPr>
        <w:t xml:space="preserve">In the southern </w:t>
      </w:r>
      <w:r w:rsidR="005D74D4" w:rsidRPr="00CB093C">
        <w:rPr>
          <w:rFonts w:ascii="Arial" w:hAnsi="Arial" w:cs="Arial"/>
          <w:szCs w:val="22"/>
        </w:rPr>
        <w:t xml:space="preserve">sub-region, 33% of sites have significantly declined over the long-term, but these only </w:t>
      </w:r>
      <w:r w:rsidR="00912BC6" w:rsidRPr="00CB093C">
        <w:rPr>
          <w:rFonts w:ascii="Arial" w:hAnsi="Arial" w:cs="Arial"/>
          <w:szCs w:val="22"/>
        </w:rPr>
        <w:t>occurred at</w:t>
      </w:r>
      <w:r w:rsidR="005D74D4" w:rsidRPr="00CB093C">
        <w:rPr>
          <w:rFonts w:ascii="Arial" w:hAnsi="Arial" w:cs="Arial"/>
          <w:szCs w:val="22"/>
        </w:rPr>
        <w:t xml:space="preserve"> coastal </w:t>
      </w:r>
      <w:r w:rsidR="00912BC6" w:rsidRPr="00CB093C">
        <w:rPr>
          <w:rFonts w:ascii="Arial" w:hAnsi="Arial" w:cs="Arial"/>
          <w:szCs w:val="22"/>
        </w:rPr>
        <w:t>sites (</w:t>
      </w:r>
      <w:r w:rsidR="005D74D4" w:rsidRPr="00CB093C">
        <w:rPr>
          <w:rFonts w:ascii="Arial" w:hAnsi="Arial" w:cs="Arial"/>
          <w:szCs w:val="22"/>
        </w:rPr>
        <w:t>Lugger Bay</w:t>
      </w:r>
      <w:r w:rsidR="00912BC6" w:rsidRPr="00CB093C">
        <w:rPr>
          <w:rFonts w:ascii="Arial" w:hAnsi="Arial" w:cs="Arial"/>
          <w:szCs w:val="22"/>
        </w:rPr>
        <w:t>)</w:t>
      </w:r>
      <w:r w:rsidR="005D74D4" w:rsidRPr="00CB093C">
        <w:rPr>
          <w:rFonts w:ascii="Arial" w:hAnsi="Arial" w:cs="Arial"/>
          <w:szCs w:val="22"/>
        </w:rPr>
        <w:t>. No long-term trend was apparent in the reef habitats</w:t>
      </w:r>
      <w:r w:rsidR="00912BC6" w:rsidRPr="00CB093C">
        <w:rPr>
          <w:rFonts w:ascii="Arial" w:hAnsi="Arial" w:cs="Arial"/>
          <w:szCs w:val="22"/>
        </w:rPr>
        <w:t xml:space="preserve"> of the southern sub-region</w:t>
      </w:r>
      <w:r w:rsidR="005D74D4" w:rsidRPr="00CB093C">
        <w:rPr>
          <w:rFonts w:ascii="Arial" w:hAnsi="Arial" w:cs="Arial"/>
          <w:szCs w:val="22"/>
        </w:rPr>
        <w:t>.</w:t>
      </w:r>
    </w:p>
    <w:p w14:paraId="524F35EA" w14:textId="316B9CDE" w:rsidR="00E87E87" w:rsidRPr="00CB093C" w:rsidRDefault="00E87E87" w:rsidP="00EF544A">
      <w:pPr>
        <w:rPr>
          <w:rFonts w:ascii="Arial" w:hAnsi="Arial" w:cs="Arial"/>
          <w:szCs w:val="22"/>
        </w:rPr>
      </w:pPr>
    </w:p>
    <w:p w14:paraId="3F8B0A19" w14:textId="77777777" w:rsidR="001B6AA0" w:rsidRPr="00CB093C" w:rsidRDefault="00DC7715" w:rsidP="00907D11">
      <w:pPr>
        <w:keepNext/>
        <w:widowControl w:val="0"/>
        <w:spacing w:after="0"/>
        <w:jc w:val="center"/>
        <w:rPr>
          <w:rFonts w:ascii="Arial" w:hAnsi="Arial" w:cs="Arial"/>
          <w:szCs w:val="22"/>
          <w:lang w:val="en-GB"/>
        </w:rPr>
      </w:pPr>
      <w:r w:rsidRPr="00CB093C">
        <w:rPr>
          <w:rFonts w:ascii="Arial" w:hAnsi="Arial" w:cs="Arial"/>
          <w:noProof/>
          <w:szCs w:val="22"/>
          <w:lang w:val="en-US"/>
        </w:rPr>
        <w:lastRenderedPageBreak/>
        <w:drawing>
          <wp:inline distT="0" distB="0" distL="0" distR="0" wp14:anchorId="2E52013D" wp14:editId="7CBC6295">
            <wp:extent cx="5595102" cy="3277864"/>
            <wp:effectExtent l="0" t="0" r="5715" b="0"/>
            <wp:docPr id="48" name="Picture 48" descr="Panel of six graphs, displayed in three by two matrix, showing seagrass percent cover measures per quadrat (sites pooled) for each habitat monitored from June 2005 to May 2018 in the northern Wet Tropics NRM region. Top row displays the data as box plots and the bottom row as trends in seagrass abundance represented by a GAM plot and coloured lines representing individual site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WT_reef_SG16.png"/>
                    <pic:cNvPicPr/>
                  </pic:nvPicPr>
                  <pic:blipFill>
                    <a:blip r:embed="rId84"/>
                    <a:stretch>
                      <a:fillRect/>
                    </a:stretch>
                  </pic:blipFill>
                  <pic:spPr>
                    <a:xfrm>
                      <a:off x="0" y="0"/>
                      <a:ext cx="5605066" cy="3283701"/>
                    </a:xfrm>
                    <a:prstGeom prst="rect">
                      <a:avLst/>
                    </a:prstGeom>
                  </pic:spPr>
                </pic:pic>
              </a:graphicData>
            </a:graphic>
          </wp:inline>
        </w:drawing>
      </w:r>
    </w:p>
    <w:p w14:paraId="11BD1AB3" w14:textId="2418A3A1" w:rsidR="009F0873" w:rsidRPr="00CB093C" w:rsidRDefault="00ED32CE" w:rsidP="009F0873">
      <w:pPr>
        <w:rPr>
          <w:rFonts w:ascii="Arial" w:hAnsi="Arial" w:cs="Arial"/>
          <w:i/>
          <w:vanish/>
          <w:szCs w:val="22"/>
          <w:specVanish/>
        </w:rPr>
      </w:pPr>
      <w:bookmarkStart w:id="296" w:name="_Ref348439596"/>
      <w:bookmarkStart w:id="297" w:name="_Toc431493841"/>
      <w:bookmarkStart w:id="298" w:name="_Toc6402805"/>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40</w:t>
      </w:r>
      <w:r w:rsidR="0073595B" w:rsidRPr="00CB093C">
        <w:rPr>
          <w:rFonts w:ascii="Arial" w:hAnsi="Arial" w:cs="Arial"/>
          <w:color w:val="000000"/>
          <w:szCs w:val="22"/>
        </w:rPr>
        <w:fldChar w:fldCharType="end"/>
      </w:r>
      <w:bookmarkEnd w:id="296"/>
      <w:r w:rsidRPr="00CB093C">
        <w:rPr>
          <w:rFonts w:ascii="Arial" w:hAnsi="Arial" w:cs="Arial"/>
          <w:color w:val="000000"/>
          <w:szCs w:val="22"/>
        </w:rPr>
        <w:t>.</w:t>
      </w:r>
      <w:r w:rsidRPr="00CB093C">
        <w:rPr>
          <w:rFonts w:ascii="Arial" w:hAnsi="Arial" w:cs="Arial"/>
          <w:i/>
          <w:color w:val="000000"/>
          <w:szCs w:val="22"/>
        </w:rPr>
        <w:t xml:space="preserve"> </w:t>
      </w:r>
      <w:bookmarkEnd w:id="297"/>
      <w:r w:rsidR="009F0873" w:rsidRPr="00CB093C">
        <w:rPr>
          <w:rFonts w:ascii="Arial" w:hAnsi="Arial" w:cs="Arial"/>
          <w:i/>
          <w:szCs w:val="22"/>
        </w:rPr>
        <w:t xml:space="preserve">Seagrass per cent cover measures per quadrat (sites pooled) and long-term trends, for each habitat monitored in the </w:t>
      </w:r>
      <w:r w:rsidR="009F0873" w:rsidRPr="00CB093C">
        <w:rPr>
          <w:rFonts w:ascii="Arial" w:hAnsi="Arial" w:cs="Arial"/>
          <w:i/>
          <w:color w:val="000000"/>
          <w:szCs w:val="22"/>
        </w:rPr>
        <w:t xml:space="preserve">northern Wet Tropics NRM </w:t>
      </w:r>
      <w:r w:rsidR="009F0873" w:rsidRPr="00CB093C">
        <w:rPr>
          <w:rFonts w:ascii="Arial" w:hAnsi="Arial" w:cs="Arial"/>
          <w:i/>
          <w:szCs w:val="22"/>
        </w:rPr>
        <w:t>region from 2001 to 2018.</w:t>
      </w:r>
      <w:bookmarkEnd w:id="298"/>
    </w:p>
    <w:p w14:paraId="66BBE842" w14:textId="1EB5F057" w:rsidR="00574C5B" w:rsidRPr="00CB093C" w:rsidRDefault="009F0873" w:rsidP="009F0873">
      <w:pPr>
        <w:rPr>
          <w:rFonts w:ascii="Arial" w:hAnsi="Arial" w:cs="Arial"/>
          <w:i/>
          <w:color w:val="000000"/>
          <w:szCs w:val="22"/>
        </w:rPr>
      </w:pPr>
      <w:r w:rsidRPr="00CB093C">
        <w:rPr>
          <w:rFonts w:ascii="Arial" w:hAnsi="Arial" w:cs="Arial"/>
          <w:i/>
          <w:szCs w:val="22"/>
          <w:lang w:val="en-GB"/>
        </w:rPr>
        <w:t xml:space="preserve"> Whisker plots (top) show th</w:t>
      </w:r>
      <w:r w:rsidRPr="00CB093C">
        <w:rPr>
          <w:rFonts w:ascii="Arial" w:hAnsi="Arial" w:cs="Arial"/>
          <w:i/>
          <w:szCs w:val="22"/>
        </w:rPr>
        <w:t>e box representing the interquartile range of values, where the boundary of the box closest to zero indicates the 25</w:t>
      </w:r>
      <w:r w:rsidRPr="00CB093C">
        <w:rPr>
          <w:rFonts w:ascii="Arial" w:hAnsi="Arial" w:cs="Arial"/>
          <w:i/>
          <w:szCs w:val="22"/>
          <w:vertAlign w:val="superscript"/>
        </w:rPr>
        <w:t>th</w:t>
      </w:r>
      <w:r w:rsidRPr="00CB093C">
        <w:rPr>
          <w:rFonts w:ascii="Arial" w:hAnsi="Arial" w:cs="Arial"/>
          <w:i/>
          <w:szCs w:val="22"/>
        </w:rPr>
        <w:t xml:space="preserve"> percentile, a line within the box marks the median, and the boundary of the box farthest from zero indicates the 75</w:t>
      </w:r>
      <w:r w:rsidRPr="00CB093C">
        <w:rPr>
          <w:rFonts w:ascii="Arial" w:hAnsi="Arial" w:cs="Arial"/>
          <w:i/>
          <w:szCs w:val="22"/>
          <w:vertAlign w:val="superscript"/>
        </w:rPr>
        <w:t>th</w:t>
      </w:r>
      <w:r w:rsidRPr="00CB093C">
        <w:rPr>
          <w:rFonts w:ascii="Arial" w:hAnsi="Arial" w:cs="Arial"/>
          <w:i/>
          <w:szCs w:val="22"/>
        </w:rPr>
        <w:t xml:space="preserve"> percentile. Whiskers (error bars) above and below the box indicate the 90</w:t>
      </w:r>
      <w:r w:rsidRPr="00CB093C">
        <w:rPr>
          <w:rFonts w:ascii="Arial" w:hAnsi="Arial" w:cs="Arial"/>
          <w:i/>
          <w:szCs w:val="22"/>
          <w:vertAlign w:val="superscript"/>
        </w:rPr>
        <w:t>th</w:t>
      </w:r>
      <w:r w:rsidRPr="00CB093C">
        <w:rPr>
          <w:rFonts w:ascii="Arial" w:hAnsi="Arial" w:cs="Arial"/>
          <w:i/>
          <w:szCs w:val="22"/>
        </w:rPr>
        <w:t xml:space="preserve"> and 10</w:t>
      </w:r>
      <w:r w:rsidRPr="00CB093C">
        <w:rPr>
          <w:rFonts w:ascii="Arial" w:hAnsi="Arial" w:cs="Arial"/>
          <w:i/>
          <w:szCs w:val="22"/>
          <w:vertAlign w:val="superscript"/>
        </w:rPr>
        <w:t>th</w:t>
      </w:r>
      <w:r w:rsidRPr="00CB093C">
        <w:rPr>
          <w:rFonts w:ascii="Arial" w:hAnsi="Arial" w:cs="Arial"/>
          <w:i/>
          <w:szCs w:val="22"/>
        </w:rPr>
        <w:t xml:space="preserve"> percentiles, and the dots represent outlying points.</w:t>
      </w:r>
      <w:r w:rsidRPr="00CB093C">
        <w:rPr>
          <w:rFonts w:ascii="Arial" w:hAnsi="Arial" w:cs="Arial"/>
          <w:i/>
          <w:szCs w:val="22"/>
          <w:lang w:val="en-GB"/>
        </w:rPr>
        <w:t xml:space="preserve"> </w:t>
      </w:r>
      <w:r w:rsidRPr="00CB093C">
        <w:rPr>
          <w:rFonts w:ascii="Arial" w:hAnsi="Arial" w:cs="Arial"/>
          <w:i/>
          <w:szCs w:val="22"/>
        </w:rPr>
        <w:t>GAMM plots (bottom), show trends for each habitat and coloured lines represent individual site trends.</w:t>
      </w:r>
    </w:p>
    <w:p w14:paraId="54AC3878" w14:textId="41FCAACA" w:rsidR="00CB5A6F" w:rsidRPr="00CB093C" w:rsidRDefault="00432814" w:rsidP="00255512">
      <w:pPr>
        <w:keepNext/>
        <w:widowControl w:val="0"/>
        <w:spacing w:after="0"/>
        <w:jc w:val="center"/>
        <w:rPr>
          <w:rFonts w:ascii="Arial" w:hAnsi="Arial" w:cs="Arial"/>
          <w:noProof/>
          <w:szCs w:val="22"/>
          <w:lang w:eastAsia="en-AU"/>
        </w:rPr>
      </w:pPr>
      <w:r w:rsidRPr="00CB093C">
        <w:rPr>
          <w:rFonts w:ascii="Arial" w:hAnsi="Arial" w:cs="Arial"/>
          <w:noProof/>
          <w:szCs w:val="22"/>
          <w:lang w:val="en-US"/>
        </w:rPr>
        <w:lastRenderedPageBreak/>
        <w:drawing>
          <wp:inline distT="0" distB="0" distL="0" distR="0" wp14:anchorId="1530CF04" wp14:editId="637020D6">
            <wp:extent cx="5727700" cy="3676015"/>
            <wp:effectExtent l="0" t="0" r="6350" b="635"/>
            <wp:docPr id="529" name="Picture 529" descr="Panel of six graphs, displayed in three by two matrix, showing seagrass percent cover measures per quadrat (sites pooled) for each habitat monitored from June 2005 to May 2018 in the southern Wet Tropics NRM region. Top row displays the data as box plots and the bottom row as trends in seagrass abundance represented by a GAM plot and coloured lines representing individual site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per MMP_period boxplot_SWT_perHab_newformat-01.png"/>
                    <pic:cNvPicPr/>
                  </pic:nvPicPr>
                  <pic:blipFill>
                    <a:blip r:embed="rId85"/>
                    <a:stretch>
                      <a:fillRect/>
                    </a:stretch>
                  </pic:blipFill>
                  <pic:spPr>
                    <a:xfrm>
                      <a:off x="0" y="0"/>
                      <a:ext cx="5727700" cy="3676015"/>
                    </a:xfrm>
                    <a:prstGeom prst="rect">
                      <a:avLst/>
                    </a:prstGeom>
                  </pic:spPr>
                </pic:pic>
              </a:graphicData>
            </a:graphic>
          </wp:inline>
        </w:drawing>
      </w:r>
    </w:p>
    <w:p w14:paraId="73C30C58" w14:textId="0C9C1470" w:rsidR="00A355AB" w:rsidRPr="00CB093C" w:rsidRDefault="00432814" w:rsidP="00A355AB">
      <w:pPr>
        <w:rPr>
          <w:rFonts w:ascii="Arial" w:hAnsi="Arial" w:cs="Arial"/>
          <w:i/>
          <w:vanish/>
          <w:szCs w:val="22"/>
          <w:specVanish/>
        </w:rPr>
      </w:pPr>
      <w:bookmarkStart w:id="299" w:name="_Ref533677820"/>
      <w:bookmarkStart w:id="300" w:name="_Toc6402806"/>
      <w:r w:rsidRPr="00CB093C">
        <w:rPr>
          <w:rFonts w:ascii="Arial" w:hAnsi="Arial" w:cs="Arial"/>
          <w:szCs w:val="22"/>
        </w:rPr>
        <w:t xml:space="preserve">Figure </w:t>
      </w:r>
      <w:r w:rsidR="00C47E25" w:rsidRPr="00CB093C">
        <w:rPr>
          <w:rFonts w:ascii="Arial" w:hAnsi="Arial" w:cs="Arial"/>
          <w:noProof/>
          <w:szCs w:val="22"/>
        </w:rPr>
        <w:fldChar w:fldCharType="begin"/>
      </w:r>
      <w:r w:rsidR="00C47E25" w:rsidRPr="00CB093C">
        <w:rPr>
          <w:rFonts w:ascii="Arial" w:hAnsi="Arial" w:cs="Arial"/>
          <w:noProof/>
          <w:szCs w:val="22"/>
        </w:rPr>
        <w:instrText xml:space="preserve"> SEQ Figure \* ARABIC </w:instrText>
      </w:r>
      <w:r w:rsidR="00C47E25" w:rsidRPr="00CB093C">
        <w:rPr>
          <w:rFonts w:ascii="Arial" w:hAnsi="Arial" w:cs="Arial"/>
          <w:noProof/>
          <w:szCs w:val="22"/>
        </w:rPr>
        <w:fldChar w:fldCharType="separate"/>
      </w:r>
      <w:r w:rsidR="005F00D4">
        <w:rPr>
          <w:rFonts w:ascii="Arial" w:hAnsi="Arial" w:cs="Arial"/>
          <w:noProof/>
          <w:szCs w:val="22"/>
        </w:rPr>
        <w:t>41</w:t>
      </w:r>
      <w:r w:rsidR="00C47E25" w:rsidRPr="00CB093C">
        <w:rPr>
          <w:rFonts w:ascii="Arial" w:hAnsi="Arial" w:cs="Arial"/>
          <w:noProof/>
          <w:szCs w:val="22"/>
        </w:rPr>
        <w:fldChar w:fldCharType="end"/>
      </w:r>
      <w:bookmarkEnd w:id="299"/>
      <w:r w:rsidRPr="00CB093C">
        <w:rPr>
          <w:rFonts w:ascii="Arial" w:hAnsi="Arial" w:cs="Arial"/>
          <w:szCs w:val="22"/>
        </w:rPr>
        <w:t>.</w:t>
      </w:r>
      <w:r w:rsidR="00CB5A6F" w:rsidRPr="00CB093C">
        <w:rPr>
          <w:rFonts w:ascii="Arial" w:hAnsi="Arial" w:cs="Arial"/>
          <w:i/>
          <w:szCs w:val="22"/>
        </w:rPr>
        <w:t xml:space="preserve"> </w:t>
      </w:r>
      <w:r w:rsidR="00A355AB" w:rsidRPr="00CB093C">
        <w:rPr>
          <w:rFonts w:ascii="Arial" w:hAnsi="Arial" w:cs="Arial"/>
          <w:i/>
          <w:szCs w:val="22"/>
        </w:rPr>
        <w:t>Seagrass per cent cover measures per quadrat (sites pooled) and long-term trends, for each habitat monitored in the sou</w:t>
      </w:r>
      <w:r w:rsidR="00A355AB" w:rsidRPr="00CB093C">
        <w:rPr>
          <w:rFonts w:ascii="Arial" w:hAnsi="Arial" w:cs="Arial"/>
          <w:i/>
          <w:color w:val="000000"/>
          <w:szCs w:val="22"/>
        </w:rPr>
        <w:t xml:space="preserve">thern Wet Tropics NRM </w:t>
      </w:r>
      <w:r w:rsidR="00A355AB" w:rsidRPr="00CB093C">
        <w:rPr>
          <w:rFonts w:ascii="Arial" w:hAnsi="Arial" w:cs="Arial"/>
          <w:i/>
          <w:szCs w:val="22"/>
        </w:rPr>
        <w:t>region from 2001 to 2018.</w:t>
      </w:r>
      <w:bookmarkEnd w:id="300"/>
    </w:p>
    <w:p w14:paraId="6D8AA08C" w14:textId="1CBD8402" w:rsidR="00CB5A6F" w:rsidRPr="00CB093C" w:rsidRDefault="00A355AB" w:rsidP="00A355AB">
      <w:pPr>
        <w:pStyle w:val="Caption"/>
        <w:rPr>
          <w:rFonts w:ascii="Arial" w:hAnsi="Arial" w:cs="Arial"/>
          <w:i/>
          <w:szCs w:val="22"/>
        </w:rPr>
      </w:pPr>
      <w:r w:rsidRPr="00CB093C">
        <w:rPr>
          <w:rFonts w:ascii="Arial" w:hAnsi="Arial" w:cs="Arial"/>
          <w:i/>
          <w:szCs w:val="22"/>
        </w:rPr>
        <w:t xml:space="preserve"> Whisker plots (top) show the box representing the interquartile range of values, where the boundary of the box closest to zero indicates the 25</w:t>
      </w:r>
      <w:r w:rsidRPr="00CB093C">
        <w:rPr>
          <w:rFonts w:ascii="Arial" w:hAnsi="Arial" w:cs="Arial"/>
          <w:i/>
          <w:szCs w:val="22"/>
          <w:vertAlign w:val="superscript"/>
        </w:rPr>
        <w:t>th</w:t>
      </w:r>
      <w:r w:rsidRPr="00CB093C">
        <w:rPr>
          <w:rFonts w:ascii="Arial" w:hAnsi="Arial" w:cs="Arial"/>
          <w:i/>
          <w:szCs w:val="22"/>
        </w:rPr>
        <w:t xml:space="preserve"> percentile, a line within the box marks the median, and the boundary of the box farthest from zero indicates the 75</w:t>
      </w:r>
      <w:r w:rsidRPr="00CB093C">
        <w:rPr>
          <w:rFonts w:ascii="Arial" w:hAnsi="Arial" w:cs="Arial"/>
          <w:i/>
          <w:szCs w:val="22"/>
          <w:vertAlign w:val="superscript"/>
        </w:rPr>
        <w:t>th</w:t>
      </w:r>
      <w:r w:rsidRPr="00CB093C">
        <w:rPr>
          <w:rFonts w:ascii="Arial" w:hAnsi="Arial" w:cs="Arial"/>
          <w:i/>
          <w:szCs w:val="22"/>
        </w:rPr>
        <w:t xml:space="preserve"> percentile. Whiskers (error bars) above and below the box indicate the 90</w:t>
      </w:r>
      <w:r w:rsidRPr="00CB093C">
        <w:rPr>
          <w:rFonts w:ascii="Arial" w:hAnsi="Arial" w:cs="Arial"/>
          <w:i/>
          <w:szCs w:val="22"/>
          <w:vertAlign w:val="superscript"/>
        </w:rPr>
        <w:t>th</w:t>
      </w:r>
      <w:r w:rsidRPr="00CB093C">
        <w:rPr>
          <w:rFonts w:ascii="Arial" w:hAnsi="Arial" w:cs="Arial"/>
          <w:i/>
          <w:szCs w:val="22"/>
        </w:rPr>
        <w:t xml:space="preserve"> and 10</w:t>
      </w:r>
      <w:r w:rsidRPr="00CB093C">
        <w:rPr>
          <w:rFonts w:ascii="Arial" w:hAnsi="Arial" w:cs="Arial"/>
          <w:i/>
          <w:szCs w:val="22"/>
          <w:vertAlign w:val="superscript"/>
        </w:rPr>
        <w:t>th</w:t>
      </w:r>
      <w:r w:rsidRPr="00CB093C">
        <w:rPr>
          <w:rFonts w:ascii="Arial" w:hAnsi="Arial" w:cs="Arial"/>
          <w:i/>
          <w:szCs w:val="22"/>
        </w:rPr>
        <w:t xml:space="preserve"> percentiles, and the dots represent outlying points. GAMM plots (bottom), show trends for each habitat and coloured lines represent individual site trends</w:t>
      </w:r>
      <w:r w:rsidR="00CB5A6F" w:rsidRPr="00CB093C">
        <w:rPr>
          <w:rFonts w:ascii="Arial" w:hAnsi="Arial" w:cs="Arial"/>
          <w:i/>
          <w:szCs w:val="22"/>
        </w:rPr>
        <w:t>.</w:t>
      </w:r>
    </w:p>
    <w:p w14:paraId="5AA76B41" w14:textId="403C7FF6" w:rsidR="00255512" w:rsidRPr="00CB093C" w:rsidRDefault="00255512" w:rsidP="00A50DBF">
      <w:pPr>
        <w:rPr>
          <w:rFonts w:ascii="Arial" w:hAnsi="Arial" w:cs="Arial"/>
          <w:szCs w:val="22"/>
        </w:rPr>
      </w:pPr>
      <w:r w:rsidRPr="00CB093C">
        <w:rPr>
          <w:rFonts w:ascii="Arial" w:hAnsi="Arial" w:cs="Arial"/>
          <w:szCs w:val="22"/>
        </w:rPr>
        <w:t xml:space="preserve">The proportion of seagrass species displaying colonising traits varied </w:t>
      </w:r>
      <w:r w:rsidR="00A50DBF" w:rsidRPr="00CB093C">
        <w:rPr>
          <w:rFonts w:ascii="Arial" w:hAnsi="Arial" w:cs="Arial"/>
          <w:szCs w:val="22"/>
        </w:rPr>
        <w:t>across</w:t>
      </w:r>
      <w:r w:rsidRPr="00CB093C">
        <w:rPr>
          <w:rFonts w:ascii="Arial" w:hAnsi="Arial" w:cs="Arial"/>
          <w:szCs w:val="22"/>
        </w:rPr>
        <w:t xml:space="preserve"> habitats in the northern Wet Tropics</w:t>
      </w:r>
      <w:r w:rsidR="00A50DBF" w:rsidRPr="00CB093C">
        <w:rPr>
          <w:rFonts w:ascii="Arial" w:hAnsi="Arial" w:cs="Arial"/>
          <w:szCs w:val="22"/>
        </w:rPr>
        <w:t xml:space="preserve"> (</w:t>
      </w:r>
      <w:r w:rsidR="00A50DBF" w:rsidRPr="00CB093C">
        <w:rPr>
          <w:rFonts w:ascii="Arial" w:hAnsi="Arial" w:cs="Arial"/>
          <w:szCs w:val="22"/>
        </w:rPr>
        <w:fldChar w:fldCharType="begin"/>
      </w:r>
      <w:r w:rsidR="00A50DBF" w:rsidRPr="00CB093C">
        <w:rPr>
          <w:rFonts w:ascii="Arial" w:hAnsi="Arial" w:cs="Arial"/>
          <w:szCs w:val="22"/>
        </w:rPr>
        <w:instrText xml:space="preserve"> REF _Ref380401548 \h </w:instrText>
      </w:r>
      <w:r w:rsidR="00CB093C" w:rsidRPr="00CB093C">
        <w:rPr>
          <w:rFonts w:ascii="Arial" w:hAnsi="Arial" w:cs="Arial"/>
          <w:szCs w:val="22"/>
        </w:rPr>
        <w:instrText xml:space="preserve"> \* MERGEFORMAT </w:instrText>
      </w:r>
      <w:r w:rsidR="00A50DBF" w:rsidRPr="00CB093C">
        <w:rPr>
          <w:rFonts w:ascii="Arial" w:hAnsi="Arial" w:cs="Arial"/>
          <w:szCs w:val="22"/>
        </w:rPr>
      </w:r>
      <w:r w:rsidR="00A50DBF"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42</w:t>
      </w:r>
      <w:r w:rsidR="00A50DBF" w:rsidRPr="00CB093C">
        <w:rPr>
          <w:rFonts w:ascii="Arial" w:hAnsi="Arial" w:cs="Arial"/>
          <w:szCs w:val="22"/>
        </w:rPr>
        <w:fldChar w:fldCharType="end"/>
      </w:r>
      <w:r w:rsidR="00A50DBF" w:rsidRPr="00CB093C">
        <w:rPr>
          <w:rFonts w:ascii="Arial" w:hAnsi="Arial" w:cs="Arial"/>
          <w:szCs w:val="22"/>
        </w:rPr>
        <w:t>)</w:t>
      </w:r>
      <w:r w:rsidRPr="00CB093C">
        <w:rPr>
          <w:rFonts w:ascii="Arial" w:hAnsi="Arial" w:cs="Arial"/>
          <w:szCs w:val="22"/>
        </w:rPr>
        <w:t xml:space="preserve">. </w:t>
      </w:r>
      <w:r w:rsidR="00EC7C5F" w:rsidRPr="00CB093C">
        <w:rPr>
          <w:rFonts w:ascii="Arial" w:hAnsi="Arial" w:cs="Arial"/>
          <w:szCs w:val="22"/>
        </w:rPr>
        <w:t xml:space="preserve">In </w:t>
      </w:r>
      <w:r w:rsidR="003654C6">
        <w:rPr>
          <w:rFonts w:ascii="Arial" w:hAnsi="Arial" w:cs="Arial"/>
          <w:szCs w:val="22"/>
        </w:rPr>
        <w:t>2017–18</w:t>
      </w:r>
      <w:r w:rsidR="00EC7C5F" w:rsidRPr="00CB093C">
        <w:rPr>
          <w:rFonts w:ascii="Arial" w:hAnsi="Arial" w:cs="Arial"/>
          <w:szCs w:val="22"/>
        </w:rPr>
        <w:t xml:space="preserve"> the proportion increased slightly at coastal intertidal habitats (Yule Point), suggesting some minor increase in physical disturbance. </w:t>
      </w:r>
      <w:r w:rsidRPr="00CB093C">
        <w:rPr>
          <w:rFonts w:ascii="Arial" w:hAnsi="Arial" w:cs="Arial"/>
          <w:szCs w:val="22"/>
        </w:rPr>
        <w:t>Between 2010 and 2014, all habitats were either dominated or had higher tha</w:t>
      </w:r>
      <w:r w:rsidR="00A50DBF" w:rsidRPr="00CB093C">
        <w:rPr>
          <w:rFonts w:ascii="Arial" w:hAnsi="Arial" w:cs="Arial"/>
          <w:szCs w:val="22"/>
        </w:rPr>
        <w:t xml:space="preserve">n the </w:t>
      </w:r>
      <w:r w:rsidR="003158FC" w:rsidRPr="00CB093C">
        <w:rPr>
          <w:rFonts w:ascii="Arial" w:hAnsi="Arial" w:cs="Arial"/>
          <w:szCs w:val="22"/>
        </w:rPr>
        <w:t>Reef</w:t>
      </w:r>
      <w:r w:rsidR="00C63FF1" w:rsidRPr="00CB093C">
        <w:rPr>
          <w:rFonts w:ascii="Arial" w:hAnsi="Arial" w:cs="Arial"/>
          <w:szCs w:val="22"/>
        </w:rPr>
        <w:t>-</w:t>
      </w:r>
      <w:r w:rsidR="00A50DBF" w:rsidRPr="00CB093C">
        <w:rPr>
          <w:rFonts w:ascii="Arial" w:hAnsi="Arial" w:cs="Arial"/>
          <w:szCs w:val="22"/>
        </w:rPr>
        <w:t xml:space="preserve">average of species displaying colonising traits. Post 2014, the composition of species displaying colonising traits has fallen below the </w:t>
      </w:r>
      <w:r w:rsidR="00EC7C5F" w:rsidRPr="00CB093C">
        <w:rPr>
          <w:rFonts w:ascii="Arial" w:hAnsi="Arial" w:cs="Arial"/>
          <w:szCs w:val="22"/>
        </w:rPr>
        <w:t xml:space="preserve">Reef-wide </w:t>
      </w:r>
      <w:r w:rsidR="00A50DBF" w:rsidRPr="00CB093C">
        <w:rPr>
          <w:rFonts w:ascii="Arial" w:hAnsi="Arial" w:cs="Arial"/>
          <w:szCs w:val="22"/>
        </w:rPr>
        <w:t xml:space="preserve">average, with the exception of reef subtidal habitats. </w:t>
      </w:r>
    </w:p>
    <w:p w14:paraId="0A5822DF" w14:textId="35ED47CF" w:rsidR="00A50DBF" w:rsidRPr="00CB093C" w:rsidRDefault="00A50DBF" w:rsidP="00D03E97">
      <w:pPr>
        <w:rPr>
          <w:rFonts w:ascii="Arial" w:hAnsi="Arial" w:cs="Arial"/>
          <w:szCs w:val="22"/>
        </w:rPr>
      </w:pPr>
      <w:r w:rsidRPr="00CB093C">
        <w:rPr>
          <w:rFonts w:ascii="Arial" w:hAnsi="Arial" w:cs="Arial"/>
          <w:szCs w:val="22"/>
        </w:rPr>
        <w:t>In the southern Wet Tropics, the proportion of seagrass species displaying colonising traits has similarly varied across habitats (</w:t>
      </w:r>
      <w:r w:rsidRPr="00CB093C">
        <w:rPr>
          <w:rFonts w:ascii="Arial" w:hAnsi="Arial" w:cs="Arial"/>
          <w:szCs w:val="22"/>
        </w:rPr>
        <w:fldChar w:fldCharType="begin"/>
      </w:r>
      <w:r w:rsidRPr="00CB093C">
        <w:rPr>
          <w:rFonts w:ascii="Arial" w:hAnsi="Arial" w:cs="Arial"/>
          <w:szCs w:val="22"/>
        </w:rPr>
        <w:instrText xml:space="preserve"> REF _Ref533679340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43</w:t>
      </w:r>
      <w:r w:rsidRPr="00CB093C">
        <w:rPr>
          <w:rFonts w:ascii="Arial" w:hAnsi="Arial" w:cs="Arial"/>
          <w:szCs w:val="22"/>
        </w:rPr>
        <w:fldChar w:fldCharType="end"/>
      </w:r>
      <w:r w:rsidRPr="00CB093C">
        <w:rPr>
          <w:rFonts w:ascii="Arial" w:hAnsi="Arial" w:cs="Arial"/>
          <w:szCs w:val="22"/>
        </w:rPr>
        <w:t xml:space="preserve">). In </w:t>
      </w:r>
      <w:r w:rsidR="003654C6">
        <w:rPr>
          <w:rFonts w:ascii="Arial" w:hAnsi="Arial" w:cs="Arial"/>
          <w:szCs w:val="22"/>
        </w:rPr>
        <w:t>2017–18</w:t>
      </w:r>
      <w:r w:rsidRPr="00CB093C">
        <w:rPr>
          <w:rFonts w:ascii="Arial" w:hAnsi="Arial" w:cs="Arial"/>
          <w:szCs w:val="22"/>
        </w:rPr>
        <w:t xml:space="preserve"> the proportion of seagrass species displaying colonising traits increased across all </w:t>
      </w:r>
      <w:r w:rsidR="007A70FE" w:rsidRPr="00CB093C">
        <w:rPr>
          <w:rFonts w:ascii="Arial" w:hAnsi="Arial" w:cs="Arial"/>
          <w:szCs w:val="22"/>
        </w:rPr>
        <w:t>habitats</w:t>
      </w:r>
      <w:r w:rsidRPr="00CB093C">
        <w:rPr>
          <w:rFonts w:ascii="Arial" w:hAnsi="Arial" w:cs="Arial"/>
          <w:szCs w:val="22"/>
        </w:rPr>
        <w:t xml:space="preserve"> except coastal subtidal</w:t>
      </w:r>
      <w:r w:rsidR="00D03E97" w:rsidRPr="00CB093C">
        <w:rPr>
          <w:rFonts w:ascii="Arial" w:hAnsi="Arial" w:cs="Arial"/>
          <w:szCs w:val="22"/>
        </w:rPr>
        <w:t xml:space="preserve"> where colonising species were replaced by opportunistic species (</w:t>
      </w:r>
      <w:r w:rsidR="00D03E97" w:rsidRPr="00CB093C">
        <w:rPr>
          <w:rFonts w:ascii="Arial" w:hAnsi="Arial" w:cs="Arial"/>
          <w:i/>
          <w:szCs w:val="22"/>
        </w:rPr>
        <w:t>Halodule uninervis</w:t>
      </w:r>
      <w:r w:rsidR="00D03E97" w:rsidRPr="00CB093C">
        <w:rPr>
          <w:rFonts w:ascii="Arial" w:hAnsi="Arial" w:cs="Arial"/>
          <w:szCs w:val="22"/>
        </w:rPr>
        <w:t>).</w:t>
      </w:r>
    </w:p>
    <w:p w14:paraId="569F5D96" w14:textId="77777777" w:rsidR="001B6AA0" w:rsidRPr="00CB093C" w:rsidRDefault="00AA7BCE" w:rsidP="00907D11">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lastRenderedPageBreak/>
        <w:drawing>
          <wp:inline distT="0" distB="0" distL="0" distR="0" wp14:anchorId="6DFFE969" wp14:editId="0D37C69A">
            <wp:extent cx="5400000" cy="1864800"/>
            <wp:effectExtent l="0" t="0" r="0" b="2540"/>
            <wp:docPr id="315" name="Picture 315" descr="Panel of three graphs showing proportion of total seagrass abundance composed of species displaying colonising traits (e.g. Halophila ovalis) in each inshore seagrass habitat (sites pooled) in the northern Wet Tropics region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WT_colonising_2016.png"/>
                    <pic:cNvPicPr/>
                  </pic:nvPicPr>
                  <pic:blipFill>
                    <a:blip r:embed="rId86"/>
                    <a:stretch>
                      <a:fillRect/>
                    </a:stretch>
                  </pic:blipFill>
                  <pic:spPr>
                    <a:xfrm>
                      <a:off x="0" y="0"/>
                      <a:ext cx="5400000" cy="1864800"/>
                    </a:xfrm>
                    <a:prstGeom prst="rect">
                      <a:avLst/>
                    </a:prstGeom>
                  </pic:spPr>
                </pic:pic>
              </a:graphicData>
            </a:graphic>
          </wp:inline>
        </w:drawing>
      </w:r>
    </w:p>
    <w:p w14:paraId="39F5AD3D" w14:textId="78ED2907" w:rsidR="0015251F" w:rsidRPr="00CB093C" w:rsidRDefault="001B6AA0" w:rsidP="0015251F">
      <w:pPr>
        <w:rPr>
          <w:rFonts w:ascii="Arial" w:hAnsi="Arial" w:cs="Arial"/>
          <w:i/>
          <w:iCs/>
          <w:vanish/>
          <w:szCs w:val="22"/>
          <w:lang w:eastAsia="en-AU"/>
          <w:specVanish/>
        </w:rPr>
      </w:pPr>
      <w:bookmarkStart w:id="301" w:name="_Ref380401548"/>
      <w:bookmarkStart w:id="302" w:name="_Toc6402807"/>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42</w:t>
      </w:r>
      <w:r w:rsidR="00C506C7" w:rsidRPr="00CB093C">
        <w:rPr>
          <w:rFonts w:ascii="Arial" w:hAnsi="Arial" w:cs="Arial"/>
          <w:noProof/>
          <w:szCs w:val="22"/>
        </w:rPr>
        <w:fldChar w:fldCharType="end"/>
      </w:r>
      <w:bookmarkEnd w:id="301"/>
      <w:r w:rsidRPr="00CB093C">
        <w:rPr>
          <w:rFonts w:ascii="Arial" w:hAnsi="Arial" w:cs="Arial"/>
          <w:szCs w:val="22"/>
        </w:rPr>
        <w:t xml:space="preserve">. </w:t>
      </w:r>
      <w:r w:rsidRPr="00CB093C">
        <w:rPr>
          <w:rFonts w:ascii="Arial" w:hAnsi="Arial" w:cs="Arial"/>
          <w:i/>
          <w:szCs w:val="22"/>
        </w:rPr>
        <w:t>Proportion of seagrass abundance composed of colonising species at inshore habitats</w:t>
      </w:r>
      <w:r w:rsidR="008E2E54" w:rsidRPr="00CB093C">
        <w:rPr>
          <w:rFonts w:ascii="Arial" w:hAnsi="Arial" w:cs="Arial"/>
          <w:i/>
          <w:szCs w:val="22"/>
        </w:rPr>
        <w:t xml:space="preserve"> in the </w:t>
      </w:r>
      <w:r w:rsidR="00255512" w:rsidRPr="00CB093C">
        <w:rPr>
          <w:rFonts w:ascii="Arial" w:hAnsi="Arial" w:cs="Arial"/>
          <w:i/>
          <w:szCs w:val="22"/>
        </w:rPr>
        <w:t xml:space="preserve">northern </w:t>
      </w:r>
      <w:r w:rsidR="008E2E54" w:rsidRPr="00CB093C">
        <w:rPr>
          <w:rFonts w:ascii="Arial" w:hAnsi="Arial" w:cs="Arial"/>
          <w:i/>
          <w:szCs w:val="22"/>
        </w:rPr>
        <w:t>Wet Tropics region, from the 2000</w:t>
      </w:r>
      <w:r w:rsidR="009203FC" w:rsidRPr="00CB093C">
        <w:rPr>
          <w:rFonts w:ascii="Arial" w:hAnsi="Arial" w:cs="Arial"/>
          <w:i/>
          <w:szCs w:val="22"/>
        </w:rPr>
        <w:t>–</w:t>
      </w:r>
      <w:r w:rsidR="0070001C" w:rsidRPr="00CB093C">
        <w:rPr>
          <w:rFonts w:ascii="Arial" w:hAnsi="Arial" w:cs="Arial"/>
          <w:i/>
          <w:szCs w:val="22"/>
        </w:rPr>
        <w:t>20</w:t>
      </w:r>
      <w:r w:rsidR="008E2E54" w:rsidRPr="00CB093C">
        <w:rPr>
          <w:rFonts w:ascii="Arial" w:hAnsi="Arial" w:cs="Arial"/>
          <w:i/>
          <w:szCs w:val="22"/>
        </w:rPr>
        <w:t xml:space="preserve">01 to the </w:t>
      </w:r>
      <w:r w:rsidR="003654C6">
        <w:rPr>
          <w:rFonts w:ascii="Arial" w:hAnsi="Arial" w:cs="Arial"/>
          <w:i/>
          <w:szCs w:val="22"/>
        </w:rPr>
        <w:t>2017–18</w:t>
      </w:r>
      <w:r w:rsidR="008E2E54" w:rsidRPr="00CB093C">
        <w:rPr>
          <w:rFonts w:ascii="Arial" w:hAnsi="Arial" w:cs="Arial"/>
          <w:i/>
          <w:szCs w:val="22"/>
        </w:rPr>
        <w:t xml:space="preserve"> reporting periods</w:t>
      </w:r>
      <w:r w:rsidRPr="00CB093C">
        <w:rPr>
          <w:rFonts w:ascii="Arial" w:hAnsi="Arial" w:cs="Arial"/>
          <w:i/>
          <w:szCs w:val="22"/>
        </w:rPr>
        <w:t>.</w:t>
      </w:r>
      <w:bookmarkEnd w:id="302"/>
      <w:r w:rsidR="0015251F" w:rsidRPr="00CB093C">
        <w:rPr>
          <w:rFonts w:ascii="Arial" w:hAnsi="Arial" w:cs="Arial"/>
          <w:i/>
          <w:szCs w:val="22"/>
          <w:lang w:eastAsia="en-AU"/>
        </w:rPr>
        <w:t xml:space="preserve"> </w:t>
      </w:r>
    </w:p>
    <w:p w14:paraId="47210A28" w14:textId="50D42567" w:rsidR="001B6AA0" w:rsidRPr="00CB093C" w:rsidRDefault="0015251F" w:rsidP="0015251F">
      <w:pPr>
        <w:rPr>
          <w:rFonts w:ascii="Arial" w:hAnsi="Arial" w:cs="Arial"/>
          <w:szCs w:val="22"/>
        </w:rPr>
      </w:pPr>
      <w:r w:rsidRPr="00CB093C">
        <w:rPr>
          <w:rFonts w:ascii="Arial" w:hAnsi="Arial" w:cs="Arial"/>
          <w:i/>
          <w:szCs w:val="22"/>
          <w:lang w:eastAsia="en-AU"/>
        </w:rPr>
        <w:t xml:space="preserve"> </w:t>
      </w:r>
      <w:r w:rsidR="001B6AA0" w:rsidRPr="00CB093C">
        <w:rPr>
          <w:rFonts w:ascii="Arial" w:hAnsi="Arial" w:cs="Arial"/>
          <w:i/>
          <w:szCs w:val="22"/>
        </w:rPr>
        <w:t xml:space="preserve">The dashed line represents the </w:t>
      </w:r>
      <w:r w:rsidR="003158FC" w:rsidRPr="00CB093C">
        <w:rPr>
          <w:rFonts w:ascii="Arial" w:hAnsi="Arial" w:cs="Arial"/>
          <w:i/>
          <w:szCs w:val="22"/>
        </w:rPr>
        <w:t>Reef</w:t>
      </w:r>
      <w:r w:rsidR="001B6AA0" w:rsidRPr="00CB093C">
        <w:rPr>
          <w:rFonts w:ascii="Arial" w:hAnsi="Arial" w:cs="Arial"/>
          <w:i/>
          <w:szCs w:val="22"/>
        </w:rPr>
        <w:t>-wide average for each habitat type.</w:t>
      </w:r>
      <w:r w:rsidR="001B6AA0" w:rsidRPr="00CB093C">
        <w:rPr>
          <w:rFonts w:ascii="Arial" w:hAnsi="Arial" w:cs="Arial"/>
          <w:szCs w:val="22"/>
        </w:rPr>
        <w:t xml:space="preserve"> </w:t>
      </w:r>
    </w:p>
    <w:p w14:paraId="789E92B4" w14:textId="2A32FFC5" w:rsidR="00135537" w:rsidRPr="00CB093C" w:rsidRDefault="00135537" w:rsidP="0015251F">
      <w:pPr>
        <w:rPr>
          <w:rFonts w:ascii="Arial" w:hAnsi="Arial" w:cs="Arial"/>
          <w:szCs w:val="22"/>
        </w:rPr>
      </w:pPr>
    </w:p>
    <w:p w14:paraId="499267DD" w14:textId="77777777" w:rsidR="00135537" w:rsidRPr="00CB093C" w:rsidRDefault="00135537" w:rsidP="00135537">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62E70D39" wp14:editId="5F17D7F3">
            <wp:extent cx="5948358" cy="1655549"/>
            <wp:effectExtent l="0" t="0" r="0" b="1905"/>
            <wp:docPr id="531" name="Picture 531" descr="Panel of four graphs showing proportion of total seagrass abundance composed of species displaying colonising traits (e.g. Halophila ovalis) in each inshore seagrass habitat (sites pooled) in the southern Wet Tropics region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WT_colonising_2016.png"/>
                    <pic:cNvPicPr/>
                  </pic:nvPicPr>
                  <pic:blipFill>
                    <a:blip r:embed="rId87"/>
                    <a:stretch>
                      <a:fillRect/>
                    </a:stretch>
                  </pic:blipFill>
                  <pic:spPr>
                    <a:xfrm>
                      <a:off x="0" y="0"/>
                      <a:ext cx="5948358" cy="1655549"/>
                    </a:xfrm>
                    <a:prstGeom prst="rect">
                      <a:avLst/>
                    </a:prstGeom>
                  </pic:spPr>
                </pic:pic>
              </a:graphicData>
            </a:graphic>
          </wp:inline>
        </w:drawing>
      </w:r>
    </w:p>
    <w:p w14:paraId="10A75F02" w14:textId="25BF7B8D" w:rsidR="00135537" w:rsidRPr="00CB093C" w:rsidRDefault="00135537" w:rsidP="00135537">
      <w:pPr>
        <w:pStyle w:val="Caption"/>
        <w:rPr>
          <w:rFonts w:ascii="Arial" w:hAnsi="Arial" w:cs="Arial"/>
          <w:i/>
          <w:iCs/>
          <w:vanish/>
          <w:szCs w:val="22"/>
          <w:lang w:eastAsia="en-AU"/>
          <w:specVanish/>
        </w:rPr>
      </w:pPr>
      <w:bookmarkStart w:id="303" w:name="_Ref533679340"/>
      <w:bookmarkStart w:id="304" w:name="_Toc6402808"/>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43</w:t>
      </w:r>
      <w:r w:rsidRPr="00CB093C">
        <w:rPr>
          <w:rFonts w:ascii="Arial" w:hAnsi="Arial" w:cs="Arial"/>
          <w:szCs w:val="22"/>
        </w:rPr>
        <w:fldChar w:fldCharType="end"/>
      </w:r>
      <w:bookmarkEnd w:id="303"/>
      <w:r w:rsidRPr="00CB093C">
        <w:rPr>
          <w:rFonts w:ascii="Arial" w:hAnsi="Arial" w:cs="Arial"/>
          <w:szCs w:val="22"/>
        </w:rPr>
        <w:t xml:space="preserve">. </w:t>
      </w:r>
      <w:r w:rsidRPr="00CB093C">
        <w:rPr>
          <w:rFonts w:ascii="Arial" w:hAnsi="Arial" w:cs="Arial"/>
          <w:i/>
          <w:szCs w:val="22"/>
        </w:rPr>
        <w:t xml:space="preserve">Proportion of seagrass abundance composed of colonising species at inshore habitats in the </w:t>
      </w:r>
      <w:r w:rsidR="00255512" w:rsidRPr="00CB093C">
        <w:rPr>
          <w:rFonts w:ascii="Arial" w:hAnsi="Arial" w:cs="Arial"/>
          <w:i/>
          <w:szCs w:val="22"/>
        </w:rPr>
        <w:t xml:space="preserve">southern </w:t>
      </w:r>
      <w:r w:rsidRPr="00CB093C">
        <w:rPr>
          <w:rFonts w:ascii="Arial" w:hAnsi="Arial" w:cs="Arial"/>
          <w:i/>
          <w:szCs w:val="22"/>
        </w:rPr>
        <w:t>Wet Tropics region, from the 2000</w:t>
      </w:r>
      <w:r w:rsidR="009203FC" w:rsidRPr="00CB093C">
        <w:rPr>
          <w:rFonts w:ascii="Arial" w:hAnsi="Arial" w:cs="Arial"/>
          <w:i/>
          <w:szCs w:val="22"/>
        </w:rPr>
        <w:t>–20</w:t>
      </w:r>
      <w:r w:rsidRPr="00CB093C">
        <w:rPr>
          <w:rFonts w:ascii="Arial" w:hAnsi="Arial" w:cs="Arial"/>
          <w:i/>
          <w:szCs w:val="22"/>
        </w:rPr>
        <w:t xml:space="preserve">01 to the </w:t>
      </w:r>
      <w:r w:rsidR="003654C6">
        <w:rPr>
          <w:rFonts w:ascii="Arial" w:hAnsi="Arial" w:cs="Arial"/>
          <w:i/>
          <w:szCs w:val="22"/>
        </w:rPr>
        <w:t>2017–18</w:t>
      </w:r>
      <w:r w:rsidRPr="00CB093C">
        <w:rPr>
          <w:rFonts w:ascii="Arial" w:hAnsi="Arial" w:cs="Arial"/>
          <w:i/>
          <w:szCs w:val="22"/>
        </w:rPr>
        <w:t xml:space="preserve"> reporting periods.</w:t>
      </w:r>
      <w:bookmarkEnd w:id="304"/>
      <w:r w:rsidRPr="00CB093C">
        <w:rPr>
          <w:rFonts w:ascii="Arial" w:hAnsi="Arial" w:cs="Arial"/>
          <w:i/>
          <w:szCs w:val="22"/>
          <w:lang w:eastAsia="en-AU"/>
        </w:rPr>
        <w:t xml:space="preserve"> </w:t>
      </w:r>
    </w:p>
    <w:p w14:paraId="7FF486DF" w14:textId="5A00D188" w:rsidR="00135537" w:rsidRPr="00CB093C" w:rsidRDefault="00135537" w:rsidP="00135537">
      <w:pPr>
        <w:rPr>
          <w:rFonts w:ascii="Arial" w:hAnsi="Arial" w:cs="Arial"/>
          <w:i/>
          <w:vanish/>
          <w:szCs w:val="22"/>
        </w:rPr>
      </w:pPr>
      <w:r w:rsidRPr="00CB093C">
        <w:rPr>
          <w:rFonts w:ascii="Arial" w:hAnsi="Arial" w:cs="Arial"/>
          <w:i/>
          <w:szCs w:val="22"/>
          <w:lang w:eastAsia="en-AU"/>
        </w:rPr>
        <w:t xml:space="preserve"> </w:t>
      </w:r>
      <w:r w:rsidRPr="00CB093C">
        <w:rPr>
          <w:rFonts w:ascii="Arial" w:hAnsi="Arial" w:cs="Arial"/>
          <w:i/>
          <w:szCs w:val="22"/>
        </w:rPr>
        <w:t xml:space="preserve">The dashed line represents the </w:t>
      </w:r>
      <w:r w:rsidR="003158FC" w:rsidRPr="00CB093C">
        <w:rPr>
          <w:rFonts w:ascii="Arial" w:hAnsi="Arial" w:cs="Arial"/>
          <w:i/>
          <w:szCs w:val="22"/>
        </w:rPr>
        <w:t>Reef</w:t>
      </w:r>
      <w:r w:rsidRPr="00CB093C">
        <w:rPr>
          <w:rFonts w:ascii="Arial" w:hAnsi="Arial" w:cs="Arial"/>
          <w:i/>
          <w:szCs w:val="22"/>
        </w:rPr>
        <w:t>-wide average for each habitat type.</w:t>
      </w:r>
      <w:r w:rsidRPr="00CB093C">
        <w:rPr>
          <w:rFonts w:ascii="Arial" w:hAnsi="Arial" w:cs="Arial"/>
          <w:szCs w:val="22"/>
        </w:rPr>
        <w:t xml:space="preserve"> </w:t>
      </w:r>
    </w:p>
    <w:p w14:paraId="018AEC28" w14:textId="77777777" w:rsidR="00135537" w:rsidRPr="00CB093C" w:rsidRDefault="00135537" w:rsidP="0015251F">
      <w:pPr>
        <w:rPr>
          <w:rFonts w:ascii="Arial" w:hAnsi="Arial" w:cs="Arial"/>
          <w:szCs w:val="22"/>
        </w:rPr>
      </w:pPr>
    </w:p>
    <w:p w14:paraId="598F853C" w14:textId="422FDA47" w:rsidR="001B6AA0" w:rsidRPr="00CB093C" w:rsidRDefault="005373CC" w:rsidP="00907D11">
      <w:pPr>
        <w:rPr>
          <w:rFonts w:ascii="Arial" w:hAnsi="Arial" w:cs="Arial"/>
          <w:szCs w:val="22"/>
          <w:lang w:val="en-US"/>
        </w:rPr>
      </w:pPr>
      <w:r w:rsidRPr="00CB093C">
        <w:rPr>
          <w:rFonts w:ascii="Arial" w:hAnsi="Arial" w:cs="Arial"/>
          <w:szCs w:val="22"/>
          <w:lang w:val="en-GB"/>
        </w:rPr>
        <w:t>S</w:t>
      </w:r>
      <w:r w:rsidR="005132EF" w:rsidRPr="00CB093C">
        <w:rPr>
          <w:rFonts w:ascii="Arial" w:hAnsi="Arial" w:cs="Arial"/>
          <w:szCs w:val="22"/>
          <w:lang w:val="en-US"/>
        </w:rPr>
        <w:t xml:space="preserve">eagrass meadow </w:t>
      </w:r>
      <w:r w:rsidR="00B07165" w:rsidRPr="00CB093C">
        <w:rPr>
          <w:rFonts w:ascii="Arial" w:hAnsi="Arial" w:cs="Arial"/>
          <w:szCs w:val="22"/>
          <w:lang w:val="en-US"/>
        </w:rPr>
        <w:t>extent</w:t>
      </w:r>
      <w:r w:rsidR="005132EF" w:rsidRPr="00CB093C">
        <w:rPr>
          <w:rFonts w:ascii="Arial" w:hAnsi="Arial" w:cs="Arial"/>
          <w:szCs w:val="22"/>
          <w:lang w:val="en-US"/>
        </w:rPr>
        <w:t xml:space="preserve"> within all monitoring sites </w:t>
      </w:r>
      <w:r w:rsidR="00B07165" w:rsidRPr="00CB093C">
        <w:rPr>
          <w:rFonts w:ascii="Arial" w:hAnsi="Arial" w:cs="Arial"/>
          <w:szCs w:val="22"/>
          <w:lang w:val="en-US"/>
        </w:rPr>
        <w:t>has</w:t>
      </w:r>
      <w:r w:rsidR="00A14B33" w:rsidRPr="00CB093C">
        <w:rPr>
          <w:rFonts w:ascii="Arial" w:hAnsi="Arial" w:cs="Arial"/>
          <w:szCs w:val="22"/>
          <w:lang w:val="en-US"/>
        </w:rPr>
        <w:t xml:space="preserve"> fluctuated within and between years (</w:t>
      </w:r>
      <w:r w:rsidR="004A743E" w:rsidRPr="00CB093C">
        <w:rPr>
          <w:rFonts w:ascii="Arial" w:hAnsi="Arial" w:cs="Arial"/>
          <w:szCs w:val="22"/>
          <w:lang w:val="en-US"/>
        </w:rPr>
        <w:fldChar w:fldCharType="begin"/>
      </w:r>
      <w:r w:rsidR="004A743E" w:rsidRPr="00CB093C">
        <w:rPr>
          <w:rFonts w:ascii="Arial" w:hAnsi="Arial" w:cs="Arial"/>
          <w:szCs w:val="22"/>
          <w:lang w:val="en-US"/>
        </w:rPr>
        <w:instrText xml:space="preserve"> REF _Ref382149718 \h </w:instrText>
      </w:r>
      <w:r w:rsidR="00015190" w:rsidRPr="00CB093C">
        <w:rPr>
          <w:rFonts w:ascii="Arial" w:hAnsi="Arial" w:cs="Arial"/>
          <w:szCs w:val="22"/>
          <w:lang w:val="en-US"/>
        </w:rPr>
        <w:instrText xml:space="preserve"> \* MERGEFORMAT </w:instrText>
      </w:r>
      <w:r w:rsidR="004A743E" w:rsidRPr="00CB093C">
        <w:rPr>
          <w:rFonts w:ascii="Arial" w:hAnsi="Arial" w:cs="Arial"/>
          <w:szCs w:val="22"/>
          <w:lang w:val="en-US"/>
        </w:rPr>
      </w:r>
      <w:r w:rsidR="004A743E"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44</w:t>
      </w:r>
      <w:r w:rsidR="004A743E" w:rsidRPr="00CB093C">
        <w:rPr>
          <w:rFonts w:ascii="Arial" w:hAnsi="Arial" w:cs="Arial"/>
          <w:szCs w:val="22"/>
          <w:lang w:val="en-US"/>
        </w:rPr>
        <w:fldChar w:fldCharType="end"/>
      </w:r>
      <w:r w:rsidR="00A14B33" w:rsidRPr="00CB093C">
        <w:rPr>
          <w:rFonts w:ascii="Arial" w:hAnsi="Arial" w:cs="Arial"/>
          <w:szCs w:val="22"/>
          <w:lang w:val="en-US"/>
        </w:rPr>
        <w:t>)</w:t>
      </w:r>
      <w:r w:rsidR="00B07165" w:rsidRPr="00CB093C">
        <w:rPr>
          <w:rFonts w:ascii="Arial" w:hAnsi="Arial" w:cs="Arial"/>
          <w:szCs w:val="22"/>
          <w:lang w:val="en-US"/>
        </w:rPr>
        <w:t xml:space="preserve">. At </w:t>
      </w:r>
      <w:r w:rsidR="00367DBD" w:rsidRPr="00CB093C">
        <w:rPr>
          <w:rFonts w:ascii="Arial" w:hAnsi="Arial" w:cs="Arial"/>
          <w:szCs w:val="22"/>
          <w:lang w:val="en-US"/>
        </w:rPr>
        <w:t>intertidal coastal and reef</w:t>
      </w:r>
      <w:r w:rsidR="004D138D" w:rsidRPr="00CB093C">
        <w:rPr>
          <w:rFonts w:ascii="Arial" w:hAnsi="Arial" w:cs="Arial"/>
          <w:szCs w:val="22"/>
          <w:lang w:val="en-US"/>
        </w:rPr>
        <w:t xml:space="preserve"> </w:t>
      </w:r>
      <w:r w:rsidR="005E471F" w:rsidRPr="00CB093C">
        <w:rPr>
          <w:rFonts w:ascii="Arial" w:hAnsi="Arial" w:cs="Arial"/>
          <w:szCs w:val="22"/>
          <w:lang w:val="en-US"/>
        </w:rPr>
        <w:t xml:space="preserve">habitats </w:t>
      </w:r>
      <w:r w:rsidR="00C63FF1" w:rsidRPr="00CB093C">
        <w:rPr>
          <w:rFonts w:ascii="Arial" w:hAnsi="Arial" w:cs="Arial"/>
          <w:szCs w:val="22"/>
          <w:lang w:val="en-US"/>
        </w:rPr>
        <w:t>in</w:t>
      </w:r>
      <w:r w:rsidR="005E471F" w:rsidRPr="00CB093C">
        <w:rPr>
          <w:rFonts w:ascii="Arial" w:hAnsi="Arial" w:cs="Arial"/>
          <w:szCs w:val="22"/>
          <w:lang w:val="en-US"/>
        </w:rPr>
        <w:t xml:space="preserve"> the northern Wet Tropics</w:t>
      </w:r>
      <w:r w:rsidR="00B07165" w:rsidRPr="00CB093C">
        <w:rPr>
          <w:rFonts w:ascii="Arial" w:hAnsi="Arial" w:cs="Arial"/>
          <w:szCs w:val="22"/>
          <w:lang w:val="en-US"/>
        </w:rPr>
        <w:t xml:space="preserve">, </w:t>
      </w:r>
      <w:r w:rsidR="005E471F" w:rsidRPr="00CB093C">
        <w:rPr>
          <w:rFonts w:ascii="Arial" w:hAnsi="Arial" w:cs="Arial"/>
          <w:szCs w:val="22"/>
          <w:lang w:val="en-US"/>
        </w:rPr>
        <w:t>meadow</w:t>
      </w:r>
      <w:r w:rsidR="00B07165" w:rsidRPr="00CB093C">
        <w:rPr>
          <w:rFonts w:ascii="Arial" w:hAnsi="Arial" w:cs="Arial"/>
          <w:szCs w:val="22"/>
          <w:lang w:val="en-US"/>
        </w:rPr>
        <w:t xml:space="preserve"> extent has gradual</w:t>
      </w:r>
      <w:r w:rsidR="004D138D" w:rsidRPr="00CB093C">
        <w:rPr>
          <w:rFonts w:ascii="Arial" w:hAnsi="Arial" w:cs="Arial"/>
          <w:szCs w:val="22"/>
          <w:lang w:val="en-US"/>
        </w:rPr>
        <w:t xml:space="preserve">ly improved since 2011 and </w:t>
      </w:r>
      <w:r w:rsidR="00D03E97" w:rsidRPr="00CB093C">
        <w:rPr>
          <w:rFonts w:ascii="Arial" w:hAnsi="Arial" w:cs="Arial"/>
          <w:szCs w:val="22"/>
          <w:lang w:val="en-US"/>
        </w:rPr>
        <w:t xml:space="preserve">although relatively stable on reefs since 2015, has increased to </w:t>
      </w:r>
      <w:r w:rsidR="00B07165" w:rsidRPr="00CB093C">
        <w:rPr>
          <w:rFonts w:ascii="Arial" w:hAnsi="Arial" w:cs="Arial"/>
          <w:szCs w:val="22"/>
          <w:lang w:val="en-US"/>
        </w:rPr>
        <w:t xml:space="preserve">the greatest extent </w:t>
      </w:r>
      <w:r w:rsidR="00D03E97" w:rsidRPr="00CB093C">
        <w:rPr>
          <w:rFonts w:ascii="Arial" w:hAnsi="Arial" w:cs="Arial"/>
          <w:szCs w:val="22"/>
          <w:lang w:val="en-US"/>
        </w:rPr>
        <w:t>at coastal habitats</w:t>
      </w:r>
      <w:r w:rsidR="00A76A80" w:rsidRPr="00CB093C">
        <w:rPr>
          <w:rFonts w:ascii="Arial" w:hAnsi="Arial" w:cs="Arial"/>
          <w:szCs w:val="22"/>
          <w:lang w:val="en-US"/>
        </w:rPr>
        <w:t>.</w:t>
      </w:r>
      <w:r w:rsidR="00791A68" w:rsidRPr="00CB093C">
        <w:rPr>
          <w:rFonts w:ascii="Arial" w:hAnsi="Arial" w:cs="Arial"/>
          <w:szCs w:val="22"/>
          <w:lang w:val="en-US"/>
        </w:rPr>
        <w:t xml:space="preserve"> </w:t>
      </w:r>
      <w:r w:rsidR="007A70FE" w:rsidRPr="00CB093C">
        <w:rPr>
          <w:rFonts w:ascii="Arial" w:hAnsi="Arial" w:cs="Arial"/>
          <w:szCs w:val="22"/>
          <w:lang w:val="en-US"/>
        </w:rPr>
        <w:t>Subtidal</w:t>
      </w:r>
      <w:r w:rsidR="005E471F" w:rsidRPr="00CB093C">
        <w:rPr>
          <w:rFonts w:ascii="Arial" w:hAnsi="Arial" w:cs="Arial"/>
          <w:szCs w:val="22"/>
          <w:lang w:val="en-US"/>
        </w:rPr>
        <w:t xml:space="preserve"> reef meadows in</w:t>
      </w:r>
      <w:r w:rsidR="007A70FE" w:rsidRPr="00CB093C">
        <w:rPr>
          <w:rFonts w:ascii="Arial" w:hAnsi="Arial" w:cs="Arial"/>
          <w:szCs w:val="22"/>
          <w:lang w:val="en-US"/>
        </w:rPr>
        <w:t xml:space="preserve"> </w:t>
      </w:r>
      <w:r w:rsidR="005E471F" w:rsidRPr="00CB093C">
        <w:rPr>
          <w:rFonts w:ascii="Arial" w:hAnsi="Arial" w:cs="Arial"/>
          <w:szCs w:val="22"/>
          <w:lang w:val="en-US"/>
        </w:rPr>
        <w:t>t</w:t>
      </w:r>
      <w:r w:rsidR="007A70FE" w:rsidRPr="00CB093C">
        <w:rPr>
          <w:rFonts w:ascii="Arial" w:hAnsi="Arial" w:cs="Arial"/>
          <w:szCs w:val="22"/>
          <w:lang w:val="en-US"/>
        </w:rPr>
        <w:t>he</w:t>
      </w:r>
      <w:r w:rsidR="005E471F" w:rsidRPr="00CB093C">
        <w:rPr>
          <w:rFonts w:ascii="Arial" w:hAnsi="Arial" w:cs="Arial"/>
          <w:szCs w:val="22"/>
          <w:lang w:val="en-US"/>
        </w:rPr>
        <w:t xml:space="preserve"> north increased in </w:t>
      </w:r>
      <w:r w:rsidR="003654C6">
        <w:rPr>
          <w:rFonts w:ascii="Arial" w:hAnsi="Arial" w:cs="Arial"/>
          <w:szCs w:val="22"/>
          <w:lang w:val="en-US"/>
        </w:rPr>
        <w:t>2017–18</w:t>
      </w:r>
      <w:r w:rsidR="005E471F" w:rsidRPr="00CB093C">
        <w:rPr>
          <w:rFonts w:ascii="Arial" w:hAnsi="Arial" w:cs="Arial"/>
          <w:szCs w:val="22"/>
          <w:lang w:val="en-US"/>
        </w:rPr>
        <w:t>, but still remain below greatest extent achieved in late 2015.</w:t>
      </w:r>
    </w:p>
    <w:p w14:paraId="71F72D6E" w14:textId="77777777" w:rsidR="001B6AA0" w:rsidRPr="00CB093C" w:rsidRDefault="001E0449" w:rsidP="00907D11">
      <w:pPr>
        <w:keepNext/>
        <w:widowControl w:val="0"/>
        <w:spacing w:before="0" w:after="0"/>
        <w:jc w:val="center"/>
        <w:rPr>
          <w:rFonts w:ascii="Arial" w:hAnsi="Arial" w:cs="Arial"/>
          <w:szCs w:val="22"/>
          <w:lang w:val="en-US"/>
        </w:rPr>
      </w:pPr>
      <w:r w:rsidRPr="00CB093C">
        <w:rPr>
          <w:rFonts w:ascii="Arial" w:hAnsi="Arial" w:cs="Arial"/>
          <w:noProof/>
          <w:szCs w:val="22"/>
          <w:lang w:val="en-US"/>
        </w:rPr>
        <w:lastRenderedPageBreak/>
        <w:drawing>
          <wp:inline distT="0" distB="0" distL="0" distR="0" wp14:anchorId="5B51717E" wp14:editId="10CEB0A3">
            <wp:extent cx="4097109" cy="1825123"/>
            <wp:effectExtent l="0" t="0" r="0" b="3810"/>
            <wp:docPr id="229" name="Picture 229" descr="Line graph showing spatial extent of seagrass meadows within a 100m radius of monitoring sites for each habitat and monitoring period across the northern Wet Tropics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WT_extent_avg_2016.png"/>
                    <pic:cNvPicPr/>
                  </pic:nvPicPr>
                  <pic:blipFill>
                    <a:blip r:embed="rId88">
                      <a:extLst>
                        <a:ext uri="{28A0092B-C50C-407E-A947-70E740481C1C}">
                          <a14:useLocalDpi xmlns:a14="http://schemas.microsoft.com/office/drawing/2010/main" val="0"/>
                        </a:ext>
                      </a:extLst>
                    </a:blip>
                    <a:stretch>
                      <a:fillRect/>
                    </a:stretch>
                  </pic:blipFill>
                  <pic:spPr>
                    <a:xfrm>
                      <a:off x="0" y="0"/>
                      <a:ext cx="4097109" cy="1825123"/>
                    </a:xfrm>
                    <a:prstGeom prst="rect">
                      <a:avLst/>
                    </a:prstGeom>
                  </pic:spPr>
                </pic:pic>
              </a:graphicData>
            </a:graphic>
          </wp:inline>
        </w:drawing>
      </w:r>
    </w:p>
    <w:p w14:paraId="3296BE9C" w14:textId="4CC608B4" w:rsidR="003A14DB" w:rsidRPr="00CB093C" w:rsidRDefault="006307D2" w:rsidP="00907D11">
      <w:pPr>
        <w:rPr>
          <w:rFonts w:ascii="Arial" w:hAnsi="Arial" w:cs="Arial"/>
          <w:i/>
          <w:szCs w:val="22"/>
        </w:rPr>
      </w:pPr>
      <w:bookmarkStart w:id="305" w:name="_Ref382149718"/>
      <w:bookmarkStart w:id="306" w:name="_Toc431493843"/>
      <w:bookmarkStart w:id="307" w:name="_Toc6402809"/>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44</w:t>
      </w:r>
      <w:r w:rsidR="0073595B" w:rsidRPr="00CB093C">
        <w:rPr>
          <w:rFonts w:ascii="Arial" w:hAnsi="Arial" w:cs="Arial"/>
          <w:szCs w:val="22"/>
        </w:rPr>
        <w:fldChar w:fldCharType="end"/>
      </w:r>
      <w:bookmarkEnd w:id="305"/>
      <w:r w:rsidRPr="00CB093C">
        <w:rPr>
          <w:rFonts w:ascii="Arial" w:hAnsi="Arial" w:cs="Arial"/>
          <w:szCs w:val="22"/>
        </w:rPr>
        <w:t xml:space="preserve">. </w:t>
      </w:r>
      <w:r w:rsidRPr="00CB093C">
        <w:rPr>
          <w:rFonts w:ascii="Arial" w:hAnsi="Arial" w:cs="Arial"/>
          <w:i/>
          <w:szCs w:val="22"/>
        </w:rPr>
        <w:t xml:space="preserve">Change in </w:t>
      </w:r>
      <w:r w:rsidR="00DB7C40" w:rsidRPr="00CB093C">
        <w:rPr>
          <w:rFonts w:ascii="Arial" w:hAnsi="Arial" w:cs="Arial"/>
          <w:i/>
          <w:szCs w:val="22"/>
        </w:rPr>
        <w:t xml:space="preserve">relative </w:t>
      </w:r>
      <w:r w:rsidRPr="00CB093C">
        <w:rPr>
          <w:rFonts w:ascii="Arial" w:hAnsi="Arial" w:cs="Arial"/>
          <w:i/>
          <w:szCs w:val="22"/>
        </w:rPr>
        <w:t xml:space="preserve">spatial extent </w:t>
      </w:r>
      <w:r w:rsidR="001661BD" w:rsidRPr="00CB093C">
        <w:rPr>
          <w:rFonts w:ascii="Arial" w:hAnsi="Arial" w:cs="Arial"/>
          <w:i/>
          <w:szCs w:val="22"/>
        </w:rPr>
        <w:t xml:space="preserve">(±SE) </w:t>
      </w:r>
      <w:r w:rsidRPr="00CB093C">
        <w:rPr>
          <w:rFonts w:ascii="Arial" w:hAnsi="Arial" w:cs="Arial"/>
          <w:i/>
          <w:szCs w:val="22"/>
        </w:rPr>
        <w:t xml:space="preserve">of seagrass meadows within monitoring sites for each habitat and monitoring period across the </w:t>
      </w:r>
      <w:r w:rsidR="00367DBD" w:rsidRPr="00CB093C">
        <w:rPr>
          <w:rFonts w:ascii="Arial" w:hAnsi="Arial" w:cs="Arial"/>
          <w:i/>
          <w:szCs w:val="22"/>
        </w:rPr>
        <w:t xml:space="preserve">northern </w:t>
      </w:r>
      <w:r w:rsidRPr="00CB093C">
        <w:rPr>
          <w:rFonts w:ascii="Arial" w:hAnsi="Arial" w:cs="Arial"/>
          <w:i/>
          <w:szCs w:val="22"/>
        </w:rPr>
        <w:t xml:space="preserve">Wet Tropics </w:t>
      </w:r>
      <w:r w:rsidR="00DB7C40" w:rsidRPr="00CB093C">
        <w:rPr>
          <w:rFonts w:ascii="Arial" w:hAnsi="Arial" w:cs="Arial"/>
          <w:i/>
          <w:szCs w:val="22"/>
        </w:rPr>
        <w:t xml:space="preserve">NRM </w:t>
      </w:r>
      <w:r w:rsidRPr="00CB093C">
        <w:rPr>
          <w:rFonts w:ascii="Arial" w:hAnsi="Arial" w:cs="Arial"/>
          <w:i/>
          <w:szCs w:val="22"/>
        </w:rPr>
        <w:t>region.</w:t>
      </w:r>
      <w:bookmarkEnd w:id="306"/>
      <w:bookmarkEnd w:id="307"/>
    </w:p>
    <w:p w14:paraId="1D200BCD" w14:textId="1166C788" w:rsidR="005E471F" w:rsidRPr="00CB093C" w:rsidRDefault="005E471F" w:rsidP="00907D11">
      <w:pPr>
        <w:rPr>
          <w:rFonts w:ascii="Arial" w:hAnsi="Arial" w:cs="Arial"/>
          <w:szCs w:val="22"/>
        </w:rPr>
      </w:pPr>
    </w:p>
    <w:p w14:paraId="5B69FF66" w14:textId="1F9335B1" w:rsidR="005E471F" w:rsidRPr="00CB093C" w:rsidRDefault="005E471F" w:rsidP="00907D11">
      <w:pPr>
        <w:rPr>
          <w:rFonts w:ascii="Arial" w:hAnsi="Arial" w:cs="Arial"/>
          <w:szCs w:val="22"/>
          <w:lang w:val="en-GB"/>
        </w:rPr>
      </w:pPr>
      <w:r w:rsidRPr="00CB093C">
        <w:rPr>
          <w:rFonts w:ascii="Arial" w:hAnsi="Arial" w:cs="Arial"/>
          <w:szCs w:val="22"/>
          <w:lang w:val="en-GB"/>
        </w:rPr>
        <w:t xml:space="preserve">In the southern Wet Tropics, all seagrass meadows were lost in early 2011 as a consequence of </w:t>
      </w:r>
      <w:r w:rsidR="002122EA" w:rsidRPr="00CB093C">
        <w:rPr>
          <w:rFonts w:ascii="Arial" w:hAnsi="Arial" w:cs="Arial"/>
          <w:szCs w:val="22"/>
          <w:lang w:val="en-GB"/>
        </w:rPr>
        <w:t xml:space="preserve">cyclone </w:t>
      </w:r>
      <w:r w:rsidRPr="00CB093C">
        <w:rPr>
          <w:rFonts w:ascii="Arial" w:hAnsi="Arial" w:cs="Arial"/>
          <w:szCs w:val="22"/>
          <w:lang w:val="en-GB"/>
        </w:rPr>
        <w:t>Yasi</w:t>
      </w:r>
      <w:r w:rsidR="00757B75" w:rsidRPr="00CB093C">
        <w:rPr>
          <w:rFonts w:ascii="Arial" w:hAnsi="Arial" w:cs="Arial"/>
          <w:szCs w:val="22"/>
          <w:lang w:val="en-GB"/>
        </w:rPr>
        <w:t xml:space="preserve"> (</w:t>
      </w:r>
      <w:r w:rsidR="00757B75" w:rsidRPr="00CB093C">
        <w:rPr>
          <w:rFonts w:ascii="Arial" w:hAnsi="Arial" w:cs="Arial"/>
          <w:szCs w:val="22"/>
          <w:lang w:val="en-GB"/>
        </w:rPr>
        <w:fldChar w:fldCharType="begin"/>
      </w:r>
      <w:r w:rsidR="00757B75" w:rsidRPr="00CB093C">
        <w:rPr>
          <w:rFonts w:ascii="Arial" w:hAnsi="Arial" w:cs="Arial"/>
          <w:szCs w:val="22"/>
          <w:lang w:val="en-GB"/>
        </w:rPr>
        <w:instrText xml:space="preserve"> REF _Ref533680846 \h </w:instrText>
      </w:r>
      <w:r w:rsidR="00CB093C" w:rsidRPr="00CB093C">
        <w:rPr>
          <w:rFonts w:ascii="Arial" w:hAnsi="Arial" w:cs="Arial"/>
          <w:szCs w:val="22"/>
          <w:lang w:val="en-GB"/>
        </w:rPr>
        <w:instrText xml:space="preserve"> \* MERGEFORMAT </w:instrText>
      </w:r>
      <w:r w:rsidR="00757B75" w:rsidRPr="00CB093C">
        <w:rPr>
          <w:rFonts w:ascii="Arial" w:hAnsi="Arial" w:cs="Arial"/>
          <w:szCs w:val="22"/>
          <w:lang w:val="en-GB"/>
        </w:rPr>
      </w:r>
      <w:r w:rsidR="00757B75"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45</w:t>
      </w:r>
      <w:r w:rsidR="00757B75" w:rsidRPr="00CB093C">
        <w:rPr>
          <w:rFonts w:ascii="Arial" w:hAnsi="Arial" w:cs="Arial"/>
          <w:szCs w:val="22"/>
          <w:lang w:val="en-GB"/>
        </w:rPr>
        <w:fldChar w:fldCharType="end"/>
      </w:r>
      <w:r w:rsidR="00757B75" w:rsidRPr="00CB093C">
        <w:rPr>
          <w:rFonts w:ascii="Arial" w:hAnsi="Arial" w:cs="Arial"/>
          <w:szCs w:val="22"/>
          <w:lang w:val="en-GB"/>
        </w:rPr>
        <w:t>)</w:t>
      </w:r>
      <w:r w:rsidRPr="00CB093C">
        <w:rPr>
          <w:rFonts w:ascii="Arial" w:hAnsi="Arial" w:cs="Arial"/>
          <w:szCs w:val="22"/>
          <w:lang w:val="en-GB"/>
        </w:rPr>
        <w:t xml:space="preserve">. Since then, intertidal reef meadows have progressively improved, with the greatest extent </w:t>
      </w:r>
      <w:r w:rsidR="00C63FF1" w:rsidRPr="00CB093C">
        <w:rPr>
          <w:rFonts w:ascii="Arial" w:hAnsi="Arial" w:cs="Arial"/>
          <w:szCs w:val="22"/>
          <w:lang w:val="en-GB"/>
        </w:rPr>
        <w:t xml:space="preserve">since 2011 </w:t>
      </w:r>
      <w:r w:rsidRPr="00CB093C">
        <w:rPr>
          <w:rFonts w:ascii="Arial" w:hAnsi="Arial" w:cs="Arial"/>
          <w:szCs w:val="22"/>
          <w:lang w:val="en-GB"/>
        </w:rPr>
        <w:t xml:space="preserve">measured in </w:t>
      </w:r>
      <w:r w:rsidR="003654C6">
        <w:rPr>
          <w:rFonts w:ascii="Arial" w:hAnsi="Arial" w:cs="Arial"/>
          <w:szCs w:val="22"/>
          <w:lang w:val="en-GB"/>
        </w:rPr>
        <w:t>2017–18</w:t>
      </w:r>
      <w:r w:rsidRPr="00CB093C">
        <w:rPr>
          <w:rFonts w:ascii="Arial" w:hAnsi="Arial" w:cs="Arial"/>
          <w:szCs w:val="22"/>
          <w:lang w:val="en-GB"/>
        </w:rPr>
        <w:t xml:space="preserve">. At intertidal coastal habitats, the meadows have not improved, with occasional isolated patches colonising from time to time, but not establishing. The greatest fluctuation in extent has occurred in subtidal reef meadows, which established in 2014, but after rapidly expanding have sharply declined. In </w:t>
      </w:r>
      <w:r w:rsidR="003654C6">
        <w:rPr>
          <w:rFonts w:ascii="Arial" w:hAnsi="Arial" w:cs="Arial"/>
          <w:szCs w:val="22"/>
          <w:lang w:val="en-GB"/>
        </w:rPr>
        <w:t>2017–18</w:t>
      </w:r>
      <w:r w:rsidRPr="00CB093C">
        <w:rPr>
          <w:rFonts w:ascii="Arial" w:hAnsi="Arial" w:cs="Arial"/>
          <w:szCs w:val="22"/>
          <w:lang w:val="en-GB"/>
        </w:rPr>
        <w:t>, only a few small isolated patches of seagrass remained of the subtidal reef meadows.</w:t>
      </w:r>
    </w:p>
    <w:p w14:paraId="38BBED63" w14:textId="77777777" w:rsidR="00367DBD" w:rsidRPr="00CB093C" w:rsidRDefault="00367DBD" w:rsidP="00367DBD">
      <w:pPr>
        <w:keepNext/>
        <w:widowControl w:val="0"/>
        <w:spacing w:before="0" w:after="0"/>
        <w:jc w:val="center"/>
        <w:rPr>
          <w:rFonts w:ascii="Arial" w:hAnsi="Arial" w:cs="Arial"/>
          <w:szCs w:val="22"/>
          <w:lang w:val="en-US"/>
        </w:rPr>
      </w:pPr>
      <w:bookmarkStart w:id="308" w:name="_Toc184101986"/>
      <w:r w:rsidRPr="00CB093C">
        <w:rPr>
          <w:rFonts w:ascii="Arial" w:hAnsi="Arial" w:cs="Arial"/>
          <w:noProof/>
          <w:szCs w:val="22"/>
          <w:lang w:val="en-US"/>
        </w:rPr>
        <w:drawing>
          <wp:inline distT="0" distB="0" distL="0" distR="0" wp14:anchorId="2E63C55E" wp14:editId="23818888">
            <wp:extent cx="4097109" cy="1825122"/>
            <wp:effectExtent l="0" t="0" r="0" b="3810"/>
            <wp:docPr id="2" name="Picture 2" descr="Line graph showing spatial extent of seagrass meadows within a 100m radius of monitoring sites for each habitat and monitoring period across the southern Wet Tropics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WT_extent_avg_2016.png"/>
                    <pic:cNvPicPr/>
                  </pic:nvPicPr>
                  <pic:blipFill>
                    <a:blip r:embed="rId89">
                      <a:extLst>
                        <a:ext uri="{28A0092B-C50C-407E-A947-70E740481C1C}">
                          <a14:useLocalDpi xmlns:a14="http://schemas.microsoft.com/office/drawing/2010/main" val="0"/>
                        </a:ext>
                      </a:extLst>
                    </a:blip>
                    <a:stretch>
                      <a:fillRect/>
                    </a:stretch>
                  </pic:blipFill>
                  <pic:spPr>
                    <a:xfrm>
                      <a:off x="0" y="0"/>
                      <a:ext cx="4097109" cy="1825122"/>
                    </a:xfrm>
                    <a:prstGeom prst="rect">
                      <a:avLst/>
                    </a:prstGeom>
                  </pic:spPr>
                </pic:pic>
              </a:graphicData>
            </a:graphic>
          </wp:inline>
        </w:drawing>
      </w:r>
    </w:p>
    <w:p w14:paraId="1C8ED3E5" w14:textId="609CCFB2" w:rsidR="00367DBD" w:rsidRPr="00CB093C" w:rsidRDefault="00367DBD" w:rsidP="00367DBD">
      <w:pPr>
        <w:rPr>
          <w:rFonts w:ascii="Arial" w:hAnsi="Arial" w:cs="Arial"/>
          <w:i/>
          <w:szCs w:val="22"/>
        </w:rPr>
      </w:pPr>
      <w:bookmarkStart w:id="309" w:name="_Ref533680846"/>
      <w:bookmarkStart w:id="310" w:name="_Toc6402810"/>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45</w:t>
      </w:r>
      <w:r w:rsidRPr="00CB093C">
        <w:rPr>
          <w:rFonts w:ascii="Arial" w:hAnsi="Arial" w:cs="Arial"/>
          <w:szCs w:val="22"/>
        </w:rPr>
        <w:fldChar w:fldCharType="end"/>
      </w:r>
      <w:bookmarkEnd w:id="309"/>
      <w:r w:rsidRPr="00CB093C">
        <w:rPr>
          <w:rFonts w:ascii="Arial" w:hAnsi="Arial" w:cs="Arial"/>
          <w:szCs w:val="22"/>
        </w:rPr>
        <w:t xml:space="preserve">. </w:t>
      </w:r>
      <w:r w:rsidRPr="00CB093C">
        <w:rPr>
          <w:rFonts w:ascii="Arial" w:hAnsi="Arial" w:cs="Arial"/>
          <w:i/>
          <w:szCs w:val="22"/>
        </w:rPr>
        <w:t>Change in relative spatial extent (±SE) of seagrass meadows within monitoring sites for each habitat and monitoring period across the southern Wet Tropics NRM region.</w:t>
      </w:r>
      <w:bookmarkEnd w:id="310"/>
    </w:p>
    <w:p w14:paraId="59BC8F45" w14:textId="77777777" w:rsidR="00367DBD" w:rsidRPr="00CB093C" w:rsidRDefault="00367DBD" w:rsidP="00907D11">
      <w:pPr>
        <w:rPr>
          <w:rFonts w:ascii="Arial" w:hAnsi="Arial" w:cs="Arial"/>
          <w:szCs w:val="22"/>
          <w:lang w:val="en-GB"/>
        </w:rPr>
      </w:pPr>
    </w:p>
    <w:p w14:paraId="62ADD996" w14:textId="7CF5996F" w:rsidR="00F35D52" w:rsidRPr="00CB093C" w:rsidRDefault="00F35D52" w:rsidP="000F3AC4">
      <w:pPr>
        <w:pStyle w:val="Heading3"/>
        <w:numPr>
          <w:ilvl w:val="3"/>
          <w:numId w:val="4"/>
        </w:numPr>
        <w:rPr>
          <w:rFonts w:ascii="Arial" w:hAnsi="Arial" w:cs="Arial"/>
          <w:b w:val="0"/>
          <w:i/>
          <w:color w:val="000000"/>
          <w:sz w:val="22"/>
          <w:szCs w:val="22"/>
        </w:rPr>
      </w:pPr>
      <w:bookmarkStart w:id="311" w:name="_Toc11394739"/>
      <w:bookmarkEnd w:id="308"/>
      <w:r w:rsidRPr="00CB093C">
        <w:rPr>
          <w:rFonts w:ascii="Arial" w:hAnsi="Arial" w:cs="Arial"/>
          <w:b w:val="0"/>
          <w:i/>
          <w:color w:val="000000"/>
          <w:sz w:val="22"/>
          <w:szCs w:val="22"/>
        </w:rPr>
        <w:t>Seagrass reproductive status</w:t>
      </w:r>
      <w:bookmarkEnd w:id="311"/>
    </w:p>
    <w:p w14:paraId="67F959CC" w14:textId="52BAA63E" w:rsidR="001B6AA0" w:rsidRPr="00CB093C" w:rsidRDefault="00747DB8" w:rsidP="00EF746E">
      <w:pPr>
        <w:rPr>
          <w:rFonts w:ascii="Arial" w:hAnsi="Arial" w:cs="Arial"/>
          <w:szCs w:val="22"/>
        </w:rPr>
      </w:pPr>
      <w:r w:rsidRPr="00CB093C">
        <w:rPr>
          <w:rFonts w:ascii="Arial" w:hAnsi="Arial" w:cs="Arial"/>
          <w:szCs w:val="22"/>
          <w:lang w:val="en-GB"/>
        </w:rPr>
        <w:t xml:space="preserve">Reproductive effort varies across habitats in the Wet Tropics, and is higher in the northern sub-region than the south. </w:t>
      </w:r>
      <w:r w:rsidRPr="00CB093C">
        <w:rPr>
          <w:rFonts w:ascii="Arial" w:hAnsi="Arial" w:cs="Arial"/>
          <w:szCs w:val="22"/>
          <w:lang w:eastAsia="en-AU"/>
        </w:rPr>
        <w:t>In the northern Wet Tropics, r</w:t>
      </w:r>
      <w:r w:rsidR="001B6AA0" w:rsidRPr="00CB093C">
        <w:rPr>
          <w:rFonts w:ascii="Arial" w:hAnsi="Arial" w:cs="Arial"/>
          <w:szCs w:val="22"/>
          <w:lang w:eastAsia="en-AU"/>
        </w:rPr>
        <w:t xml:space="preserve">eproductive effort </w:t>
      </w:r>
      <w:r w:rsidRPr="00CB093C">
        <w:rPr>
          <w:rFonts w:ascii="Arial" w:hAnsi="Arial" w:cs="Arial"/>
          <w:szCs w:val="22"/>
          <w:lang w:eastAsia="en-AU"/>
        </w:rPr>
        <w:t xml:space="preserve">peaked during </w:t>
      </w:r>
      <w:r w:rsidR="003654C6">
        <w:rPr>
          <w:rFonts w:ascii="Arial" w:hAnsi="Arial" w:cs="Arial"/>
          <w:szCs w:val="22"/>
          <w:lang w:eastAsia="en-AU"/>
        </w:rPr>
        <w:lastRenderedPageBreak/>
        <w:t>2017–18</w:t>
      </w:r>
      <w:r w:rsidRPr="00CB093C">
        <w:rPr>
          <w:rFonts w:ascii="Arial" w:hAnsi="Arial" w:cs="Arial"/>
          <w:szCs w:val="22"/>
          <w:lang w:eastAsia="en-AU"/>
        </w:rPr>
        <w:t xml:space="preserve"> in </w:t>
      </w:r>
      <w:r w:rsidR="001B6AA0" w:rsidRPr="00CB093C">
        <w:rPr>
          <w:rFonts w:ascii="Arial" w:hAnsi="Arial" w:cs="Arial"/>
          <w:szCs w:val="22"/>
          <w:lang w:eastAsia="en-AU"/>
        </w:rPr>
        <w:t xml:space="preserve">coastal intertidal habitats </w:t>
      </w:r>
      <w:r w:rsidR="00C747CD" w:rsidRPr="00CB093C">
        <w:rPr>
          <w:rFonts w:ascii="Arial" w:hAnsi="Arial" w:cs="Arial"/>
          <w:szCs w:val="22"/>
          <w:lang w:eastAsia="en-AU"/>
        </w:rPr>
        <w:t>(Yule Point)</w:t>
      </w:r>
      <w:r w:rsidR="000E5300" w:rsidRPr="00CB093C">
        <w:rPr>
          <w:rFonts w:ascii="Arial" w:hAnsi="Arial" w:cs="Arial"/>
          <w:szCs w:val="22"/>
          <w:lang w:eastAsia="en-AU"/>
        </w:rPr>
        <w:t xml:space="preserve"> (</w:t>
      </w:r>
      <w:r w:rsidR="000E5300" w:rsidRPr="00CB093C">
        <w:rPr>
          <w:rFonts w:ascii="Arial" w:hAnsi="Arial" w:cs="Arial"/>
          <w:szCs w:val="22"/>
          <w:lang w:eastAsia="en-AU"/>
        </w:rPr>
        <w:fldChar w:fldCharType="begin"/>
      </w:r>
      <w:r w:rsidR="000E5300" w:rsidRPr="00CB093C">
        <w:rPr>
          <w:rFonts w:ascii="Arial" w:hAnsi="Arial" w:cs="Arial"/>
          <w:szCs w:val="22"/>
          <w:lang w:eastAsia="en-AU"/>
        </w:rPr>
        <w:instrText xml:space="preserve"> REF _Ref271530838 \h </w:instrText>
      </w:r>
      <w:r w:rsidR="00CB093C" w:rsidRPr="00CB093C">
        <w:rPr>
          <w:rFonts w:ascii="Arial" w:hAnsi="Arial" w:cs="Arial"/>
          <w:szCs w:val="22"/>
          <w:lang w:eastAsia="en-AU"/>
        </w:rPr>
        <w:instrText xml:space="preserve"> \* MERGEFORMAT </w:instrText>
      </w:r>
      <w:r w:rsidR="000E5300" w:rsidRPr="00CB093C">
        <w:rPr>
          <w:rFonts w:ascii="Arial" w:hAnsi="Arial" w:cs="Arial"/>
          <w:szCs w:val="22"/>
          <w:lang w:eastAsia="en-AU"/>
        </w:rPr>
      </w:r>
      <w:r w:rsidR="000E5300" w:rsidRPr="00CB093C">
        <w:rPr>
          <w:rFonts w:ascii="Arial" w:hAnsi="Arial" w:cs="Arial"/>
          <w:szCs w:val="22"/>
          <w:lang w:eastAsia="en-AU"/>
        </w:rPr>
        <w:fldChar w:fldCharType="separate"/>
      </w:r>
      <w:r w:rsidR="005F00D4" w:rsidRPr="00CB093C">
        <w:rPr>
          <w:rFonts w:ascii="Arial" w:hAnsi="Arial" w:cs="Arial"/>
          <w:szCs w:val="22"/>
        </w:rPr>
        <w:t xml:space="preserve">Figure </w:t>
      </w:r>
      <w:r w:rsidR="005F00D4">
        <w:rPr>
          <w:rFonts w:ascii="Arial" w:hAnsi="Arial" w:cs="Arial"/>
          <w:noProof/>
          <w:szCs w:val="22"/>
        </w:rPr>
        <w:t>46</w:t>
      </w:r>
      <w:r w:rsidR="000E5300" w:rsidRPr="00CB093C">
        <w:rPr>
          <w:rFonts w:ascii="Arial" w:hAnsi="Arial" w:cs="Arial"/>
          <w:szCs w:val="22"/>
          <w:lang w:eastAsia="en-AU"/>
        </w:rPr>
        <w:fldChar w:fldCharType="end"/>
      </w:r>
      <w:r w:rsidR="000E5300" w:rsidRPr="00CB093C">
        <w:rPr>
          <w:rFonts w:ascii="Arial" w:hAnsi="Arial" w:cs="Arial"/>
          <w:szCs w:val="22"/>
          <w:lang w:eastAsia="en-AU"/>
        </w:rPr>
        <w:t>)</w:t>
      </w:r>
      <w:r w:rsidR="00110359" w:rsidRPr="00CB093C">
        <w:rPr>
          <w:rFonts w:ascii="Arial" w:hAnsi="Arial" w:cs="Arial"/>
          <w:szCs w:val="22"/>
          <w:lang w:eastAsia="en-AU"/>
        </w:rPr>
        <w:t>. The density of seeds in the</w:t>
      </w:r>
      <w:r w:rsidR="00070712" w:rsidRPr="00CB093C">
        <w:rPr>
          <w:rFonts w:ascii="Arial" w:hAnsi="Arial" w:cs="Arial"/>
          <w:szCs w:val="22"/>
          <w:lang w:eastAsia="en-AU"/>
        </w:rPr>
        <w:t xml:space="preserve"> </w:t>
      </w:r>
      <w:r w:rsidR="000E5300" w:rsidRPr="00CB093C">
        <w:rPr>
          <w:rFonts w:ascii="Arial" w:hAnsi="Arial" w:cs="Arial"/>
          <w:szCs w:val="22"/>
          <w:lang w:eastAsia="en-AU"/>
        </w:rPr>
        <w:t xml:space="preserve">coastal </w:t>
      </w:r>
      <w:r w:rsidR="00070712" w:rsidRPr="00CB093C">
        <w:rPr>
          <w:rFonts w:ascii="Arial" w:hAnsi="Arial" w:cs="Arial"/>
          <w:szCs w:val="22"/>
          <w:lang w:eastAsia="en-AU"/>
        </w:rPr>
        <w:t>seedbank</w:t>
      </w:r>
      <w:r w:rsidR="00110359" w:rsidRPr="00CB093C">
        <w:rPr>
          <w:rFonts w:ascii="Arial" w:hAnsi="Arial" w:cs="Arial"/>
          <w:szCs w:val="22"/>
          <w:lang w:eastAsia="en-AU"/>
        </w:rPr>
        <w:t xml:space="preserve"> remained higher on average than it has been since 2011</w:t>
      </w:r>
      <w:r w:rsidR="00070712" w:rsidRPr="00CB093C">
        <w:rPr>
          <w:rFonts w:ascii="Arial" w:hAnsi="Arial" w:cs="Arial"/>
          <w:szCs w:val="22"/>
          <w:lang w:eastAsia="en-AU"/>
        </w:rPr>
        <w:t xml:space="preserve">; </w:t>
      </w:r>
      <w:r w:rsidR="00343CDF" w:rsidRPr="00CB093C">
        <w:rPr>
          <w:rFonts w:ascii="Arial" w:hAnsi="Arial" w:cs="Arial"/>
          <w:szCs w:val="22"/>
          <w:lang w:eastAsia="en-AU"/>
        </w:rPr>
        <w:t>although</w:t>
      </w:r>
      <w:r w:rsidR="00070712" w:rsidRPr="00CB093C">
        <w:rPr>
          <w:rFonts w:ascii="Arial" w:hAnsi="Arial" w:cs="Arial"/>
          <w:szCs w:val="22"/>
          <w:lang w:eastAsia="en-AU"/>
        </w:rPr>
        <w:t xml:space="preserve"> </w:t>
      </w:r>
      <w:r w:rsidR="00C747CD" w:rsidRPr="00CB093C">
        <w:rPr>
          <w:rFonts w:ascii="Arial" w:hAnsi="Arial" w:cs="Arial"/>
          <w:szCs w:val="22"/>
          <w:lang w:eastAsia="en-AU"/>
        </w:rPr>
        <w:t xml:space="preserve">well below historical peaks. </w:t>
      </w:r>
      <w:r w:rsidRPr="00CB093C">
        <w:rPr>
          <w:rFonts w:ascii="Arial" w:hAnsi="Arial" w:cs="Arial"/>
          <w:szCs w:val="22"/>
          <w:lang w:eastAsia="en-AU"/>
        </w:rPr>
        <w:t xml:space="preserve">At </w:t>
      </w:r>
      <w:r w:rsidR="00C747CD" w:rsidRPr="00CB093C">
        <w:rPr>
          <w:rFonts w:ascii="Arial" w:hAnsi="Arial" w:cs="Arial"/>
          <w:szCs w:val="22"/>
          <w:lang w:eastAsia="en-AU"/>
        </w:rPr>
        <w:t xml:space="preserve">intertidal and subtidal </w:t>
      </w:r>
      <w:r w:rsidRPr="00CB093C">
        <w:rPr>
          <w:rFonts w:ascii="Arial" w:hAnsi="Arial" w:cs="Arial"/>
          <w:szCs w:val="22"/>
          <w:lang w:eastAsia="en-AU"/>
        </w:rPr>
        <w:t xml:space="preserve">reef </w:t>
      </w:r>
      <w:r w:rsidR="00C747CD" w:rsidRPr="00CB093C">
        <w:rPr>
          <w:rFonts w:ascii="Arial" w:hAnsi="Arial" w:cs="Arial"/>
          <w:szCs w:val="22"/>
          <w:lang w:eastAsia="en-AU"/>
        </w:rPr>
        <w:t xml:space="preserve">habitats </w:t>
      </w:r>
      <w:r w:rsidRPr="00CB093C">
        <w:rPr>
          <w:rFonts w:ascii="Arial" w:hAnsi="Arial" w:cs="Arial"/>
          <w:szCs w:val="22"/>
          <w:lang w:eastAsia="en-AU"/>
        </w:rPr>
        <w:t>reproductive effort remained</w:t>
      </w:r>
      <w:r w:rsidR="00C747CD" w:rsidRPr="00CB093C">
        <w:rPr>
          <w:rFonts w:ascii="Arial" w:hAnsi="Arial" w:cs="Arial"/>
          <w:szCs w:val="22"/>
          <w:lang w:eastAsia="en-AU"/>
        </w:rPr>
        <w:t xml:space="preserve"> low</w:t>
      </w:r>
      <w:r w:rsidRPr="00CB093C">
        <w:rPr>
          <w:rFonts w:ascii="Arial" w:hAnsi="Arial" w:cs="Arial"/>
          <w:szCs w:val="22"/>
          <w:lang w:eastAsia="en-AU"/>
        </w:rPr>
        <w:t xml:space="preserve"> but increased </w:t>
      </w:r>
      <w:r w:rsidR="007A70FE" w:rsidRPr="00CB093C">
        <w:rPr>
          <w:rFonts w:ascii="Arial" w:hAnsi="Arial" w:cs="Arial"/>
          <w:szCs w:val="22"/>
          <w:lang w:eastAsia="en-AU"/>
        </w:rPr>
        <w:t>slightly</w:t>
      </w:r>
      <w:r w:rsidRPr="00CB093C">
        <w:rPr>
          <w:rFonts w:ascii="Arial" w:hAnsi="Arial" w:cs="Arial"/>
          <w:szCs w:val="22"/>
          <w:lang w:eastAsia="en-AU"/>
        </w:rPr>
        <w:t xml:space="preserve"> from the previous period. </w:t>
      </w:r>
      <w:r w:rsidR="00C747CD" w:rsidRPr="00CB093C">
        <w:rPr>
          <w:rFonts w:ascii="Arial" w:hAnsi="Arial" w:cs="Arial"/>
          <w:szCs w:val="22"/>
          <w:lang w:eastAsia="en-AU"/>
        </w:rPr>
        <w:t xml:space="preserve">To date, </w:t>
      </w:r>
      <w:r w:rsidR="001B6AA0" w:rsidRPr="00CB093C">
        <w:rPr>
          <w:rFonts w:ascii="Arial" w:hAnsi="Arial" w:cs="Arial"/>
          <w:szCs w:val="22"/>
          <w:lang w:eastAsia="en-AU"/>
        </w:rPr>
        <w:t>seed bank</w:t>
      </w:r>
      <w:r w:rsidR="00C747CD" w:rsidRPr="00CB093C">
        <w:rPr>
          <w:rFonts w:ascii="Arial" w:hAnsi="Arial" w:cs="Arial"/>
          <w:szCs w:val="22"/>
          <w:lang w:eastAsia="en-AU"/>
        </w:rPr>
        <w:t xml:space="preserve">s </w:t>
      </w:r>
      <w:r w:rsidR="000E5300" w:rsidRPr="00CB093C">
        <w:rPr>
          <w:rFonts w:ascii="Arial" w:hAnsi="Arial" w:cs="Arial"/>
          <w:szCs w:val="22"/>
          <w:lang w:eastAsia="en-AU"/>
        </w:rPr>
        <w:t xml:space="preserve">have </w:t>
      </w:r>
      <w:r w:rsidR="001B6AA0" w:rsidRPr="00CB093C">
        <w:rPr>
          <w:rFonts w:ascii="Arial" w:hAnsi="Arial" w:cs="Arial"/>
          <w:szCs w:val="22"/>
          <w:lang w:eastAsia="en-AU"/>
        </w:rPr>
        <w:t>remained very low across the region</w:t>
      </w:r>
      <w:r w:rsidR="00C747CD" w:rsidRPr="00CB093C">
        <w:rPr>
          <w:rFonts w:ascii="Arial" w:hAnsi="Arial" w:cs="Arial"/>
          <w:szCs w:val="22"/>
          <w:lang w:eastAsia="en-AU"/>
        </w:rPr>
        <w:t xml:space="preserve"> in reef habitat</w:t>
      </w:r>
      <w:r w:rsidR="001B6AA0" w:rsidRPr="00CB093C">
        <w:rPr>
          <w:rFonts w:ascii="Arial" w:hAnsi="Arial" w:cs="Arial"/>
          <w:szCs w:val="22"/>
          <w:lang w:eastAsia="en-AU"/>
        </w:rPr>
        <w:t xml:space="preserve"> </w:t>
      </w:r>
      <w:r w:rsidR="001B6AA0" w:rsidRPr="00CB093C">
        <w:rPr>
          <w:rFonts w:ascii="Arial" w:hAnsi="Arial" w:cs="Arial"/>
          <w:szCs w:val="22"/>
        </w:rPr>
        <w:t>(</w:t>
      </w:r>
      <w:r w:rsidR="001B6AA0" w:rsidRPr="00CB093C">
        <w:rPr>
          <w:rFonts w:ascii="Arial" w:hAnsi="Arial" w:cs="Arial"/>
          <w:szCs w:val="22"/>
        </w:rPr>
        <w:fldChar w:fldCharType="begin"/>
      </w:r>
      <w:r w:rsidR="001B6AA0" w:rsidRPr="00CB093C">
        <w:rPr>
          <w:rFonts w:ascii="Arial" w:hAnsi="Arial" w:cs="Arial"/>
          <w:szCs w:val="22"/>
        </w:rPr>
        <w:instrText xml:space="preserve"> REF _Ref271530838 \h  \* MERGEFORMAT </w:instrText>
      </w:r>
      <w:r w:rsidR="001B6AA0" w:rsidRPr="00CB093C">
        <w:rPr>
          <w:rFonts w:ascii="Arial" w:hAnsi="Arial" w:cs="Arial"/>
          <w:szCs w:val="22"/>
        </w:rPr>
      </w:r>
      <w:r w:rsidR="001B6AA0"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46</w:t>
      </w:r>
      <w:r w:rsidR="001B6AA0" w:rsidRPr="00CB093C">
        <w:rPr>
          <w:rFonts w:ascii="Arial" w:hAnsi="Arial" w:cs="Arial"/>
          <w:szCs w:val="22"/>
        </w:rPr>
        <w:fldChar w:fldCharType="end"/>
      </w:r>
      <w:r w:rsidR="001B6AA0" w:rsidRPr="00CB093C">
        <w:rPr>
          <w:rFonts w:ascii="Arial" w:hAnsi="Arial" w:cs="Arial"/>
          <w:szCs w:val="22"/>
        </w:rPr>
        <w:t xml:space="preserve">). </w:t>
      </w:r>
      <w:r w:rsidR="00070712" w:rsidRPr="00CB093C">
        <w:rPr>
          <w:rFonts w:ascii="Arial" w:hAnsi="Arial" w:cs="Arial"/>
          <w:szCs w:val="22"/>
        </w:rPr>
        <w:t xml:space="preserve">Some possible explanations </w:t>
      </w:r>
      <w:r w:rsidR="00390FEB" w:rsidRPr="00CB093C">
        <w:rPr>
          <w:rFonts w:ascii="Arial" w:hAnsi="Arial" w:cs="Arial"/>
          <w:szCs w:val="22"/>
        </w:rPr>
        <w:t xml:space="preserve">for the low seed bank </w:t>
      </w:r>
      <w:r w:rsidR="00070712" w:rsidRPr="00CB093C">
        <w:rPr>
          <w:rFonts w:ascii="Arial" w:hAnsi="Arial" w:cs="Arial"/>
          <w:szCs w:val="22"/>
        </w:rPr>
        <w:t>include failure to set seed</w:t>
      </w:r>
      <w:r w:rsidR="00390FEB" w:rsidRPr="00CB093C">
        <w:rPr>
          <w:rFonts w:ascii="Arial" w:hAnsi="Arial" w:cs="Arial"/>
          <w:szCs w:val="22"/>
        </w:rPr>
        <w:t>, particularly in low density dioecious species (</w:t>
      </w:r>
      <w:hyperlink w:anchor="_ENREF_137" w:tooltip="Shelton, 2008 #1087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&lt;EndNote&gt;&lt;Cite&gt;&lt;Author&gt;Shelton&lt;/Author&gt;&lt;Year&gt;2008&lt;/Year&gt;&lt;RecNum&gt;10877&lt;/RecNum&gt;&lt;DisplayText&gt;Shelton 2008&lt;/DisplayText&gt;&lt;record&gt;&lt;rec-number&gt;10877&lt;/rec-number&gt;&lt;foreign-keys&gt;&lt;key app="EN" db-id="0eve55x9y5vfd6e9dacxtew4eatve2dzds9a" timestamp="1486085870"&gt;10877&lt;/key&gt;&lt;/foreign-keys&gt;&lt;ref-type name="Journal Article"&gt;17&lt;/ref-type&gt;&lt;contributors&gt;&lt;authors&gt;&lt;author&gt;Shelton, A O&lt;/author&gt;&lt;/authors&gt;&lt;/contributors&gt;&lt;titles&gt;&lt;title&gt;&lt;style face="normal" font="default" size="100%"&gt;Skewed sex ratios, pollen limitation, and reproductive failure in the dioecious seagrass &lt;/style&gt;&lt;style face="italic" font="default" size="100%"&gt;Phyllospadix&lt;/style&gt;&lt;/title&gt;&lt;secondary-title&gt;Ecology&lt;/secondary-title&gt;&lt;/titles&gt;&lt;periodical&gt;&lt;full-title&gt;Ecology&lt;/full-title&gt;&lt;/periodical&gt;&lt;pages&gt;3020-3029&lt;/pages&gt;&lt;volume&gt;89&lt;/volume&gt;&lt;dates&gt;&lt;year&gt;2008&lt;/year&gt;&lt;/dates&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Shelton 2008</w:t>
        </w:r>
        <w:r w:rsidR="00513C39" w:rsidRPr="00CB093C">
          <w:rPr>
            <w:rFonts w:ascii="Arial" w:hAnsi="Arial" w:cs="Arial"/>
            <w:szCs w:val="22"/>
          </w:rPr>
          <w:fldChar w:fldCharType="end"/>
        </w:r>
      </w:hyperlink>
      <w:r w:rsidR="00390FEB" w:rsidRPr="00CB093C">
        <w:rPr>
          <w:rFonts w:ascii="Arial" w:hAnsi="Arial" w:cs="Arial"/>
          <w:szCs w:val="22"/>
        </w:rPr>
        <w:t>)</w:t>
      </w:r>
      <w:r w:rsidR="00070712" w:rsidRPr="00CB093C">
        <w:rPr>
          <w:rFonts w:ascii="Arial" w:hAnsi="Arial" w:cs="Arial"/>
          <w:szCs w:val="22"/>
        </w:rPr>
        <w:t>, or rap</w:t>
      </w:r>
      <w:r w:rsidR="00390FEB" w:rsidRPr="00CB093C">
        <w:rPr>
          <w:rFonts w:ascii="Arial" w:hAnsi="Arial" w:cs="Arial"/>
          <w:szCs w:val="22"/>
        </w:rPr>
        <w:t>id loss of seeds after release from germination or grazing</w:t>
      </w:r>
      <w:r w:rsidR="005634B8" w:rsidRPr="00CB093C">
        <w:rPr>
          <w:rFonts w:ascii="Arial" w:hAnsi="Arial" w:cs="Arial"/>
          <w:szCs w:val="22"/>
        </w:rPr>
        <w:t xml:space="preserve"> (</w:t>
      </w:r>
      <w:hyperlink w:anchor="_ENREF_68" w:tooltip="Heck, 2006 #736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&lt;EndNote&gt;&lt;Cite&gt;&lt;Author&gt;Heck&lt;/Author&gt;&lt;Year&gt;2006&lt;/Year&gt;&lt;RecNum&gt;7367&lt;/RecNum&gt;&lt;DisplayText&gt;Heck and Orth 2006&lt;/DisplayText&gt;&lt;record&gt;&lt;rec-number&gt;7367&lt;/rec-number&gt;&lt;foreign-keys&gt;&lt;key app="EN" db-id="0eve55x9y5vfd6e9dacxtew4eatve2dzds9a" timestamp="0"&gt;7367&lt;/key&gt;&lt;/foreign-keys&gt;&lt;ref-type name="Book Section"&gt;5&lt;/ref-type&gt;&lt;contributors&gt;&lt;authors&gt;&lt;author&gt;Heck, K.L.&lt;/author&gt;&lt;author&gt;Orth, R.J.&lt;/author&gt;&lt;/authors&gt;&lt;secondary-authors&gt;&lt;author&gt;Larkum, W.D.&lt;/author&gt;&lt;author&gt;Orth, R.J.&lt;/author&gt;&lt;author&gt;Duarte, C.M.&lt;/author&gt;&lt;/secondary-authors&gt;&lt;/contributors&gt;&lt;titles&gt;&lt;title&gt;Predation in seagrass beds&lt;/title&gt;&lt;secondary-title&gt;Seagrasses: biology, ecology and conservation&lt;/secondary-title&gt;&lt;/titles&gt;&lt;periodical&gt;&lt;full-title&gt;Seagrasses: Biology, Ecology and Conservation&lt;/full-title&gt;&lt;/periodical&gt;&lt;dates&gt;&lt;year&gt;2006&lt;/year&gt;&lt;/dates&gt;&lt;pub-location&gt;Dordrecht&lt;/pub-location&gt;&lt;publisher&gt;Springer&lt;/publisher&gt;&lt;isbn&gt;10 1-4020-2942-X&lt;/isbn&gt;&lt;urls&gt;&lt;/urls&gt;&lt;/record&gt;&lt;/Cite&gt;&lt;/EndNote&gt;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Heck and Orth 2006</w:t>
        </w:r>
        <w:r w:rsidR="00513C39" w:rsidRPr="00CB093C">
          <w:rPr>
            <w:rFonts w:ascii="Arial" w:hAnsi="Arial" w:cs="Arial"/>
            <w:szCs w:val="22"/>
          </w:rPr>
          <w:fldChar w:fldCharType="end"/>
        </w:r>
      </w:hyperlink>
      <w:r w:rsidR="005634B8" w:rsidRPr="00CB093C">
        <w:rPr>
          <w:rFonts w:ascii="Arial" w:hAnsi="Arial" w:cs="Arial"/>
          <w:szCs w:val="22"/>
        </w:rPr>
        <w:t>)</w:t>
      </w:r>
      <w:r w:rsidR="00070712" w:rsidRPr="00CB093C">
        <w:rPr>
          <w:rFonts w:ascii="Arial" w:hAnsi="Arial" w:cs="Arial"/>
          <w:szCs w:val="22"/>
        </w:rPr>
        <w:t xml:space="preserve">. </w:t>
      </w:r>
    </w:p>
    <w:p w14:paraId="1159E225" w14:textId="77777777" w:rsidR="001B6AA0" w:rsidRPr="00CB093C" w:rsidRDefault="00AA7BCE" w:rsidP="002242D2">
      <w:pPr>
        <w:autoSpaceDE w:val="0"/>
        <w:autoSpaceDN w:val="0"/>
        <w:adjustRightInd w:val="0"/>
        <w:spacing w:after="0"/>
        <w:rPr>
          <w:rFonts w:ascii="Arial" w:hAnsi="Arial" w:cs="Arial"/>
          <w:color w:val="000000"/>
          <w:szCs w:val="22"/>
        </w:rPr>
      </w:pPr>
      <w:r w:rsidRPr="00CB093C">
        <w:rPr>
          <w:rFonts w:ascii="Arial" w:hAnsi="Arial" w:cs="Arial"/>
          <w:noProof/>
          <w:color w:val="000000"/>
          <w:szCs w:val="22"/>
          <w:lang w:val="en-US"/>
        </w:rPr>
        <w:drawing>
          <wp:inline distT="0" distB="0" distL="0" distR="0" wp14:anchorId="723DCAC2" wp14:editId="1A10DB43">
            <wp:extent cx="5524588" cy="1375187"/>
            <wp:effectExtent l="0" t="0" r="0" b="0"/>
            <wp:docPr id="314" name="Picture 314" descr="Panel of three composite bar and scatter plot graphs showing seed banks (bars) and reproductive effort (dots) at inshore seagrass habitats in the northern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WT_repro16.png"/>
                    <pic:cNvPicPr/>
                  </pic:nvPicPr>
                  <pic:blipFill>
                    <a:blip r:embed="rId90">
                      <a:extLst>
                        <a:ext uri="{28A0092B-C50C-407E-A947-70E740481C1C}">
                          <a14:useLocalDpi xmlns:a14="http://schemas.microsoft.com/office/drawing/2010/main" val="0"/>
                        </a:ext>
                      </a:extLst>
                    </a:blip>
                    <a:stretch>
                      <a:fillRect/>
                    </a:stretch>
                  </pic:blipFill>
                  <pic:spPr>
                    <a:xfrm>
                      <a:off x="0" y="0"/>
                      <a:ext cx="5524588" cy="1375187"/>
                    </a:xfrm>
                    <a:prstGeom prst="rect">
                      <a:avLst/>
                    </a:prstGeom>
                  </pic:spPr>
                </pic:pic>
              </a:graphicData>
            </a:graphic>
          </wp:inline>
        </w:drawing>
      </w:r>
    </w:p>
    <w:p w14:paraId="404557CB" w14:textId="01874B98" w:rsidR="001876B8" w:rsidRPr="00CB093C" w:rsidRDefault="005132EF" w:rsidP="001876B8">
      <w:pPr>
        <w:keepLines/>
        <w:spacing w:before="0"/>
        <w:rPr>
          <w:rFonts w:ascii="Arial" w:hAnsi="Arial" w:cs="Arial"/>
          <w:i/>
          <w:vanish/>
          <w:szCs w:val="22"/>
          <w:specVanish/>
        </w:rPr>
      </w:pPr>
      <w:bookmarkStart w:id="312" w:name="_Ref271530838"/>
      <w:bookmarkStart w:id="313" w:name="_Toc431493844"/>
      <w:bookmarkStart w:id="314" w:name="_Toc6402811"/>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46</w:t>
      </w:r>
      <w:r w:rsidR="00C506C7" w:rsidRPr="00CB093C">
        <w:rPr>
          <w:rFonts w:ascii="Arial" w:hAnsi="Arial" w:cs="Arial"/>
          <w:noProof/>
          <w:szCs w:val="22"/>
        </w:rPr>
        <w:fldChar w:fldCharType="end"/>
      </w:r>
      <w:bookmarkEnd w:id="312"/>
      <w:r w:rsidRPr="00CB093C">
        <w:rPr>
          <w:rFonts w:ascii="Arial" w:hAnsi="Arial" w:cs="Arial"/>
          <w:szCs w:val="22"/>
        </w:rPr>
        <w:t xml:space="preserve">. </w:t>
      </w:r>
      <w:r w:rsidR="009110CE" w:rsidRPr="00CB093C">
        <w:rPr>
          <w:rFonts w:ascii="Arial" w:hAnsi="Arial" w:cs="Arial"/>
          <w:i/>
          <w:szCs w:val="22"/>
        </w:rPr>
        <w:t>R</w:t>
      </w:r>
      <w:r w:rsidR="00CC60D9" w:rsidRPr="00CB093C">
        <w:rPr>
          <w:rFonts w:ascii="Arial" w:hAnsi="Arial" w:cs="Arial"/>
          <w:i/>
          <w:szCs w:val="22"/>
        </w:rPr>
        <w:t xml:space="preserve">eproductive effort for inshore intertidal coast and reef habitats in the </w:t>
      </w:r>
      <w:r w:rsidR="009110CE" w:rsidRPr="00CB093C">
        <w:rPr>
          <w:rFonts w:ascii="Arial" w:hAnsi="Arial" w:cs="Arial"/>
          <w:i/>
          <w:szCs w:val="22"/>
        </w:rPr>
        <w:t xml:space="preserve">northern </w:t>
      </w:r>
      <w:r w:rsidR="003509A0" w:rsidRPr="00CB093C">
        <w:rPr>
          <w:rFonts w:ascii="Arial" w:hAnsi="Arial" w:cs="Arial"/>
          <w:i/>
          <w:szCs w:val="22"/>
        </w:rPr>
        <w:t xml:space="preserve">Wet Tropics </w:t>
      </w:r>
      <w:r w:rsidR="00CC60D9" w:rsidRPr="00CB093C">
        <w:rPr>
          <w:rFonts w:ascii="Arial" w:hAnsi="Arial" w:cs="Arial"/>
          <w:i/>
          <w:szCs w:val="22"/>
        </w:rPr>
        <w:t>region, 2001</w:t>
      </w:r>
      <w:r w:rsidR="009203FC" w:rsidRPr="00CB093C">
        <w:rPr>
          <w:rFonts w:ascii="Arial" w:hAnsi="Arial" w:cs="Arial"/>
          <w:i/>
          <w:szCs w:val="22"/>
        </w:rPr>
        <w:t>–</w:t>
      </w:r>
      <w:r w:rsidR="00CC60D9" w:rsidRPr="00CB093C">
        <w:rPr>
          <w:rFonts w:ascii="Arial" w:hAnsi="Arial" w:cs="Arial"/>
          <w:i/>
          <w:szCs w:val="22"/>
        </w:rPr>
        <w:t>201</w:t>
      </w:r>
      <w:r w:rsidR="009110CE" w:rsidRPr="00CB093C">
        <w:rPr>
          <w:rFonts w:ascii="Arial" w:hAnsi="Arial" w:cs="Arial"/>
          <w:i/>
          <w:szCs w:val="22"/>
        </w:rPr>
        <w:t>8</w:t>
      </w:r>
      <w:r w:rsidR="003509A0" w:rsidRPr="00CB093C">
        <w:rPr>
          <w:rFonts w:ascii="Arial" w:hAnsi="Arial" w:cs="Arial"/>
          <w:i/>
          <w:szCs w:val="22"/>
        </w:rPr>
        <w:t>.</w:t>
      </w:r>
      <w:bookmarkEnd w:id="313"/>
      <w:bookmarkEnd w:id="314"/>
      <w:r w:rsidR="00CC60D9" w:rsidRPr="00CB093C">
        <w:rPr>
          <w:rFonts w:ascii="Arial" w:hAnsi="Arial" w:cs="Arial"/>
          <w:i/>
          <w:vanish/>
          <w:szCs w:val="22"/>
          <w:specVanish/>
        </w:rPr>
        <w:t xml:space="preserve"> </w:t>
      </w:r>
    </w:p>
    <w:p w14:paraId="3F45E2FC" w14:textId="7D03CF2C" w:rsidR="00A27EC0" w:rsidRPr="00CB093C" w:rsidRDefault="00CC60D9" w:rsidP="001876B8">
      <w:pPr>
        <w:keepLines/>
        <w:spacing w:before="0"/>
        <w:rPr>
          <w:rFonts w:ascii="Arial" w:hAnsi="Arial" w:cs="Arial"/>
          <w:i/>
          <w:szCs w:val="22"/>
        </w:rPr>
      </w:pPr>
      <w:r w:rsidRPr="00CB093C">
        <w:rPr>
          <w:rFonts w:ascii="Arial" w:hAnsi="Arial" w:cs="Arial"/>
          <w:i/>
          <w:szCs w:val="22"/>
        </w:rPr>
        <w:t>Seed banks presented as the total number of seeds per m</w:t>
      </w:r>
      <w:r w:rsidRPr="00CB093C">
        <w:rPr>
          <w:rFonts w:ascii="Arial" w:hAnsi="Arial" w:cs="Arial"/>
          <w:i/>
          <w:szCs w:val="22"/>
          <w:vertAlign w:val="superscript"/>
        </w:rPr>
        <w:t>2</w:t>
      </w:r>
      <w:r w:rsidRPr="00CB093C">
        <w:rPr>
          <w:rFonts w:ascii="Arial" w:hAnsi="Arial" w:cs="Arial"/>
          <w:i/>
          <w:szCs w:val="22"/>
        </w:rPr>
        <w:t xml:space="preserve"> sediment surface</w:t>
      </w:r>
      <w:r w:rsidR="003523A5" w:rsidRPr="00CB093C">
        <w:rPr>
          <w:rFonts w:ascii="Arial" w:hAnsi="Arial" w:cs="Arial"/>
          <w:i/>
          <w:szCs w:val="22"/>
        </w:rPr>
        <w:t xml:space="preserve"> (bars ±SE)</w:t>
      </w:r>
      <w:r w:rsidRPr="00CB093C">
        <w:rPr>
          <w:rFonts w:ascii="Arial" w:hAnsi="Arial" w:cs="Arial"/>
          <w:i/>
          <w:szCs w:val="22"/>
        </w:rPr>
        <w:t>, and reproductive effort presented as the average number of reproductive structures per core (species and sites pooled)</w:t>
      </w:r>
      <w:r w:rsidR="003523A5" w:rsidRPr="00CB093C">
        <w:rPr>
          <w:rFonts w:ascii="Arial" w:hAnsi="Arial" w:cs="Arial"/>
          <w:i/>
          <w:szCs w:val="22"/>
        </w:rPr>
        <w:t xml:space="preserve"> (dots ±SE)</w:t>
      </w:r>
      <w:r w:rsidRPr="00CB093C">
        <w:rPr>
          <w:rFonts w:ascii="Arial" w:hAnsi="Arial" w:cs="Arial"/>
          <w:i/>
          <w:szCs w:val="22"/>
        </w:rPr>
        <w:t xml:space="preserve">. </w:t>
      </w:r>
    </w:p>
    <w:p w14:paraId="41820C72" w14:textId="13B871D2" w:rsidR="000E5300" w:rsidRPr="00CB093C" w:rsidRDefault="000E5300" w:rsidP="000E5300">
      <w:pPr>
        <w:autoSpaceDE w:val="0"/>
        <w:autoSpaceDN w:val="0"/>
        <w:adjustRightInd w:val="0"/>
        <w:spacing w:before="0" w:after="0"/>
        <w:rPr>
          <w:rFonts w:ascii="Arial" w:hAnsi="Arial" w:cs="Arial"/>
          <w:szCs w:val="22"/>
          <w:lang w:eastAsia="en-AU"/>
        </w:rPr>
      </w:pPr>
      <w:r w:rsidRPr="00CB093C">
        <w:rPr>
          <w:rFonts w:ascii="Arial" w:hAnsi="Arial" w:cs="Arial"/>
          <w:szCs w:val="22"/>
          <w:lang w:eastAsia="en-AU"/>
        </w:rPr>
        <w:t xml:space="preserve">In the southern Wet Tropics, sexually reproductive structures and seed banks were absent from seagrass in all habitats </w:t>
      </w:r>
      <w:r w:rsidR="00591D64" w:rsidRPr="00CB093C">
        <w:rPr>
          <w:rFonts w:ascii="Arial" w:hAnsi="Arial" w:cs="Arial"/>
          <w:szCs w:val="22"/>
          <w:lang w:eastAsia="en-AU"/>
        </w:rPr>
        <w:t>this year</w:t>
      </w:r>
      <w:r w:rsidRPr="00CB093C">
        <w:rPr>
          <w:rFonts w:ascii="Arial" w:hAnsi="Arial" w:cs="Arial"/>
          <w:szCs w:val="22"/>
          <w:lang w:eastAsia="en-AU"/>
        </w:rPr>
        <w:t xml:space="preserve"> (</w:t>
      </w:r>
      <w:r w:rsidRPr="00CB093C">
        <w:rPr>
          <w:rFonts w:ascii="Arial" w:hAnsi="Arial" w:cs="Arial"/>
          <w:szCs w:val="22"/>
          <w:lang w:eastAsia="en-AU"/>
        </w:rPr>
        <w:fldChar w:fldCharType="begin"/>
      </w:r>
      <w:r w:rsidRPr="00CB093C">
        <w:rPr>
          <w:rFonts w:ascii="Arial" w:hAnsi="Arial" w:cs="Arial"/>
          <w:szCs w:val="22"/>
          <w:lang w:eastAsia="en-AU"/>
        </w:rPr>
        <w:instrText xml:space="preserve"> REF _Ref533681674 \h </w:instrText>
      </w:r>
      <w:r w:rsidR="00CB093C" w:rsidRPr="00CB093C">
        <w:rPr>
          <w:rFonts w:ascii="Arial" w:hAnsi="Arial" w:cs="Arial"/>
          <w:szCs w:val="22"/>
          <w:lang w:eastAsia="en-AU"/>
        </w:rPr>
        <w:instrText xml:space="preserve"> \* MERGEFORMAT </w:instrText>
      </w:r>
      <w:r w:rsidRPr="00CB093C">
        <w:rPr>
          <w:rFonts w:ascii="Arial" w:hAnsi="Arial" w:cs="Arial"/>
          <w:szCs w:val="22"/>
          <w:lang w:eastAsia="en-AU"/>
        </w:rPr>
      </w:r>
      <w:r w:rsidRPr="00CB093C">
        <w:rPr>
          <w:rFonts w:ascii="Arial" w:hAnsi="Arial" w:cs="Arial"/>
          <w:szCs w:val="22"/>
          <w:lang w:eastAsia="en-AU"/>
        </w:rPr>
        <w:fldChar w:fldCharType="separate"/>
      </w:r>
      <w:r w:rsidR="005F00D4" w:rsidRPr="00CB093C">
        <w:rPr>
          <w:rFonts w:ascii="Arial" w:hAnsi="Arial" w:cs="Arial"/>
          <w:szCs w:val="22"/>
        </w:rPr>
        <w:t xml:space="preserve">Figure </w:t>
      </w:r>
      <w:r w:rsidR="005F00D4">
        <w:rPr>
          <w:rFonts w:ascii="Arial" w:hAnsi="Arial" w:cs="Arial"/>
          <w:noProof/>
          <w:szCs w:val="22"/>
        </w:rPr>
        <w:t>47</w:t>
      </w:r>
      <w:r w:rsidRPr="00CB093C">
        <w:rPr>
          <w:rFonts w:ascii="Arial" w:hAnsi="Arial" w:cs="Arial"/>
          <w:szCs w:val="22"/>
          <w:lang w:eastAsia="en-AU"/>
        </w:rPr>
        <w:fldChar w:fldCharType="end"/>
      </w:r>
      <w:r w:rsidRPr="00CB093C">
        <w:rPr>
          <w:rFonts w:ascii="Arial" w:hAnsi="Arial" w:cs="Arial"/>
          <w:szCs w:val="22"/>
          <w:lang w:eastAsia="en-AU"/>
        </w:rPr>
        <w:t>). The absence of reproductive structures and seed banks may render the seagrass at risk from further disturbances, as recovery potential remains extremely low without a seed bank.</w:t>
      </w:r>
    </w:p>
    <w:p w14:paraId="14F9B74F" w14:textId="77777777" w:rsidR="00343CDF" w:rsidRPr="00CB093C" w:rsidRDefault="00343CDF" w:rsidP="000E5300">
      <w:pPr>
        <w:autoSpaceDE w:val="0"/>
        <w:autoSpaceDN w:val="0"/>
        <w:adjustRightInd w:val="0"/>
        <w:spacing w:before="0" w:after="0"/>
        <w:rPr>
          <w:rFonts w:ascii="Arial" w:hAnsi="Arial" w:cs="Arial"/>
          <w:szCs w:val="22"/>
        </w:rPr>
      </w:pPr>
    </w:p>
    <w:p w14:paraId="74C4CEAA" w14:textId="153A0232" w:rsidR="009110CE" w:rsidRPr="00CB093C" w:rsidRDefault="009110CE" w:rsidP="001876B8">
      <w:pPr>
        <w:keepLines/>
        <w:spacing w:before="0"/>
        <w:rPr>
          <w:rFonts w:ascii="Arial" w:hAnsi="Arial" w:cs="Arial"/>
          <w:i/>
          <w:szCs w:val="22"/>
        </w:rPr>
      </w:pPr>
      <w:r w:rsidRPr="00CB093C">
        <w:rPr>
          <w:rFonts w:ascii="Arial" w:hAnsi="Arial" w:cs="Arial"/>
          <w:i/>
          <w:noProof/>
          <w:szCs w:val="22"/>
          <w:lang w:val="en-US"/>
        </w:rPr>
        <w:drawing>
          <wp:inline distT="0" distB="0" distL="0" distR="0" wp14:anchorId="6D72FB13" wp14:editId="438CC83A">
            <wp:extent cx="5708229" cy="1429310"/>
            <wp:effectExtent l="0" t="0" r="6985" b="0"/>
            <wp:docPr id="534" name="Picture 534" descr="Panel of three composite bar and scatter plot graphs showing seed banks (bars) and reproductive effort (dots) at inshore seagrass habitats in the southern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 name="Repro_SWT per Habitat.eps"/>
                    <pic:cNvPicPr/>
                  </pic:nvPicPr>
                  <pic:blipFill>
                    <a:blip r:embed="rId91">
                      <a:extLst>
                        <a:ext uri="{28A0092B-C50C-407E-A947-70E740481C1C}">
                          <a14:useLocalDpi xmlns:a14="http://schemas.microsoft.com/office/drawing/2010/main" val="0"/>
                        </a:ext>
                      </a:extLst>
                    </a:blip>
                    <a:stretch>
                      <a:fillRect/>
                    </a:stretch>
                  </pic:blipFill>
                  <pic:spPr>
                    <a:xfrm>
                      <a:off x="0" y="0"/>
                      <a:ext cx="5708229" cy="1429310"/>
                    </a:xfrm>
                    <a:prstGeom prst="rect">
                      <a:avLst/>
                    </a:prstGeom>
                  </pic:spPr>
                </pic:pic>
              </a:graphicData>
            </a:graphic>
          </wp:inline>
        </w:drawing>
      </w:r>
    </w:p>
    <w:p w14:paraId="34F56AF7" w14:textId="53EFADD2" w:rsidR="009110CE" w:rsidRPr="00CB093C" w:rsidRDefault="009110CE" w:rsidP="009110CE">
      <w:pPr>
        <w:pStyle w:val="Caption"/>
        <w:rPr>
          <w:rFonts w:ascii="Arial" w:hAnsi="Arial" w:cs="Arial"/>
          <w:i/>
          <w:vanish/>
          <w:szCs w:val="22"/>
          <w:specVanish/>
        </w:rPr>
      </w:pPr>
      <w:bookmarkStart w:id="315" w:name="_Ref533681674"/>
      <w:bookmarkStart w:id="316" w:name="_Toc6402812"/>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47</w:t>
      </w:r>
      <w:r w:rsidRPr="00CB093C">
        <w:rPr>
          <w:rFonts w:ascii="Arial" w:hAnsi="Arial" w:cs="Arial"/>
          <w:szCs w:val="22"/>
        </w:rPr>
        <w:fldChar w:fldCharType="end"/>
      </w:r>
      <w:bookmarkEnd w:id="315"/>
      <w:r w:rsidRPr="00CB093C">
        <w:rPr>
          <w:rFonts w:ascii="Arial" w:hAnsi="Arial" w:cs="Arial"/>
          <w:szCs w:val="22"/>
        </w:rPr>
        <w:t xml:space="preserve">. </w:t>
      </w:r>
      <w:r w:rsidRPr="00CB093C">
        <w:rPr>
          <w:rFonts w:ascii="Arial" w:hAnsi="Arial" w:cs="Arial"/>
          <w:i/>
          <w:szCs w:val="22"/>
        </w:rPr>
        <w:t>Reproductive effort for inshore intertidal coast and reef habitats in the northern Wet Tropics region, 2001</w:t>
      </w:r>
      <w:r w:rsidR="009203FC" w:rsidRPr="00CB093C">
        <w:rPr>
          <w:rFonts w:ascii="Arial" w:hAnsi="Arial" w:cs="Arial"/>
          <w:i/>
          <w:szCs w:val="22"/>
        </w:rPr>
        <w:t>–</w:t>
      </w:r>
      <w:r w:rsidRPr="00CB093C">
        <w:rPr>
          <w:rFonts w:ascii="Arial" w:hAnsi="Arial" w:cs="Arial"/>
          <w:i/>
          <w:szCs w:val="22"/>
        </w:rPr>
        <w:t>2018.</w:t>
      </w:r>
      <w:bookmarkEnd w:id="316"/>
      <w:r w:rsidRPr="00CB093C">
        <w:rPr>
          <w:rFonts w:ascii="Arial" w:hAnsi="Arial" w:cs="Arial"/>
          <w:i/>
          <w:vanish/>
          <w:szCs w:val="22"/>
          <w:specVanish/>
        </w:rPr>
        <w:t xml:space="preserve"> </w:t>
      </w:r>
    </w:p>
    <w:p w14:paraId="4615450B" w14:textId="4E54E12D" w:rsidR="009110CE" w:rsidRPr="00CB093C" w:rsidRDefault="009110CE" w:rsidP="009110CE">
      <w:pPr>
        <w:keepLines/>
        <w:spacing w:before="0"/>
        <w:rPr>
          <w:rFonts w:ascii="Arial" w:hAnsi="Arial" w:cs="Arial"/>
          <w:i/>
          <w:szCs w:val="22"/>
        </w:rPr>
      </w:pPr>
      <w:r w:rsidRPr="00CB093C">
        <w:rPr>
          <w:rFonts w:ascii="Arial" w:hAnsi="Arial" w:cs="Arial"/>
          <w:i/>
          <w:szCs w:val="22"/>
        </w:rPr>
        <w:t>Seed banks presented as the total number of seeds per m</w:t>
      </w:r>
      <w:r w:rsidRPr="00CB093C">
        <w:rPr>
          <w:rFonts w:ascii="Arial" w:hAnsi="Arial" w:cs="Arial"/>
          <w:i/>
          <w:szCs w:val="22"/>
          <w:vertAlign w:val="superscript"/>
        </w:rPr>
        <w:t>2</w:t>
      </w:r>
      <w:r w:rsidRPr="00CB093C">
        <w:rPr>
          <w:rFonts w:ascii="Arial" w:hAnsi="Arial" w:cs="Arial"/>
          <w:i/>
          <w:szCs w:val="22"/>
        </w:rPr>
        <w:t xml:space="preserve"> sediment surface (bars ±SE), and reproductive effort presented as the average number of reproductive structures per core (species and sites pooled) (dots ±SE). </w:t>
      </w:r>
    </w:p>
    <w:p w14:paraId="2C766622" w14:textId="77777777" w:rsidR="00F35D52" w:rsidRPr="00CB093C" w:rsidRDefault="00F35D52" w:rsidP="000F3AC4">
      <w:pPr>
        <w:pStyle w:val="Heading3"/>
        <w:numPr>
          <w:ilvl w:val="3"/>
          <w:numId w:val="4"/>
        </w:numPr>
        <w:rPr>
          <w:rFonts w:ascii="Arial" w:hAnsi="Arial" w:cs="Arial"/>
          <w:b w:val="0"/>
          <w:i/>
          <w:color w:val="000000"/>
          <w:sz w:val="22"/>
          <w:szCs w:val="22"/>
        </w:rPr>
      </w:pPr>
      <w:bookmarkStart w:id="317" w:name="_Toc11394740"/>
      <w:bookmarkStart w:id="318" w:name="_Toc175991069"/>
      <w:bookmarkStart w:id="319" w:name="_Toc232845913"/>
      <w:r w:rsidRPr="00CB093C">
        <w:rPr>
          <w:rFonts w:ascii="Arial" w:hAnsi="Arial" w:cs="Arial"/>
          <w:b w:val="0"/>
          <w:i/>
          <w:color w:val="000000"/>
          <w:sz w:val="22"/>
          <w:szCs w:val="22"/>
        </w:rPr>
        <w:lastRenderedPageBreak/>
        <w:t>Seagrass leaf tissue nutrients</w:t>
      </w:r>
      <w:bookmarkEnd w:id="317"/>
    </w:p>
    <w:p w14:paraId="78FDCEC4" w14:textId="409F1253" w:rsidR="001B6AA0" w:rsidRPr="00CB093C" w:rsidRDefault="000E5300" w:rsidP="000E5300">
      <w:pPr>
        <w:rPr>
          <w:rFonts w:ascii="Arial" w:hAnsi="Arial" w:cs="Arial"/>
          <w:szCs w:val="22"/>
          <w:lang w:val="en-GB"/>
        </w:rPr>
      </w:pPr>
      <w:r w:rsidRPr="00CB093C">
        <w:rPr>
          <w:rFonts w:ascii="Arial" w:hAnsi="Arial" w:cs="Arial"/>
          <w:szCs w:val="22"/>
        </w:rPr>
        <w:t xml:space="preserve">Seagrass leaf tissue molar C:N ratios </w:t>
      </w:r>
      <w:r w:rsidR="001B6AA0" w:rsidRPr="00CB093C">
        <w:rPr>
          <w:rFonts w:ascii="Arial" w:hAnsi="Arial" w:cs="Arial"/>
          <w:szCs w:val="22"/>
          <w:lang w:val="en-GB"/>
        </w:rPr>
        <w:t>of the foundation seagrass spec</w:t>
      </w:r>
      <w:r w:rsidR="0005499A" w:rsidRPr="00CB093C">
        <w:rPr>
          <w:rFonts w:ascii="Arial" w:hAnsi="Arial" w:cs="Arial"/>
          <w:szCs w:val="22"/>
          <w:lang w:val="en-GB"/>
        </w:rPr>
        <w:t>ies (in the late dry season 201</w:t>
      </w:r>
      <w:r w:rsidRPr="00CB093C">
        <w:rPr>
          <w:rFonts w:ascii="Arial" w:hAnsi="Arial" w:cs="Arial"/>
          <w:szCs w:val="22"/>
          <w:lang w:val="en-GB"/>
        </w:rPr>
        <w:t>7</w:t>
      </w:r>
      <w:r w:rsidR="001B6AA0" w:rsidRPr="00CB093C">
        <w:rPr>
          <w:rFonts w:ascii="Arial" w:hAnsi="Arial" w:cs="Arial"/>
          <w:szCs w:val="22"/>
          <w:lang w:val="en-GB"/>
        </w:rPr>
        <w:t xml:space="preserve">) </w:t>
      </w:r>
      <w:r w:rsidR="005A64FB" w:rsidRPr="00CB093C">
        <w:rPr>
          <w:rFonts w:ascii="Arial" w:hAnsi="Arial" w:cs="Arial"/>
          <w:szCs w:val="22"/>
          <w:lang w:val="en-GB"/>
        </w:rPr>
        <w:t xml:space="preserve">have </w:t>
      </w:r>
      <w:r w:rsidRPr="00CB093C">
        <w:rPr>
          <w:rFonts w:ascii="Arial" w:hAnsi="Arial" w:cs="Arial"/>
          <w:szCs w:val="22"/>
          <w:lang w:val="en-GB"/>
        </w:rPr>
        <w:t xml:space="preserve">remained relatively stable across the </w:t>
      </w:r>
      <w:r w:rsidR="005A64FB" w:rsidRPr="00CB093C">
        <w:rPr>
          <w:rFonts w:ascii="Arial" w:hAnsi="Arial" w:cs="Arial"/>
          <w:szCs w:val="22"/>
          <w:lang w:val="en-GB"/>
        </w:rPr>
        <w:t xml:space="preserve">northern </w:t>
      </w:r>
      <w:r w:rsidRPr="00CB093C">
        <w:rPr>
          <w:rFonts w:ascii="Arial" w:hAnsi="Arial" w:cs="Arial"/>
          <w:szCs w:val="22"/>
          <w:lang w:val="en-GB"/>
        </w:rPr>
        <w:t>Wet Tropics</w:t>
      </w:r>
      <w:r w:rsidR="005A64FB" w:rsidRPr="00CB093C">
        <w:rPr>
          <w:rFonts w:ascii="Arial" w:hAnsi="Arial" w:cs="Arial"/>
          <w:szCs w:val="22"/>
          <w:lang w:val="en-GB"/>
        </w:rPr>
        <w:t xml:space="preserve"> over the last few years (</w:t>
      </w:r>
      <w:r w:rsidR="005A64FB" w:rsidRPr="00CB093C">
        <w:rPr>
          <w:rFonts w:ascii="Arial" w:hAnsi="Arial" w:cs="Arial"/>
          <w:szCs w:val="22"/>
          <w:lang w:val="en-GB"/>
        </w:rPr>
        <w:fldChar w:fldCharType="begin"/>
      </w:r>
      <w:r w:rsidR="005A64FB" w:rsidRPr="00CB093C">
        <w:rPr>
          <w:rFonts w:ascii="Arial" w:hAnsi="Arial" w:cs="Arial"/>
          <w:szCs w:val="22"/>
          <w:lang w:val="en-GB"/>
        </w:rPr>
        <w:instrText xml:space="preserve"> REF _Ref304271974 \h </w:instrText>
      </w:r>
      <w:r w:rsidR="00CB093C" w:rsidRPr="00CB093C">
        <w:rPr>
          <w:rFonts w:ascii="Arial" w:hAnsi="Arial" w:cs="Arial"/>
          <w:szCs w:val="22"/>
          <w:lang w:val="en-GB"/>
        </w:rPr>
        <w:instrText xml:space="preserve"> \* MERGEFORMAT </w:instrText>
      </w:r>
      <w:r w:rsidR="005A64FB" w:rsidRPr="00CB093C">
        <w:rPr>
          <w:rFonts w:ascii="Arial" w:hAnsi="Arial" w:cs="Arial"/>
          <w:szCs w:val="22"/>
          <w:lang w:val="en-GB"/>
        </w:rPr>
      </w:r>
      <w:r w:rsidR="005A64FB" w:rsidRPr="00CB093C">
        <w:rPr>
          <w:rFonts w:ascii="Arial" w:hAnsi="Arial" w:cs="Arial"/>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48</w:t>
      </w:r>
      <w:r w:rsidR="005A64FB" w:rsidRPr="00CB093C">
        <w:rPr>
          <w:rFonts w:ascii="Arial" w:hAnsi="Arial" w:cs="Arial"/>
          <w:szCs w:val="22"/>
          <w:lang w:val="en-GB"/>
        </w:rPr>
        <w:fldChar w:fldCharType="end"/>
      </w:r>
      <w:r w:rsidR="005A64FB" w:rsidRPr="00CB093C">
        <w:rPr>
          <w:rFonts w:ascii="Arial" w:hAnsi="Arial" w:cs="Arial"/>
          <w:szCs w:val="22"/>
          <w:lang w:val="en-GB"/>
        </w:rPr>
        <w:t>). At intertidal coastal and reef habitats, the ratio has remained below the guideline value (20) and C:N ratios at the coastal sites were lower than other habitats in the north (</w:t>
      </w:r>
      <w:r w:rsidR="005A64FB" w:rsidRPr="00CB093C">
        <w:rPr>
          <w:rFonts w:ascii="Arial" w:hAnsi="Arial" w:cs="Arial"/>
          <w:szCs w:val="22"/>
          <w:lang w:val="en-GB"/>
        </w:rPr>
        <w:fldChar w:fldCharType="begin"/>
      </w:r>
      <w:r w:rsidR="005A64FB" w:rsidRPr="00CB093C">
        <w:rPr>
          <w:rFonts w:ascii="Arial" w:hAnsi="Arial" w:cs="Arial"/>
          <w:szCs w:val="22"/>
          <w:lang w:val="en-GB"/>
        </w:rPr>
        <w:instrText xml:space="preserve"> REF _Ref304271974 \h </w:instrText>
      </w:r>
      <w:r w:rsidR="00CB093C" w:rsidRPr="00CB093C">
        <w:rPr>
          <w:rFonts w:ascii="Arial" w:hAnsi="Arial" w:cs="Arial"/>
          <w:szCs w:val="22"/>
          <w:lang w:val="en-GB"/>
        </w:rPr>
        <w:instrText xml:space="preserve"> \* MERGEFORMAT </w:instrText>
      </w:r>
      <w:r w:rsidR="005A64FB" w:rsidRPr="00CB093C">
        <w:rPr>
          <w:rFonts w:ascii="Arial" w:hAnsi="Arial" w:cs="Arial"/>
          <w:szCs w:val="22"/>
          <w:lang w:val="en-GB"/>
        </w:rPr>
      </w:r>
      <w:r w:rsidR="005A64FB" w:rsidRPr="00CB093C">
        <w:rPr>
          <w:rFonts w:ascii="Arial" w:hAnsi="Arial" w:cs="Arial"/>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48</w:t>
      </w:r>
      <w:r w:rsidR="005A64FB" w:rsidRPr="00CB093C">
        <w:rPr>
          <w:rFonts w:ascii="Arial" w:hAnsi="Arial" w:cs="Arial"/>
          <w:szCs w:val="22"/>
          <w:lang w:val="en-GB"/>
        </w:rPr>
        <w:fldChar w:fldCharType="end"/>
      </w:r>
      <w:r w:rsidR="005A64FB" w:rsidRPr="00CB093C">
        <w:rPr>
          <w:rFonts w:ascii="Arial" w:hAnsi="Arial" w:cs="Arial"/>
          <w:szCs w:val="22"/>
          <w:lang w:val="en-GB"/>
        </w:rPr>
        <w:t xml:space="preserve">). This indicates that nitrogen loads are in excess of growth requirements, due possibly to </w:t>
      </w:r>
      <w:r w:rsidR="00E27762" w:rsidRPr="00CB093C">
        <w:rPr>
          <w:rFonts w:ascii="Arial" w:hAnsi="Arial" w:cs="Arial"/>
          <w:szCs w:val="22"/>
          <w:lang w:val="en-GB"/>
        </w:rPr>
        <w:t>elevated N or light limitation</w:t>
      </w:r>
      <w:r w:rsidR="005A64FB" w:rsidRPr="00CB093C">
        <w:rPr>
          <w:rFonts w:ascii="Arial" w:hAnsi="Arial" w:cs="Arial"/>
          <w:szCs w:val="22"/>
          <w:lang w:val="en-GB"/>
        </w:rPr>
        <w:t xml:space="preserve">. High N:P ratios </w:t>
      </w:r>
      <w:r w:rsidR="000B3542" w:rsidRPr="00CB093C">
        <w:rPr>
          <w:rFonts w:ascii="Arial" w:hAnsi="Arial" w:cs="Arial"/>
          <w:szCs w:val="22"/>
          <w:lang w:val="en-GB"/>
        </w:rPr>
        <w:t xml:space="preserve">and %N </w:t>
      </w:r>
      <w:r w:rsidR="005A64FB" w:rsidRPr="00CB093C">
        <w:rPr>
          <w:rFonts w:ascii="Arial" w:hAnsi="Arial" w:cs="Arial"/>
          <w:szCs w:val="22"/>
          <w:lang w:val="en-GB"/>
        </w:rPr>
        <w:t>in coastal habitats (</w:t>
      </w:r>
      <w:r w:rsidR="005A64FB" w:rsidRPr="00CB093C">
        <w:rPr>
          <w:rFonts w:ascii="Arial" w:hAnsi="Arial" w:cs="Arial"/>
          <w:szCs w:val="22"/>
          <w:lang w:val="en-GB"/>
        </w:rPr>
        <w:fldChar w:fldCharType="begin"/>
      </w:r>
      <w:r w:rsidR="005A64FB" w:rsidRPr="00CB093C">
        <w:rPr>
          <w:rFonts w:ascii="Arial" w:hAnsi="Arial" w:cs="Arial"/>
          <w:szCs w:val="22"/>
          <w:lang w:val="en-GB"/>
        </w:rPr>
        <w:instrText xml:space="preserve"> REF _Ref304271974 \h </w:instrText>
      </w:r>
      <w:r w:rsidR="00CB093C" w:rsidRPr="00CB093C">
        <w:rPr>
          <w:rFonts w:ascii="Arial" w:hAnsi="Arial" w:cs="Arial"/>
          <w:szCs w:val="22"/>
          <w:lang w:val="en-GB"/>
        </w:rPr>
        <w:instrText xml:space="preserve"> \* MERGEFORMAT </w:instrText>
      </w:r>
      <w:r w:rsidR="005A64FB" w:rsidRPr="00CB093C">
        <w:rPr>
          <w:rFonts w:ascii="Arial" w:hAnsi="Arial" w:cs="Arial"/>
          <w:szCs w:val="22"/>
          <w:lang w:val="en-GB"/>
        </w:rPr>
      </w:r>
      <w:r w:rsidR="005A64FB" w:rsidRPr="00CB093C">
        <w:rPr>
          <w:rFonts w:ascii="Arial" w:hAnsi="Arial" w:cs="Arial"/>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48</w:t>
      </w:r>
      <w:r w:rsidR="005A64FB" w:rsidRPr="00CB093C">
        <w:rPr>
          <w:rFonts w:ascii="Arial" w:hAnsi="Arial" w:cs="Arial"/>
          <w:szCs w:val="22"/>
          <w:lang w:val="en-GB"/>
        </w:rPr>
        <w:fldChar w:fldCharType="end"/>
      </w:r>
      <w:r w:rsidR="005A64FB" w:rsidRPr="00CB093C">
        <w:rPr>
          <w:rFonts w:ascii="Arial" w:hAnsi="Arial" w:cs="Arial"/>
          <w:szCs w:val="22"/>
          <w:lang w:val="en-GB"/>
        </w:rPr>
        <w:t xml:space="preserve">) also provides evidence of excess nitrogen loads at these sites. </w:t>
      </w:r>
      <w:r w:rsidR="001B6AA0" w:rsidRPr="00CB093C">
        <w:rPr>
          <w:rFonts w:ascii="Arial" w:hAnsi="Arial" w:cs="Arial"/>
          <w:szCs w:val="22"/>
          <w:lang w:val="en-GB"/>
        </w:rPr>
        <w:t xml:space="preserve">Seagrasses in </w:t>
      </w:r>
      <w:r w:rsidR="000B3542" w:rsidRPr="00CB093C">
        <w:rPr>
          <w:rFonts w:ascii="Arial" w:hAnsi="Arial" w:cs="Arial"/>
          <w:szCs w:val="22"/>
          <w:lang w:val="en-GB"/>
        </w:rPr>
        <w:t xml:space="preserve">subtidal </w:t>
      </w:r>
      <w:r w:rsidR="001B6AA0" w:rsidRPr="00CB093C">
        <w:rPr>
          <w:rFonts w:ascii="Arial" w:hAnsi="Arial" w:cs="Arial"/>
          <w:szCs w:val="22"/>
          <w:lang w:val="en-GB"/>
        </w:rPr>
        <w:t xml:space="preserve">reef habitats had higher leaf molar C:N ratios than those in </w:t>
      </w:r>
      <w:r w:rsidR="000B3542" w:rsidRPr="00CB093C">
        <w:rPr>
          <w:rFonts w:ascii="Arial" w:hAnsi="Arial" w:cs="Arial"/>
          <w:szCs w:val="22"/>
          <w:lang w:val="en-GB"/>
        </w:rPr>
        <w:t>intertidal</w:t>
      </w:r>
      <w:r w:rsidR="001B6AA0" w:rsidRPr="00CB093C">
        <w:rPr>
          <w:rFonts w:ascii="Arial" w:hAnsi="Arial" w:cs="Arial"/>
          <w:szCs w:val="22"/>
          <w:lang w:val="en-GB"/>
        </w:rPr>
        <w:t xml:space="preserve"> habitats, </w:t>
      </w:r>
      <w:r w:rsidR="00DD3003" w:rsidRPr="00CB093C">
        <w:rPr>
          <w:rFonts w:ascii="Arial" w:hAnsi="Arial" w:cs="Arial"/>
          <w:szCs w:val="22"/>
          <w:lang w:val="en-GB"/>
        </w:rPr>
        <w:t xml:space="preserve">and higher leaf C:P ratios </w:t>
      </w:r>
      <w:r w:rsidR="000B3542" w:rsidRPr="00CB093C">
        <w:rPr>
          <w:rFonts w:ascii="Arial" w:hAnsi="Arial" w:cs="Arial"/>
          <w:szCs w:val="22"/>
          <w:lang w:val="en-GB"/>
        </w:rPr>
        <w:t>(</w:t>
      </w:r>
      <w:r w:rsidR="000B3542" w:rsidRPr="00CB093C">
        <w:rPr>
          <w:rFonts w:ascii="Arial" w:hAnsi="Arial" w:cs="Arial"/>
          <w:szCs w:val="22"/>
          <w:lang w:val="en-GB"/>
        </w:rPr>
        <w:fldChar w:fldCharType="begin"/>
      </w:r>
      <w:r w:rsidR="000B3542" w:rsidRPr="00CB093C">
        <w:rPr>
          <w:rFonts w:ascii="Arial" w:hAnsi="Arial" w:cs="Arial"/>
          <w:szCs w:val="22"/>
          <w:lang w:val="en-GB"/>
        </w:rPr>
        <w:instrText xml:space="preserve"> REF _Ref304271974 \h </w:instrText>
      </w:r>
      <w:r w:rsidR="00CB093C" w:rsidRPr="00CB093C">
        <w:rPr>
          <w:rFonts w:ascii="Arial" w:hAnsi="Arial" w:cs="Arial"/>
          <w:szCs w:val="22"/>
          <w:lang w:val="en-GB"/>
        </w:rPr>
        <w:instrText xml:space="preserve"> \* MERGEFORMAT </w:instrText>
      </w:r>
      <w:r w:rsidR="000B3542" w:rsidRPr="00CB093C">
        <w:rPr>
          <w:rFonts w:ascii="Arial" w:hAnsi="Arial" w:cs="Arial"/>
          <w:szCs w:val="22"/>
          <w:lang w:val="en-GB"/>
        </w:rPr>
      </w:r>
      <w:r w:rsidR="000B3542" w:rsidRPr="00CB093C">
        <w:rPr>
          <w:rFonts w:ascii="Arial" w:hAnsi="Arial" w:cs="Arial"/>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48</w:t>
      </w:r>
      <w:r w:rsidR="000B3542" w:rsidRPr="00CB093C">
        <w:rPr>
          <w:rFonts w:ascii="Arial" w:hAnsi="Arial" w:cs="Arial"/>
          <w:szCs w:val="22"/>
          <w:lang w:val="en-GB"/>
        </w:rPr>
        <w:fldChar w:fldCharType="end"/>
      </w:r>
      <w:r w:rsidR="000B3542" w:rsidRPr="00CB093C">
        <w:rPr>
          <w:rFonts w:ascii="Arial" w:hAnsi="Arial" w:cs="Arial"/>
          <w:szCs w:val="22"/>
          <w:lang w:val="en-GB"/>
        </w:rPr>
        <w:t>)</w:t>
      </w:r>
      <w:r w:rsidR="001B6AA0" w:rsidRPr="00CB093C">
        <w:rPr>
          <w:rFonts w:ascii="Arial" w:hAnsi="Arial" w:cs="Arial"/>
          <w:szCs w:val="22"/>
          <w:lang w:val="en-GB"/>
        </w:rPr>
        <w:t xml:space="preserve">. </w:t>
      </w:r>
    </w:p>
    <w:p w14:paraId="4FAE6C8E" w14:textId="50282048" w:rsidR="000B3542" w:rsidRPr="00CB093C" w:rsidRDefault="000B3542" w:rsidP="000B3542">
      <w:pPr>
        <w:rPr>
          <w:rFonts w:ascii="Arial" w:hAnsi="Arial" w:cs="Arial"/>
          <w:szCs w:val="22"/>
          <w:lang w:val="en-GB"/>
        </w:rPr>
      </w:pPr>
      <w:r w:rsidRPr="00CB093C">
        <w:rPr>
          <w:rFonts w:ascii="Arial" w:hAnsi="Arial" w:cs="Arial"/>
          <w:szCs w:val="22"/>
        </w:rPr>
        <w:t xml:space="preserve">In the southern Wet Tropics, no leaf tissue data is available for coastal habitats due to the </w:t>
      </w:r>
      <w:r w:rsidR="00362F69" w:rsidRPr="00CB093C">
        <w:rPr>
          <w:rFonts w:ascii="Arial" w:hAnsi="Arial" w:cs="Arial"/>
          <w:szCs w:val="22"/>
        </w:rPr>
        <w:t>lack</w:t>
      </w:r>
      <w:r w:rsidRPr="00CB093C">
        <w:rPr>
          <w:rFonts w:ascii="Arial" w:hAnsi="Arial" w:cs="Arial"/>
          <w:szCs w:val="22"/>
        </w:rPr>
        <w:t xml:space="preserve"> of </w:t>
      </w:r>
      <w:r w:rsidR="00362F69" w:rsidRPr="00CB093C">
        <w:rPr>
          <w:rFonts w:ascii="Arial" w:hAnsi="Arial" w:cs="Arial"/>
          <w:szCs w:val="22"/>
        </w:rPr>
        <w:t xml:space="preserve">sufficient leaf tissue </w:t>
      </w:r>
      <w:r w:rsidRPr="00CB093C">
        <w:rPr>
          <w:rFonts w:ascii="Arial" w:hAnsi="Arial" w:cs="Arial"/>
          <w:szCs w:val="22"/>
        </w:rPr>
        <w:t xml:space="preserve">in the late dry </w:t>
      </w:r>
      <w:r w:rsidRPr="00CB093C">
        <w:rPr>
          <w:rFonts w:ascii="Arial" w:hAnsi="Arial" w:cs="Arial"/>
          <w:szCs w:val="22"/>
          <w:lang w:val="en-GB"/>
        </w:rPr>
        <w:t xml:space="preserve">season </w:t>
      </w:r>
      <w:r w:rsidRPr="00CB093C">
        <w:rPr>
          <w:rFonts w:ascii="Arial" w:hAnsi="Arial" w:cs="Arial"/>
          <w:szCs w:val="22"/>
        </w:rPr>
        <w:t xml:space="preserve">2017. At the reef habitats, seagrass leaf tissue molar C:N ratios </w:t>
      </w:r>
      <w:r w:rsidRPr="00CB093C">
        <w:rPr>
          <w:rFonts w:ascii="Arial" w:hAnsi="Arial" w:cs="Arial"/>
          <w:szCs w:val="22"/>
          <w:lang w:val="en-GB"/>
        </w:rPr>
        <w:t>of the foundation seagrass species (in the late dry season 2017) have remained relatively stable below the guideline value (20) over the last few years (</w:t>
      </w:r>
      <w:r w:rsidRPr="00CB093C">
        <w:rPr>
          <w:rFonts w:ascii="Arial" w:hAnsi="Arial" w:cs="Arial"/>
          <w:szCs w:val="22"/>
          <w:lang w:val="en-GB"/>
        </w:rPr>
        <w:fldChar w:fldCharType="begin"/>
      </w:r>
      <w:r w:rsidRPr="00CB093C">
        <w:rPr>
          <w:rFonts w:ascii="Arial" w:hAnsi="Arial" w:cs="Arial"/>
          <w:szCs w:val="22"/>
          <w:lang w:val="en-GB"/>
        </w:rPr>
        <w:instrText xml:space="preserve"> REF _Ref533683174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49</w:t>
      </w:r>
      <w:r w:rsidRPr="00CB093C">
        <w:rPr>
          <w:rFonts w:ascii="Arial" w:hAnsi="Arial" w:cs="Arial"/>
          <w:szCs w:val="22"/>
          <w:lang w:val="en-GB"/>
        </w:rPr>
        <w:fldChar w:fldCharType="end"/>
      </w:r>
      <w:r w:rsidRPr="00CB093C">
        <w:rPr>
          <w:rFonts w:ascii="Arial" w:hAnsi="Arial" w:cs="Arial"/>
          <w:szCs w:val="22"/>
          <w:lang w:val="en-GB"/>
        </w:rPr>
        <w:t xml:space="preserve">). Similar to the northern sub-region, this indicates that nitrogen loads are in excess of growth requirements, due possibly to light limitation. </w:t>
      </w:r>
      <w:r w:rsidR="00E27762" w:rsidRPr="00CB093C">
        <w:rPr>
          <w:rFonts w:ascii="Arial" w:hAnsi="Arial" w:cs="Arial"/>
          <w:szCs w:val="22"/>
          <w:lang w:val="en-GB"/>
        </w:rPr>
        <w:t xml:space="preserve">Although %N was slightly above the global guideline value, the low C:N ratios combined with </w:t>
      </w:r>
      <w:r w:rsidRPr="00CB093C">
        <w:rPr>
          <w:rFonts w:ascii="Arial" w:hAnsi="Arial" w:cs="Arial"/>
          <w:szCs w:val="22"/>
          <w:lang w:val="en-GB"/>
        </w:rPr>
        <w:t xml:space="preserve">N:P ratios </w:t>
      </w:r>
      <w:r w:rsidR="00E27762" w:rsidRPr="00CB093C">
        <w:rPr>
          <w:rFonts w:ascii="Arial" w:hAnsi="Arial" w:cs="Arial"/>
          <w:szCs w:val="22"/>
          <w:lang w:val="en-GB"/>
        </w:rPr>
        <w:t>between 25</w:t>
      </w:r>
      <w:r w:rsidR="009203FC" w:rsidRPr="00CB093C">
        <w:rPr>
          <w:rFonts w:ascii="Arial" w:hAnsi="Arial" w:cs="Arial"/>
          <w:szCs w:val="22"/>
          <w:lang w:val="en-GB"/>
        </w:rPr>
        <w:t>–</w:t>
      </w:r>
      <w:r w:rsidR="00E27762" w:rsidRPr="00CB093C">
        <w:rPr>
          <w:rFonts w:ascii="Arial" w:hAnsi="Arial" w:cs="Arial"/>
          <w:szCs w:val="22"/>
          <w:lang w:val="en-GB"/>
        </w:rPr>
        <w:t>30 suggest</w:t>
      </w:r>
      <w:r w:rsidRPr="00CB093C">
        <w:rPr>
          <w:rFonts w:ascii="Arial" w:hAnsi="Arial" w:cs="Arial"/>
          <w:szCs w:val="22"/>
          <w:lang w:val="en-GB"/>
        </w:rPr>
        <w:t xml:space="preserve"> </w:t>
      </w:r>
      <w:r w:rsidR="00E27762" w:rsidRPr="00CB093C">
        <w:rPr>
          <w:rFonts w:ascii="Arial" w:hAnsi="Arial" w:cs="Arial"/>
          <w:szCs w:val="22"/>
          <w:lang w:val="en-GB"/>
        </w:rPr>
        <w:t>some level of light limitation (</w:t>
      </w:r>
      <w:r w:rsidR="00E27762" w:rsidRPr="00CB093C">
        <w:rPr>
          <w:rFonts w:ascii="Arial" w:hAnsi="Arial" w:cs="Arial"/>
          <w:szCs w:val="22"/>
          <w:lang w:val="en-GB"/>
        </w:rPr>
        <w:fldChar w:fldCharType="begin"/>
      </w:r>
      <w:r w:rsidR="00E27762" w:rsidRPr="00CB093C">
        <w:rPr>
          <w:rFonts w:ascii="Arial" w:hAnsi="Arial" w:cs="Arial"/>
          <w:szCs w:val="22"/>
          <w:lang w:val="en-GB"/>
        </w:rPr>
        <w:instrText xml:space="preserve"> REF _Ref533683174 \h </w:instrText>
      </w:r>
      <w:r w:rsidR="00CB093C" w:rsidRPr="00CB093C">
        <w:rPr>
          <w:rFonts w:ascii="Arial" w:hAnsi="Arial" w:cs="Arial"/>
          <w:szCs w:val="22"/>
          <w:lang w:val="en-GB"/>
        </w:rPr>
        <w:instrText xml:space="preserve"> \* MERGEFORMAT </w:instrText>
      </w:r>
      <w:r w:rsidR="00E27762" w:rsidRPr="00CB093C">
        <w:rPr>
          <w:rFonts w:ascii="Arial" w:hAnsi="Arial" w:cs="Arial"/>
          <w:szCs w:val="22"/>
          <w:lang w:val="en-GB"/>
        </w:rPr>
      </w:r>
      <w:r w:rsidR="00E27762" w:rsidRPr="00CB093C">
        <w:rPr>
          <w:rFonts w:ascii="Arial" w:hAnsi="Arial" w:cs="Arial"/>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49</w:t>
      </w:r>
      <w:r w:rsidR="00E27762" w:rsidRPr="00CB093C">
        <w:rPr>
          <w:rFonts w:ascii="Arial" w:hAnsi="Arial" w:cs="Arial"/>
          <w:szCs w:val="22"/>
          <w:lang w:val="en-GB"/>
        </w:rPr>
        <w:fldChar w:fldCharType="end"/>
      </w:r>
      <w:r w:rsidR="00E27762" w:rsidRPr="00CB093C">
        <w:rPr>
          <w:rFonts w:ascii="Arial" w:hAnsi="Arial" w:cs="Arial"/>
          <w:szCs w:val="22"/>
          <w:lang w:val="en-GB"/>
        </w:rPr>
        <w:t>).</w:t>
      </w:r>
    </w:p>
    <w:p w14:paraId="3F5F3102" w14:textId="77777777" w:rsidR="000B3542" w:rsidRPr="00CB093C" w:rsidRDefault="000B3542" w:rsidP="000E5300">
      <w:pPr>
        <w:rPr>
          <w:rFonts w:ascii="Arial" w:hAnsi="Arial" w:cs="Arial"/>
          <w:szCs w:val="22"/>
          <w:lang w:val="en-GB"/>
        </w:rPr>
      </w:pPr>
    </w:p>
    <w:p w14:paraId="3BF22C0A" w14:textId="77777777" w:rsidR="001B6AA0" w:rsidRPr="00CB093C" w:rsidRDefault="00AA7BCE" w:rsidP="00526A6D">
      <w:pPr>
        <w:keepNext/>
        <w:widowControl w:val="0"/>
        <w:spacing w:after="0"/>
        <w:jc w:val="center"/>
        <w:rPr>
          <w:rFonts w:ascii="Arial" w:hAnsi="Arial" w:cs="Arial"/>
          <w:color w:val="000000"/>
          <w:szCs w:val="22"/>
          <w:lang w:val="en-GB"/>
        </w:rPr>
      </w:pPr>
      <w:r w:rsidRPr="00CB093C">
        <w:rPr>
          <w:rFonts w:ascii="Arial" w:hAnsi="Arial" w:cs="Arial"/>
          <w:noProof/>
          <w:color w:val="000000"/>
          <w:szCs w:val="22"/>
          <w:lang w:val="en-US"/>
        </w:rPr>
        <w:lastRenderedPageBreak/>
        <w:drawing>
          <wp:inline distT="0" distB="0" distL="0" distR="0" wp14:anchorId="3FA9DE68" wp14:editId="63527989">
            <wp:extent cx="5480050" cy="7040137"/>
            <wp:effectExtent l="0" t="0" r="6350" b="8890"/>
            <wp:docPr id="313" name="Picture 313" descr="Set of twenty one scatter plots, displayed in seven by three matrix, with straight lines and markers showing annual elemental ratios (atomic) of seagrass leaf tissue C:N, N:P, C:P, percent Nitrogen, percent Phosphorous, delta 13 Carbon and delta 15 Nitrogen concentrations for the three seagrass habitats in the northern Wet Tropics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WT_CN_yr_Dec16.png"/>
                    <pic:cNvPicPr/>
                  </pic:nvPicPr>
                  <pic:blipFill>
                    <a:blip r:embed="rId92"/>
                    <a:stretch>
                      <a:fillRect/>
                    </a:stretch>
                  </pic:blipFill>
                  <pic:spPr>
                    <a:xfrm>
                      <a:off x="0" y="0"/>
                      <a:ext cx="5483398" cy="7044438"/>
                    </a:xfrm>
                    <a:prstGeom prst="rect">
                      <a:avLst/>
                    </a:prstGeom>
                  </pic:spPr>
                </pic:pic>
              </a:graphicData>
            </a:graphic>
          </wp:inline>
        </w:drawing>
      </w:r>
    </w:p>
    <w:p w14:paraId="211210A8" w14:textId="63FF41F0" w:rsidR="00930A4B" w:rsidRPr="00CB093C" w:rsidRDefault="00D15580" w:rsidP="00930A4B">
      <w:pPr>
        <w:pStyle w:val="Caption"/>
        <w:rPr>
          <w:rFonts w:ascii="Arial" w:hAnsi="Arial" w:cs="Arial"/>
          <w:i/>
          <w:vanish/>
          <w:color w:val="000000" w:themeColor="text1"/>
          <w:szCs w:val="22"/>
          <w:specVanish/>
        </w:rPr>
      </w:pPr>
      <w:bookmarkStart w:id="320" w:name="_Ref304271974"/>
      <w:bookmarkStart w:id="321" w:name="_Toc431493846"/>
      <w:bookmarkStart w:id="322" w:name="_Toc6402813"/>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48</w:t>
      </w:r>
      <w:r w:rsidR="0073595B" w:rsidRPr="00CB093C">
        <w:rPr>
          <w:rFonts w:ascii="Arial" w:hAnsi="Arial" w:cs="Arial"/>
          <w:color w:val="000000"/>
          <w:szCs w:val="22"/>
        </w:rPr>
        <w:fldChar w:fldCharType="end"/>
      </w:r>
      <w:bookmarkEnd w:id="320"/>
      <w:r w:rsidRPr="00CB093C">
        <w:rPr>
          <w:rFonts w:ascii="Arial" w:hAnsi="Arial" w:cs="Arial"/>
          <w:color w:val="000000"/>
          <w:szCs w:val="22"/>
        </w:rPr>
        <w:t xml:space="preserve">. </w:t>
      </w:r>
      <w:bookmarkEnd w:id="321"/>
      <w:r w:rsidR="00930A4B" w:rsidRPr="00CB093C">
        <w:rPr>
          <w:rFonts w:ascii="Arial" w:hAnsi="Arial" w:cs="Arial"/>
          <w:i/>
          <w:color w:val="000000"/>
          <w:szCs w:val="22"/>
          <w:lang w:eastAsia="en-AU"/>
        </w:rPr>
        <w:t xml:space="preserve">Seagrass leaf tissue nutrient elemental ratios (C:N:P) and </w:t>
      </w:r>
      <w:r w:rsidR="00930A4B" w:rsidRPr="00CB093C">
        <w:rPr>
          <w:rFonts w:ascii="Arial" w:hAnsi="Arial" w:cs="Arial"/>
          <w:i/>
          <w:color w:val="000000"/>
          <w:szCs w:val="22"/>
          <w:lang w:val="en-US"/>
        </w:rPr>
        <w:t>concentrations (</w:t>
      </w:r>
      <w:r w:rsidR="00930A4B" w:rsidRPr="00CB093C">
        <w:rPr>
          <w:rFonts w:ascii="Arial" w:hAnsi="Arial" w:cs="Arial"/>
          <w:i/>
          <w:color w:val="000000"/>
          <w:szCs w:val="22"/>
          <w:lang w:eastAsia="en-AU"/>
        </w:rPr>
        <w:t xml:space="preserve">%N, %P, </w:t>
      </w:r>
      <w:r w:rsidR="00930A4B" w:rsidRPr="00CB093C">
        <w:rPr>
          <w:rFonts w:ascii="Arial" w:hAnsi="Arial" w:cs="Arial"/>
          <w:i/>
          <w:color w:val="000000"/>
          <w:szCs w:val="22"/>
        </w:rPr>
        <w:t>δ</w:t>
      </w:r>
      <w:r w:rsidR="00930A4B" w:rsidRPr="00CB093C">
        <w:rPr>
          <w:rFonts w:ascii="Arial" w:hAnsi="Arial" w:cs="Arial"/>
          <w:i/>
          <w:color w:val="000000"/>
          <w:szCs w:val="22"/>
          <w:vertAlign w:val="superscript"/>
        </w:rPr>
        <w:t>13</w:t>
      </w:r>
      <w:r w:rsidR="00930A4B" w:rsidRPr="00CB093C">
        <w:rPr>
          <w:rFonts w:ascii="Arial" w:hAnsi="Arial" w:cs="Arial"/>
          <w:i/>
          <w:color w:val="000000"/>
          <w:szCs w:val="22"/>
        </w:rPr>
        <w:t>C</w:t>
      </w:r>
      <w:r w:rsidR="00930A4B" w:rsidRPr="00CB093C">
        <w:rPr>
          <w:rFonts w:ascii="Arial" w:hAnsi="Arial" w:cs="Arial"/>
          <w:i/>
          <w:color w:val="000000"/>
          <w:szCs w:val="22"/>
          <w:lang w:val="en-US"/>
        </w:rPr>
        <w:t xml:space="preserve"> and </w:t>
      </w:r>
      <w:r w:rsidR="00930A4B" w:rsidRPr="00CB093C">
        <w:rPr>
          <w:rFonts w:ascii="Arial" w:hAnsi="Arial" w:cs="Arial"/>
          <w:i/>
          <w:color w:val="000000"/>
          <w:szCs w:val="22"/>
        </w:rPr>
        <w:t>δ</w:t>
      </w:r>
      <w:r w:rsidR="00930A4B" w:rsidRPr="00CB093C">
        <w:rPr>
          <w:rFonts w:ascii="Arial" w:hAnsi="Arial" w:cs="Arial"/>
          <w:i/>
          <w:color w:val="000000"/>
          <w:szCs w:val="22"/>
          <w:vertAlign w:val="superscript"/>
        </w:rPr>
        <w:t>15</w:t>
      </w:r>
      <w:r w:rsidR="00930A4B" w:rsidRPr="00CB093C">
        <w:rPr>
          <w:rFonts w:ascii="Arial" w:hAnsi="Arial" w:cs="Arial"/>
          <w:i/>
          <w:color w:val="000000"/>
          <w:szCs w:val="22"/>
        </w:rPr>
        <w:t>N)</w:t>
      </w:r>
      <w:r w:rsidR="00930A4B" w:rsidRPr="00CB093C">
        <w:rPr>
          <w:rFonts w:ascii="Arial" w:hAnsi="Arial" w:cs="Arial"/>
          <w:i/>
          <w:color w:val="000000"/>
          <w:szCs w:val="22"/>
          <w:lang w:val="en-US"/>
        </w:rPr>
        <w:t xml:space="preserve"> </w:t>
      </w:r>
      <w:r w:rsidR="00930A4B" w:rsidRPr="00CB093C">
        <w:rPr>
          <w:rFonts w:ascii="Arial" w:hAnsi="Arial" w:cs="Arial"/>
          <w:i/>
          <w:color w:val="000000"/>
          <w:szCs w:val="22"/>
          <w:lang w:eastAsia="en-AU"/>
        </w:rPr>
        <w:t>for each habitat in the northern Wet Tropics region</w:t>
      </w:r>
      <w:bookmarkEnd w:id="322"/>
    </w:p>
    <w:p w14:paraId="40AA4EF0" w14:textId="113A58A6" w:rsidR="00AA24EC" w:rsidRPr="00CB093C" w:rsidRDefault="00930A4B" w:rsidP="00930A4B">
      <w:pPr>
        <w:rPr>
          <w:rFonts w:ascii="Arial" w:hAnsi="Arial" w:cs="Arial"/>
          <w:i/>
          <w:color w:val="000000"/>
          <w:szCs w:val="22"/>
          <w:lang w:eastAsia="en-AU"/>
        </w:rPr>
      </w:pPr>
      <w:r w:rsidRPr="00CB093C">
        <w:rPr>
          <w:rFonts w:ascii="Arial" w:hAnsi="Arial" w:cs="Arial"/>
          <w:i/>
          <w:color w:val="000000"/>
          <w:szCs w:val="22"/>
          <w:lang w:eastAsia="en-AU"/>
        </w:rPr>
        <w:t xml:space="preserve"> (± SE) (foundation species pooled). Horizontal shaded bands or dashed lines represents the accepted seagrass </w:t>
      </w:r>
      <w:r w:rsidRPr="00CB093C">
        <w:rPr>
          <w:rFonts w:ascii="Arial" w:hAnsi="Arial" w:cs="Arial"/>
          <w:i/>
          <w:color w:val="000000"/>
          <w:szCs w:val="22"/>
        </w:rPr>
        <w:t xml:space="preserve">guideline </w:t>
      </w:r>
      <w:r w:rsidRPr="00CB093C">
        <w:rPr>
          <w:rFonts w:ascii="Arial" w:hAnsi="Arial" w:cs="Arial"/>
          <w:i/>
          <w:color w:val="000000"/>
          <w:szCs w:val="22"/>
          <w:lang w:eastAsia="en-AU"/>
        </w:rPr>
        <w:t xml:space="preserve">values, where: C:N ratios within the band may </w:t>
      </w:r>
      <w:r w:rsidRPr="00CB093C">
        <w:rPr>
          <w:rFonts w:ascii="Arial" w:hAnsi="Arial" w:cs="Arial"/>
          <w:i/>
          <w:color w:val="000000"/>
          <w:szCs w:val="22"/>
        </w:rPr>
        <w:t xml:space="preserve">indicate reduced light </w:t>
      </w:r>
      <w:r w:rsidRPr="00CB093C">
        <w:rPr>
          <w:rFonts w:ascii="Arial" w:hAnsi="Arial" w:cs="Arial"/>
          <w:i/>
          <w:color w:val="000000"/>
          <w:szCs w:val="22"/>
        </w:rPr>
        <w:lastRenderedPageBreak/>
        <w:t xml:space="preserve">availability and/or N enrichment; </w:t>
      </w:r>
      <w:r w:rsidRPr="00CB093C">
        <w:rPr>
          <w:rFonts w:ascii="Arial" w:hAnsi="Arial" w:cs="Arial"/>
          <w:i/>
          <w:color w:val="000000"/>
          <w:szCs w:val="22"/>
          <w:lang w:eastAsia="en-AU"/>
        </w:rPr>
        <w:t xml:space="preserve">N:P ratios above the band indicate P limitation, below indicate N limitation and within indicates replete, and; C:P ratios within the band may </w:t>
      </w:r>
      <w:r w:rsidRPr="00CB093C">
        <w:rPr>
          <w:rFonts w:ascii="Arial" w:hAnsi="Arial" w:cs="Arial"/>
          <w:i/>
          <w:color w:val="000000"/>
          <w:szCs w:val="22"/>
        </w:rPr>
        <w:t xml:space="preserve">indicate </w:t>
      </w:r>
      <w:r w:rsidRPr="00CB093C">
        <w:rPr>
          <w:rFonts w:ascii="Arial" w:hAnsi="Arial" w:cs="Arial"/>
          <w:i/>
          <w:color w:val="000000"/>
          <w:szCs w:val="22"/>
          <w:lang w:eastAsia="en-AU"/>
        </w:rPr>
        <w:t>nutrient rich habitats (large P pool).</w:t>
      </w:r>
      <w:r w:rsidRPr="00CB093C">
        <w:rPr>
          <w:rFonts w:ascii="Arial" w:hAnsi="Arial" w:cs="Arial"/>
          <w:color w:val="000000"/>
          <w:szCs w:val="22"/>
          <w:lang w:eastAsia="en-AU"/>
        </w:rPr>
        <w:t xml:space="preserve"> </w:t>
      </w:r>
      <w:r w:rsidRPr="00CB093C">
        <w:rPr>
          <w:rFonts w:ascii="Arial" w:hAnsi="Arial" w:cs="Arial"/>
          <w:i/>
          <w:color w:val="000000"/>
          <w:szCs w:val="22"/>
        </w:rPr>
        <w:t xml:space="preserve">Dashed lines in %N and %P indicate global median values of 1.8 </w:t>
      </w:r>
      <w:r w:rsidR="00882B72" w:rsidRPr="00CB093C">
        <w:rPr>
          <w:rFonts w:ascii="Arial" w:hAnsi="Arial" w:cs="Arial"/>
          <w:i/>
          <w:color w:val="000000"/>
          <w:szCs w:val="22"/>
        </w:rPr>
        <w:t>%</w:t>
      </w:r>
      <w:r w:rsidRPr="00CB093C">
        <w:rPr>
          <w:rFonts w:ascii="Arial" w:hAnsi="Arial" w:cs="Arial"/>
          <w:i/>
          <w:color w:val="000000"/>
          <w:szCs w:val="22"/>
        </w:rPr>
        <w:t xml:space="preserve"> and 0.2 </w:t>
      </w:r>
      <w:r w:rsidR="00882B72" w:rsidRPr="00CB093C">
        <w:rPr>
          <w:rFonts w:ascii="Arial" w:hAnsi="Arial" w:cs="Arial"/>
          <w:i/>
          <w:color w:val="000000"/>
          <w:szCs w:val="22"/>
        </w:rPr>
        <w:t>%</w:t>
      </w:r>
      <w:r w:rsidRPr="00CB093C">
        <w:rPr>
          <w:rFonts w:ascii="Arial" w:hAnsi="Arial" w:cs="Arial"/>
          <w:i/>
          <w:color w:val="000000"/>
          <w:szCs w:val="22"/>
        </w:rPr>
        <w:t xml:space="preserve"> for tissue nitrogen and phosphorus, respectively (</w:t>
      </w:r>
      <w:hyperlink w:anchor="_ENREF_50" w:tooltip="Duarte, 1990 #1954" w:history="1">
        <w:r w:rsidR="00513C39" w:rsidRPr="00CB093C">
          <w:rPr>
            <w:rFonts w:ascii="Arial" w:hAnsi="Arial" w:cs="Arial"/>
            <w:i/>
            <w:color w:val="000000"/>
            <w:szCs w:val="22"/>
          </w:rPr>
          <w:fldChar w:fldCharType="begin"/>
        </w:r>
        <w:r w:rsidR="00513C39" w:rsidRPr="00CB093C">
          <w:rPr>
            <w:rFonts w:ascii="Arial" w:hAnsi="Arial" w:cs="Arial"/>
            <w:i/>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513C39" w:rsidRPr="00CB093C">
          <w:rPr>
            <w:rFonts w:ascii="Arial" w:hAnsi="Arial" w:cs="Arial"/>
            <w:i/>
            <w:color w:val="000000"/>
            <w:szCs w:val="22"/>
          </w:rPr>
          <w:fldChar w:fldCharType="separate"/>
        </w:r>
        <w:r w:rsidR="00513C39" w:rsidRPr="00CB093C">
          <w:rPr>
            <w:rFonts w:ascii="Arial" w:hAnsi="Arial" w:cs="Arial"/>
            <w:i/>
            <w:noProof/>
            <w:color w:val="000000"/>
            <w:szCs w:val="22"/>
          </w:rPr>
          <w:t>Duarte 1990</w:t>
        </w:r>
        <w:r w:rsidR="00513C39" w:rsidRPr="00CB093C">
          <w:rPr>
            <w:rFonts w:ascii="Arial" w:hAnsi="Arial" w:cs="Arial"/>
            <w:i/>
            <w:color w:val="000000"/>
            <w:szCs w:val="22"/>
          </w:rPr>
          <w:fldChar w:fldCharType="end"/>
        </w:r>
      </w:hyperlink>
      <w:r w:rsidRPr="00CB093C">
        <w:rPr>
          <w:rFonts w:ascii="Arial" w:hAnsi="Arial" w:cs="Arial"/>
          <w:i/>
          <w:color w:val="000000"/>
          <w:szCs w:val="22"/>
        </w:rPr>
        <w:t>).</w:t>
      </w:r>
    </w:p>
    <w:p w14:paraId="3F13BBDD" w14:textId="01967E7B" w:rsidR="00AA24EC" w:rsidRPr="00CB093C" w:rsidRDefault="00AA24EC" w:rsidP="008A59C6">
      <w:pPr>
        <w:rPr>
          <w:rFonts w:ascii="Arial" w:hAnsi="Arial" w:cs="Arial"/>
          <w:color w:val="000000"/>
          <w:szCs w:val="22"/>
          <w:lang w:val="en-GB"/>
        </w:rPr>
      </w:pPr>
      <w:r w:rsidRPr="00CB093C">
        <w:rPr>
          <w:rFonts w:ascii="Arial" w:hAnsi="Arial" w:cs="Arial"/>
          <w:i/>
          <w:color w:val="000000"/>
          <w:szCs w:val="22"/>
          <w:lang w:eastAsia="en-AU"/>
        </w:rPr>
        <w:br w:type="column"/>
      </w:r>
      <w:r w:rsidRPr="00CB093C">
        <w:rPr>
          <w:rFonts w:ascii="Arial" w:hAnsi="Arial" w:cs="Arial"/>
          <w:noProof/>
          <w:color w:val="000000"/>
          <w:szCs w:val="22"/>
          <w:lang w:val="en-US"/>
        </w:rPr>
        <w:lastRenderedPageBreak/>
        <w:drawing>
          <wp:inline distT="0" distB="0" distL="0" distR="0" wp14:anchorId="6225DBB8" wp14:editId="1B2E6A55">
            <wp:extent cx="5738986" cy="6644640"/>
            <wp:effectExtent l="0" t="0" r="0" b="3810"/>
            <wp:docPr id="536" name="Picture 536" descr="Set of twenty one scatter plots, displayed in seven by three matrix, with straight lines and markers showing annual elemental ratios (atomic) of seagrass leaf tissue C:N, N:P, C:P, percent Nitrogen, percent Phosphorous, delta 13 Carbon and delta 15 Nitrogen concentrations for the three seagrass habitats in the southern Wet Tropics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WT_CN_yr_Dec16.png"/>
                    <pic:cNvPicPr/>
                  </pic:nvPicPr>
                  <pic:blipFill>
                    <a:blip r:embed="rId93"/>
                    <a:stretch>
                      <a:fillRect/>
                    </a:stretch>
                  </pic:blipFill>
                  <pic:spPr>
                    <a:xfrm>
                      <a:off x="0" y="0"/>
                      <a:ext cx="5743029" cy="6649321"/>
                    </a:xfrm>
                    <a:prstGeom prst="rect">
                      <a:avLst/>
                    </a:prstGeom>
                  </pic:spPr>
                </pic:pic>
              </a:graphicData>
            </a:graphic>
          </wp:inline>
        </w:drawing>
      </w:r>
    </w:p>
    <w:p w14:paraId="1913B855" w14:textId="626BD106" w:rsidR="00930A4B" w:rsidRPr="00CB093C" w:rsidRDefault="00AA24EC" w:rsidP="00930A4B">
      <w:pPr>
        <w:pStyle w:val="Caption"/>
        <w:rPr>
          <w:rFonts w:ascii="Arial" w:hAnsi="Arial" w:cs="Arial"/>
          <w:i/>
          <w:vanish/>
          <w:color w:val="000000" w:themeColor="text1"/>
          <w:szCs w:val="22"/>
          <w:specVanish/>
        </w:rPr>
      </w:pPr>
      <w:bookmarkStart w:id="323" w:name="_Ref533683174"/>
      <w:bookmarkStart w:id="324" w:name="_Toc6402814"/>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49</w:t>
      </w:r>
      <w:r w:rsidRPr="00CB093C">
        <w:rPr>
          <w:rFonts w:ascii="Arial" w:hAnsi="Arial" w:cs="Arial"/>
          <w:color w:val="000000"/>
          <w:szCs w:val="22"/>
        </w:rPr>
        <w:fldChar w:fldCharType="end"/>
      </w:r>
      <w:bookmarkEnd w:id="323"/>
      <w:r w:rsidRPr="00CB093C">
        <w:rPr>
          <w:rFonts w:ascii="Arial" w:hAnsi="Arial" w:cs="Arial"/>
          <w:color w:val="000000"/>
          <w:szCs w:val="22"/>
        </w:rPr>
        <w:t xml:space="preserve">. </w:t>
      </w:r>
      <w:r w:rsidR="00930A4B" w:rsidRPr="00CB093C">
        <w:rPr>
          <w:rFonts w:ascii="Arial" w:hAnsi="Arial" w:cs="Arial"/>
          <w:i/>
          <w:color w:val="000000"/>
          <w:szCs w:val="22"/>
          <w:lang w:eastAsia="en-AU"/>
        </w:rPr>
        <w:t xml:space="preserve">Seagrass leaf tissue nutrient elemental ratios (C:N:P) and </w:t>
      </w:r>
      <w:r w:rsidR="00930A4B" w:rsidRPr="00CB093C">
        <w:rPr>
          <w:rFonts w:ascii="Arial" w:hAnsi="Arial" w:cs="Arial"/>
          <w:i/>
          <w:color w:val="000000"/>
          <w:szCs w:val="22"/>
          <w:lang w:val="en-US"/>
        </w:rPr>
        <w:t>concentrations (</w:t>
      </w:r>
      <w:r w:rsidR="00930A4B" w:rsidRPr="00CB093C">
        <w:rPr>
          <w:rFonts w:ascii="Arial" w:hAnsi="Arial" w:cs="Arial"/>
          <w:i/>
          <w:color w:val="000000"/>
          <w:szCs w:val="22"/>
          <w:lang w:eastAsia="en-AU"/>
        </w:rPr>
        <w:t xml:space="preserve">%N, %P, </w:t>
      </w:r>
      <w:r w:rsidR="00930A4B" w:rsidRPr="00CB093C">
        <w:rPr>
          <w:rFonts w:ascii="Arial" w:hAnsi="Arial" w:cs="Arial"/>
          <w:i/>
          <w:color w:val="000000"/>
          <w:szCs w:val="22"/>
        </w:rPr>
        <w:t>δ</w:t>
      </w:r>
      <w:r w:rsidR="00930A4B" w:rsidRPr="00CB093C">
        <w:rPr>
          <w:rFonts w:ascii="Arial" w:hAnsi="Arial" w:cs="Arial"/>
          <w:i/>
          <w:color w:val="000000"/>
          <w:szCs w:val="22"/>
          <w:vertAlign w:val="superscript"/>
        </w:rPr>
        <w:t>13</w:t>
      </w:r>
      <w:r w:rsidR="00930A4B" w:rsidRPr="00CB093C">
        <w:rPr>
          <w:rFonts w:ascii="Arial" w:hAnsi="Arial" w:cs="Arial"/>
          <w:i/>
          <w:color w:val="000000"/>
          <w:szCs w:val="22"/>
        </w:rPr>
        <w:t>C</w:t>
      </w:r>
      <w:r w:rsidR="00930A4B" w:rsidRPr="00CB093C">
        <w:rPr>
          <w:rFonts w:ascii="Arial" w:hAnsi="Arial" w:cs="Arial"/>
          <w:i/>
          <w:color w:val="000000"/>
          <w:szCs w:val="22"/>
          <w:lang w:val="en-US"/>
        </w:rPr>
        <w:t xml:space="preserve"> and </w:t>
      </w:r>
      <w:r w:rsidR="00930A4B" w:rsidRPr="00CB093C">
        <w:rPr>
          <w:rFonts w:ascii="Arial" w:hAnsi="Arial" w:cs="Arial"/>
          <w:i/>
          <w:color w:val="000000"/>
          <w:szCs w:val="22"/>
        </w:rPr>
        <w:t>δ</w:t>
      </w:r>
      <w:r w:rsidR="00930A4B" w:rsidRPr="00CB093C">
        <w:rPr>
          <w:rFonts w:ascii="Arial" w:hAnsi="Arial" w:cs="Arial"/>
          <w:i/>
          <w:color w:val="000000"/>
          <w:szCs w:val="22"/>
          <w:vertAlign w:val="superscript"/>
        </w:rPr>
        <w:t>15</w:t>
      </w:r>
      <w:r w:rsidR="00930A4B" w:rsidRPr="00CB093C">
        <w:rPr>
          <w:rFonts w:ascii="Arial" w:hAnsi="Arial" w:cs="Arial"/>
          <w:i/>
          <w:color w:val="000000"/>
          <w:szCs w:val="22"/>
        </w:rPr>
        <w:t>N)</w:t>
      </w:r>
      <w:r w:rsidR="00930A4B" w:rsidRPr="00CB093C">
        <w:rPr>
          <w:rFonts w:ascii="Arial" w:hAnsi="Arial" w:cs="Arial"/>
          <w:i/>
          <w:color w:val="000000"/>
          <w:szCs w:val="22"/>
          <w:lang w:val="en-US"/>
        </w:rPr>
        <w:t xml:space="preserve"> </w:t>
      </w:r>
      <w:r w:rsidR="00930A4B" w:rsidRPr="00CB093C">
        <w:rPr>
          <w:rFonts w:ascii="Arial" w:hAnsi="Arial" w:cs="Arial"/>
          <w:i/>
          <w:color w:val="000000"/>
          <w:szCs w:val="22"/>
          <w:lang w:eastAsia="en-AU"/>
        </w:rPr>
        <w:t>for each habitat in the southern Wet Tropics region</w:t>
      </w:r>
      <w:bookmarkEnd w:id="324"/>
    </w:p>
    <w:p w14:paraId="6C1E5167" w14:textId="5FD01AE8" w:rsidR="00AA24EC" w:rsidRPr="00CB093C" w:rsidRDefault="00930A4B" w:rsidP="00930A4B">
      <w:pPr>
        <w:rPr>
          <w:rFonts w:ascii="Arial" w:hAnsi="Arial" w:cs="Arial"/>
          <w:i/>
          <w:iCs/>
          <w:vanish/>
          <w:color w:val="000000"/>
          <w:szCs w:val="22"/>
          <w:lang w:eastAsia="en-AU"/>
        </w:rPr>
      </w:pPr>
      <w:r w:rsidRPr="00CB093C">
        <w:rPr>
          <w:rFonts w:ascii="Arial" w:hAnsi="Arial" w:cs="Arial"/>
          <w:i/>
          <w:color w:val="000000"/>
          <w:szCs w:val="22"/>
          <w:lang w:eastAsia="en-AU"/>
        </w:rPr>
        <w:t xml:space="preserve"> (± SE) (foundation species pooled). Horizontal shaded bands or dashed lines represents the accepted seagrass </w:t>
      </w:r>
      <w:r w:rsidRPr="00CB093C">
        <w:rPr>
          <w:rFonts w:ascii="Arial" w:hAnsi="Arial" w:cs="Arial"/>
          <w:i/>
          <w:color w:val="000000"/>
          <w:szCs w:val="22"/>
        </w:rPr>
        <w:t xml:space="preserve">guideline </w:t>
      </w:r>
      <w:r w:rsidRPr="00CB093C">
        <w:rPr>
          <w:rFonts w:ascii="Arial" w:hAnsi="Arial" w:cs="Arial"/>
          <w:i/>
          <w:color w:val="000000"/>
          <w:szCs w:val="22"/>
          <w:lang w:eastAsia="en-AU"/>
        </w:rPr>
        <w:t xml:space="preserve">values, where: C:N ratios within the band may </w:t>
      </w:r>
      <w:r w:rsidRPr="00CB093C">
        <w:rPr>
          <w:rFonts w:ascii="Arial" w:hAnsi="Arial" w:cs="Arial"/>
          <w:i/>
          <w:color w:val="000000"/>
          <w:szCs w:val="22"/>
        </w:rPr>
        <w:t xml:space="preserve">indicate reduced light availability and/or N enrichment; </w:t>
      </w:r>
      <w:r w:rsidRPr="00CB093C">
        <w:rPr>
          <w:rFonts w:ascii="Arial" w:hAnsi="Arial" w:cs="Arial"/>
          <w:i/>
          <w:color w:val="000000"/>
          <w:szCs w:val="22"/>
          <w:lang w:eastAsia="en-AU"/>
        </w:rPr>
        <w:t xml:space="preserve">N:P ratios above the band indicate P limitation, below indicate N limitation and within indicates replete, and; C:P ratios within the band may </w:t>
      </w:r>
      <w:r w:rsidRPr="00CB093C">
        <w:rPr>
          <w:rFonts w:ascii="Arial" w:hAnsi="Arial" w:cs="Arial"/>
          <w:i/>
          <w:color w:val="000000"/>
          <w:szCs w:val="22"/>
        </w:rPr>
        <w:t xml:space="preserve">indicate </w:t>
      </w:r>
      <w:r w:rsidRPr="00CB093C">
        <w:rPr>
          <w:rFonts w:ascii="Arial" w:hAnsi="Arial" w:cs="Arial"/>
          <w:i/>
          <w:color w:val="000000"/>
          <w:szCs w:val="22"/>
          <w:lang w:eastAsia="en-AU"/>
        </w:rPr>
        <w:lastRenderedPageBreak/>
        <w:t>nutrient rich habitats (large P pool).</w:t>
      </w:r>
      <w:r w:rsidRPr="00CB093C">
        <w:rPr>
          <w:rFonts w:ascii="Arial" w:hAnsi="Arial" w:cs="Arial"/>
          <w:color w:val="000000"/>
          <w:szCs w:val="22"/>
          <w:lang w:eastAsia="en-AU"/>
        </w:rPr>
        <w:t xml:space="preserve"> </w:t>
      </w:r>
      <w:r w:rsidRPr="00CB093C">
        <w:rPr>
          <w:rFonts w:ascii="Arial" w:hAnsi="Arial" w:cs="Arial"/>
          <w:i/>
          <w:color w:val="000000"/>
          <w:szCs w:val="22"/>
        </w:rPr>
        <w:t xml:space="preserve">Dashed lines in %N and %P indicate global median values of 1.8 </w:t>
      </w:r>
      <w:r w:rsidR="00882B72" w:rsidRPr="00CB093C">
        <w:rPr>
          <w:rFonts w:ascii="Arial" w:hAnsi="Arial" w:cs="Arial"/>
          <w:i/>
          <w:color w:val="000000"/>
          <w:szCs w:val="22"/>
        </w:rPr>
        <w:t>%</w:t>
      </w:r>
      <w:r w:rsidRPr="00CB093C">
        <w:rPr>
          <w:rFonts w:ascii="Arial" w:hAnsi="Arial" w:cs="Arial"/>
          <w:i/>
          <w:color w:val="000000"/>
          <w:szCs w:val="22"/>
        </w:rPr>
        <w:t xml:space="preserve"> and 0.2 </w:t>
      </w:r>
      <w:r w:rsidR="00882B72" w:rsidRPr="00CB093C">
        <w:rPr>
          <w:rFonts w:ascii="Arial" w:hAnsi="Arial" w:cs="Arial"/>
          <w:i/>
          <w:color w:val="000000"/>
          <w:szCs w:val="22"/>
        </w:rPr>
        <w:t>%</w:t>
      </w:r>
      <w:r w:rsidRPr="00CB093C">
        <w:rPr>
          <w:rFonts w:ascii="Arial" w:hAnsi="Arial" w:cs="Arial"/>
          <w:i/>
          <w:color w:val="000000"/>
          <w:szCs w:val="22"/>
        </w:rPr>
        <w:t xml:space="preserve"> for tissue nitrogen and phosphorus, respectively (</w:t>
      </w:r>
      <w:hyperlink w:anchor="_ENREF_50" w:tooltip="Duarte, 1990 #1954" w:history="1">
        <w:r w:rsidR="00513C39" w:rsidRPr="00CB093C">
          <w:rPr>
            <w:rFonts w:ascii="Arial" w:hAnsi="Arial" w:cs="Arial"/>
            <w:i/>
            <w:color w:val="000000"/>
            <w:szCs w:val="22"/>
          </w:rPr>
          <w:fldChar w:fldCharType="begin"/>
        </w:r>
        <w:r w:rsidR="00513C39" w:rsidRPr="00CB093C">
          <w:rPr>
            <w:rFonts w:ascii="Arial" w:hAnsi="Arial" w:cs="Arial"/>
            <w:i/>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513C39" w:rsidRPr="00CB093C">
          <w:rPr>
            <w:rFonts w:ascii="Arial" w:hAnsi="Arial" w:cs="Arial"/>
            <w:i/>
            <w:color w:val="000000"/>
            <w:szCs w:val="22"/>
          </w:rPr>
          <w:fldChar w:fldCharType="separate"/>
        </w:r>
        <w:r w:rsidR="00513C39" w:rsidRPr="00CB093C">
          <w:rPr>
            <w:rFonts w:ascii="Arial" w:hAnsi="Arial" w:cs="Arial"/>
            <w:i/>
            <w:noProof/>
            <w:color w:val="000000"/>
            <w:szCs w:val="22"/>
          </w:rPr>
          <w:t>Duarte 1990</w:t>
        </w:r>
        <w:r w:rsidR="00513C39" w:rsidRPr="00CB093C">
          <w:rPr>
            <w:rFonts w:ascii="Arial" w:hAnsi="Arial" w:cs="Arial"/>
            <w:i/>
            <w:color w:val="000000"/>
            <w:szCs w:val="22"/>
          </w:rPr>
          <w:fldChar w:fldCharType="end"/>
        </w:r>
      </w:hyperlink>
      <w:r w:rsidRPr="00CB093C">
        <w:rPr>
          <w:rFonts w:ascii="Arial" w:hAnsi="Arial" w:cs="Arial"/>
          <w:i/>
          <w:color w:val="000000"/>
          <w:szCs w:val="22"/>
        </w:rPr>
        <w:t>).</w:t>
      </w:r>
    </w:p>
    <w:p w14:paraId="4DD6A8BA" w14:textId="77777777" w:rsidR="00AA24EC" w:rsidRPr="00CB093C" w:rsidRDefault="00AA24EC" w:rsidP="0015251F">
      <w:pPr>
        <w:rPr>
          <w:rFonts w:ascii="Arial" w:hAnsi="Arial" w:cs="Arial"/>
          <w:szCs w:val="22"/>
          <w:lang w:val="en-GB"/>
        </w:rPr>
      </w:pPr>
    </w:p>
    <w:p w14:paraId="76436CD4" w14:textId="281BA36C" w:rsidR="005132EF" w:rsidRPr="00CB093C" w:rsidRDefault="005132EF" w:rsidP="000F3AC4">
      <w:pPr>
        <w:pStyle w:val="Heading3"/>
        <w:numPr>
          <w:ilvl w:val="3"/>
          <w:numId w:val="4"/>
        </w:numPr>
        <w:rPr>
          <w:rFonts w:ascii="Arial" w:hAnsi="Arial" w:cs="Arial"/>
          <w:b w:val="0"/>
          <w:i/>
          <w:color w:val="000000"/>
          <w:sz w:val="22"/>
          <w:szCs w:val="22"/>
        </w:rPr>
      </w:pPr>
      <w:bookmarkStart w:id="325" w:name="_Toc232845914"/>
      <w:bookmarkStart w:id="326" w:name="_Toc184101989"/>
      <w:bookmarkStart w:id="327" w:name="_Toc11394741"/>
      <w:bookmarkEnd w:id="318"/>
      <w:bookmarkEnd w:id="319"/>
      <w:r w:rsidRPr="00CB093C">
        <w:rPr>
          <w:rFonts w:ascii="Arial" w:hAnsi="Arial" w:cs="Arial"/>
          <w:b w:val="0"/>
          <w:i/>
          <w:color w:val="000000"/>
          <w:sz w:val="22"/>
          <w:szCs w:val="22"/>
        </w:rPr>
        <w:t>Epiphytes and macroalgae</w:t>
      </w:r>
      <w:bookmarkEnd w:id="325"/>
      <w:bookmarkEnd w:id="326"/>
      <w:bookmarkEnd w:id="327"/>
    </w:p>
    <w:p w14:paraId="7EE432B8" w14:textId="589D942D" w:rsidR="002071D5" w:rsidRPr="00CB093C" w:rsidRDefault="00F12530" w:rsidP="00F12530">
      <w:pPr>
        <w:rPr>
          <w:rFonts w:ascii="Arial" w:hAnsi="Arial" w:cs="Arial"/>
          <w:szCs w:val="22"/>
          <w:lang w:val="en-US"/>
        </w:rPr>
      </w:pPr>
      <w:r w:rsidRPr="00CB093C">
        <w:rPr>
          <w:rFonts w:ascii="Arial" w:hAnsi="Arial" w:cs="Arial"/>
          <w:szCs w:val="22"/>
          <w:lang w:val="en-US"/>
        </w:rPr>
        <w:t>Epiphyte cover on seagrass leaf blades has historically been higher in the wet season across all habitats in the Wet Tropics region (</w:t>
      </w:r>
      <w:r w:rsidRPr="00CB093C">
        <w:rPr>
          <w:rFonts w:ascii="Arial" w:hAnsi="Arial" w:cs="Arial"/>
          <w:szCs w:val="22"/>
          <w:lang w:val="en-US"/>
        </w:rPr>
        <w:fldChar w:fldCharType="begin"/>
      </w:r>
      <w:r w:rsidRPr="00CB093C">
        <w:rPr>
          <w:rFonts w:ascii="Arial" w:hAnsi="Arial" w:cs="Arial"/>
          <w:szCs w:val="22"/>
          <w:lang w:val="en-US"/>
        </w:rPr>
        <w:instrText xml:space="preserve"> REF _Ref380413215 \h  \* MERGEFORMAT </w:instrText>
      </w:r>
      <w:r w:rsidRPr="00CB093C">
        <w:rPr>
          <w:rFonts w:ascii="Arial" w:hAnsi="Arial" w:cs="Arial"/>
          <w:szCs w:val="22"/>
          <w:lang w:val="en-US"/>
        </w:rPr>
      </w:r>
      <w:r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50</w:t>
      </w:r>
      <w:r w:rsidRPr="00CB093C">
        <w:rPr>
          <w:rFonts w:ascii="Arial" w:hAnsi="Arial" w:cs="Arial"/>
          <w:szCs w:val="22"/>
          <w:lang w:val="en-US"/>
        </w:rPr>
        <w:fldChar w:fldCharType="end"/>
      </w:r>
      <w:r w:rsidRPr="00CB093C">
        <w:rPr>
          <w:rFonts w:ascii="Arial" w:hAnsi="Arial" w:cs="Arial"/>
          <w:szCs w:val="22"/>
          <w:lang w:val="en-US"/>
        </w:rPr>
        <w:t xml:space="preserve">). Epiphyte cover remained above the </w:t>
      </w:r>
      <w:r w:rsidR="002071D5" w:rsidRPr="00CB093C">
        <w:rPr>
          <w:rFonts w:ascii="Arial" w:hAnsi="Arial" w:cs="Arial"/>
          <w:szCs w:val="22"/>
          <w:lang w:val="en-US"/>
        </w:rPr>
        <w:t xml:space="preserve">Reef-wide </w:t>
      </w:r>
      <w:r w:rsidRPr="00CB093C">
        <w:rPr>
          <w:rFonts w:ascii="Arial" w:hAnsi="Arial" w:cs="Arial"/>
          <w:szCs w:val="22"/>
          <w:lang w:val="en-US"/>
        </w:rPr>
        <w:t xml:space="preserve">long-term average across all habitats in the northern Wet Tropics in </w:t>
      </w:r>
      <w:r w:rsidR="003654C6">
        <w:rPr>
          <w:rFonts w:ascii="Arial" w:hAnsi="Arial" w:cs="Arial"/>
          <w:szCs w:val="22"/>
          <w:lang w:val="en-US"/>
        </w:rPr>
        <w:t>2017–18</w:t>
      </w:r>
      <w:r w:rsidRPr="00CB093C">
        <w:rPr>
          <w:rFonts w:ascii="Arial" w:hAnsi="Arial" w:cs="Arial"/>
          <w:szCs w:val="22"/>
          <w:lang w:val="en-US"/>
        </w:rPr>
        <w:t xml:space="preserve"> (</w:t>
      </w:r>
      <w:r w:rsidRPr="00CB093C">
        <w:rPr>
          <w:rFonts w:ascii="Arial" w:hAnsi="Arial" w:cs="Arial"/>
          <w:szCs w:val="22"/>
          <w:lang w:val="en-US"/>
        </w:rPr>
        <w:fldChar w:fldCharType="begin"/>
      </w:r>
      <w:r w:rsidRPr="00CB093C">
        <w:rPr>
          <w:rFonts w:ascii="Arial" w:hAnsi="Arial" w:cs="Arial"/>
          <w:szCs w:val="22"/>
          <w:lang w:val="en-US"/>
        </w:rPr>
        <w:instrText xml:space="preserve"> REF _Ref380413215 \h </w:instrText>
      </w:r>
      <w:r w:rsidR="00CB093C" w:rsidRPr="00CB093C">
        <w:rPr>
          <w:rFonts w:ascii="Arial" w:hAnsi="Arial" w:cs="Arial"/>
          <w:szCs w:val="22"/>
          <w:lang w:val="en-US"/>
        </w:rPr>
        <w:instrText xml:space="preserve"> \* MERGEFORMAT </w:instrText>
      </w:r>
      <w:r w:rsidRPr="00CB093C">
        <w:rPr>
          <w:rFonts w:ascii="Arial" w:hAnsi="Arial" w:cs="Arial"/>
          <w:szCs w:val="22"/>
          <w:lang w:val="en-US"/>
        </w:rPr>
      </w:r>
      <w:r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50</w:t>
      </w:r>
      <w:r w:rsidRPr="00CB093C">
        <w:rPr>
          <w:rFonts w:ascii="Arial" w:hAnsi="Arial" w:cs="Arial"/>
          <w:szCs w:val="22"/>
          <w:lang w:val="en-US"/>
        </w:rPr>
        <w:fldChar w:fldCharType="end"/>
      </w:r>
      <w:r w:rsidRPr="00CB093C">
        <w:rPr>
          <w:rFonts w:ascii="Arial" w:hAnsi="Arial" w:cs="Arial"/>
          <w:szCs w:val="22"/>
          <w:lang w:val="en-US"/>
        </w:rPr>
        <w:t xml:space="preserve">). </w:t>
      </w:r>
    </w:p>
    <w:p w14:paraId="56374495" w14:textId="337F83EA" w:rsidR="00F12530" w:rsidRPr="00CB093C" w:rsidRDefault="00F12530" w:rsidP="00F12530">
      <w:pPr>
        <w:rPr>
          <w:rFonts w:ascii="Arial" w:hAnsi="Arial" w:cs="Arial"/>
          <w:szCs w:val="22"/>
          <w:lang w:val="en-US"/>
        </w:rPr>
      </w:pPr>
      <w:r w:rsidRPr="00CB093C">
        <w:rPr>
          <w:rFonts w:ascii="Arial" w:hAnsi="Arial" w:cs="Arial"/>
          <w:szCs w:val="22"/>
          <w:lang w:val="en-US"/>
        </w:rPr>
        <w:t xml:space="preserve">Macroalgae cover, however, differed between habitats. At coastal habitats macroalgae cover continued to remain below the </w:t>
      </w:r>
      <w:r w:rsidR="003158FC" w:rsidRPr="00CB093C">
        <w:rPr>
          <w:rFonts w:ascii="Arial" w:hAnsi="Arial" w:cs="Arial"/>
          <w:szCs w:val="22"/>
          <w:lang w:val="en-US"/>
        </w:rPr>
        <w:t>Reef</w:t>
      </w:r>
      <w:r w:rsidRPr="00CB093C">
        <w:rPr>
          <w:rFonts w:ascii="Arial" w:hAnsi="Arial" w:cs="Arial"/>
          <w:szCs w:val="22"/>
          <w:lang w:val="en-US"/>
        </w:rPr>
        <w:t xml:space="preserve"> long-term average for the thirteenth year. At intertidal reef habitats, macroalgae cover was above the </w:t>
      </w:r>
      <w:r w:rsidR="003158FC" w:rsidRPr="00CB093C">
        <w:rPr>
          <w:rFonts w:ascii="Arial" w:hAnsi="Arial" w:cs="Arial"/>
          <w:szCs w:val="22"/>
          <w:lang w:val="en-US"/>
        </w:rPr>
        <w:t>Reef</w:t>
      </w:r>
      <w:r w:rsidRPr="00CB093C">
        <w:rPr>
          <w:rFonts w:ascii="Arial" w:hAnsi="Arial" w:cs="Arial"/>
          <w:szCs w:val="22"/>
          <w:lang w:val="en-US"/>
        </w:rPr>
        <w:t xml:space="preserve"> long-term average in </w:t>
      </w:r>
      <w:r w:rsidR="003654C6">
        <w:rPr>
          <w:rFonts w:ascii="Arial" w:hAnsi="Arial" w:cs="Arial"/>
          <w:szCs w:val="22"/>
          <w:lang w:val="en-US"/>
        </w:rPr>
        <w:t>2017–18</w:t>
      </w:r>
      <w:r w:rsidRPr="00CB093C">
        <w:rPr>
          <w:rFonts w:ascii="Arial" w:hAnsi="Arial" w:cs="Arial"/>
          <w:szCs w:val="22"/>
          <w:lang w:val="en-US"/>
        </w:rPr>
        <w:t>, while at subtidal reef habitats it was below.</w:t>
      </w:r>
    </w:p>
    <w:p w14:paraId="6748C061" w14:textId="68C72C42" w:rsidR="002071D5" w:rsidRPr="00CB093C" w:rsidRDefault="00F12530" w:rsidP="00362F69">
      <w:pPr>
        <w:rPr>
          <w:rFonts w:ascii="Arial" w:hAnsi="Arial" w:cs="Arial"/>
          <w:szCs w:val="22"/>
          <w:lang w:val="en-US"/>
        </w:rPr>
      </w:pPr>
      <w:r w:rsidRPr="00CB093C">
        <w:rPr>
          <w:rFonts w:ascii="Arial" w:hAnsi="Arial" w:cs="Arial"/>
          <w:szCs w:val="22"/>
          <w:lang w:val="en-US"/>
        </w:rPr>
        <w:t>In the southern Wet Tropics</w:t>
      </w:r>
      <w:r w:rsidR="00362F69" w:rsidRPr="00CB093C">
        <w:rPr>
          <w:rFonts w:ascii="Arial" w:hAnsi="Arial" w:cs="Arial"/>
          <w:szCs w:val="22"/>
          <w:lang w:val="en-US"/>
        </w:rPr>
        <w:t xml:space="preserve">, epiphyte cover at coastal intertidal and reef subtidal habitats was below the </w:t>
      </w:r>
      <w:r w:rsidR="003158FC" w:rsidRPr="00CB093C">
        <w:rPr>
          <w:rFonts w:ascii="Arial" w:hAnsi="Arial" w:cs="Arial"/>
          <w:szCs w:val="22"/>
          <w:lang w:val="en-US"/>
        </w:rPr>
        <w:t>Reef</w:t>
      </w:r>
      <w:r w:rsidR="00362F69" w:rsidRPr="00CB093C">
        <w:rPr>
          <w:rFonts w:ascii="Arial" w:hAnsi="Arial" w:cs="Arial"/>
          <w:szCs w:val="22"/>
          <w:lang w:val="en-US"/>
        </w:rPr>
        <w:t xml:space="preserve"> long-term average, while at intertidal reef habitats it was above in </w:t>
      </w:r>
      <w:r w:rsidR="003654C6">
        <w:rPr>
          <w:rFonts w:ascii="Arial" w:hAnsi="Arial" w:cs="Arial"/>
          <w:szCs w:val="22"/>
          <w:lang w:val="en-US"/>
        </w:rPr>
        <w:t>2017–18</w:t>
      </w:r>
      <w:r w:rsidR="00362F69" w:rsidRPr="00CB093C">
        <w:rPr>
          <w:rFonts w:ascii="Arial" w:hAnsi="Arial" w:cs="Arial"/>
          <w:szCs w:val="22"/>
          <w:lang w:val="en-US"/>
        </w:rPr>
        <w:t xml:space="preserve"> (</w:t>
      </w:r>
      <w:r w:rsidR="00362F69" w:rsidRPr="00CB093C">
        <w:rPr>
          <w:rFonts w:ascii="Arial" w:hAnsi="Arial" w:cs="Arial"/>
          <w:szCs w:val="22"/>
          <w:lang w:val="en-US"/>
        </w:rPr>
        <w:fldChar w:fldCharType="begin"/>
      </w:r>
      <w:r w:rsidR="00362F69" w:rsidRPr="00CB093C">
        <w:rPr>
          <w:rFonts w:ascii="Arial" w:hAnsi="Arial" w:cs="Arial"/>
          <w:szCs w:val="22"/>
          <w:lang w:val="en-US"/>
        </w:rPr>
        <w:instrText xml:space="preserve"> REF _Ref380413215 \h </w:instrText>
      </w:r>
      <w:r w:rsidR="00CB093C" w:rsidRPr="00CB093C">
        <w:rPr>
          <w:rFonts w:ascii="Arial" w:hAnsi="Arial" w:cs="Arial"/>
          <w:szCs w:val="22"/>
          <w:lang w:val="en-US"/>
        </w:rPr>
        <w:instrText xml:space="preserve"> \* MERGEFORMAT </w:instrText>
      </w:r>
      <w:r w:rsidR="00362F69" w:rsidRPr="00CB093C">
        <w:rPr>
          <w:rFonts w:ascii="Arial" w:hAnsi="Arial" w:cs="Arial"/>
          <w:szCs w:val="22"/>
          <w:lang w:val="en-US"/>
        </w:rPr>
      </w:r>
      <w:r w:rsidR="00362F69"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50</w:t>
      </w:r>
      <w:r w:rsidR="00362F69" w:rsidRPr="00CB093C">
        <w:rPr>
          <w:rFonts w:ascii="Arial" w:hAnsi="Arial" w:cs="Arial"/>
          <w:szCs w:val="22"/>
          <w:lang w:val="en-US"/>
        </w:rPr>
        <w:fldChar w:fldCharType="end"/>
      </w:r>
      <w:r w:rsidR="00362F69" w:rsidRPr="00CB093C">
        <w:rPr>
          <w:rFonts w:ascii="Arial" w:hAnsi="Arial" w:cs="Arial"/>
          <w:szCs w:val="22"/>
          <w:lang w:val="en-US"/>
        </w:rPr>
        <w:t xml:space="preserve">). </w:t>
      </w:r>
    </w:p>
    <w:p w14:paraId="3393AAE8" w14:textId="7BF1D831" w:rsidR="00362F69" w:rsidRPr="00CB093C" w:rsidRDefault="00362F69" w:rsidP="00362F69">
      <w:pPr>
        <w:rPr>
          <w:rFonts w:ascii="Arial" w:hAnsi="Arial" w:cs="Arial"/>
          <w:szCs w:val="22"/>
          <w:lang w:val="en-US"/>
        </w:rPr>
      </w:pPr>
      <w:r w:rsidRPr="00CB093C">
        <w:rPr>
          <w:rFonts w:ascii="Arial" w:hAnsi="Arial" w:cs="Arial"/>
          <w:szCs w:val="22"/>
          <w:lang w:val="en-US"/>
        </w:rPr>
        <w:t xml:space="preserve">Macroalgae cover continued to remain below the </w:t>
      </w:r>
      <w:r w:rsidR="003158FC" w:rsidRPr="00CB093C">
        <w:rPr>
          <w:rFonts w:ascii="Arial" w:hAnsi="Arial" w:cs="Arial"/>
          <w:szCs w:val="22"/>
          <w:lang w:val="en-US"/>
        </w:rPr>
        <w:t>Reef</w:t>
      </w:r>
      <w:r w:rsidRPr="00CB093C">
        <w:rPr>
          <w:rFonts w:ascii="Arial" w:hAnsi="Arial" w:cs="Arial"/>
          <w:szCs w:val="22"/>
          <w:lang w:val="en-US"/>
        </w:rPr>
        <w:t xml:space="preserve"> long-term average for the tenth year at intertidal reef habitats and near absent at coastal habitats. However, macroalgae cover remained above the </w:t>
      </w:r>
      <w:r w:rsidR="003158FC" w:rsidRPr="00CB093C">
        <w:rPr>
          <w:rFonts w:ascii="Arial" w:hAnsi="Arial" w:cs="Arial"/>
          <w:szCs w:val="22"/>
          <w:lang w:val="en-US"/>
        </w:rPr>
        <w:t>Reef</w:t>
      </w:r>
      <w:r w:rsidRPr="00CB093C">
        <w:rPr>
          <w:rFonts w:ascii="Arial" w:hAnsi="Arial" w:cs="Arial"/>
          <w:szCs w:val="22"/>
          <w:lang w:val="en-US"/>
        </w:rPr>
        <w:t xml:space="preserve"> long-term average at subtidal reef habitats in </w:t>
      </w:r>
      <w:r w:rsidR="003654C6">
        <w:rPr>
          <w:rFonts w:ascii="Arial" w:hAnsi="Arial" w:cs="Arial"/>
          <w:szCs w:val="22"/>
          <w:lang w:val="en-US"/>
        </w:rPr>
        <w:t>2017–18</w:t>
      </w:r>
      <w:r w:rsidRPr="00CB093C">
        <w:rPr>
          <w:rFonts w:ascii="Arial" w:hAnsi="Arial" w:cs="Arial"/>
          <w:szCs w:val="22"/>
          <w:lang w:val="en-US"/>
        </w:rPr>
        <w:t>.</w:t>
      </w:r>
    </w:p>
    <w:p w14:paraId="5109C3B7" w14:textId="77777777" w:rsidR="00DF06E4" w:rsidRPr="00CB093C" w:rsidRDefault="00AA7BCE" w:rsidP="002E37BF">
      <w:pPr>
        <w:keepNext/>
        <w:spacing w:after="0"/>
        <w:jc w:val="center"/>
        <w:rPr>
          <w:rFonts w:ascii="Arial" w:hAnsi="Arial" w:cs="Arial"/>
          <w:szCs w:val="22"/>
          <w:lang w:val="en-GB"/>
        </w:rPr>
      </w:pPr>
      <w:r w:rsidRPr="00CB093C">
        <w:rPr>
          <w:rFonts w:ascii="Arial" w:hAnsi="Arial" w:cs="Arial"/>
          <w:noProof/>
          <w:szCs w:val="22"/>
          <w:lang w:val="en-US"/>
        </w:rPr>
        <w:lastRenderedPageBreak/>
        <w:drawing>
          <wp:inline distT="0" distB="0" distL="0" distR="0" wp14:anchorId="7FD1CD61" wp14:editId="2E98EF3E">
            <wp:extent cx="5760000" cy="3254400"/>
            <wp:effectExtent l="0" t="0" r="0" b="3175"/>
            <wp:docPr id="310" name="Picture 310" descr="Set of six bar charts showing long-term trend in mean epiphyte and macroalgae abundance (% cover) at each inshore seagrass habitats in the northern Wet Tropics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WT_epi_algae_change_2016.png"/>
                    <pic:cNvPicPr/>
                  </pic:nvPicPr>
                  <pic:blipFill>
                    <a:blip r:embed="rId94">
                      <a:extLst>
                        <a:ext uri="{28A0092B-C50C-407E-A947-70E740481C1C}">
                          <a14:useLocalDpi xmlns:a14="http://schemas.microsoft.com/office/drawing/2010/main" val="0"/>
                        </a:ext>
                      </a:extLst>
                    </a:blip>
                    <a:stretch>
                      <a:fillRect/>
                    </a:stretch>
                  </pic:blipFill>
                  <pic:spPr>
                    <a:xfrm>
                      <a:off x="0" y="0"/>
                      <a:ext cx="5760000" cy="3254400"/>
                    </a:xfrm>
                    <a:prstGeom prst="rect">
                      <a:avLst/>
                    </a:prstGeom>
                  </pic:spPr>
                </pic:pic>
              </a:graphicData>
            </a:graphic>
          </wp:inline>
        </w:drawing>
      </w:r>
    </w:p>
    <w:p w14:paraId="7EA632D2" w14:textId="400D3B51" w:rsidR="00CC60D9" w:rsidRPr="00CB093C" w:rsidRDefault="006307D2" w:rsidP="00CC60D9">
      <w:pPr>
        <w:rPr>
          <w:rFonts w:ascii="Arial" w:hAnsi="Arial" w:cs="Arial"/>
          <w:i/>
          <w:vanish/>
          <w:szCs w:val="22"/>
          <w:specVanish/>
        </w:rPr>
      </w:pPr>
      <w:bookmarkStart w:id="328" w:name="_Ref380413215"/>
      <w:bookmarkStart w:id="329" w:name="_Toc431493848"/>
      <w:bookmarkStart w:id="330" w:name="_Toc6402815"/>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50</w:t>
      </w:r>
      <w:r w:rsidR="0073595B" w:rsidRPr="00CB093C">
        <w:rPr>
          <w:rFonts w:ascii="Arial" w:hAnsi="Arial" w:cs="Arial"/>
          <w:szCs w:val="22"/>
        </w:rPr>
        <w:fldChar w:fldCharType="end"/>
      </w:r>
      <w:bookmarkEnd w:id="328"/>
      <w:r w:rsidRPr="00CB093C">
        <w:rPr>
          <w:rFonts w:ascii="Arial" w:hAnsi="Arial" w:cs="Arial"/>
          <w:szCs w:val="22"/>
        </w:rPr>
        <w:t xml:space="preserve">. </w:t>
      </w:r>
      <w:r w:rsidRPr="00CB093C">
        <w:rPr>
          <w:rFonts w:ascii="Arial" w:hAnsi="Arial" w:cs="Arial"/>
          <w:i/>
          <w:szCs w:val="22"/>
        </w:rPr>
        <w:t>Long-term trend in mean epiphyte and macroalgae abundance (</w:t>
      </w:r>
      <w:r w:rsidR="00882B72" w:rsidRPr="00CB093C">
        <w:rPr>
          <w:rFonts w:ascii="Arial" w:hAnsi="Arial" w:cs="Arial"/>
          <w:i/>
          <w:szCs w:val="22"/>
        </w:rPr>
        <w:t>%</w:t>
      </w:r>
      <w:r w:rsidRPr="00CB093C">
        <w:rPr>
          <w:rFonts w:ascii="Arial" w:hAnsi="Arial" w:cs="Arial"/>
          <w:i/>
          <w:szCs w:val="22"/>
        </w:rPr>
        <w:t xml:space="preserve"> cover) relative to the long-term average for each </w:t>
      </w:r>
      <w:r w:rsidR="00CC60D9" w:rsidRPr="00CB093C">
        <w:rPr>
          <w:rFonts w:ascii="Arial" w:hAnsi="Arial" w:cs="Arial"/>
          <w:i/>
          <w:szCs w:val="22"/>
        </w:rPr>
        <w:t xml:space="preserve">inshore </w:t>
      </w:r>
      <w:r w:rsidRPr="00CB093C">
        <w:rPr>
          <w:rFonts w:ascii="Arial" w:hAnsi="Arial" w:cs="Arial"/>
          <w:i/>
          <w:szCs w:val="22"/>
        </w:rPr>
        <w:t>seagrass habitat</w:t>
      </w:r>
      <w:r w:rsidR="00CC60D9" w:rsidRPr="00CB093C">
        <w:rPr>
          <w:rFonts w:ascii="Arial" w:hAnsi="Arial" w:cs="Arial"/>
          <w:i/>
          <w:szCs w:val="22"/>
        </w:rPr>
        <w:t xml:space="preserve"> in the </w:t>
      </w:r>
      <w:r w:rsidR="00A60EFC" w:rsidRPr="00CB093C">
        <w:rPr>
          <w:rFonts w:ascii="Arial" w:hAnsi="Arial" w:cs="Arial"/>
          <w:i/>
          <w:szCs w:val="22"/>
        </w:rPr>
        <w:t xml:space="preserve">northern </w:t>
      </w:r>
      <w:r w:rsidR="00CC60D9" w:rsidRPr="00CB093C">
        <w:rPr>
          <w:rFonts w:ascii="Arial" w:hAnsi="Arial" w:cs="Arial"/>
          <w:i/>
          <w:szCs w:val="22"/>
        </w:rPr>
        <w:t>Wet Tropics region, 2001</w:t>
      </w:r>
      <w:r w:rsidR="009203FC" w:rsidRPr="00CB093C">
        <w:rPr>
          <w:rFonts w:ascii="Arial" w:hAnsi="Arial" w:cs="Arial"/>
          <w:i/>
          <w:szCs w:val="22"/>
        </w:rPr>
        <w:t>–</w:t>
      </w:r>
      <w:r w:rsidR="00CC60D9" w:rsidRPr="00CB093C">
        <w:rPr>
          <w:rFonts w:ascii="Arial" w:hAnsi="Arial" w:cs="Arial"/>
          <w:i/>
          <w:szCs w:val="22"/>
        </w:rPr>
        <w:t>201</w:t>
      </w:r>
      <w:r w:rsidR="00A60EFC" w:rsidRPr="00CB093C">
        <w:rPr>
          <w:rFonts w:ascii="Arial" w:hAnsi="Arial" w:cs="Arial"/>
          <w:i/>
          <w:szCs w:val="22"/>
        </w:rPr>
        <w:t>8</w:t>
      </w:r>
      <w:bookmarkEnd w:id="329"/>
      <w:bookmarkEnd w:id="330"/>
      <w:r w:rsidRPr="00CB093C">
        <w:rPr>
          <w:rFonts w:ascii="Arial" w:hAnsi="Arial" w:cs="Arial"/>
          <w:i/>
          <w:szCs w:val="22"/>
        </w:rPr>
        <w:t xml:space="preserve"> </w:t>
      </w:r>
    </w:p>
    <w:p w14:paraId="48F89F58" w14:textId="76D5B095" w:rsidR="00CC60D9" w:rsidRPr="00CB093C" w:rsidRDefault="00CC60D9" w:rsidP="00CC60D9">
      <w:pPr>
        <w:rPr>
          <w:rFonts w:ascii="Arial" w:hAnsi="Arial" w:cs="Arial"/>
          <w:i/>
          <w:szCs w:val="22"/>
        </w:rPr>
      </w:pPr>
      <w:r w:rsidRPr="00CB093C">
        <w:rPr>
          <w:rFonts w:ascii="Arial" w:hAnsi="Arial" w:cs="Arial"/>
          <w:i/>
          <w:szCs w:val="22"/>
        </w:rPr>
        <w:t xml:space="preserve"> </w:t>
      </w:r>
      <w:r w:rsidR="006307D2" w:rsidRPr="00CB093C">
        <w:rPr>
          <w:rFonts w:ascii="Arial" w:hAnsi="Arial" w:cs="Arial"/>
          <w:i/>
          <w:szCs w:val="22"/>
        </w:rPr>
        <w:t xml:space="preserve">(sites pooled, ±SE). </w:t>
      </w:r>
      <w:r w:rsidR="002071D5" w:rsidRPr="00CB093C">
        <w:rPr>
          <w:rFonts w:ascii="Arial" w:hAnsi="Arial" w:cs="Arial"/>
          <w:i/>
          <w:szCs w:val="22"/>
        </w:rPr>
        <w:t>Red/green words</w:t>
      </w:r>
    </w:p>
    <w:p w14:paraId="5DC38CD8" w14:textId="77777777" w:rsidR="00A60EFC" w:rsidRPr="00CB093C" w:rsidRDefault="00A60EFC" w:rsidP="00A60EFC">
      <w:pPr>
        <w:keepNext/>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04E7E222" wp14:editId="73D78C6C">
            <wp:extent cx="5760000" cy="3254400"/>
            <wp:effectExtent l="0" t="0" r="0" b="3175"/>
            <wp:docPr id="4" name="Picture 4" descr="Set of six bar charts showing long-term trend in mean epiphyte and macroalgae abundance (% cover) at each inshore seagrass habitats in the southern Wet Tropics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WT_epi_algae_change_2016.png"/>
                    <pic:cNvPicPr/>
                  </pic:nvPicPr>
                  <pic:blipFill>
                    <a:blip r:embed="rId95">
                      <a:extLst>
                        <a:ext uri="{28A0092B-C50C-407E-A947-70E740481C1C}">
                          <a14:useLocalDpi xmlns:a14="http://schemas.microsoft.com/office/drawing/2010/main" val="0"/>
                        </a:ext>
                      </a:extLst>
                    </a:blip>
                    <a:stretch>
                      <a:fillRect/>
                    </a:stretch>
                  </pic:blipFill>
                  <pic:spPr>
                    <a:xfrm>
                      <a:off x="0" y="0"/>
                      <a:ext cx="5760000" cy="3254400"/>
                    </a:xfrm>
                    <a:prstGeom prst="rect">
                      <a:avLst/>
                    </a:prstGeom>
                  </pic:spPr>
                </pic:pic>
              </a:graphicData>
            </a:graphic>
          </wp:inline>
        </w:drawing>
      </w:r>
    </w:p>
    <w:p w14:paraId="31FF2757" w14:textId="478A6BB0" w:rsidR="00A60EFC" w:rsidRPr="00CB093C" w:rsidRDefault="00A60EFC" w:rsidP="00A60EFC">
      <w:pPr>
        <w:rPr>
          <w:rFonts w:ascii="Arial" w:hAnsi="Arial" w:cs="Arial"/>
          <w:i/>
          <w:vanish/>
          <w:szCs w:val="22"/>
          <w:specVanish/>
        </w:rPr>
      </w:pPr>
      <w:bookmarkStart w:id="331" w:name="_Toc6402816"/>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51</w:t>
      </w:r>
      <w:r w:rsidRPr="00CB093C">
        <w:rPr>
          <w:rFonts w:ascii="Arial" w:hAnsi="Arial" w:cs="Arial"/>
          <w:szCs w:val="22"/>
        </w:rPr>
        <w:fldChar w:fldCharType="end"/>
      </w:r>
      <w:r w:rsidRPr="00CB093C">
        <w:rPr>
          <w:rFonts w:ascii="Arial" w:hAnsi="Arial" w:cs="Arial"/>
          <w:szCs w:val="22"/>
        </w:rPr>
        <w:t xml:space="preserve">. </w:t>
      </w:r>
      <w:r w:rsidRPr="00CB093C">
        <w:rPr>
          <w:rFonts w:ascii="Arial" w:hAnsi="Arial" w:cs="Arial"/>
          <w:i/>
          <w:szCs w:val="22"/>
        </w:rPr>
        <w:t>Long-term trend in mean epiphyte and macroalgae abundance (</w:t>
      </w:r>
      <w:r w:rsidR="00882B72" w:rsidRPr="00CB093C">
        <w:rPr>
          <w:rFonts w:ascii="Arial" w:hAnsi="Arial" w:cs="Arial"/>
          <w:i/>
          <w:szCs w:val="22"/>
        </w:rPr>
        <w:t>%</w:t>
      </w:r>
      <w:r w:rsidRPr="00CB093C">
        <w:rPr>
          <w:rFonts w:ascii="Arial" w:hAnsi="Arial" w:cs="Arial"/>
          <w:i/>
          <w:szCs w:val="22"/>
        </w:rPr>
        <w:t xml:space="preserve"> cover) relative to the long-term average for each inshore seagrass habitat in the southern Wet Tropics region, 2001</w:t>
      </w:r>
      <w:r w:rsidR="009203FC" w:rsidRPr="00CB093C">
        <w:rPr>
          <w:rFonts w:ascii="Arial" w:hAnsi="Arial" w:cs="Arial"/>
          <w:i/>
          <w:szCs w:val="22"/>
        </w:rPr>
        <w:t>–</w:t>
      </w:r>
      <w:r w:rsidRPr="00CB093C">
        <w:rPr>
          <w:rFonts w:ascii="Arial" w:hAnsi="Arial" w:cs="Arial"/>
          <w:i/>
          <w:szCs w:val="22"/>
        </w:rPr>
        <w:t>2018</w:t>
      </w:r>
      <w:bookmarkEnd w:id="331"/>
      <w:r w:rsidRPr="00CB093C">
        <w:rPr>
          <w:rFonts w:ascii="Arial" w:hAnsi="Arial" w:cs="Arial"/>
          <w:i/>
          <w:szCs w:val="22"/>
        </w:rPr>
        <w:t xml:space="preserve"> </w:t>
      </w:r>
    </w:p>
    <w:p w14:paraId="7FEF1222" w14:textId="7728A95F" w:rsidR="00A60EFC" w:rsidRPr="00CB093C" w:rsidRDefault="00A60EFC" w:rsidP="00CC60D9">
      <w:pPr>
        <w:rPr>
          <w:rFonts w:ascii="Arial" w:hAnsi="Arial" w:cs="Arial"/>
          <w:color w:val="000000" w:themeColor="text1"/>
          <w:szCs w:val="22"/>
          <w:lang w:val="en-GB"/>
        </w:rPr>
      </w:pPr>
      <w:r w:rsidRPr="00CB093C">
        <w:rPr>
          <w:rFonts w:ascii="Arial" w:hAnsi="Arial" w:cs="Arial"/>
          <w:i/>
          <w:szCs w:val="22"/>
        </w:rPr>
        <w:t xml:space="preserve"> (sites pooled, ±SE). </w:t>
      </w:r>
    </w:p>
    <w:p w14:paraId="59AC924F" w14:textId="77777777" w:rsidR="005D1A37" w:rsidRPr="00CB093C" w:rsidRDefault="005132EF" w:rsidP="0015509E">
      <w:pPr>
        <w:pStyle w:val="Heading2"/>
      </w:pPr>
      <w:r w:rsidRPr="00CB093C">
        <w:br w:type="page"/>
      </w:r>
      <w:bookmarkStart w:id="332" w:name="_Toc175991073"/>
      <w:bookmarkStart w:id="333" w:name="_Toc232845917"/>
      <w:bookmarkStart w:id="334" w:name="_Toc184101995"/>
      <w:bookmarkStart w:id="335" w:name="_Toc431493768"/>
      <w:bookmarkStart w:id="336" w:name="_Toc11394742"/>
      <w:bookmarkStart w:id="337" w:name="_Toc170191629"/>
      <w:r w:rsidR="005D1A37" w:rsidRPr="00CB093C">
        <w:lastRenderedPageBreak/>
        <w:t>Burdekin</w:t>
      </w:r>
      <w:bookmarkEnd w:id="332"/>
      <w:bookmarkEnd w:id="333"/>
      <w:bookmarkEnd w:id="334"/>
      <w:bookmarkEnd w:id="335"/>
      <w:bookmarkEnd w:id="336"/>
    </w:p>
    <w:p w14:paraId="4C75C9AC" w14:textId="78F029BB" w:rsidR="005132EF" w:rsidRPr="00CB093C" w:rsidRDefault="003654C6" w:rsidP="00AD06D4">
      <w:pPr>
        <w:pStyle w:val="Heading3"/>
        <w:numPr>
          <w:ilvl w:val="2"/>
          <w:numId w:val="4"/>
        </w:numPr>
        <w:rPr>
          <w:rFonts w:ascii="Arial" w:hAnsi="Arial" w:cs="Arial"/>
          <w:color w:val="000000"/>
          <w:sz w:val="22"/>
          <w:szCs w:val="22"/>
        </w:rPr>
      </w:pPr>
      <w:bookmarkStart w:id="338" w:name="_Toc184101996"/>
      <w:bookmarkStart w:id="339" w:name="_Toc431493769"/>
      <w:bookmarkStart w:id="340" w:name="_Toc11394743"/>
      <w:bookmarkStart w:id="341" w:name="_Toc170191630"/>
      <w:bookmarkStart w:id="342" w:name="_Toc175991074"/>
      <w:bookmarkStart w:id="343" w:name="_Toc232845918"/>
      <w:bookmarkEnd w:id="337"/>
      <w:r>
        <w:rPr>
          <w:rFonts w:ascii="Arial" w:hAnsi="Arial" w:cs="Arial"/>
          <w:color w:val="000000"/>
          <w:sz w:val="22"/>
          <w:szCs w:val="22"/>
        </w:rPr>
        <w:t>2017–18</w:t>
      </w:r>
      <w:r w:rsidR="005132EF" w:rsidRPr="00CB093C">
        <w:rPr>
          <w:rFonts w:ascii="Arial" w:hAnsi="Arial" w:cs="Arial"/>
          <w:color w:val="000000"/>
          <w:sz w:val="22"/>
          <w:szCs w:val="22"/>
        </w:rPr>
        <w:t xml:space="preserve"> Summary</w:t>
      </w:r>
      <w:bookmarkEnd w:id="338"/>
      <w:bookmarkEnd w:id="339"/>
      <w:bookmarkEnd w:id="340"/>
    </w:p>
    <w:p w14:paraId="48E045DD" w14:textId="6A4508F0" w:rsidR="00150F82" w:rsidRPr="00CB093C" w:rsidRDefault="003878AA" w:rsidP="003878AA">
      <w:pPr>
        <w:rPr>
          <w:rFonts w:ascii="Arial" w:hAnsi="Arial" w:cs="Arial"/>
          <w:szCs w:val="22"/>
        </w:rPr>
      </w:pPr>
      <w:bookmarkStart w:id="344" w:name="_Toc184101997"/>
      <w:bookmarkStart w:id="345" w:name="_Toc431493770"/>
      <w:r w:rsidRPr="00CB093C">
        <w:rPr>
          <w:rFonts w:ascii="Arial" w:hAnsi="Arial" w:cs="Arial"/>
          <w:szCs w:val="22"/>
        </w:rPr>
        <w:t xml:space="preserve">Seagrass meadows across the Burdekin NRM region declined </w:t>
      </w:r>
      <w:r w:rsidR="00150F82" w:rsidRPr="00CB093C">
        <w:rPr>
          <w:rFonts w:ascii="Arial" w:hAnsi="Arial" w:cs="Arial"/>
          <w:szCs w:val="22"/>
        </w:rPr>
        <w:t xml:space="preserve">slightly </w:t>
      </w:r>
      <w:r w:rsidRPr="00CB093C">
        <w:rPr>
          <w:rFonts w:ascii="Arial" w:hAnsi="Arial" w:cs="Arial"/>
          <w:szCs w:val="22"/>
        </w:rPr>
        <w:t xml:space="preserve">in overall condition in </w:t>
      </w:r>
      <w:r w:rsidR="003654C6">
        <w:rPr>
          <w:rFonts w:ascii="Arial" w:hAnsi="Arial" w:cs="Arial"/>
          <w:szCs w:val="22"/>
        </w:rPr>
        <w:t>2017–18</w:t>
      </w:r>
      <w:r w:rsidRPr="00CB093C">
        <w:rPr>
          <w:rFonts w:ascii="Arial" w:hAnsi="Arial" w:cs="Arial"/>
          <w:szCs w:val="22"/>
        </w:rPr>
        <w:t xml:space="preserve">, </w:t>
      </w:r>
      <w:r w:rsidR="00150F82" w:rsidRPr="00CB093C">
        <w:rPr>
          <w:rFonts w:ascii="Arial" w:hAnsi="Arial" w:cs="Arial"/>
          <w:szCs w:val="22"/>
        </w:rPr>
        <w:t>although remain</w:t>
      </w:r>
      <w:r w:rsidR="00342A6B" w:rsidRPr="00CB093C">
        <w:rPr>
          <w:rFonts w:ascii="Arial" w:hAnsi="Arial" w:cs="Arial"/>
          <w:szCs w:val="22"/>
        </w:rPr>
        <w:t>ed</w:t>
      </w:r>
      <w:r w:rsidR="00150F82" w:rsidRPr="00CB093C">
        <w:rPr>
          <w:rFonts w:ascii="Arial" w:hAnsi="Arial" w:cs="Arial"/>
          <w:szCs w:val="22"/>
        </w:rPr>
        <w:t xml:space="preserve"> </w:t>
      </w:r>
      <w:r w:rsidR="00150F82" w:rsidRPr="00CB093C">
        <w:rPr>
          <w:rFonts w:ascii="Arial" w:hAnsi="Arial" w:cs="Arial"/>
          <w:b/>
          <w:szCs w:val="22"/>
        </w:rPr>
        <w:t>moderate</w:t>
      </w:r>
      <w:r w:rsidR="00150F82" w:rsidRPr="00CB093C">
        <w:rPr>
          <w:rFonts w:ascii="Arial" w:hAnsi="Arial" w:cs="Arial"/>
          <w:szCs w:val="22"/>
        </w:rPr>
        <w:t xml:space="preserve"> (</w:t>
      </w:r>
      <w:r w:rsidR="00150F82" w:rsidRPr="00CB093C">
        <w:rPr>
          <w:rFonts w:ascii="Arial" w:hAnsi="Arial" w:cs="Arial"/>
          <w:szCs w:val="22"/>
        </w:rPr>
        <w:fldChar w:fldCharType="begin"/>
      </w:r>
      <w:r w:rsidR="00150F82" w:rsidRPr="00CB093C">
        <w:rPr>
          <w:rFonts w:ascii="Arial" w:hAnsi="Arial" w:cs="Arial"/>
          <w:szCs w:val="22"/>
        </w:rPr>
        <w:instrText xml:space="preserve"> REF _Ref410385306 \h  \* MERGEFORMAT </w:instrText>
      </w:r>
      <w:r w:rsidR="00150F82" w:rsidRPr="00CB093C">
        <w:rPr>
          <w:rFonts w:ascii="Arial" w:hAnsi="Arial" w:cs="Arial"/>
          <w:szCs w:val="22"/>
        </w:rPr>
      </w:r>
      <w:r w:rsidR="00150F82" w:rsidRPr="00CB093C">
        <w:rPr>
          <w:rFonts w:ascii="Arial" w:hAnsi="Arial" w:cs="Arial"/>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52</w:t>
      </w:r>
      <w:r w:rsidR="00150F82" w:rsidRPr="00CB093C">
        <w:rPr>
          <w:rFonts w:ascii="Arial" w:hAnsi="Arial" w:cs="Arial"/>
          <w:szCs w:val="22"/>
        </w:rPr>
        <w:fldChar w:fldCharType="end"/>
      </w:r>
      <w:r w:rsidR="00150F82" w:rsidRPr="00CB093C">
        <w:rPr>
          <w:rFonts w:ascii="Arial" w:hAnsi="Arial" w:cs="Arial"/>
          <w:szCs w:val="22"/>
        </w:rPr>
        <w:t xml:space="preserve">). All condition indicators declined: </w:t>
      </w:r>
    </w:p>
    <w:p w14:paraId="3AB9639D" w14:textId="3EB68505" w:rsidR="002D6C62" w:rsidRPr="00CB093C" w:rsidRDefault="002D6C62" w:rsidP="00AD06D4">
      <w:pPr>
        <w:pStyle w:val="ListParagraph"/>
        <w:numPr>
          <w:ilvl w:val="0"/>
          <w:numId w:val="27"/>
        </w:numPr>
        <w:spacing w:after="0"/>
        <w:rPr>
          <w:rFonts w:ascii="Arial" w:hAnsi="Arial" w:cs="Arial"/>
          <w:szCs w:val="22"/>
        </w:rPr>
      </w:pPr>
      <w:r w:rsidRPr="00CB093C">
        <w:rPr>
          <w:rFonts w:ascii="Arial" w:hAnsi="Arial" w:cs="Arial"/>
          <w:szCs w:val="22"/>
        </w:rPr>
        <w:t xml:space="preserve">abundance score was </w:t>
      </w:r>
      <w:r w:rsidR="00342A6B" w:rsidRPr="00CB093C">
        <w:rPr>
          <w:rFonts w:ascii="Arial" w:hAnsi="Arial" w:cs="Arial"/>
          <w:szCs w:val="22"/>
        </w:rPr>
        <w:t>good</w:t>
      </w:r>
    </w:p>
    <w:p w14:paraId="752F6210" w14:textId="77777777" w:rsidR="002D6C62" w:rsidRPr="00CB093C" w:rsidRDefault="002D6C62" w:rsidP="00AD06D4">
      <w:pPr>
        <w:pStyle w:val="ListParagraph"/>
        <w:numPr>
          <w:ilvl w:val="0"/>
          <w:numId w:val="27"/>
        </w:numPr>
        <w:spacing w:after="0"/>
        <w:rPr>
          <w:rFonts w:ascii="Arial" w:hAnsi="Arial" w:cs="Arial"/>
          <w:szCs w:val="22"/>
        </w:rPr>
      </w:pPr>
      <w:r w:rsidRPr="00CB093C">
        <w:rPr>
          <w:rFonts w:ascii="Arial" w:hAnsi="Arial" w:cs="Arial"/>
          <w:szCs w:val="22"/>
        </w:rPr>
        <w:t xml:space="preserve">reproductive effort score was poor </w:t>
      </w:r>
    </w:p>
    <w:p w14:paraId="43F6959E" w14:textId="5934E0A4" w:rsidR="002D6C62" w:rsidRPr="00CB093C" w:rsidRDefault="002D6C62" w:rsidP="00AD06D4">
      <w:pPr>
        <w:pStyle w:val="ListParagraph"/>
        <w:numPr>
          <w:ilvl w:val="0"/>
          <w:numId w:val="27"/>
        </w:numPr>
        <w:spacing w:after="0"/>
        <w:rPr>
          <w:rFonts w:ascii="Arial" w:hAnsi="Arial" w:cs="Arial"/>
          <w:szCs w:val="22"/>
        </w:rPr>
      </w:pPr>
      <w:r w:rsidRPr="00CB093C">
        <w:rPr>
          <w:rFonts w:ascii="Arial" w:hAnsi="Arial" w:cs="Arial"/>
          <w:szCs w:val="22"/>
        </w:rPr>
        <w:t xml:space="preserve">tissue nutrient score was </w:t>
      </w:r>
      <w:r w:rsidR="00342A6B" w:rsidRPr="00CB093C">
        <w:rPr>
          <w:rFonts w:ascii="Arial" w:hAnsi="Arial" w:cs="Arial"/>
          <w:szCs w:val="22"/>
        </w:rPr>
        <w:t>moderate</w:t>
      </w:r>
      <w:r w:rsidRPr="00CB093C">
        <w:rPr>
          <w:rFonts w:ascii="Arial" w:hAnsi="Arial" w:cs="Arial"/>
          <w:szCs w:val="22"/>
        </w:rPr>
        <w:t>.</w:t>
      </w:r>
      <w:r w:rsidRPr="00CB093C">
        <w:rPr>
          <w:rFonts w:ascii="Arial" w:hAnsi="Arial" w:cs="Arial"/>
          <w:color w:val="000000" w:themeColor="text1"/>
          <w:szCs w:val="22"/>
        </w:rPr>
        <w:t xml:space="preserve"> </w:t>
      </w:r>
    </w:p>
    <w:p w14:paraId="22BE02F8" w14:textId="243CDF94" w:rsidR="00501D97" w:rsidRPr="00CB093C" w:rsidRDefault="003878AA" w:rsidP="003878AA">
      <w:pPr>
        <w:rPr>
          <w:rFonts w:ascii="Arial" w:hAnsi="Arial" w:cs="Arial"/>
          <w:szCs w:val="22"/>
        </w:rPr>
      </w:pPr>
      <w:r w:rsidRPr="00CB093C">
        <w:rPr>
          <w:rFonts w:ascii="Arial" w:hAnsi="Arial" w:cs="Arial"/>
          <w:szCs w:val="22"/>
        </w:rPr>
        <w:t xml:space="preserve">Seagrass abundance decreased marginally relative to the previous period, due to declines in </w:t>
      </w:r>
      <w:r w:rsidR="00882B72" w:rsidRPr="00CB093C">
        <w:rPr>
          <w:rFonts w:ascii="Arial" w:hAnsi="Arial" w:cs="Arial"/>
          <w:szCs w:val="22"/>
        </w:rPr>
        <w:t>%</w:t>
      </w:r>
      <w:r w:rsidRPr="00CB093C">
        <w:rPr>
          <w:rFonts w:ascii="Arial" w:hAnsi="Arial" w:cs="Arial"/>
          <w:szCs w:val="22"/>
        </w:rPr>
        <w:t xml:space="preserve"> cover at nearly 40% of sites, predominately in reef meadows. Although 50% of sites increased in </w:t>
      </w:r>
      <w:r w:rsidR="00882B72" w:rsidRPr="00CB093C">
        <w:rPr>
          <w:rFonts w:ascii="Arial" w:hAnsi="Arial" w:cs="Arial"/>
          <w:szCs w:val="22"/>
        </w:rPr>
        <w:t>%</w:t>
      </w:r>
      <w:r w:rsidRPr="00CB093C">
        <w:rPr>
          <w:rFonts w:ascii="Arial" w:hAnsi="Arial" w:cs="Arial"/>
          <w:szCs w:val="22"/>
        </w:rPr>
        <w:t xml:space="preserve"> cover, mainly coastal meadows, it was not sufficient to offset the overall declines. </w:t>
      </w:r>
    </w:p>
    <w:p w14:paraId="5F980853" w14:textId="1EEFF969" w:rsidR="00501D97" w:rsidRPr="00CB093C" w:rsidRDefault="003878AA" w:rsidP="003878AA">
      <w:pPr>
        <w:rPr>
          <w:rFonts w:ascii="Arial" w:hAnsi="Arial" w:cs="Arial"/>
          <w:szCs w:val="22"/>
          <w:lang w:val="en-US"/>
        </w:rPr>
      </w:pPr>
      <w:r w:rsidRPr="00CB093C">
        <w:rPr>
          <w:rFonts w:ascii="Arial" w:hAnsi="Arial" w:cs="Arial"/>
          <w:szCs w:val="22"/>
        </w:rPr>
        <w:t xml:space="preserve">The declines </w:t>
      </w:r>
      <w:r w:rsidR="00501D97" w:rsidRPr="00CB093C">
        <w:rPr>
          <w:rFonts w:ascii="Arial" w:hAnsi="Arial" w:cs="Arial"/>
          <w:szCs w:val="22"/>
        </w:rPr>
        <w:t xml:space="preserve">in abundance </w:t>
      </w:r>
      <w:r w:rsidRPr="00CB093C">
        <w:rPr>
          <w:rFonts w:ascii="Arial" w:hAnsi="Arial" w:cs="Arial"/>
          <w:szCs w:val="22"/>
        </w:rPr>
        <w:t xml:space="preserve">were likely the result of a combination of light limitation, physical disturbance and elevated water </w:t>
      </w:r>
      <w:r w:rsidR="007A70FE" w:rsidRPr="00CB093C">
        <w:rPr>
          <w:rFonts w:ascii="Arial" w:hAnsi="Arial" w:cs="Arial"/>
          <w:szCs w:val="22"/>
        </w:rPr>
        <w:t>temperatures</w:t>
      </w:r>
      <w:r w:rsidRPr="00CB093C">
        <w:rPr>
          <w:rFonts w:ascii="Arial" w:hAnsi="Arial" w:cs="Arial"/>
          <w:szCs w:val="22"/>
        </w:rPr>
        <w:t>. A</w:t>
      </w:r>
      <w:r w:rsidRPr="00CB093C">
        <w:rPr>
          <w:rFonts w:ascii="Arial" w:hAnsi="Arial" w:cs="Arial"/>
          <w:color w:val="000000" w:themeColor="text1"/>
          <w:szCs w:val="22"/>
        </w:rPr>
        <w:t>s rainfall and river discharge were below the long-term average, the reduced benthic light experienced across the Burdekin region may have been a consequence of higher than average number of days in which wind speeds exceeded 25 km hr</w:t>
      </w:r>
      <w:r w:rsidRPr="00CB093C">
        <w:rPr>
          <w:rFonts w:ascii="Arial" w:hAnsi="Arial" w:cs="Arial"/>
          <w:color w:val="000000" w:themeColor="text1"/>
          <w:szCs w:val="22"/>
          <w:vertAlign w:val="superscript"/>
        </w:rPr>
        <w:t>-1</w:t>
      </w:r>
      <w:r w:rsidRPr="00CB093C">
        <w:rPr>
          <w:rFonts w:ascii="Arial" w:hAnsi="Arial" w:cs="Arial"/>
          <w:color w:val="000000" w:themeColor="text1"/>
          <w:szCs w:val="22"/>
        </w:rPr>
        <w:t>, which may have suspended fine sediments into the water column. The greater physical disturbance from wind generated waves may have also contributed to the declines</w:t>
      </w:r>
      <w:r w:rsidR="00C57100" w:rsidRPr="00CB093C">
        <w:rPr>
          <w:rFonts w:ascii="Arial" w:hAnsi="Arial" w:cs="Arial"/>
          <w:color w:val="000000" w:themeColor="text1"/>
          <w:szCs w:val="22"/>
        </w:rPr>
        <w:t>, as meadow extents declined i</w:t>
      </w:r>
      <w:r w:rsidR="00C57100" w:rsidRPr="00CB093C">
        <w:rPr>
          <w:rFonts w:ascii="Arial" w:hAnsi="Arial" w:cs="Arial"/>
          <w:szCs w:val="22"/>
          <w:lang w:val="en-US"/>
        </w:rPr>
        <w:t xml:space="preserve">n </w:t>
      </w:r>
      <w:r w:rsidR="003654C6">
        <w:rPr>
          <w:rFonts w:ascii="Arial" w:hAnsi="Arial" w:cs="Arial"/>
          <w:szCs w:val="22"/>
          <w:lang w:val="en-US"/>
        </w:rPr>
        <w:t>2017–18</w:t>
      </w:r>
      <w:r w:rsidR="00C57100" w:rsidRPr="00CB093C">
        <w:rPr>
          <w:rFonts w:ascii="Arial" w:hAnsi="Arial" w:cs="Arial"/>
          <w:szCs w:val="22"/>
          <w:lang w:val="en-US"/>
        </w:rPr>
        <w:t xml:space="preserve"> due to a proliferation of scarring and fragmentation.</w:t>
      </w:r>
      <w:r w:rsidR="00A133F8" w:rsidRPr="00CB093C">
        <w:rPr>
          <w:rFonts w:ascii="Arial" w:hAnsi="Arial" w:cs="Arial"/>
          <w:szCs w:val="22"/>
          <w:lang w:val="en-US"/>
        </w:rPr>
        <w:t xml:space="preserve"> </w:t>
      </w:r>
    </w:p>
    <w:p w14:paraId="451A84C4" w14:textId="19A8B358" w:rsidR="003878AA" w:rsidRPr="00CB093C" w:rsidRDefault="00501D97" w:rsidP="003878AA">
      <w:pPr>
        <w:rPr>
          <w:rFonts w:ascii="Arial" w:hAnsi="Arial" w:cs="Arial"/>
          <w:szCs w:val="22"/>
        </w:rPr>
      </w:pPr>
      <w:r w:rsidRPr="00CB093C">
        <w:rPr>
          <w:rFonts w:ascii="Arial" w:hAnsi="Arial" w:cs="Arial"/>
          <w:color w:val="000000" w:themeColor="text1"/>
          <w:szCs w:val="22"/>
        </w:rPr>
        <w:t>This year</w:t>
      </w:r>
      <w:r w:rsidR="003878AA" w:rsidRPr="00CB093C">
        <w:rPr>
          <w:rFonts w:ascii="Arial" w:hAnsi="Arial" w:cs="Arial"/>
          <w:color w:val="000000" w:themeColor="text1"/>
          <w:szCs w:val="22"/>
        </w:rPr>
        <w:t xml:space="preserve"> was also the fourth consecutive year intertidal within-canopy temperatures were above the long-term average, </w:t>
      </w:r>
      <w:r w:rsidR="003878AA" w:rsidRPr="00CB093C">
        <w:rPr>
          <w:rFonts w:ascii="Arial" w:hAnsi="Arial" w:cs="Arial"/>
          <w:szCs w:val="22"/>
        </w:rPr>
        <w:t xml:space="preserve">and third consecutive year subtidal temperatures were above the long-term average. The higher water temperatures coupled with lower than average light conditions, may have </w:t>
      </w:r>
      <w:r w:rsidR="007A70FE" w:rsidRPr="00CB093C">
        <w:rPr>
          <w:rFonts w:ascii="Arial" w:hAnsi="Arial" w:cs="Arial"/>
          <w:szCs w:val="22"/>
        </w:rPr>
        <w:t>exacerbated</w:t>
      </w:r>
      <w:r w:rsidR="003878AA" w:rsidRPr="00CB093C">
        <w:rPr>
          <w:rFonts w:ascii="Arial" w:hAnsi="Arial" w:cs="Arial"/>
          <w:szCs w:val="22"/>
        </w:rPr>
        <w:t xml:space="preserve"> chronic stress conditions in the seagrass, further impacting growth.</w:t>
      </w:r>
      <w:r w:rsidR="00C57100" w:rsidRPr="00CB093C">
        <w:rPr>
          <w:rFonts w:ascii="Arial" w:hAnsi="Arial" w:cs="Arial"/>
          <w:szCs w:val="22"/>
        </w:rPr>
        <w:t xml:space="preserve"> </w:t>
      </w:r>
      <w:r w:rsidR="003878AA" w:rsidRPr="00CB093C">
        <w:rPr>
          <w:rFonts w:ascii="Arial" w:hAnsi="Arial" w:cs="Arial"/>
          <w:szCs w:val="22"/>
        </w:rPr>
        <w:t>The long-term trend for the region indicate</w:t>
      </w:r>
      <w:r w:rsidR="00C57100" w:rsidRPr="00CB093C">
        <w:rPr>
          <w:rFonts w:ascii="Arial" w:hAnsi="Arial" w:cs="Arial"/>
          <w:szCs w:val="22"/>
        </w:rPr>
        <w:t xml:space="preserve">s no </w:t>
      </w:r>
      <w:r w:rsidR="007A70FE" w:rsidRPr="00CB093C">
        <w:rPr>
          <w:rFonts w:ascii="Arial" w:hAnsi="Arial" w:cs="Arial"/>
          <w:szCs w:val="22"/>
        </w:rPr>
        <w:t>significant</w:t>
      </w:r>
      <w:r w:rsidR="003878AA" w:rsidRPr="00CB093C">
        <w:rPr>
          <w:rFonts w:ascii="Arial" w:hAnsi="Arial" w:cs="Arial"/>
          <w:szCs w:val="22"/>
        </w:rPr>
        <w:t xml:space="preserve"> </w:t>
      </w:r>
      <w:r w:rsidR="00C57100" w:rsidRPr="00CB093C">
        <w:rPr>
          <w:rFonts w:ascii="Arial" w:hAnsi="Arial" w:cs="Arial"/>
          <w:szCs w:val="22"/>
        </w:rPr>
        <w:t>direction, except a general increase at one of the coastal sites since 2012.</w:t>
      </w:r>
    </w:p>
    <w:p w14:paraId="5A8E6609" w14:textId="5EABB9B8" w:rsidR="00501D97" w:rsidRPr="00CB093C" w:rsidRDefault="00A133F8" w:rsidP="00501D97">
      <w:pPr>
        <w:rPr>
          <w:rFonts w:ascii="Arial" w:hAnsi="Arial" w:cs="Arial"/>
          <w:szCs w:val="22"/>
        </w:rPr>
      </w:pPr>
      <w:r w:rsidRPr="00CB093C">
        <w:rPr>
          <w:rFonts w:ascii="Arial" w:hAnsi="Arial" w:cs="Arial"/>
          <w:szCs w:val="22"/>
          <w:lang w:eastAsia="en-AU"/>
        </w:rPr>
        <w:t xml:space="preserve">Reproductive effort was variable across Burdekin region habitats. </w:t>
      </w:r>
      <w:r w:rsidR="000C1447" w:rsidRPr="00CB093C">
        <w:rPr>
          <w:rFonts w:ascii="Arial" w:hAnsi="Arial" w:cs="Arial"/>
          <w:iCs/>
          <w:szCs w:val="22"/>
        </w:rPr>
        <w:t xml:space="preserve">Reproductive effort </w:t>
      </w:r>
      <w:r w:rsidR="00BC309A" w:rsidRPr="00CB093C">
        <w:rPr>
          <w:rFonts w:ascii="Arial" w:hAnsi="Arial" w:cs="Arial"/>
          <w:iCs/>
          <w:szCs w:val="22"/>
        </w:rPr>
        <w:t>has remained moderately high</w:t>
      </w:r>
      <w:r w:rsidR="00996ADC" w:rsidRPr="00CB093C">
        <w:rPr>
          <w:rFonts w:ascii="Arial" w:hAnsi="Arial" w:cs="Arial"/>
          <w:iCs/>
          <w:szCs w:val="22"/>
        </w:rPr>
        <w:t xml:space="preserve"> at coastal sites, and the seed bank </w:t>
      </w:r>
      <w:r w:rsidR="00BC309A" w:rsidRPr="00CB093C">
        <w:rPr>
          <w:rFonts w:ascii="Arial" w:hAnsi="Arial" w:cs="Arial"/>
          <w:iCs/>
          <w:szCs w:val="22"/>
        </w:rPr>
        <w:t>has the</w:t>
      </w:r>
      <w:r w:rsidR="00996ADC" w:rsidRPr="00CB093C">
        <w:rPr>
          <w:rFonts w:ascii="Arial" w:hAnsi="Arial" w:cs="Arial"/>
          <w:iCs/>
          <w:szCs w:val="22"/>
        </w:rPr>
        <w:t xml:space="preserve"> highest densities </w:t>
      </w:r>
      <w:r w:rsidR="00487ED3" w:rsidRPr="00CB093C">
        <w:rPr>
          <w:rFonts w:ascii="Arial" w:hAnsi="Arial" w:cs="Arial"/>
          <w:iCs/>
          <w:szCs w:val="22"/>
        </w:rPr>
        <w:t xml:space="preserve">among all </w:t>
      </w:r>
      <w:r w:rsidR="00501D97" w:rsidRPr="00CB093C">
        <w:rPr>
          <w:rFonts w:ascii="Arial" w:hAnsi="Arial" w:cs="Arial"/>
          <w:iCs/>
          <w:szCs w:val="22"/>
        </w:rPr>
        <w:t xml:space="preserve">Reef </w:t>
      </w:r>
      <w:r w:rsidR="00582441" w:rsidRPr="00CB093C">
        <w:rPr>
          <w:rFonts w:ascii="Arial" w:hAnsi="Arial" w:cs="Arial"/>
          <w:iCs/>
          <w:szCs w:val="22"/>
        </w:rPr>
        <w:t xml:space="preserve">monitoring </w:t>
      </w:r>
      <w:r w:rsidR="00487ED3" w:rsidRPr="00CB093C">
        <w:rPr>
          <w:rFonts w:ascii="Arial" w:hAnsi="Arial" w:cs="Arial"/>
          <w:iCs/>
          <w:szCs w:val="22"/>
        </w:rPr>
        <w:t>sites; however, seed density</w:t>
      </w:r>
      <w:r w:rsidR="00996ADC" w:rsidRPr="00CB093C">
        <w:rPr>
          <w:rFonts w:ascii="Arial" w:hAnsi="Arial" w:cs="Arial"/>
          <w:iCs/>
          <w:szCs w:val="22"/>
        </w:rPr>
        <w:t xml:space="preserve"> remains lower than the historical peaks observed in 2004</w:t>
      </w:r>
      <w:r w:rsidR="00501D97" w:rsidRPr="00CB093C">
        <w:rPr>
          <w:rFonts w:ascii="Arial" w:hAnsi="Arial" w:cs="Arial"/>
          <w:iCs/>
          <w:szCs w:val="22"/>
        </w:rPr>
        <w:t>–</w:t>
      </w:r>
      <w:r w:rsidR="00996ADC" w:rsidRPr="00CB093C">
        <w:rPr>
          <w:rFonts w:ascii="Arial" w:hAnsi="Arial" w:cs="Arial"/>
          <w:iCs/>
          <w:szCs w:val="22"/>
        </w:rPr>
        <w:t xml:space="preserve">2008. </w:t>
      </w:r>
      <w:r w:rsidR="00D57386" w:rsidRPr="00CB093C">
        <w:rPr>
          <w:rFonts w:ascii="Arial" w:hAnsi="Arial" w:cs="Arial"/>
          <w:iCs/>
          <w:szCs w:val="22"/>
        </w:rPr>
        <w:t xml:space="preserve">The </w:t>
      </w:r>
      <w:r w:rsidRPr="00CB093C">
        <w:rPr>
          <w:rFonts w:ascii="Arial" w:hAnsi="Arial" w:cs="Arial"/>
          <w:iCs/>
          <w:szCs w:val="22"/>
        </w:rPr>
        <w:t xml:space="preserve">continued decline </w:t>
      </w:r>
      <w:r w:rsidR="00D57386" w:rsidRPr="00CB093C">
        <w:rPr>
          <w:rFonts w:ascii="Arial" w:hAnsi="Arial" w:cs="Arial"/>
          <w:iCs/>
          <w:szCs w:val="22"/>
        </w:rPr>
        <w:t xml:space="preserve">in </w:t>
      </w:r>
      <w:r w:rsidRPr="00CB093C">
        <w:rPr>
          <w:rFonts w:ascii="Arial" w:hAnsi="Arial" w:cs="Arial"/>
          <w:iCs/>
          <w:szCs w:val="22"/>
        </w:rPr>
        <w:t>the indicator score</w:t>
      </w:r>
      <w:r w:rsidR="00D57386" w:rsidRPr="00CB093C">
        <w:rPr>
          <w:rFonts w:ascii="Arial" w:hAnsi="Arial" w:cs="Arial"/>
          <w:iCs/>
          <w:szCs w:val="22"/>
        </w:rPr>
        <w:t xml:space="preserve"> was </w:t>
      </w:r>
      <w:r w:rsidR="00501D97" w:rsidRPr="00CB093C">
        <w:rPr>
          <w:rFonts w:ascii="Arial" w:hAnsi="Arial" w:cs="Arial"/>
          <w:iCs/>
          <w:szCs w:val="22"/>
        </w:rPr>
        <w:t>driven by</w:t>
      </w:r>
      <w:r w:rsidR="00D57386" w:rsidRPr="00CB093C">
        <w:rPr>
          <w:rFonts w:ascii="Arial" w:hAnsi="Arial" w:cs="Arial"/>
          <w:iCs/>
          <w:szCs w:val="22"/>
        </w:rPr>
        <w:t xml:space="preserve"> reproductive effort at the</w:t>
      </w:r>
      <w:r w:rsidR="00996ADC" w:rsidRPr="00CB093C">
        <w:rPr>
          <w:rFonts w:ascii="Arial" w:hAnsi="Arial" w:cs="Arial"/>
          <w:iCs/>
          <w:szCs w:val="22"/>
        </w:rPr>
        <w:t xml:space="preserve"> reef </w:t>
      </w:r>
      <w:r w:rsidR="00487ED3" w:rsidRPr="00CB093C">
        <w:rPr>
          <w:rFonts w:ascii="Arial" w:hAnsi="Arial" w:cs="Arial"/>
          <w:iCs/>
          <w:szCs w:val="22"/>
        </w:rPr>
        <w:t xml:space="preserve">intertidal and </w:t>
      </w:r>
      <w:r w:rsidR="00996ADC" w:rsidRPr="00CB093C">
        <w:rPr>
          <w:rFonts w:ascii="Arial" w:hAnsi="Arial" w:cs="Arial"/>
          <w:iCs/>
          <w:szCs w:val="22"/>
        </w:rPr>
        <w:t>subtidal sites</w:t>
      </w:r>
      <w:r w:rsidR="00D57386" w:rsidRPr="00CB093C">
        <w:rPr>
          <w:rFonts w:ascii="Arial" w:hAnsi="Arial" w:cs="Arial"/>
          <w:iCs/>
          <w:szCs w:val="22"/>
        </w:rPr>
        <w:t xml:space="preserve">. </w:t>
      </w:r>
      <w:r w:rsidR="000B1FB3" w:rsidRPr="00CB093C">
        <w:rPr>
          <w:rFonts w:ascii="Arial" w:hAnsi="Arial" w:cs="Arial"/>
          <w:iCs/>
          <w:szCs w:val="22"/>
        </w:rPr>
        <w:t>Des</w:t>
      </w:r>
      <w:r w:rsidR="00B26D25" w:rsidRPr="00CB093C">
        <w:rPr>
          <w:rFonts w:ascii="Arial" w:hAnsi="Arial" w:cs="Arial"/>
          <w:iCs/>
          <w:szCs w:val="22"/>
        </w:rPr>
        <w:t>p</w:t>
      </w:r>
      <w:r w:rsidR="000B1FB3" w:rsidRPr="00CB093C">
        <w:rPr>
          <w:rFonts w:ascii="Arial" w:hAnsi="Arial" w:cs="Arial"/>
          <w:iCs/>
          <w:szCs w:val="22"/>
        </w:rPr>
        <w:t>ite this, s</w:t>
      </w:r>
      <w:r w:rsidR="00D57386" w:rsidRPr="00CB093C">
        <w:rPr>
          <w:rFonts w:ascii="Arial" w:hAnsi="Arial" w:cs="Arial"/>
          <w:iCs/>
          <w:szCs w:val="22"/>
        </w:rPr>
        <w:t>e</w:t>
      </w:r>
      <w:r w:rsidRPr="00CB093C">
        <w:rPr>
          <w:rFonts w:ascii="Arial" w:hAnsi="Arial" w:cs="Arial"/>
          <w:iCs/>
          <w:szCs w:val="22"/>
        </w:rPr>
        <w:t>ed densities</w:t>
      </w:r>
      <w:r w:rsidR="00D57386" w:rsidRPr="00CB093C">
        <w:rPr>
          <w:rFonts w:ascii="Arial" w:hAnsi="Arial" w:cs="Arial"/>
          <w:iCs/>
          <w:szCs w:val="22"/>
        </w:rPr>
        <w:t xml:space="preserve"> in the</w:t>
      </w:r>
      <w:r w:rsidR="000C1447" w:rsidRPr="00CB093C">
        <w:rPr>
          <w:rFonts w:ascii="Arial" w:hAnsi="Arial" w:cs="Arial"/>
          <w:iCs/>
          <w:szCs w:val="22"/>
        </w:rPr>
        <w:t xml:space="preserve"> seed bank </w:t>
      </w:r>
      <w:r w:rsidR="000B1FB3" w:rsidRPr="00CB093C">
        <w:rPr>
          <w:rFonts w:ascii="Arial" w:hAnsi="Arial" w:cs="Arial"/>
          <w:iCs/>
          <w:szCs w:val="22"/>
        </w:rPr>
        <w:t xml:space="preserve">of the reef subtidal habitat </w:t>
      </w:r>
      <w:r w:rsidRPr="00CB093C">
        <w:rPr>
          <w:rFonts w:ascii="Arial" w:hAnsi="Arial" w:cs="Arial"/>
          <w:iCs/>
          <w:szCs w:val="22"/>
        </w:rPr>
        <w:t>remain high</w:t>
      </w:r>
      <w:r w:rsidR="000C1447" w:rsidRPr="00CB093C">
        <w:rPr>
          <w:rFonts w:ascii="Arial" w:hAnsi="Arial" w:cs="Arial"/>
          <w:iCs/>
          <w:szCs w:val="22"/>
        </w:rPr>
        <w:t xml:space="preserve">. </w:t>
      </w:r>
    </w:p>
    <w:p w14:paraId="2BA90FE7" w14:textId="690A3B3E" w:rsidR="000C1447" w:rsidRPr="00CB093C" w:rsidRDefault="000C1447" w:rsidP="00501D97">
      <w:pPr>
        <w:autoSpaceDE w:val="0"/>
        <w:autoSpaceDN w:val="0"/>
        <w:adjustRightInd w:val="0"/>
        <w:spacing w:before="0" w:after="0"/>
        <w:rPr>
          <w:rFonts w:ascii="Arial" w:hAnsi="Arial" w:cs="Arial"/>
          <w:szCs w:val="22"/>
        </w:rPr>
      </w:pPr>
      <w:r w:rsidRPr="00CB093C">
        <w:rPr>
          <w:rFonts w:ascii="Arial" w:hAnsi="Arial" w:cs="Arial"/>
          <w:szCs w:val="22"/>
        </w:rPr>
        <w:lastRenderedPageBreak/>
        <w:t>The</w:t>
      </w:r>
      <w:r w:rsidR="00A133F8" w:rsidRPr="00CB093C">
        <w:rPr>
          <w:rFonts w:ascii="Arial" w:hAnsi="Arial" w:cs="Arial"/>
          <w:szCs w:val="22"/>
        </w:rPr>
        <w:t xml:space="preserve"> decline in tissue nutrient indicator score in </w:t>
      </w:r>
      <w:r w:rsidR="003654C6">
        <w:rPr>
          <w:rFonts w:ascii="Arial" w:hAnsi="Arial" w:cs="Arial"/>
          <w:szCs w:val="22"/>
        </w:rPr>
        <w:t>2017–18</w:t>
      </w:r>
      <w:r w:rsidR="00A133F8" w:rsidRPr="00CB093C">
        <w:rPr>
          <w:rFonts w:ascii="Arial" w:hAnsi="Arial" w:cs="Arial"/>
          <w:szCs w:val="22"/>
        </w:rPr>
        <w:t xml:space="preserve"> after reaching historical maxima in 2016</w:t>
      </w:r>
      <w:r w:rsidR="00F776A8" w:rsidRPr="00CB093C">
        <w:rPr>
          <w:rFonts w:ascii="Arial" w:hAnsi="Arial" w:cs="Arial"/>
          <w:szCs w:val="22"/>
        </w:rPr>
        <w:t>–2017</w:t>
      </w:r>
      <w:r w:rsidR="00A133F8" w:rsidRPr="00CB093C">
        <w:rPr>
          <w:rFonts w:ascii="Arial" w:hAnsi="Arial" w:cs="Arial"/>
          <w:szCs w:val="22"/>
        </w:rPr>
        <w:t xml:space="preserve">, </w:t>
      </w:r>
      <w:r w:rsidR="00FB4414" w:rsidRPr="00CB093C">
        <w:rPr>
          <w:rFonts w:ascii="Arial" w:hAnsi="Arial" w:cs="Arial"/>
          <w:szCs w:val="22"/>
        </w:rPr>
        <w:t xml:space="preserve">was primarily due to leaf tissue molar C:N ratios declining in reef habitats. However, the change was not </w:t>
      </w:r>
      <w:r w:rsidR="007A70FE" w:rsidRPr="00CB093C">
        <w:rPr>
          <w:rFonts w:ascii="Arial" w:hAnsi="Arial" w:cs="Arial"/>
          <w:szCs w:val="22"/>
        </w:rPr>
        <w:t>sufficient</w:t>
      </w:r>
      <w:r w:rsidR="00FB4414" w:rsidRPr="00CB093C">
        <w:rPr>
          <w:rFonts w:ascii="Arial" w:hAnsi="Arial" w:cs="Arial"/>
          <w:szCs w:val="22"/>
        </w:rPr>
        <w:t xml:space="preserve"> to indicate elevated N, irrespective of the maintenance of </w:t>
      </w:r>
      <w:r w:rsidR="00FB4414" w:rsidRPr="00CB093C">
        <w:rPr>
          <w:rFonts w:ascii="Arial" w:hAnsi="Arial" w:cs="Arial"/>
          <w:szCs w:val="22"/>
          <w:lang w:val="en-US"/>
        </w:rPr>
        <w:t xml:space="preserve">epiphyte abundance above the </w:t>
      </w:r>
      <w:r w:rsidR="00501D97" w:rsidRPr="00CB093C">
        <w:rPr>
          <w:rFonts w:ascii="Arial" w:hAnsi="Arial" w:cs="Arial"/>
          <w:szCs w:val="22"/>
          <w:lang w:val="en-US"/>
        </w:rPr>
        <w:t>Reef</w:t>
      </w:r>
      <w:r w:rsidR="00FB4414" w:rsidRPr="00CB093C">
        <w:rPr>
          <w:rFonts w:ascii="Arial" w:hAnsi="Arial" w:cs="Arial"/>
          <w:szCs w:val="22"/>
          <w:lang w:val="en-US"/>
        </w:rPr>
        <w:t>-wide long-term average for the last few years (more likely a response to elevated temperatures)</w:t>
      </w:r>
      <w:r w:rsidR="00FB4414" w:rsidRPr="00CB093C">
        <w:rPr>
          <w:rFonts w:ascii="Arial" w:hAnsi="Arial" w:cs="Arial"/>
          <w:szCs w:val="22"/>
        </w:rPr>
        <w:t>.</w:t>
      </w:r>
    </w:p>
    <w:p w14:paraId="0FD3C9DE" w14:textId="556A8AAD" w:rsidR="000C1447" w:rsidRPr="00CB093C" w:rsidRDefault="000C1447" w:rsidP="000C1447">
      <w:pPr>
        <w:rPr>
          <w:rFonts w:ascii="Arial" w:hAnsi="Arial" w:cs="Arial"/>
          <w:szCs w:val="22"/>
        </w:rPr>
      </w:pPr>
      <w:r w:rsidRPr="00CB093C">
        <w:rPr>
          <w:rFonts w:ascii="Arial" w:hAnsi="Arial" w:cs="Arial"/>
          <w:szCs w:val="22"/>
        </w:rPr>
        <w:t xml:space="preserve">Over the past decade, seagrass meadows of the Burdekin region have demonstrated high resilience particularly through their capacity for recovery. This may reflect a conditioning to disturbance (high seed bank, high </w:t>
      </w:r>
      <w:r w:rsidR="00C71F26" w:rsidRPr="00CB093C">
        <w:rPr>
          <w:rFonts w:ascii="Arial" w:hAnsi="Arial" w:cs="Arial"/>
          <w:szCs w:val="22"/>
        </w:rPr>
        <w:t xml:space="preserve">species </w:t>
      </w:r>
      <w:r w:rsidRPr="00CB093C">
        <w:rPr>
          <w:rFonts w:ascii="Arial" w:hAnsi="Arial" w:cs="Arial"/>
          <w:szCs w:val="22"/>
        </w:rPr>
        <w:t xml:space="preserve">diversity), but also reflects the nature of the disturbances which are episodic </w:t>
      </w:r>
      <w:r w:rsidR="00A65C8A" w:rsidRPr="00CB093C">
        <w:rPr>
          <w:rFonts w:ascii="Arial" w:hAnsi="Arial" w:cs="Arial"/>
          <w:szCs w:val="22"/>
        </w:rPr>
        <w:t xml:space="preserve">and </w:t>
      </w:r>
      <w:r w:rsidRPr="00CB093C">
        <w:rPr>
          <w:rFonts w:ascii="Arial" w:hAnsi="Arial" w:cs="Arial"/>
          <w:szCs w:val="22"/>
        </w:rPr>
        <w:t xml:space="preserve">dominated by </w:t>
      </w:r>
      <w:r w:rsidR="00FB4414" w:rsidRPr="00CB093C">
        <w:rPr>
          <w:rFonts w:ascii="Arial" w:hAnsi="Arial" w:cs="Arial"/>
          <w:szCs w:val="22"/>
        </w:rPr>
        <w:t xml:space="preserve">wind events and </w:t>
      </w:r>
      <w:r w:rsidRPr="00CB093C">
        <w:rPr>
          <w:rFonts w:ascii="Arial" w:hAnsi="Arial" w:cs="Arial"/>
          <w:szCs w:val="22"/>
        </w:rPr>
        <w:t>Burdekin River f</w:t>
      </w:r>
      <w:r w:rsidR="006E47B4" w:rsidRPr="00CB093C">
        <w:rPr>
          <w:rFonts w:ascii="Arial" w:hAnsi="Arial" w:cs="Arial"/>
          <w:szCs w:val="22"/>
        </w:rPr>
        <w:t>lows</w:t>
      </w:r>
      <w:r w:rsidRPr="00CB093C">
        <w:rPr>
          <w:rFonts w:ascii="Arial" w:hAnsi="Arial" w:cs="Arial"/>
          <w:szCs w:val="22"/>
        </w:rPr>
        <w:t xml:space="preserve">. </w:t>
      </w:r>
    </w:p>
    <w:p w14:paraId="4AF3FEEC" w14:textId="77777777" w:rsidR="00C64CB8" w:rsidRPr="00CB093C" w:rsidRDefault="00015AD8" w:rsidP="00C64CB8">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3DB578BB" wp14:editId="203D5061">
            <wp:extent cx="4320000" cy="2674800"/>
            <wp:effectExtent l="0" t="0" r="4445" b="0"/>
            <wp:docPr id="309" name="Picture 309" descr="Scatter plot with straight lines and markers showing seagrass condition index (including standard errors), with contributing indicator scores for the Burdekin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 name="INDEX_B_2016.png"/>
                    <pic:cNvPicPr/>
                  </pic:nvPicPr>
                  <pic:blipFill>
                    <a:blip r:embed="rId96">
                      <a:extLst>
                        <a:ext uri="{28A0092B-C50C-407E-A947-70E740481C1C}">
                          <a14:useLocalDpi xmlns:a14="http://schemas.microsoft.com/office/drawing/2010/main" val="0"/>
                        </a:ext>
                      </a:extLst>
                    </a:blip>
                    <a:stretch>
                      <a:fillRect/>
                    </a:stretch>
                  </pic:blipFill>
                  <pic:spPr>
                    <a:xfrm>
                      <a:off x="0" y="0"/>
                      <a:ext cx="4320000" cy="2674800"/>
                    </a:xfrm>
                    <a:prstGeom prst="rect">
                      <a:avLst/>
                    </a:prstGeom>
                  </pic:spPr>
                </pic:pic>
              </a:graphicData>
            </a:graphic>
          </wp:inline>
        </w:drawing>
      </w:r>
    </w:p>
    <w:p w14:paraId="0D878332" w14:textId="4E2D0D89" w:rsidR="00C64CB8" w:rsidRPr="00CB093C" w:rsidRDefault="00C64CB8" w:rsidP="00C64CB8">
      <w:pPr>
        <w:rPr>
          <w:rFonts w:ascii="Arial" w:hAnsi="Arial" w:cs="Arial"/>
          <w:i/>
          <w:vanish/>
          <w:szCs w:val="22"/>
          <w:specVanish/>
        </w:rPr>
      </w:pPr>
      <w:bookmarkStart w:id="346" w:name="_Ref410385306"/>
      <w:bookmarkStart w:id="347" w:name="_Toc431493856"/>
      <w:bookmarkStart w:id="348" w:name="_Toc6402817"/>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52</w:t>
      </w:r>
      <w:r w:rsidRPr="00CB093C">
        <w:rPr>
          <w:rFonts w:ascii="Arial" w:hAnsi="Arial" w:cs="Arial"/>
          <w:color w:val="000000"/>
          <w:szCs w:val="22"/>
        </w:rPr>
        <w:fldChar w:fldCharType="end"/>
      </w:r>
      <w:bookmarkEnd w:id="346"/>
      <w:r w:rsidRPr="00CB093C">
        <w:rPr>
          <w:rFonts w:ascii="Arial" w:hAnsi="Arial" w:cs="Arial"/>
          <w:color w:val="000000"/>
          <w:szCs w:val="22"/>
        </w:rPr>
        <w:t xml:space="preserve">. </w:t>
      </w:r>
      <w:r w:rsidRPr="00CB093C">
        <w:rPr>
          <w:rFonts w:ascii="Arial" w:hAnsi="Arial" w:cs="Arial"/>
          <w:i/>
          <w:szCs w:val="22"/>
        </w:rPr>
        <w:t>Report card of seagrass status indicators and index for the Burdekin NRM region</w:t>
      </w:r>
      <w:bookmarkEnd w:id="347"/>
      <w:bookmarkEnd w:id="348"/>
    </w:p>
    <w:p w14:paraId="22C0D860" w14:textId="2735C71C" w:rsidR="00C64CB8" w:rsidRPr="00CB093C" w:rsidRDefault="00C64CB8" w:rsidP="00C64CB8">
      <w:pPr>
        <w:rPr>
          <w:rFonts w:ascii="Arial" w:hAnsi="Arial" w:cs="Arial"/>
          <w:i/>
          <w:szCs w:val="22"/>
        </w:rPr>
      </w:pPr>
      <w:r w:rsidRPr="00CB093C">
        <w:rPr>
          <w:rFonts w:ascii="Arial" w:hAnsi="Arial" w:cs="Arial"/>
          <w:i/>
          <w:szCs w:val="22"/>
        </w:rPr>
        <w:t xml:space="preserve"> (average</w:t>
      </w:r>
      <w:r w:rsidR="000115D2" w:rsidRPr="00CB093C">
        <w:rPr>
          <w:rFonts w:ascii="Arial" w:hAnsi="Arial" w:cs="Arial"/>
          <w:i/>
          <w:szCs w:val="22"/>
        </w:rPr>
        <w:t>s</w:t>
      </w:r>
      <w:r w:rsidRPr="00CB093C">
        <w:rPr>
          <w:rFonts w:ascii="Arial" w:hAnsi="Arial" w:cs="Arial"/>
          <w:i/>
          <w:szCs w:val="22"/>
        </w:rPr>
        <w:t xml:space="preserve"> across habitats and sites). Values are indexed scores scaled </w:t>
      </w:r>
      <w:r w:rsidR="00F776A8" w:rsidRPr="00CB093C">
        <w:rPr>
          <w:rFonts w:ascii="Arial" w:hAnsi="Arial" w:cs="Arial"/>
          <w:i/>
          <w:szCs w:val="22"/>
        </w:rPr>
        <w:t xml:space="preserve">from 0–100 and graded: </w:t>
      </w:r>
      <w:r w:rsidR="00F776A8" w:rsidRPr="00CB093C">
        <w:rPr>
          <w:rFonts w:ascii="Arial" w:hAnsi="Arial" w:cs="Arial"/>
          <w:color w:val="008000"/>
          <w:szCs w:val="22"/>
        </w:rPr>
        <w:t>●</w:t>
      </w:r>
      <w:r w:rsidR="00F776A8" w:rsidRPr="00CB093C">
        <w:rPr>
          <w:rFonts w:ascii="Arial" w:hAnsi="Arial" w:cs="Arial"/>
          <w:i/>
          <w:szCs w:val="22"/>
        </w:rPr>
        <w:t xml:space="preserve"> = very good (81-100), </w:t>
      </w:r>
      <w:r w:rsidR="00F776A8" w:rsidRPr="00CB093C">
        <w:rPr>
          <w:rFonts w:ascii="Arial" w:hAnsi="Arial" w:cs="Arial"/>
          <w:color w:val="92D050"/>
          <w:szCs w:val="22"/>
        </w:rPr>
        <w:t>●</w:t>
      </w:r>
      <w:r w:rsidR="00F776A8" w:rsidRPr="00CB093C">
        <w:rPr>
          <w:rFonts w:ascii="Arial" w:hAnsi="Arial" w:cs="Arial"/>
          <w:i/>
          <w:szCs w:val="22"/>
        </w:rPr>
        <w:t xml:space="preserve"> = good (61 - 80), </w:t>
      </w:r>
      <w:r w:rsidR="00F776A8" w:rsidRPr="00CB093C">
        <w:rPr>
          <w:rFonts w:ascii="Arial" w:hAnsi="Arial" w:cs="Arial"/>
          <w:color w:val="FFFF00"/>
          <w:szCs w:val="22"/>
        </w:rPr>
        <w:t>●</w:t>
      </w:r>
      <w:r w:rsidR="00F776A8" w:rsidRPr="00CB093C">
        <w:rPr>
          <w:rFonts w:ascii="Arial" w:hAnsi="Arial" w:cs="Arial"/>
          <w:i/>
          <w:szCs w:val="22"/>
        </w:rPr>
        <w:t xml:space="preserve"> = moderate (41 - 60), </w:t>
      </w:r>
      <w:r w:rsidR="00F776A8" w:rsidRPr="00CB093C">
        <w:rPr>
          <w:rFonts w:ascii="Arial" w:hAnsi="Arial" w:cs="Arial"/>
          <w:i/>
          <w:color w:val="FFC000"/>
          <w:szCs w:val="22"/>
        </w:rPr>
        <w:t>●</w:t>
      </w:r>
      <w:r w:rsidR="00F776A8" w:rsidRPr="00CB093C">
        <w:rPr>
          <w:rFonts w:ascii="Arial" w:hAnsi="Arial" w:cs="Arial"/>
          <w:i/>
          <w:szCs w:val="22"/>
        </w:rPr>
        <w:t xml:space="preserve"> = poor (21 - 40), </w:t>
      </w:r>
      <w:r w:rsidR="00F776A8" w:rsidRPr="00CB093C">
        <w:rPr>
          <w:rFonts w:ascii="Arial" w:hAnsi="Arial" w:cs="Arial"/>
          <w:i/>
          <w:color w:val="FF0000"/>
          <w:szCs w:val="22"/>
        </w:rPr>
        <w:t>●</w:t>
      </w:r>
      <w:r w:rsidR="00F776A8" w:rsidRPr="00CB093C">
        <w:rPr>
          <w:rFonts w:ascii="Arial" w:hAnsi="Arial" w:cs="Arial"/>
          <w:i/>
          <w:szCs w:val="22"/>
        </w:rPr>
        <w:t> = very poor (0 - 20).</w:t>
      </w:r>
      <w:r w:rsidR="00F776A8" w:rsidRPr="00CB093C">
        <w:rPr>
          <w:rFonts w:ascii="Arial" w:hAnsi="Arial" w:cs="Arial"/>
          <w:i/>
          <w:color w:val="000000"/>
          <w:szCs w:val="22"/>
        </w:rPr>
        <w:t xml:space="preserve"> NB: Scores</w:t>
      </w:r>
      <w:r w:rsidR="00F776A8" w:rsidRPr="00CB093C">
        <w:rPr>
          <w:rFonts w:ascii="Arial" w:hAnsi="Arial" w:cs="Arial"/>
          <w:i/>
          <w:szCs w:val="22"/>
        </w:rPr>
        <w:t xml:space="preserve"> are unitless.</w:t>
      </w:r>
    </w:p>
    <w:p w14:paraId="4F7206AE" w14:textId="77777777" w:rsidR="000C1447" w:rsidRPr="00CB093C" w:rsidRDefault="000C1447" w:rsidP="00AD06D4">
      <w:pPr>
        <w:pStyle w:val="Heading3"/>
        <w:numPr>
          <w:ilvl w:val="2"/>
          <w:numId w:val="4"/>
        </w:numPr>
        <w:rPr>
          <w:rFonts w:ascii="Arial" w:hAnsi="Arial" w:cs="Arial"/>
          <w:color w:val="000000"/>
          <w:sz w:val="22"/>
          <w:szCs w:val="22"/>
        </w:rPr>
      </w:pPr>
      <w:bookmarkStart w:id="349" w:name="_Toc11394744"/>
      <w:r w:rsidRPr="00CB093C">
        <w:rPr>
          <w:rFonts w:ascii="Arial" w:hAnsi="Arial" w:cs="Arial"/>
          <w:color w:val="000000"/>
          <w:sz w:val="22"/>
          <w:szCs w:val="22"/>
        </w:rPr>
        <w:t>Climate and environmental pressures</w:t>
      </w:r>
      <w:bookmarkEnd w:id="349"/>
    </w:p>
    <w:p w14:paraId="15DA37A7" w14:textId="49E987DE" w:rsidR="003737E9" w:rsidRPr="00CB093C" w:rsidRDefault="00582441" w:rsidP="00C10A9F">
      <w:pPr>
        <w:rPr>
          <w:rFonts w:ascii="Arial" w:hAnsi="Arial" w:cs="Arial"/>
          <w:szCs w:val="22"/>
        </w:rPr>
      </w:pPr>
      <w:r w:rsidRPr="00CB093C">
        <w:rPr>
          <w:rFonts w:ascii="Arial" w:hAnsi="Arial" w:cs="Arial"/>
          <w:szCs w:val="22"/>
        </w:rPr>
        <w:t xml:space="preserve">In </w:t>
      </w:r>
      <w:r w:rsidR="003654C6">
        <w:rPr>
          <w:rFonts w:ascii="Arial" w:hAnsi="Arial" w:cs="Arial"/>
          <w:szCs w:val="22"/>
        </w:rPr>
        <w:t>2017–18</w:t>
      </w:r>
      <w:r w:rsidRPr="00CB093C">
        <w:rPr>
          <w:rFonts w:ascii="Arial" w:hAnsi="Arial" w:cs="Arial"/>
          <w:szCs w:val="22"/>
        </w:rPr>
        <w:t>, r</w:t>
      </w:r>
      <w:r w:rsidR="000C1447" w:rsidRPr="00CB093C">
        <w:rPr>
          <w:rFonts w:ascii="Arial" w:hAnsi="Arial" w:cs="Arial"/>
          <w:szCs w:val="22"/>
        </w:rPr>
        <w:t xml:space="preserve">ainfall </w:t>
      </w:r>
      <w:r w:rsidR="00992A31" w:rsidRPr="00CB093C">
        <w:rPr>
          <w:rFonts w:ascii="Arial" w:hAnsi="Arial" w:cs="Arial"/>
          <w:szCs w:val="22"/>
        </w:rPr>
        <w:t xml:space="preserve">was below the long-term average </w:t>
      </w:r>
      <w:r w:rsidR="000C1447" w:rsidRPr="00CB093C">
        <w:rPr>
          <w:rFonts w:ascii="Arial" w:hAnsi="Arial" w:cs="Arial"/>
          <w:szCs w:val="22"/>
        </w:rPr>
        <w:t xml:space="preserve">and river discharge were </w:t>
      </w:r>
      <w:r w:rsidR="00342A6B" w:rsidRPr="00CB093C">
        <w:rPr>
          <w:rFonts w:ascii="Arial" w:hAnsi="Arial" w:cs="Arial"/>
          <w:szCs w:val="22"/>
        </w:rPr>
        <w:t>near the long-term median or greater depending on the river</w:t>
      </w:r>
      <w:r w:rsidR="0080651C" w:rsidRPr="00CB093C">
        <w:rPr>
          <w:rFonts w:ascii="Arial" w:hAnsi="Arial" w:cs="Arial"/>
          <w:szCs w:val="22"/>
        </w:rPr>
        <w:t xml:space="preserve"> </w:t>
      </w:r>
      <w:r w:rsidR="00342A6B" w:rsidRPr="00CB093C">
        <w:rPr>
          <w:rFonts w:ascii="Arial" w:hAnsi="Arial" w:cs="Arial"/>
          <w:szCs w:val="22"/>
        </w:rPr>
        <w:t>i</w:t>
      </w:r>
      <w:r w:rsidR="0080651C" w:rsidRPr="00CB093C">
        <w:rPr>
          <w:rFonts w:ascii="Arial" w:hAnsi="Arial" w:cs="Arial"/>
          <w:szCs w:val="22"/>
        </w:rPr>
        <w:t xml:space="preserve">n the Burdekin </w:t>
      </w:r>
      <w:r w:rsidR="00410E1C" w:rsidRPr="00CB093C">
        <w:rPr>
          <w:rFonts w:ascii="Arial" w:hAnsi="Arial" w:cs="Arial"/>
          <w:szCs w:val="22"/>
        </w:rPr>
        <w:t>region (</w:t>
      </w:r>
      <w:r w:rsidR="00BE3A5C" w:rsidRPr="00CB093C">
        <w:rPr>
          <w:rFonts w:ascii="Arial" w:hAnsi="Arial" w:cs="Arial"/>
          <w:szCs w:val="22"/>
        </w:rPr>
        <w:fldChar w:fldCharType="begin"/>
      </w:r>
      <w:r w:rsidR="00BE3A5C" w:rsidRPr="00CB093C">
        <w:rPr>
          <w:rFonts w:ascii="Arial" w:hAnsi="Arial" w:cs="Arial"/>
          <w:szCs w:val="22"/>
        </w:rPr>
        <w:instrText xml:space="preserve"> REF _Ref530687825 \h </w:instrText>
      </w:r>
      <w:r w:rsidR="00DA741D" w:rsidRPr="00CB093C">
        <w:rPr>
          <w:rFonts w:ascii="Arial" w:hAnsi="Arial" w:cs="Arial"/>
          <w:szCs w:val="22"/>
        </w:rPr>
        <w:instrText xml:space="preserve"> \* MERGEFORMAT </w:instrText>
      </w:r>
      <w:r w:rsidR="00BE3A5C" w:rsidRPr="00CB093C">
        <w:rPr>
          <w:rFonts w:ascii="Arial" w:hAnsi="Arial" w:cs="Arial"/>
          <w:szCs w:val="22"/>
        </w:rPr>
      </w:r>
      <w:r w:rsidR="00BE3A5C"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53</w:t>
      </w:r>
      <w:r w:rsidR="00BE3A5C" w:rsidRPr="00CB093C">
        <w:rPr>
          <w:rFonts w:ascii="Arial" w:hAnsi="Arial" w:cs="Arial"/>
          <w:szCs w:val="22"/>
        </w:rPr>
        <w:fldChar w:fldCharType="end"/>
      </w:r>
      <w:r w:rsidR="00342A6B" w:rsidRPr="00CB093C">
        <w:rPr>
          <w:rFonts w:ascii="Arial" w:hAnsi="Arial" w:cs="Arial"/>
          <w:szCs w:val="22"/>
        </w:rPr>
        <w:t xml:space="preserve">, </w:t>
      </w:r>
      <w:r w:rsidR="00410E1C" w:rsidRPr="00CB093C">
        <w:rPr>
          <w:rFonts w:ascii="Arial" w:hAnsi="Arial" w:cs="Arial"/>
          <w:szCs w:val="22"/>
        </w:rPr>
        <w:t>)</w:t>
      </w:r>
      <w:r w:rsidR="00C10A9F" w:rsidRPr="00CB093C">
        <w:rPr>
          <w:rFonts w:ascii="Arial" w:hAnsi="Arial" w:cs="Arial"/>
          <w:szCs w:val="22"/>
        </w:rPr>
        <w:t>. The only significant flow events from the Burdekin River (the largest river in the region and dominant contributor to sediment loads) occurred in March 2018 (</w:t>
      </w:r>
      <w:hyperlink w:anchor="_ENREF_65" w:tooltip="Gruber, 2019 #1186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Gruber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2019</w:t>
        </w:r>
        <w:r w:rsidR="00513C39" w:rsidRPr="00CB093C">
          <w:rPr>
            <w:rFonts w:ascii="Arial" w:hAnsi="Arial" w:cs="Arial"/>
            <w:szCs w:val="22"/>
          </w:rPr>
          <w:fldChar w:fldCharType="end"/>
        </w:r>
      </w:hyperlink>
      <w:r w:rsidR="00C10A9F" w:rsidRPr="00CB093C">
        <w:rPr>
          <w:rFonts w:ascii="Arial" w:hAnsi="Arial" w:cs="Arial"/>
          <w:szCs w:val="22"/>
        </w:rPr>
        <w:t xml:space="preserve">). </w:t>
      </w:r>
    </w:p>
    <w:p w14:paraId="20B7BD0F" w14:textId="1812F0CA" w:rsidR="008E654E" w:rsidRPr="00CB093C" w:rsidRDefault="008A59C6" w:rsidP="008A59C6">
      <w:pPr>
        <w:rPr>
          <w:rFonts w:ascii="Arial" w:hAnsi="Arial" w:cs="Arial"/>
          <w:szCs w:val="22"/>
          <w:lang w:val="en-GB"/>
        </w:rPr>
      </w:pPr>
      <w:r w:rsidRPr="00CB093C">
        <w:rPr>
          <w:rFonts w:ascii="Arial" w:hAnsi="Arial" w:cs="Arial"/>
          <w:szCs w:val="22"/>
          <w:lang w:val="en-GB"/>
        </w:rPr>
        <w:t xml:space="preserve">Exposure of inshore seagrass to turbid waters during the wet season was at the long-term </w:t>
      </w:r>
      <w:r w:rsidR="0096111D" w:rsidRPr="00CB093C">
        <w:rPr>
          <w:rFonts w:ascii="Arial" w:hAnsi="Arial" w:cs="Arial"/>
          <w:szCs w:val="22"/>
          <w:lang w:val="en-GB"/>
        </w:rPr>
        <w:t>average</w:t>
      </w:r>
      <w:r w:rsidRPr="00CB093C">
        <w:rPr>
          <w:rFonts w:ascii="Arial" w:hAnsi="Arial" w:cs="Arial"/>
          <w:szCs w:val="22"/>
          <w:lang w:val="en-GB"/>
        </w:rPr>
        <w:t xml:space="preserve">. All sites monitored throughout the region were </w:t>
      </w:r>
      <w:r w:rsidR="008E654E" w:rsidRPr="00CB093C">
        <w:rPr>
          <w:rFonts w:ascii="Arial" w:hAnsi="Arial" w:cs="Arial"/>
          <w:szCs w:val="22"/>
          <w:lang w:val="en-GB"/>
        </w:rPr>
        <w:t xml:space="preserve">exposed </w:t>
      </w:r>
      <w:r w:rsidRPr="00CB093C">
        <w:rPr>
          <w:rFonts w:ascii="Arial" w:hAnsi="Arial" w:cs="Arial"/>
          <w:szCs w:val="22"/>
          <w:lang w:val="en-GB"/>
        </w:rPr>
        <w:t xml:space="preserve">to ‘brown’ or ‘green’ turbid water for the entire wet season (100% frequency of exposure). Coastal sites (BB, SB and JR) experienced the highest exposure to ‘brown’ turbid, </w:t>
      </w:r>
      <w:r w:rsidRPr="00CB093C">
        <w:rPr>
          <w:rFonts w:ascii="Arial" w:hAnsi="Arial" w:cs="Arial"/>
          <w:szCs w:val="22"/>
        </w:rPr>
        <w:t>sediment laden,</w:t>
      </w:r>
      <w:r w:rsidRPr="00CB093C">
        <w:rPr>
          <w:rFonts w:ascii="Arial" w:hAnsi="Arial" w:cs="Arial"/>
          <w:szCs w:val="22"/>
          <w:lang w:val="en-GB"/>
        </w:rPr>
        <w:t xml:space="preserve"> waters (89</w:t>
      </w:r>
      <w:r w:rsidR="009203FC" w:rsidRPr="00CB093C">
        <w:rPr>
          <w:rFonts w:ascii="Arial" w:hAnsi="Arial" w:cs="Arial"/>
          <w:szCs w:val="22"/>
          <w:lang w:val="en-GB"/>
        </w:rPr>
        <w:t>–</w:t>
      </w:r>
      <w:r w:rsidRPr="00CB093C">
        <w:rPr>
          <w:rFonts w:ascii="Arial" w:hAnsi="Arial" w:cs="Arial"/>
          <w:szCs w:val="22"/>
          <w:lang w:val="en-GB"/>
        </w:rPr>
        <w:t xml:space="preserve">100% of wet </w:t>
      </w:r>
      <w:r w:rsidRPr="00CB093C">
        <w:rPr>
          <w:rFonts w:ascii="Arial" w:hAnsi="Arial" w:cs="Arial"/>
          <w:szCs w:val="22"/>
          <w:lang w:val="en-GB"/>
        </w:rPr>
        <w:lastRenderedPageBreak/>
        <w:t xml:space="preserve">season weeks), while the remaining reef sites were exposed predominately to ‘green’, </w:t>
      </w:r>
      <w:r w:rsidRPr="00CB093C">
        <w:rPr>
          <w:rFonts w:ascii="Arial" w:hAnsi="Arial" w:cs="Arial"/>
          <w:szCs w:val="22"/>
        </w:rPr>
        <w:t>phytoplankton rich,</w:t>
      </w:r>
      <w:r w:rsidRPr="00CB093C">
        <w:rPr>
          <w:rFonts w:ascii="Arial" w:hAnsi="Arial" w:cs="Arial"/>
          <w:szCs w:val="22"/>
          <w:lang w:val="en-GB"/>
        </w:rPr>
        <w:t xml:space="preserve"> waters (90% of wet season weeks) (</w:t>
      </w:r>
      <w:r w:rsidRPr="00CB093C">
        <w:rPr>
          <w:rFonts w:ascii="Arial" w:hAnsi="Arial" w:cs="Arial"/>
          <w:szCs w:val="22"/>
          <w:lang w:val="en-GB"/>
        </w:rPr>
        <w:fldChar w:fldCharType="begin"/>
      </w:r>
      <w:r w:rsidRPr="00CB093C">
        <w:rPr>
          <w:rFonts w:ascii="Arial" w:hAnsi="Arial" w:cs="Arial"/>
          <w:szCs w:val="22"/>
          <w:lang w:val="en-GB"/>
        </w:rPr>
        <w:instrText xml:space="preserve"> REF _Ref530687825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53</w:t>
      </w:r>
      <w:r w:rsidRPr="00CB093C">
        <w:rPr>
          <w:rFonts w:ascii="Arial" w:hAnsi="Arial" w:cs="Arial"/>
          <w:szCs w:val="22"/>
          <w:lang w:val="en-GB"/>
        </w:rPr>
        <w:fldChar w:fldCharType="end"/>
      </w:r>
      <w:r w:rsidRPr="00CB093C">
        <w:rPr>
          <w:rFonts w:ascii="Arial" w:hAnsi="Arial" w:cs="Arial"/>
          <w:szCs w:val="22"/>
          <w:lang w:val="en-GB"/>
        </w:rPr>
        <w:t xml:space="preserve">). </w:t>
      </w:r>
    </w:p>
    <w:p w14:paraId="23AF974C" w14:textId="055F8A9B" w:rsidR="008A59C6" w:rsidRPr="00CB093C" w:rsidRDefault="00F5296C" w:rsidP="008A59C6">
      <w:pPr>
        <w:rPr>
          <w:rFonts w:ascii="Arial" w:hAnsi="Arial" w:cs="Arial"/>
          <w:szCs w:val="22"/>
          <w:lang w:val="en-GB"/>
        </w:rPr>
      </w:pPr>
      <w:r w:rsidRPr="00CB093C">
        <w:rPr>
          <w:rFonts w:ascii="Arial" w:hAnsi="Arial" w:cs="Arial"/>
          <w:szCs w:val="22"/>
          <w:lang w:val="en-GB"/>
        </w:rPr>
        <w:t>Daily light levels in the Burdekin region are below 10 mol m</w:t>
      </w:r>
      <w:r w:rsidRPr="00CB093C">
        <w:rPr>
          <w:rFonts w:ascii="Arial" w:hAnsi="Arial" w:cs="Arial"/>
          <w:szCs w:val="22"/>
          <w:vertAlign w:val="superscript"/>
          <w:lang w:val="en-GB"/>
        </w:rPr>
        <w:t>-2</w:t>
      </w:r>
      <w:r w:rsidRPr="00CB093C">
        <w:rPr>
          <w:rFonts w:ascii="Arial" w:hAnsi="Arial" w:cs="Arial"/>
          <w:szCs w:val="22"/>
          <w:lang w:val="en-GB"/>
        </w:rPr>
        <w:t xml:space="preserve"> d</w:t>
      </w:r>
      <w:r w:rsidRPr="00CB093C">
        <w:rPr>
          <w:rFonts w:ascii="Arial" w:hAnsi="Arial" w:cs="Arial"/>
          <w:szCs w:val="22"/>
          <w:vertAlign w:val="superscript"/>
          <w:lang w:val="en-GB"/>
        </w:rPr>
        <w:t>-1</w:t>
      </w:r>
      <w:r w:rsidRPr="00CB093C">
        <w:rPr>
          <w:rFonts w:ascii="Arial" w:hAnsi="Arial" w:cs="Arial"/>
          <w:szCs w:val="22"/>
          <w:lang w:val="en-GB"/>
        </w:rPr>
        <w:t xml:space="preserve"> on average, and in </w:t>
      </w:r>
      <w:r w:rsidR="003654C6">
        <w:rPr>
          <w:rFonts w:ascii="Arial" w:hAnsi="Arial" w:cs="Arial"/>
          <w:szCs w:val="22"/>
          <w:lang w:val="en-GB"/>
        </w:rPr>
        <w:t>2017–18</w:t>
      </w:r>
      <w:r w:rsidRPr="00CB093C">
        <w:rPr>
          <w:rFonts w:ascii="Arial" w:hAnsi="Arial" w:cs="Arial"/>
          <w:szCs w:val="22"/>
          <w:lang w:val="en-GB"/>
        </w:rPr>
        <w:t>, they were reduced even further to 8.6 mol m</w:t>
      </w:r>
      <w:r w:rsidRPr="00CB093C">
        <w:rPr>
          <w:rFonts w:ascii="Arial" w:hAnsi="Arial" w:cs="Arial"/>
          <w:szCs w:val="22"/>
          <w:vertAlign w:val="superscript"/>
          <w:lang w:val="en-GB"/>
        </w:rPr>
        <w:t>-2</w:t>
      </w:r>
      <w:r w:rsidRPr="00CB093C">
        <w:rPr>
          <w:rFonts w:ascii="Arial" w:hAnsi="Arial" w:cs="Arial"/>
          <w:szCs w:val="22"/>
          <w:lang w:val="en-GB"/>
        </w:rPr>
        <w:t xml:space="preserve"> d</w:t>
      </w:r>
      <w:r w:rsidRPr="00CB093C">
        <w:rPr>
          <w:rFonts w:ascii="Arial" w:hAnsi="Arial" w:cs="Arial"/>
          <w:szCs w:val="22"/>
          <w:vertAlign w:val="superscript"/>
          <w:lang w:val="en-GB"/>
        </w:rPr>
        <w:t>-1</w:t>
      </w:r>
      <w:r w:rsidRPr="00CB093C">
        <w:rPr>
          <w:rFonts w:ascii="Arial" w:hAnsi="Arial" w:cs="Arial"/>
          <w:szCs w:val="22"/>
          <w:lang w:val="en-GB"/>
        </w:rPr>
        <w:t xml:space="preserve">. </w:t>
      </w:r>
      <w:r w:rsidR="008A59C6" w:rsidRPr="00CB093C">
        <w:rPr>
          <w:rFonts w:ascii="Arial" w:hAnsi="Arial" w:cs="Arial"/>
          <w:szCs w:val="22"/>
          <w:lang w:val="en-GB"/>
        </w:rPr>
        <w:t>The reduced light experienced across the Burdekin region (</w:t>
      </w:r>
      <w:r w:rsidR="008A59C6" w:rsidRPr="00CB093C">
        <w:rPr>
          <w:rFonts w:ascii="Arial" w:hAnsi="Arial" w:cs="Arial"/>
          <w:szCs w:val="22"/>
          <w:lang w:val="en-GB"/>
        </w:rPr>
        <w:fldChar w:fldCharType="begin"/>
      </w:r>
      <w:r w:rsidR="008A59C6" w:rsidRPr="00CB093C">
        <w:rPr>
          <w:rFonts w:ascii="Arial" w:hAnsi="Arial" w:cs="Arial"/>
          <w:szCs w:val="22"/>
          <w:lang w:val="en-GB"/>
        </w:rPr>
        <w:instrText xml:space="preserve"> REF _Ref410288144 \h </w:instrText>
      </w:r>
      <w:r w:rsidR="00CB093C" w:rsidRPr="00CB093C">
        <w:rPr>
          <w:rFonts w:ascii="Arial" w:hAnsi="Arial" w:cs="Arial"/>
          <w:szCs w:val="22"/>
          <w:lang w:val="en-GB"/>
        </w:rPr>
        <w:instrText xml:space="preserve"> \* MERGEFORMAT </w:instrText>
      </w:r>
      <w:r w:rsidR="008A59C6" w:rsidRPr="00CB093C">
        <w:rPr>
          <w:rFonts w:ascii="Arial" w:hAnsi="Arial" w:cs="Arial"/>
          <w:szCs w:val="22"/>
          <w:lang w:val="en-GB"/>
        </w:rPr>
      </w:r>
      <w:r w:rsidR="008A59C6"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109</w:t>
      </w:r>
      <w:r w:rsidR="008A59C6" w:rsidRPr="00CB093C">
        <w:rPr>
          <w:rFonts w:ascii="Arial" w:hAnsi="Arial" w:cs="Arial"/>
          <w:szCs w:val="22"/>
          <w:lang w:val="en-GB"/>
        </w:rPr>
        <w:fldChar w:fldCharType="end"/>
      </w:r>
      <w:r w:rsidR="008A59C6" w:rsidRPr="00CB093C">
        <w:rPr>
          <w:rFonts w:ascii="Arial" w:hAnsi="Arial" w:cs="Arial"/>
          <w:szCs w:val="22"/>
          <w:lang w:val="en-GB"/>
        </w:rPr>
        <w:t>) may have also been exacerbated by higher than average number of days in which wind speeds exceeded 25 km hr</w:t>
      </w:r>
      <w:r w:rsidR="008A59C6" w:rsidRPr="00CB093C">
        <w:rPr>
          <w:rFonts w:ascii="Arial" w:hAnsi="Arial" w:cs="Arial"/>
          <w:szCs w:val="22"/>
          <w:vertAlign w:val="superscript"/>
          <w:lang w:val="en-GB"/>
        </w:rPr>
        <w:t>-1</w:t>
      </w:r>
      <w:r w:rsidR="008A59C6" w:rsidRPr="00CB093C">
        <w:rPr>
          <w:rFonts w:ascii="Arial" w:hAnsi="Arial" w:cs="Arial"/>
          <w:szCs w:val="22"/>
          <w:lang w:val="en-GB"/>
        </w:rPr>
        <w:t xml:space="preserve"> (</w:t>
      </w:r>
      <w:r w:rsidR="008A59C6" w:rsidRPr="00CB093C">
        <w:rPr>
          <w:rFonts w:ascii="Arial" w:hAnsi="Arial" w:cs="Arial"/>
          <w:szCs w:val="22"/>
          <w:lang w:val="en-GB"/>
        </w:rPr>
        <w:fldChar w:fldCharType="begin"/>
      </w:r>
      <w:r w:rsidR="008A59C6" w:rsidRPr="00CB093C">
        <w:rPr>
          <w:rFonts w:ascii="Arial" w:hAnsi="Arial" w:cs="Arial"/>
          <w:szCs w:val="22"/>
          <w:lang w:val="en-GB"/>
        </w:rPr>
        <w:instrText xml:space="preserve"> REF _Ref534127371 \h </w:instrText>
      </w:r>
      <w:r w:rsidR="00CB093C" w:rsidRPr="00CB093C">
        <w:rPr>
          <w:rFonts w:ascii="Arial" w:hAnsi="Arial" w:cs="Arial"/>
          <w:szCs w:val="22"/>
          <w:lang w:val="en-GB"/>
        </w:rPr>
        <w:instrText xml:space="preserve"> \* MERGEFORMAT </w:instrText>
      </w:r>
      <w:r w:rsidR="008A59C6" w:rsidRPr="00CB093C">
        <w:rPr>
          <w:rFonts w:ascii="Arial" w:hAnsi="Arial" w:cs="Arial"/>
          <w:szCs w:val="22"/>
          <w:lang w:val="en-GB"/>
        </w:rPr>
      </w:r>
      <w:r w:rsidR="008A59C6" w:rsidRPr="00CB093C">
        <w:rPr>
          <w:rFonts w:ascii="Arial" w:hAnsi="Arial" w:cs="Arial"/>
          <w:szCs w:val="22"/>
          <w:lang w:val="en-GB"/>
        </w:rPr>
        <w:fldChar w:fldCharType="separate"/>
      </w:r>
      <w:r w:rsidR="005F00D4" w:rsidRPr="00CB093C">
        <w:rPr>
          <w:rFonts w:ascii="Arial" w:hAnsi="Arial" w:cs="Arial"/>
          <w:color w:val="000000"/>
          <w:szCs w:val="22"/>
          <w:lang w:val="en-GB"/>
        </w:rPr>
        <w:t xml:space="preserve">Figure </w:t>
      </w:r>
      <w:r w:rsidR="005F00D4">
        <w:rPr>
          <w:rFonts w:ascii="Arial" w:hAnsi="Arial" w:cs="Arial"/>
          <w:noProof/>
          <w:color w:val="000000"/>
          <w:szCs w:val="22"/>
          <w:lang w:val="en-GB"/>
        </w:rPr>
        <w:t>94</w:t>
      </w:r>
      <w:r w:rsidR="008A59C6" w:rsidRPr="00CB093C">
        <w:rPr>
          <w:rFonts w:ascii="Arial" w:hAnsi="Arial" w:cs="Arial"/>
          <w:szCs w:val="22"/>
          <w:lang w:val="en-GB"/>
        </w:rPr>
        <w:fldChar w:fldCharType="end"/>
      </w:r>
      <w:r w:rsidR="008A59C6" w:rsidRPr="00CB093C">
        <w:rPr>
          <w:rFonts w:ascii="Arial" w:hAnsi="Arial" w:cs="Arial"/>
          <w:szCs w:val="22"/>
          <w:lang w:val="en-GB"/>
        </w:rPr>
        <w:t xml:space="preserve">), which may have suspended fine sediments into the water column. Also, daytime tides were higher throughout </w:t>
      </w:r>
      <w:r w:rsidR="003654C6">
        <w:rPr>
          <w:rFonts w:ascii="Arial" w:hAnsi="Arial" w:cs="Arial"/>
          <w:szCs w:val="22"/>
          <w:lang w:val="en-GB"/>
        </w:rPr>
        <w:t>2017–18</w:t>
      </w:r>
      <w:r w:rsidR="008A59C6" w:rsidRPr="00CB093C">
        <w:rPr>
          <w:rFonts w:ascii="Arial" w:hAnsi="Arial" w:cs="Arial"/>
          <w:szCs w:val="22"/>
          <w:lang w:val="en-GB"/>
        </w:rPr>
        <w:t xml:space="preserve"> (</w:t>
      </w:r>
      <w:r w:rsidR="008A59C6" w:rsidRPr="00CB093C">
        <w:rPr>
          <w:rFonts w:ascii="Arial" w:hAnsi="Arial" w:cs="Arial"/>
          <w:szCs w:val="22"/>
          <w:lang w:val="en-GB"/>
        </w:rPr>
        <w:fldChar w:fldCharType="begin"/>
      </w:r>
      <w:r w:rsidR="008A59C6" w:rsidRPr="00CB093C">
        <w:rPr>
          <w:rFonts w:ascii="Arial" w:hAnsi="Arial" w:cs="Arial"/>
          <w:szCs w:val="22"/>
          <w:lang w:val="en-GB"/>
        </w:rPr>
        <w:instrText xml:space="preserve"> REF _Ref409806677 \h </w:instrText>
      </w:r>
      <w:r w:rsidR="00CB093C" w:rsidRPr="00CB093C">
        <w:rPr>
          <w:rFonts w:ascii="Arial" w:hAnsi="Arial" w:cs="Arial"/>
          <w:szCs w:val="22"/>
          <w:lang w:val="en-GB"/>
        </w:rPr>
        <w:instrText xml:space="preserve"> \* MERGEFORMAT </w:instrText>
      </w:r>
      <w:r w:rsidR="008A59C6" w:rsidRPr="00CB093C">
        <w:rPr>
          <w:rFonts w:ascii="Arial" w:hAnsi="Arial" w:cs="Arial"/>
          <w:szCs w:val="22"/>
          <w:lang w:val="en-GB"/>
        </w:rPr>
      </w:r>
      <w:r w:rsidR="008A59C6" w:rsidRPr="00CB093C">
        <w:rPr>
          <w:rFonts w:ascii="Arial" w:hAnsi="Arial" w:cs="Arial"/>
          <w:szCs w:val="22"/>
          <w:lang w:val="en-GB"/>
        </w:rPr>
        <w:fldChar w:fldCharType="separate"/>
      </w:r>
      <w:r w:rsidR="005F00D4" w:rsidRPr="00CB093C">
        <w:rPr>
          <w:rFonts w:ascii="Arial" w:hAnsi="Arial" w:cs="Arial"/>
          <w:szCs w:val="22"/>
        </w:rPr>
        <w:t xml:space="preserve">Table </w:t>
      </w:r>
      <w:r w:rsidR="005F00D4">
        <w:rPr>
          <w:rFonts w:ascii="Arial" w:hAnsi="Arial" w:cs="Arial"/>
          <w:noProof/>
          <w:szCs w:val="22"/>
        </w:rPr>
        <w:t>22</w:t>
      </w:r>
      <w:r w:rsidR="008A59C6" w:rsidRPr="00CB093C">
        <w:rPr>
          <w:rFonts w:ascii="Arial" w:hAnsi="Arial" w:cs="Arial"/>
          <w:szCs w:val="22"/>
          <w:lang w:val="en-GB"/>
        </w:rPr>
        <w:fldChar w:fldCharType="end"/>
      </w:r>
      <w:r w:rsidR="008A59C6" w:rsidRPr="00CB093C">
        <w:rPr>
          <w:rFonts w:ascii="Arial" w:hAnsi="Arial" w:cs="Arial"/>
          <w:szCs w:val="22"/>
          <w:lang w:val="en-GB"/>
        </w:rPr>
        <w:t xml:space="preserve">, </w:t>
      </w:r>
      <w:r w:rsidR="008A59C6" w:rsidRPr="00CB093C">
        <w:rPr>
          <w:rFonts w:ascii="Arial" w:hAnsi="Arial" w:cs="Arial"/>
          <w:szCs w:val="22"/>
          <w:lang w:val="en-GB"/>
        </w:rPr>
        <w:fldChar w:fldCharType="begin"/>
      </w:r>
      <w:r w:rsidR="008A59C6" w:rsidRPr="00CB093C">
        <w:rPr>
          <w:rFonts w:ascii="Arial" w:hAnsi="Arial" w:cs="Arial"/>
          <w:szCs w:val="22"/>
          <w:lang w:val="en-GB"/>
        </w:rPr>
        <w:instrText xml:space="preserve"> REF _Ref410287502 \h </w:instrText>
      </w:r>
      <w:r w:rsidR="00CB093C" w:rsidRPr="00CB093C">
        <w:rPr>
          <w:rFonts w:ascii="Arial" w:hAnsi="Arial" w:cs="Arial"/>
          <w:szCs w:val="22"/>
          <w:lang w:val="en-GB"/>
        </w:rPr>
        <w:instrText xml:space="preserve"> \* MERGEFORMAT </w:instrText>
      </w:r>
      <w:r w:rsidR="008A59C6" w:rsidRPr="00CB093C">
        <w:rPr>
          <w:rFonts w:ascii="Arial" w:hAnsi="Arial" w:cs="Arial"/>
          <w:szCs w:val="22"/>
          <w:lang w:val="en-GB"/>
        </w:rPr>
      </w:r>
      <w:r w:rsidR="008A59C6"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101</w:t>
      </w:r>
      <w:r w:rsidR="008A59C6" w:rsidRPr="00CB093C">
        <w:rPr>
          <w:rFonts w:ascii="Arial" w:hAnsi="Arial" w:cs="Arial"/>
          <w:szCs w:val="22"/>
          <w:lang w:val="en-GB"/>
        </w:rPr>
        <w:fldChar w:fldCharType="end"/>
      </w:r>
      <w:r w:rsidR="008A59C6" w:rsidRPr="00CB093C">
        <w:rPr>
          <w:rFonts w:ascii="Arial" w:hAnsi="Arial" w:cs="Arial"/>
          <w:szCs w:val="22"/>
          <w:lang w:val="en-GB"/>
        </w:rPr>
        <w:t xml:space="preserve">, </w:t>
      </w:r>
      <w:r w:rsidR="008A59C6" w:rsidRPr="00CB093C">
        <w:rPr>
          <w:rFonts w:ascii="Arial" w:hAnsi="Arial" w:cs="Arial"/>
          <w:szCs w:val="22"/>
          <w:lang w:val="en-GB"/>
        </w:rPr>
        <w:fldChar w:fldCharType="begin"/>
      </w:r>
      <w:r w:rsidR="008A59C6" w:rsidRPr="00CB093C">
        <w:rPr>
          <w:rFonts w:ascii="Arial" w:hAnsi="Arial" w:cs="Arial"/>
          <w:szCs w:val="22"/>
          <w:lang w:val="en-GB"/>
        </w:rPr>
        <w:instrText xml:space="preserve"> REF _Ref410287782 \h </w:instrText>
      </w:r>
      <w:r w:rsidR="00CB093C" w:rsidRPr="00CB093C">
        <w:rPr>
          <w:rFonts w:ascii="Arial" w:hAnsi="Arial" w:cs="Arial"/>
          <w:szCs w:val="22"/>
          <w:lang w:val="en-GB"/>
        </w:rPr>
        <w:instrText xml:space="preserve"> \* MERGEFORMAT </w:instrText>
      </w:r>
      <w:r w:rsidR="008A59C6" w:rsidRPr="00CB093C">
        <w:rPr>
          <w:rFonts w:ascii="Arial" w:hAnsi="Arial" w:cs="Arial"/>
          <w:szCs w:val="22"/>
          <w:lang w:val="en-GB"/>
        </w:rPr>
      </w:r>
      <w:r w:rsidR="008A59C6"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102</w:t>
      </w:r>
      <w:r w:rsidR="008A59C6" w:rsidRPr="00CB093C">
        <w:rPr>
          <w:rFonts w:ascii="Arial" w:hAnsi="Arial" w:cs="Arial"/>
          <w:szCs w:val="22"/>
          <w:lang w:val="en-GB"/>
        </w:rPr>
        <w:fldChar w:fldCharType="end"/>
      </w:r>
      <w:r w:rsidR="008A59C6" w:rsidRPr="00CB093C">
        <w:rPr>
          <w:rFonts w:ascii="Arial" w:hAnsi="Arial" w:cs="Arial"/>
          <w:szCs w:val="22"/>
          <w:lang w:val="en-GB"/>
        </w:rPr>
        <w:t>), which although may have provided some respite from intertidal exposure (less than half the long term average) (</w:t>
      </w:r>
      <w:r w:rsidR="008A59C6" w:rsidRPr="00CB093C">
        <w:rPr>
          <w:rFonts w:ascii="Arial" w:hAnsi="Arial" w:cs="Arial"/>
          <w:szCs w:val="22"/>
          <w:lang w:val="en-GB"/>
        </w:rPr>
        <w:fldChar w:fldCharType="begin"/>
      </w:r>
      <w:r w:rsidR="008A59C6" w:rsidRPr="00CB093C">
        <w:rPr>
          <w:rFonts w:ascii="Arial" w:hAnsi="Arial" w:cs="Arial"/>
          <w:szCs w:val="22"/>
          <w:lang w:val="en-GB"/>
        </w:rPr>
        <w:instrText xml:space="preserve"> REF _Ref530687825 \h </w:instrText>
      </w:r>
      <w:r w:rsidR="00CB093C" w:rsidRPr="00CB093C">
        <w:rPr>
          <w:rFonts w:ascii="Arial" w:hAnsi="Arial" w:cs="Arial"/>
          <w:szCs w:val="22"/>
          <w:lang w:val="en-GB"/>
        </w:rPr>
        <w:instrText xml:space="preserve"> \* MERGEFORMAT </w:instrText>
      </w:r>
      <w:r w:rsidR="008A59C6" w:rsidRPr="00CB093C">
        <w:rPr>
          <w:rFonts w:ascii="Arial" w:hAnsi="Arial" w:cs="Arial"/>
          <w:szCs w:val="22"/>
          <w:lang w:val="en-GB"/>
        </w:rPr>
      </w:r>
      <w:r w:rsidR="008A59C6"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53</w:t>
      </w:r>
      <w:r w:rsidR="008A59C6" w:rsidRPr="00CB093C">
        <w:rPr>
          <w:rFonts w:ascii="Arial" w:hAnsi="Arial" w:cs="Arial"/>
          <w:szCs w:val="22"/>
          <w:lang w:val="en-GB"/>
        </w:rPr>
        <w:fldChar w:fldCharType="end"/>
      </w:r>
      <w:r w:rsidR="008A59C6" w:rsidRPr="00CB093C">
        <w:rPr>
          <w:rFonts w:ascii="Arial" w:hAnsi="Arial" w:cs="Arial"/>
          <w:szCs w:val="22"/>
          <w:lang w:val="en-GB"/>
        </w:rPr>
        <w:t>), could have resulted in longer periods of reduced light availability during periods of higher water turbidity.</w:t>
      </w:r>
    </w:p>
    <w:p w14:paraId="1F5ADABE" w14:textId="41C1F076" w:rsidR="008A59C6" w:rsidRPr="00CB093C" w:rsidRDefault="008E654E" w:rsidP="008A59C6">
      <w:pPr>
        <w:rPr>
          <w:rFonts w:ascii="Arial" w:hAnsi="Arial" w:cs="Arial"/>
          <w:szCs w:val="22"/>
          <w:lang w:val="en-GB"/>
        </w:rPr>
      </w:pPr>
      <w:r w:rsidRPr="00CB093C">
        <w:rPr>
          <w:rFonts w:ascii="Arial" w:hAnsi="Arial" w:cs="Arial"/>
          <w:szCs w:val="22"/>
          <w:lang w:val="en-GB"/>
        </w:rPr>
        <w:t>This year</w:t>
      </w:r>
      <w:r w:rsidR="008A59C6" w:rsidRPr="00CB093C">
        <w:rPr>
          <w:rFonts w:ascii="Arial" w:hAnsi="Arial" w:cs="Arial"/>
          <w:szCs w:val="22"/>
          <w:lang w:val="en-GB"/>
        </w:rPr>
        <w:t xml:space="preserve"> </w:t>
      </w:r>
      <w:r w:rsidR="008A59C6" w:rsidRPr="00CB093C">
        <w:rPr>
          <w:rFonts w:ascii="Arial" w:hAnsi="Arial" w:cs="Arial"/>
          <w:szCs w:val="22"/>
        </w:rPr>
        <w:t xml:space="preserve">intertidal </w:t>
      </w:r>
      <w:r w:rsidR="008A59C6" w:rsidRPr="00CB093C">
        <w:rPr>
          <w:rFonts w:ascii="Arial" w:hAnsi="Arial" w:cs="Arial"/>
          <w:szCs w:val="22"/>
          <w:lang w:val="en-GB"/>
        </w:rPr>
        <w:t xml:space="preserve">within-canopy </w:t>
      </w:r>
      <w:r w:rsidR="008A59C6" w:rsidRPr="00CB093C">
        <w:rPr>
          <w:rFonts w:ascii="Arial" w:hAnsi="Arial" w:cs="Arial"/>
          <w:szCs w:val="22"/>
        </w:rPr>
        <w:t xml:space="preserve">temperatures were </w:t>
      </w:r>
      <w:r w:rsidR="0015546E" w:rsidRPr="00CB093C">
        <w:rPr>
          <w:rFonts w:ascii="Arial" w:hAnsi="Arial" w:cs="Arial"/>
          <w:szCs w:val="22"/>
        </w:rPr>
        <w:t xml:space="preserve">similar to the </w:t>
      </w:r>
      <w:r w:rsidR="008A59C6" w:rsidRPr="00CB093C">
        <w:rPr>
          <w:rFonts w:ascii="Arial" w:hAnsi="Arial" w:cs="Arial"/>
          <w:szCs w:val="22"/>
        </w:rPr>
        <w:t>long-term average  (</w:t>
      </w:r>
      <w:r w:rsidR="008A59C6" w:rsidRPr="00CB093C">
        <w:rPr>
          <w:rFonts w:ascii="Arial" w:hAnsi="Arial" w:cs="Arial"/>
          <w:szCs w:val="22"/>
        </w:rPr>
        <w:fldChar w:fldCharType="begin"/>
      </w:r>
      <w:r w:rsidR="008A59C6" w:rsidRPr="00CB093C">
        <w:rPr>
          <w:rFonts w:ascii="Arial" w:hAnsi="Arial" w:cs="Arial"/>
          <w:szCs w:val="22"/>
        </w:rPr>
        <w:instrText xml:space="preserve"> REF _Ref530687825 \h </w:instrText>
      </w:r>
      <w:r w:rsidR="00CB093C" w:rsidRPr="00CB093C">
        <w:rPr>
          <w:rFonts w:ascii="Arial" w:hAnsi="Arial" w:cs="Arial"/>
          <w:szCs w:val="22"/>
        </w:rPr>
        <w:instrText xml:space="preserve"> \* MERGEFORMAT </w:instrText>
      </w:r>
      <w:r w:rsidR="008A59C6" w:rsidRPr="00CB093C">
        <w:rPr>
          <w:rFonts w:ascii="Arial" w:hAnsi="Arial" w:cs="Arial"/>
          <w:szCs w:val="22"/>
        </w:rPr>
      </w:r>
      <w:r w:rsidR="008A59C6"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53</w:t>
      </w:r>
      <w:r w:rsidR="008A59C6" w:rsidRPr="00CB093C">
        <w:rPr>
          <w:rFonts w:ascii="Arial" w:hAnsi="Arial" w:cs="Arial"/>
          <w:szCs w:val="22"/>
        </w:rPr>
        <w:fldChar w:fldCharType="end"/>
      </w:r>
      <w:r w:rsidR="008A59C6" w:rsidRPr="00CB093C">
        <w:rPr>
          <w:rFonts w:ascii="Arial" w:hAnsi="Arial" w:cs="Arial"/>
          <w:szCs w:val="22"/>
        </w:rPr>
        <w:t xml:space="preserve">). Maximum intertidal </w:t>
      </w:r>
      <w:r w:rsidR="008A59C6" w:rsidRPr="00CB093C">
        <w:rPr>
          <w:rFonts w:ascii="Arial" w:hAnsi="Arial" w:cs="Arial"/>
          <w:szCs w:val="22"/>
          <w:lang w:val="en-GB"/>
        </w:rPr>
        <w:t xml:space="preserve">within-canopy </w:t>
      </w:r>
      <w:r w:rsidR="008A59C6" w:rsidRPr="00CB093C">
        <w:rPr>
          <w:rFonts w:ascii="Arial" w:hAnsi="Arial" w:cs="Arial"/>
          <w:szCs w:val="22"/>
        </w:rPr>
        <w:t>temperatures exceeded 35</w:t>
      </w:r>
      <w:r w:rsidR="008A59C6" w:rsidRPr="00CB093C">
        <w:rPr>
          <w:rFonts w:ascii="Arial" w:hAnsi="Arial" w:cs="Arial"/>
          <w:szCs w:val="22"/>
          <w:lang w:val="en-GB"/>
        </w:rPr>
        <w:t>°C</w:t>
      </w:r>
      <w:r w:rsidR="008A59C6" w:rsidRPr="00CB093C">
        <w:rPr>
          <w:rFonts w:ascii="Arial" w:hAnsi="Arial" w:cs="Arial"/>
          <w:szCs w:val="22"/>
        </w:rPr>
        <w:t xml:space="preserve"> for a total of 42 days during 2017-18, with the highest temperature recorded at 38.8</w:t>
      </w:r>
      <w:r w:rsidR="008A59C6" w:rsidRPr="00CB093C">
        <w:rPr>
          <w:rFonts w:ascii="Arial" w:hAnsi="Arial" w:cs="Arial"/>
          <w:szCs w:val="22"/>
          <w:lang w:val="en-GB"/>
        </w:rPr>
        <w:t>°C</w:t>
      </w:r>
      <w:r w:rsidR="008A59C6" w:rsidRPr="00CB093C">
        <w:rPr>
          <w:rFonts w:ascii="Arial" w:hAnsi="Arial" w:cs="Arial"/>
          <w:szCs w:val="22"/>
        </w:rPr>
        <w:t xml:space="preserve"> (BB1, 3pm 27Feb18). </w:t>
      </w:r>
      <w:r w:rsidR="003654C6">
        <w:rPr>
          <w:rFonts w:ascii="Arial" w:hAnsi="Arial" w:cs="Arial"/>
          <w:szCs w:val="22"/>
        </w:rPr>
        <w:t>2017–18</w:t>
      </w:r>
      <w:r w:rsidR="008A59C6" w:rsidRPr="00CB093C">
        <w:rPr>
          <w:rFonts w:ascii="Arial" w:hAnsi="Arial" w:cs="Arial"/>
          <w:szCs w:val="22"/>
        </w:rPr>
        <w:t xml:space="preserve"> was the third consecutive year annual subtidal temperatures were above the long-term average and the third highest average annual temperature (26.8</w:t>
      </w:r>
      <w:r w:rsidR="008A59C6" w:rsidRPr="00CB093C">
        <w:rPr>
          <w:rFonts w:ascii="Arial" w:hAnsi="Arial" w:cs="Arial"/>
          <w:szCs w:val="22"/>
          <w:lang w:val="en-GB"/>
        </w:rPr>
        <w:t>°C</w:t>
      </w:r>
      <w:r w:rsidR="008A59C6" w:rsidRPr="00CB093C">
        <w:rPr>
          <w:rFonts w:ascii="Arial" w:hAnsi="Arial" w:cs="Arial"/>
          <w:szCs w:val="22"/>
        </w:rPr>
        <w:t xml:space="preserve">) since 2007. Maximum subtidal temperature during </w:t>
      </w:r>
      <w:r w:rsidR="003654C6">
        <w:rPr>
          <w:rFonts w:ascii="Arial" w:hAnsi="Arial" w:cs="Arial"/>
          <w:szCs w:val="22"/>
        </w:rPr>
        <w:t>2017–18</w:t>
      </w:r>
      <w:r w:rsidR="008A59C6" w:rsidRPr="00CB093C">
        <w:rPr>
          <w:rFonts w:ascii="Arial" w:hAnsi="Arial" w:cs="Arial"/>
          <w:szCs w:val="22"/>
        </w:rPr>
        <w:t xml:space="preserve"> was 31.8</w:t>
      </w:r>
      <w:r w:rsidR="008A59C6" w:rsidRPr="00CB093C">
        <w:rPr>
          <w:rFonts w:ascii="Arial" w:hAnsi="Arial" w:cs="Arial"/>
          <w:szCs w:val="22"/>
          <w:lang w:val="en-GB"/>
        </w:rPr>
        <w:t>°C</w:t>
      </w:r>
      <w:r w:rsidR="008A59C6" w:rsidRPr="00CB093C">
        <w:rPr>
          <w:rFonts w:ascii="Arial" w:hAnsi="Arial" w:cs="Arial"/>
          <w:szCs w:val="22"/>
        </w:rPr>
        <w:t xml:space="preserve"> (3:30pm 16Feb18). </w:t>
      </w:r>
      <w:r w:rsidR="008A59C6" w:rsidRPr="00CB093C">
        <w:rPr>
          <w:rFonts w:ascii="Arial" w:hAnsi="Arial" w:cs="Arial"/>
          <w:szCs w:val="22"/>
          <w:lang w:eastAsia="en-AU"/>
        </w:rPr>
        <w:t>Daily tide exposure was below the long</w:t>
      </w:r>
      <w:r w:rsidR="008A59C6" w:rsidRPr="00CB093C">
        <w:rPr>
          <w:rFonts w:ascii="Cambria Math" w:hAnsi="Cambria Math" w:cs="Cambria Math"/>
          <w:szCs w:val="22"/>
          <w:lang w:eastAsia="en-AU"/>
        </w:rPr>
        <w:t>‐</w:t>
      </w:r>
      <w:r w:rsidR="008A59C6" w:rsidRPr="00CB093C">
        <w:rPr>
          <w:rFonts w:ascii="Arial" w:hAnsi="Arial" w:cs="Arial"/>
          <w:szCs w:val="22"/>
          <w:lang w:eastAsia="en-AU"/>
        </w:rPr>
        <w:t>term average for the second consecutive year at all sites (</w:t>
      </w:r>
      <w:r w:rsidR="008A59C6" w:rsidRPr="00CB093C">
        <w:rPr>
          <w:rFonts w:ascii="Arial" w:hAnsi="Arial" w:cs="Arial"/>
          <w:szCs w:val="22"/>
        </w:rPr>
        <w:fldChar w:fldCharType="begin"/>
      </w:r>
      <w:r w:rsidR="008A59C6" w:rsidRPr="00CB093C">
        <w:rPr>
          <w:rFonts w:ascii="Arial" w:hAnsi="Arial" w:cs="Arial"/>
          <w:szCs w:val="22"/>
        </w:rPr>
        <w:instrText xml:space="preserve"> REF _Ref530687825 \h </w:instrText>
      </w:r>
      <w:r w:rsidR="00CB093C" w:rsidRPr="00CB093C">
        <w:rPr>
          <w:rFonts w:ascii="Arial" w:hAnsi="Arial" w:cs="Arial"/>
          <w:szCs w:val="22"/>
        </w:rPr>
        <w:instrText xml:space="preserve"> \* MERGEFORMAT </w:instrText>
      </w:r>
      <w:r w:rsidR="008A59C6" w:rsidRPr="00CB093C">
        <w:rPr>
          <w:rFonts w:ascii="Arial" w:hAnsi="Arial" w:cs="Arial"/>
          <w:szCs w:val="22"/>
        </w:rPr>
      </w:r>
      <w:r w:rsidR="008A59C6"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53</w:t>
      </w:r>
      <w:r w:rsidR="008A59C6" w:rsidRPr="00CB093C">
        <w:rPr>
          <w:rFonts w:ascii="Arial" w:hAnsi="Arial" w:cs="Arial"/>
          <w:szCs w:val="22"/>
        </w:rPr>
        <w:fldChar w:fldCharType="end"/>
      </w:r>
      <w:r w:rsidR="008A59C6" w:rsidRPr="00CB093C">
        <w:rPr>
          <w:rFonts w:ascii="Arial" w:hAnsi="Arial" w:cs="Arial"/>
          <w:szCs w:val="22"/>
        </w:rPr>
        <w:t xml:space="preserve">, </w:t>
      </w:r>
      <w:r w:rsidR="008A59C6" w:rsidRPr="00CB093C">
        <w:rPr>
          <w:rFonts w:ascii="Arial" w:hAnsi="Arial" w:cs="Arial"/>
          <w:szCs w:val="22"/>
          <w:lang w:val="en-GB"/>
        </w:rPr>
        <w:fldChar w:fldCharType="begin"/>
      </w:r>
      <w:r w:rsidR="008A59C6" w:rsidRPr="00CB093C">
        <w:rPr>
          <w:rFonts w:ascii="Arial" w:hAnsi="Arial" w:cs="Arial"/>
          <w:szCs w:val="22"/>
          <w:lang w:val="en-GB"/>
        </w:rPr>
        <w:instrText xml:space="preserve"> REF _Ref410287502 \h </w:instrText>
      </w:r>
      <w:r w:rsidR="00CB093C" w:rsidRPr="00CB093C">
        <w:rPr>
          <w:rFonts w:ascii="Arial" w:hAnsi="Arial" w:cs="Arial"/>
          <w:szCs w:val="22"/>
          <w:lang w:val="en-GB"/>
        </w:rPr>
        <w:instrText xml:space="preserve"> \* MERGEFORMAT </w:instrText>
      </w:r>
      <w:r w:rsidR="008A59C6" w:rsidRPr="00CB093C">
        <w:rPr>
          <w:rFonts w:ascii="Arial" w:hAnsi="Arial" w:cs="Arial"/>
          <w:szCs w:val="22"/>
          <w:lang w:val="en-GB"/>
        </w:rPr>
      </w:r>
      <w:r w:rsidR="008A59C6"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101</w:t>
      </w:r>
      <w:r w:rsidR="008A59C6" w:rsidRPr="00CB093C">
        <w:rPr>
          <w:rFonts w:ascii="Arial" w:hAnsi="Arial" w:cs="Arial"/>
          <w:szCs w:val="22"/>
          <w:lang w:val="en-GB"/>
        </w:rPr>
        <w:fldChar w:fldCharType="end"/>
      </w:r>
      <w:r w:rsidR="008A59C6" w:rsidRPr="00CB093C">
        <w:rPr>
          <w:rFonts w:ascii="Arial" w:hAnsi="Arial" w:cs="Arial"/>
          <w:szCs w:val="22"/>
          <w:lang w:val="en-GB"/>
        </w:rPr>
        <w:t xml:space="preserve">, </w:t>
      </w:r>
      <w:r w:rsidR="008A59C6" w:rsidRPr="00CB093C">
        <w:rPr>
          <w:rFonts w:ascii="Arial" w:hAnsi="Arial" w:cs="Arial"/>
          <w:szCs w:val="22"/>
          <w:lang w:val="en-GB"/>
        </w:rPr>
        <w:fldChar w:fldCharType="begin"/>
      </w:r>
      <w:r w:rsidR="008A59C6" w:rsidRPr="00CB093C">
        <w:rPr>
          <w:rFonts w:ascii="Arial" w:hAnsi="Arial" w:cs="Arial"/>
          <w:szCs w:val="22"/>
          <w:lang w:val="en-GB"/>
        </w:rPr>
        <w:instrText xml:space="preserve"> REF _Ref410287782 \h </w:instrText>
      </w:r>
      <w:r w:rsidR="00CB093C" w:rsidRPr="00CB093C">
        <w:rPr>
          <w:rFonts w:ascii="Arial" w:hAnsi="Arial" w:cs="Arial"/>
          <w:szCs w:val="22"/>
          <w:lang w:val="en-GB"/>
        </w:rPr>
        <w:instrText xml:space="preserve"> \* MERGEFORMAT </w:instrText>
      </w:r>
      <w:r w:rsidR="008A59C6" w:rsidRPr="00CB093C">
        <w:rPr>
          <w:rFonts w:ascii="Arial" w:hAnsi="Arial" w:cs="Arial"/>
          <w:szCs w:val="22"/>
          <w:lang w:val="en-GB"/>
        </w:rPr>
      </w:r>
      <w:r w:rsidR="008A59C6"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102</w:t>
      </w:r>
      <w:r w:rsidR="008A59C6" w:rsidRPr="00CB093C">
        <w:rPr>
          <w:rFonts w:ascii="Arial" w:hAnsi="Arial" w:cs="Arial"/>
          <w:szCs w:val="22"/>
          <w:lang w:val="en-GB"/>
        </w:rPr>
        <w:fldChar w:fldCharType="end"/>
      </w:r>
      <w:r w:rsidR="008A59C6" w:rsidRPr="00CB093C">
        <w:rPr>
          <w:rFonts w:ascii="Arial" w:hAnsi="Arial" w:cs="Arial"/>
          <w:szCs w:val="22"/>
          <w:lang w:eastAsia="en-AU"/>
        </w:rPr>
        <w:t>), which may have provided some respite from the elevated temperatures.</w:t>
      </w:r>
    </w:p>
    <w:p w14:paraId="604D9950" w14:textId="24CCC7F6" w:rsidR="008A59C6" w:rsidRPr="00CB093C" w:rsidRDefault="008A59C6" w:rsidP="00C10A9F">
      <w:pPr>
        <w:rPr>
          <w:rFonts w:ascii="Arial" w:hAnsi="Arial" w:cs="Arial"/>
          <w:szCs w:val="22"/>
        </w:rPr>
      </w:pPr>
    </w:p>
    <w:p w14:paraId="2BFF4FC6" w14:textId="44692DC4" w:rsidR="00012298" w:rsidRPr="00CB093C" w:rsidRDefault="00012298" w:rsidP="000C1447">
      <w:pPr>
        <w:rPr>
          <w:rFonts w:ascii="Arial" w:hAnsi="Arial" w:cs="Arial"/>
          <w:color w:val="000000"/>
          <w:szCs w:val="22"/>
        </w:rPr>
      </w:pPr>
      <w:r w:rsidRPr="00CB093C">
        <w:rPr>
          <w:rFonts w:ascii="Arial" w:hAnsi="Arial" w:cs="Arial"/>
          <w:noProof/>
          <w:color w:val="000000"/>
          <w:szCs w:val="22"/>
          <w:lang w:val="en-US"/>
        </w:rPr>
        <w:lastRenderedPageBreak/>
        <w:drawing>
          <wp:inline distT="0" distB="0" distL="0" distR="0" wp14:anchorId="120D7F2A" wp14:editId="427D2172">
            <wp:extent cx="5433176" cy="7089279"/>
            <wp:effectExtent l="0" t="0" r="0" b="0"/>
            <wp:docPr id="562" name="Picture 562" descr="Composite figure showing environmental pressures in the Burdekin NRM region during 2017-2018 including a map of turbid water exposure across the region, the frequency of exposure to wet season water type at each monitoring site, the average environmental conditions over the long-term and in 2017–18, daily light and the 28-day rolling mean of daily light for all intertidal sites, the number of days intertidal temperatures exceeded 35°C, 38°C, 40°C and 43°C, and deviations from 13-year mean weekly temperature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 name="WT N Pressures page-01.png"/>
                    <pic:cNvPicPr/>
                  </pic:nvPicPr>
                  <pic:blipFill>
                    <a:blip r:embed="rId97">
                      <a:extLst>
                        <a:ext uri="{28A0092B-C50C-407E-A947-70E740481C1C}">
                          <a14:useLocalDpi xmlns:a14="http://schemas.microsoft.com/office/drawing/2010/main" val="0"/>
                        </a:ext>
                      </a:extLst>
                    </a:blip>
                    <a:stretch>
                      <a:fillRect/>
                    </a:stretch>
                  </pic:blipFill>
                  <pic:spPr>
                    <a:xfrm>
                      <a:off x="0" y="0"/>
                      <a:ext cx="5433176" cy="7089279"/>
                    </a:xfrm>
                    <a:prstGeom prst="rect">
                      <a:avLst/>
                    </a:prstGeom>
                  </pic:spPr>
                </pic:pic>
              </a:graphicData>
            </a:graphic>
          </wp:inline>
        </w:drawing>
      </w:r>
    </w:p>
    <w:p w14:paraId="561B59C1" w14:textId="3D4485B8" w:rsidR="001B1A95" w:rsidRPr="00CB093C" w:rsidRDefault="00012298" w:rsidP="001B1A95">
      <w:pPr>
        <w:rPr>
          <w:rFonts w:ascii="Arial" w:hAnsi="Arial" w:cs="Arial"/>
          <w:i/>
          <w:iCs/>
          <w:vanish/>
          <w:szCs w:val="22"/>
          <w:lang w:eastAsia="en-AU"/>
          <w:specVanish/>
        </w:rPr>
      </w:pPr>
      <w:bookmarkStart w:id="350" w:name="_Ref530687825"/>
      <w:bookmarkStart w:id="351" w:name="_Toc6402818"/>
      <w:r w:rsidRPr="00CB093C">
        <w:rPr>
          <w:rFonts w:ascii="Arial" w:hAnsi="Arial" w:cs="Arial"/>
          <w:szCs w:val="22"/>
        </w:rPr>
        <w:t xml:space="preserve">Figure </w:t>
      </w:r>
      <w:r w:rsidR="000E4688" w:rsidRPr="00CB093C">
        <w:rPr>
          <w:rFonts w:ascii="Arial" w:hAnsi="Arial" w:cs="Arial"/>
          <w:noProof/>
          <w:szCs w:val="22"/>
        </w:rPr>
        <w:fldChar w:fldCharType="begin"/>
      </w:r>
      <w:r w:rsidR="000E4688" w:rsidRPr="00CB093C">
        <w:rPr>
          <w:rFonts w:ascii="Arial" w:hAnsi="Arial" w:cs="Arial"/>
          <w:noProof/>
          <w:szCs w:val="22"/>
        </w:rPr>
        <w:instrText xml:space="preserve"> SEQ Figure \* ARABIC </w:instrText>
      </w:r>
      <w:r w:rsidR="000E4688" w:rsidRPr="00CB093C">
        <w:rPr>
          <w:rFonts w:ascii="Arial" w:hAnsi="Arial" w:cs="Arial"/>
          <w:noProof/>
          <w:szCs w:val="22"/>
        </w:rPr>
        <w:fldChar w:fldCharType="separate"/>
      </w:r>
      <w:r w:rsidR="005F00D4">
        <w:rPr>
          <w:rFonts w:ascii="Arial" w:hAnsi="Arial" w:cs="Arial"/>
          <w:noProof/>
          <w:szCs w:val="22"/>
        </w:rPr>
        <w:t>53</w:t>
      </w:r>
      <w:r w:rsidR="000E4688" w:rsidRPr="00CB093C">
        <w:rPr>
          <w:rFonts w:ascii="Arial" w:hAnsi="Arial" w:cs="Arial"/>
          <w:noProof/>
          <w:szCs w:val="22"/>
        </w:rPr>
        <w:fldChar w:fldCharType="end"/>
      </w:r>
      <w:bookmarkEnd w:id="350"/>
      <w:r w:rsidRPr="00CB093C">
        <w:rPr>
          <w:rFonts w:ascii="Arial" w:hAnsi="Arial" w:cs="Arial"/>
          <w:szCs w:val="22"/>
        </w:rPr>
        <w:t xml:space="preserve">. </w:t>
      </w:r>
      <w:r w:rsidRPr="00CB093C">
        <w:rPr>
          <w:rFonts w:ascii="Arial" w:hAnsi="Arial" w:cs="Arial"/>
          <w:i/>
          <w:szCs w:val="22"/>
        </w:rPr>
        <w:t>Environmental pressures in the Burdekin region</w:t>
      </w:r>
      <w:bookmarkEnd w:id="351"/>
    </w:p>
    <w:p w14:paraId="3EB8E73F" w14:textId="5EEE81FD" w:rsidR="00012298" w:rsidRPr="00CB093C" w:rsidRDefault="001B1A95" w:rsidP="001B1A95">
      <w:pPr>
        <w:pStyle w:val="Caption"/>
        <w:rPr>
          <w:rFonts w:ascii="Arial" w:hAnsi="Arial" w:cs="Arial"/>
          <w:i/>
          <w:color w:val="000000"/>
          <w:szCs w:val="22"/>
        </w:rPr>
      </w:pPr>
      <w:r w:rsidRPr="00CB093C">
        <w:rPr>
          <w:rFonts w:ascii="Arial" w:hAnsi="Arial" w:cs="Arial"/>
          <w:i/>
          <w:szCs w:val="22"/>
          <w:lang w:eastAsia="en-AU"/>
        </w:rPr>
        <w:t xml:space="preserve"> </w:t>
      </w:r>
      <w:r w:rsidR="00012298" w:rsidRPr="00CB093C">
        <w:rPr>
          <w:rFonts w:ascii="Arial" w:hAnsi="Arial" w:cs="Arial"/>
          <w:i/>
          <w:szCs w:val="22"/>
        </w:rPr>
        <w:t>including</w:t>
      </w:r>
      <w:r w:rsidRPr="00CB093C">
        <w:rPr>
          <w:rFonts w:ascii="Arial" w:hAnsi="Arial" w:cs="Arial"/>
          <w:i/>
          <w:szCs w:val="22"/>
        </w:rPr>
        <w:t>:</w:t>
      </w:r>
      <w:r w:rsidR="00012298" w:rsidRPr="00CB093C">
        <w:rPr>
          <w:rFonts w:ascii="Arial" w:hAnsi="Arial" w:cs="Arial"/>
          <w:i/>
          <w:szCs w:val="22"/>
        </w:rPr>
        <w:t xml:space="preserve"> a.</w:t>
      </w:r>
      <w:r w:rsidR="00012298" w:rsidRPr="00CB093C">
        <w:rPr>
          <w:rFonts w:ascii="Arial" w:hAnsi="Arial" w:cs="Arial"/>
          <w:szCs w:val="22"/>
        </w:rPr>
        <w:t xml:space="preserve"> </w:t>
      </w:r>
      <w:r w:rsidR="00012298" w:rsidRPr="00CB093C">
        <w:rPr>
          <w:rFonts w:ascii="Arial" w:hAnsi="Arial" w:cs="Arial"/>
          <w:i/>
          <w:szCs w:val="22"/>
        </w:rPr>
        <w:t>frequency of exposure to turbid water (colour classes 1</w:t>
      </w:r>
      <w:r w:rsidR="009203FC" w:rsidRPr="00CB093C">
        <w:rPr>
          <w:rFonts w:ascii="Arial" w:hAnsi="Arial" w:cs="Arial"/>
          <w:i/>
          <w:szCs w:val="22"/>
        </w:rPr>
        <w:t>–</w:t>
      </w:r>
      <w:r w:rsidR="00012298" w:rsidRPr="00CB093C">
        <w:rPr>
          <w:rFonts w:ascii="Arial" w:hAnsi="Arial" w:cs="Arial"/>
          <w:i/>
          <w:szCs w:val="22"/>
        </w:rPr>
        <w:t xml:space="preserve">5) (from </w:t>
      </w:r>
      <w:hyperlink w:anchor="_ENREF_65" w:tooltip="Gruber, 2019 #11860" w:history="1">
        <w:r w:rsidR="00513C39" w:rsidRPr="00CB093C">
          <w:rPr>
            <w:rFonts w:ascii="Arial" w:hAnsi="Arial" w:cs="Arial"/>
            <w:i/>
            <w:szCs w:val="22"/>
          </w:rPr>
          <w:fldChar w:fldCharType="begin"/>
        </w:r>
        <w:r w:rsidR="00513C39" w:rsidRPr="00CB093C">
          <w:rPr>
            <w:rFonts w:ascii="Arial" w:hAnsi="Arial" w:cs="Arial"/>
            <w:i/>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i/>
            <w:szCs w:val="22"/>
          </w:rPr>
          <w:fldChar w:fldCharType="separate"/>
        </w:r>
        <w:r w:rsidR="00513C39" w:rsidRPr="00CB093C">
          <w:rPr>
            <w:rFonts w:ascii="Arial" w:hAnsi="Arial" w:cs="Arial"/>
            <w:i/>
            <w:noProof/>
            <w:szCs w:val="22"/>
          </w:rPr>
          <w:t>Gruber et al. 2019</w:t>
        </w:r>
        <w:r w:rsidR="00513C39" w:rsidRPr="00CB093C">
          <w:rPr>
            <w:rFonts w:ascii="Arial" w:hAnsi="Arial" w:cs="Arial"/>
            <w:i/>
            <w:szCs w:val="22"/>
          </w:rPr>
          <w:fldChar w:fldCharType="end"/>
        </w:r>
      </w:hyperlink>
      <w:r w:rsidR="00012298" w:rsidRPr="00CB093C">
        <w:rPr>
          <w:rFonts w:ascii="Arial" w:hAnsi="Arial" w:cs="Arial"/>
          <w:i/>
          <w:szCs w:val="22"/>
        </w:rPr>
        <w:t>)</w:t>
      </w:r>
      <w:r w:rsidRPr="00CB093C">
        <w:rPr>
          <w:rFonts w:ascii="Arial" w:hAnsi="Arial" w:cs="Arial"/>
          <w:i/>
          <w:szCs w:val="22"/>
        </w:rPr>
        <w:t>;</w:t>
      </w:r>
      <w:r w:rsidR="00012298" w:rsidRPr="00CB093C">
        <w:rPr>
          <w:rFonts w:ascii="Arial" w:hAnsi="Arial" w:cs="Arial"/>
          <w:i/>
          <w:szCs w:val="22"/>
        </w:rPr>
        <w:t xml:space="preserve"> b. wet season water type at each </w:t>
      </w:r>
      <w:r w:rsidRPr="00CB093C">
        <w:rPr>
          <w:rFonts w:ascii="Arial" w:hAnsi="Arial" w:cs="Arial"/>
          <w:i/>
          <w:szCs w:val="22"/>
        </w:rPr>
        <w:t>site;</w:t>
      </w:r>
      <w:r w:rsidR="00012298" w:rsidRPr="00CB093C">
        <w:rPr>
          <w:rFonts w:ascii="Arial" w:hAnsi="Arial" w:cs="Arial"/>
          <w:i/>
          <w:szCs w:val="22"/>
        </w:rPr>
        <w:t xml:space="preserve"> c. average conditions over the long-term and in </w:t>
      </w:r>
      <w:r w:rsidR="003654C6">
        <w:rPr>
          <w:rFonts w:ascii="Arial" w:hAnsi="Arial" w:cs="Arial"/>
          <w:i/>
          <w:szCs w:val="22"/>
        </w:rPr>
        <w:t>2017–18</w:t>
      </w:r>
      <w:r w:rsidRPr="00CB093C">
        <w:rPr>
          <w:rFonts w:ascii="Arial" w:hAnsi="Arial" w:cs="Arial"/>
          <w:i/>
          <w:szCs w:val="22"/>
        </w:rPr>
        <w:t>;</w:t>
      </w:r>
      <w:r w:rsidR="00012298" w:rsidRPr="00CB093C">
        <w:rPr>
          <w:rFonts w:ascii="Arial" w:hAnsi="Arial" w:cs="Arial"/>
          <w:i/>
          <w:szCs w:val="22"/>
        </w:rPr>
        <w:t xml:space="preserve"> d. daily light and the </w:t>
      </w:r>
      <w:r w:rsidR="00012298" w:rsidRPr="00CB093C">
        <w:rPr>
          <w:rFonts w:ascii="Arial" w:hAnsi="Arial" w:cs="Arial"/>
          <w:i/>
          <w:szCs w:val="22"/>
        </w:rPr>
        <w:lastRenderedPageBreak/>
        <w:t xml:space="preserve">28-day rolling mean of daily light for all </w:t>
      </w:r>
      <w:r w:rsidR="00F776A8" w:rsidRPr="00CB093C">
        <w:rPr>
          <w:rFonts w:ascii="Arial" w:hAnsi="Arial" w:cs="Arial"/>
          <w:i/>
          <w:szCs w:val="22"/>
        </w:rPr>
        <w:t xml:space="preserve">intertidal </w:t>
      </w:r>
      <w:r w:rsidR="00012298" w:rsidRPr="00CB093C">
        <w:rPr>
          <w:rFonts w:ascii="Arial" w:hAnsi="Arial" w:cs="Arial"/>
          <w:i/>
          <w:szCs w:val="22"/>
        </w:rPr>
        <w:t>sites</w:t>
      </w:r>
      <w:r w:rsidRPr="00CB093C">
        <w:rPr>
          <w:rFonts w:ascii="Arial" w:hAnsi="Arial" w:cs="Arial"/>
          <w:i/>
          <w:szCs w:val="22"/>
        </w:rPr>
        <w:t>;</w:t>
      </w:r>
      <w:r w:rsidR="00012298" w:rsidRPr="00CB093C">
        <w:rPr>
          <w:rFonts w:ascii="Arial" w:hAnsi="Arial" w:cs="Arial"/>
          <w:i/>
          <w:szCs w:val="22"/>
        </w:rPr>
        <w:t xml:space="preserve"> e. number of day</w:t>
      </w:r>
      <w:r w:rsidR="00F776A8" w:rsidRPr="00CB093C">
        <w:rPr>
          <w:rFonts w:ascii="Arial" w:hAnsi="Arial" w:cs="Arial"/>
          <w:i/>
          <w:szCs w:val="22"/>
        </w:rPr>
        <w:t>s intertidal site</w:t>
      </w:r>
      <w:r w:rsidR="00012298" w:rsidRPr="00CB093C">
        <w:rPr>
          <w:rFonts w:ascii="Arial" w:hAnsi="Arial" w:cs="Arial"/>
          <w:i/>
          <w:szCs w:val="22"/>
        </w:rPr>
        <w:t xml:space="preserve"> temperature exceeded 35°C, 38°C, 40°C and 43°C, and</w:t>
      </w:r>
      <w:r w:rsidRPr="00CB093C">
        <w:rPr>
          <w:rFonts w:ascii="Arial" w:hAnsi="Arial" w:cs="Arial"/>
          <w:i/>
          <w:szCs w:val="22"/>
        </w:rPr>
        <w:t>;</w:t>
      </w:r>
      <w:r w:rsidR="00012298" w:rsidRPr="00CB093C">
        <w:rPr>
          <w:rFonts w:ascii="Arial" w:hAnsi="Arial" w:cs="Arial"/>
          <w:i/>
          <w:szCs w:val="22"/>
        </w:rPr>
        <w:t xml:space="preserve"> f. deviations from 13-year </w:t>
      </w:r>
      <w:r w:rsidR="00012298" w:rsidRPr="00CB093C">
        <w:rPr>
          <w:rFonts w:ascii="Arial" w:hAnsi="Arial" w:cs="Arial"/>
          <w:i/>
          <w:color w:val="000000"/>
          <w:szCs w:val="22"/>
        </w:rPr>
        <w:t>mean weekly temperature records.</w:t>
      </w:r>
    </w:p>
    <w:p w14:paraId="42C152DA" w14:textId="531303C5" w:rsidR="00674DD9" w:rsidRPr="00CB093C" w:rsidRDefault="00674DD9" w:rsidP="00674DD9">
      <w:pPr>
        <w:rPr>
          <w:rFonts w:ascii="Arial" w:hAnsi="Arial" w:cs="Arial"/>
          <w:szCs w:val="22"/>
          <w:lang w:val="en-GB"/>
        </w:rPr>
      </w:pPr>
      <w:r w:rsidRPr="00CB093C">
        <w:rPr>
          <w:rFonts w:ascii="Arial" w:hAnsi="Arial" w:cs="Arial"/>
          <w:szCs w:val="22"/>
          <w:lang w:val="en-GB"/>
        </w:rPr>
        <w:t xml:space="preserve">The proportion of mud at Jerona (Barratta Creek) coastal meadows was much higher than Townsville meadows (Bushland Beach and Shelley Beach) and has remained well above the </w:t>
      </w:r>
      <w:r w:rsidR="003158FC" w:rsidRPr="00CB093C">
        <w:rPr>
          <w:rFonts w:ascii="Arial" w:hAnsi="Arial" w:cs="Arial"/>
          <w:szCs w:val="22"/>
          <w:lang w:val="en-GB"/>
        </w:rPr>
        <w:t>Reef</w:t>
      </w:r>
      <w:r w:rsidRPr="00CB093C">
        <w:rPr>
          <w:rFonts w:ascii="Arial" w:hAnsi="Arial" w:cs="Arial"/>
          <w:szCs w:val="22"/>
          <w:lang w:val="en-GB"/>
        </w:rPr>
        <w:t xml:space="preserve"> long-term average (</w:t>
      </w:r>
      <w:r w:rsidR="002024A1" w:rsidRPr="00CB093C">
        <w:rPr>
          <w:rFonts w:ascii="Arial" w:hAnsi="Arial" w:cs="Arial"/>
          <w:color w:val="0000FF"/>
          <w:szCs w:val="22"/>
          <w:lang w:val="en-GB"/>
        </w:rPr>
        <w:fldChar w:fldCharType="begin"/>
      </w:r>
      <w:r w:rsidR="002024A1" w:rsidRPr="00CB093C">
        <w:rPr>
          <w:rFonts w:ascii="Arial" w:hAnsi="Arial" w:cs="Arial"/>
          <w:szCs w:val="22"/>
          <w:lang w:val="en-GB"/>
        </w:rPr>
        <w:instrText xml:space="preserve"> REF _Ref511131469 \h </w:instrText>
      </w:r>
      <w:r w:rsidR="00CB093C" w:rsidRPr="00CB093C">
        <w:rPr>
          <w:rFonts w:ascii="Arial" w:hAnsi="Arial" w:cs="Arial"/>
          <w:color w:val="0000FF"/>
          <w:szCs w:val="22"/>
          <w:lang w:val="en-GB"/>
        </w:rPr>
        <w:instrText xml:space="preserve"> \* MERGEFORMAT </w:instrText>
      </w:r>
      <w:r w:rsidR="002024A1" w:rsidRPr="00CB093C">
        <w:rPr>
          <w:rFonts w:ascii="Arial" w:hAnsi="Arial" w:cs="Arial"/>
          <w:color w:val="0000FF"/>
          <w:szCs w:val="22"/>
          <w:lang w:val="en-GB"/>
        </w:rPr>
      </w:r>
      <w:r w:rsidR="002024A1" w:rsidRPr="00CB093C">
        <w:rPr>
          <w:rFonts w:ascii="Arial" w:hAnsi="Arial" w:cs="Arial"/>
          <w:color w:val="0000FF"/>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118</w:t>
      </w:r>
      <w:r w:rsidR="002024A1" w:rsidRPr="00CB093C">
        <w:rPr>
          <w:rFonts w:ascii="Arial" w:hAnsi="Arial" w:cs="Arial"/>
          <w:color w:val="0000FF"/>
          <w:szCs w:val="22"/>
          <w:lang w:val="en-GB"/>
        </w:rPr>
        <w:fldChar w:fldCharType="end"/>
      </w:r>
      <w:r w:rsidRPr="00CB093C">
        <w:rPr>
          <w:rFonts w:ascii="Arial" w:hAnsi="Arial" w:cs="Arial"/>
          <w:szCs w:val="22"/>
          <w:lang w:val="en-GB"/>
        </w:rPr>
        <w:t xml:space="preserve">). Post 2011, Townsville coastal meadows have </w:t>
      </w:r>
      <w:r w:rsidR="008E654E" w:rsidRPr="00CB093C">
        <w:rPr>
          <w:rFonts w:ascii="Arial" w:hAnsi="Arial" w:cs="Arial"/>
          <w:szCs w:val="22"/>
          <w:lang w:val="en-GB"/>
        </w:rPr>
        <w:t xml:space="preserve">been </w:t>
      </w:r>
      <w:r w:rsidRPr="00CB093C">
        <w:rPr>
          <w:rFonts w:ascii="Arial" w:hAnsi="Arial" w:cs="Arial"/>
          <w:szCs w:val="22"/>
          <w:lang w:val="en-GB"/>
        </w:rPr>
        <w:t xml:space="preserve">dominated by fine sediments, although the proportion of mud increased at Bushland Beach </w:t>
      </w:r>
      <w:r w:rsidR="008E654E" w:rsidRPr="00CB093C">
        <w:rPr>
          <w:rFonts w:ascii="Arial" w:hAnsi="Arial" w:cs="Arial"/>
          <w:szCs w:val="22"/>
          <w:lang w:val="en-GB"/>
        </w:rPr>
        <w:t>this year</w:t>
      </w:r>
      <w:r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_Ref511131469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118</w:t>
      </w:r>
      <w:r w:rsidRPr="00CB093C">
        <w:rPr>
          <w:rFonts w:ascii="Arial" w:hAnsi="Arial" w:cs="Arial"/>
          <w:szCs w:val="22"/>
          <w:lang w:val="en-GB"/>
        </w:rPr>
        <w:fldChar w:fldCharType="end"/>
      </w:r>
      <w:r w:rsidRPr="00CB093C">
        <w:rPr>
          <w:rFonts w:ascii="Arial" w:hAnsi="Arial" w:cs="Arial"/>
          <w:szCs w:val="22"/>
          <w:lang w:val="en-GB"/>
        </w:rPr>
        <w:t>). Conversely, reef habitats which were dominated by coarser sediment prior to 2009</w:t>
      </w:r>
      <w:r w:rsidR="009203FC" w:rsidRPr="00CB093C">
        <w:rPr>
          <w:rFonts w:ascii="Arial" w:hAnsi="Arial" w:cs="Arial"/>
          <w:szCs w:val="22"/>
          <w:lang w:val="en-GB"/>
        </w:rPr>
        <w:t>–</w:t>
      </w:r>
      <w:r w:rsidRPr="00CB093C">
        <w:rPr>
          <w:rFonts w:ascii="Arial" w:hAnsi="Arial" w:cs="Arial"/>
          <w:szCs w:val="22"/>
          <w:lang w:val="en-GB"/>
        </w:rPr>
        <w:t>10, having since gradually increased in composition of fine sand and mud. More fine sediments were present at the Cockle Bay (MI2) than the Picnic Bay (MI1) reef habitat meadows (</w:t>
      </w:r>
      <w:r w:rsidRPr="00CB093C">
        <w:rPr>
          <w:rFonts w:ascii="Arial" w:hAnsi="Arial" w:cs="Arial"/>
          <w:szCs w:val="22"/>
          <w:lang w:val="en-GB"/>
        </w:rPr>
        <w:fldChar w:fldCharType="begin"/>
      </w:r>
      <w:r w:rsidRPr="00CB093C">
        <w:rPr>
          <w:rFonts w:ascii="Arial" w:hAnsi="Arial" w:cs="Arial"/>
          <w:szCs w:val="22"/>
          <w:lang w:val="en-GB"/>
        </w:rPr>
        <w:instrText xml:space="preserve"> REF _Ref511131488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119</w:t>
      </w:r>
      <w:r w:rsidRPr="00CB093C">
        <w:rPr>
          <w:rFonts w:ascii="Arial" w:hAnsi="Arial" w:cs="Arial"/>
          <w:szCs w:val="22"/>
          <w:lang w:val="en-GB"/>
        </w:rPr>
        <w:fldChar w:fldCharType="end"/>
      </w:r>
      <w:r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_Ref511131496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120</w:t>
      </w:r>
      <w:r w:rsidRPr="00CB093C">
        <w:rPr>
          <w:rFonts w:ascii="Arial" w:hAnsi="Arial" w:cs="Arial"/>
          <w:szCs w:val="22"/>
          <w:lang w:val="en-GB"/>
        </w:rPr>
        <w:fldChar w:fldCharType="end"/>
      </w:r>
      <w:r w:rsidRPr="00CB093C">
        <w:rPr>
          <w:rFonts w:ascii="Arial" w:hAnsi="Arial" w:cs="Arial"/>
          <w:szCs w:val="22"/>
          <w:lang w:val="en-GB"/>
        </w:rPr>
        <w:t>).</w:t>
      </w:r>
    </w:p>
    <w:p w14:paraId="6B8E722C" w14:textId="1ACAD2A0" w:rsidR="003737E9" w:rsidRPr="00CB093C" w:rsidRDefault="003737E9" w:rsidP="003737E9">
      <w:pPr>
        <w:rPr>
          <w:rFonts w:ascii="Arial" w:hAnsi="Arial" w:cs="Arial"/>
          <w:szCs w:val="22"/>
          <w:lang w:val="en-GB"/>
        </w:rPr>
      </w:pPr>
    </w:p>
    <w:p w14:paraId="27D4D32C" w14:textId="77777777" w:rsidR="003E679B" w:rsidRPr="00CB093C" w:rsidRDefault="003E679B" w:rsidP="00AD06D4">
      <w:pPr>
        <w:pStyle w:val="Heading3"/>
        <w:numPr>
          <w:ilvl w:val="2"/>
          <w:numId w:val="4"/>
        </w:numPr>
        <w:rPr>
          <w:rFonts w:ascii="Arial" w:hAnsi="Arial" w:cs="Arial"/>
          <w:color w:val="000000"/>
          <w:sz w:val="22"/>
          <w:szCs w:val="22"/>
        </w:rPr>
      </w:pPr>
      <w:bookmarkStart w:id="352" w:name="_Toc533432012"/>
      <w:bookmarkStart w:id="353" w:name="_Toc11394745"/>
      <w:r w:rsidRPr="00CB093C">
        <w:rPr>
          <w:rFonts w:ascii="Arial" w:hAnsi="Arial" w:cs="Arial"/>
          <w:color w:val="000000"/>
          <w:sz w:val="22"/>
          <w:szCs w:val="22"/>
        </w:rPr>
        <w:t>Inshore seagrass and habitat condition</w:t>
      </w:r>
      <w:bookmarkEnd w:id="352"/>
      <w:bookmarkEnd w:id="353"/>
    </w:p>
    <w:p w14:paraId="7E211D57" w14:textId="666550E1" w:rsidR="00B67313" w:rsidRPr="00CB093C" w:rsidRDefault="00B75DBC" w:rsidP="006178EE">
      <w:pPr>
        <w:rPr>
          <w:rFonts w:ascii="Arial" w:hAnsi="Arial" w:cs="Arial"/>
          <w:szCs w:val="22"/>
          <w:lang w:eastAsia="x-none"/>
        </w:rPr>
      </w:pPr>
      <w:bookmarkStart w:id="354" w:name="_Toc431493771"/>
      <w:bookmarkStart w:id="355" w:name="_Toc184101999"/>
      <w:bookmarkEnd w:id="341"/>
      <w:bookmarkEnd w:id="342"/>
      <w:bookmarkEnd w:id="343"/>
      <w:bookmarkEnd w:id="344"/>
      <w:bookmarkEnd w:id="345"/>
      <w:r w:rsidRPr="00CB093C">
        <w:rPr>
          <w:rFonts w:ascii="Arial" w:hAnsi="Arial" w:cs="Arial"/>
          <w:szCs w:val="22"/>
          <w:lang w:eastAsia="x-none"/>
        </w:rPr>
        <w:t xml:space="preserve">Three seagrass habitat types were assessed across the Burdekin region in </w:t>
      </w:r>
      <w:r w:rsidR="003654C6">
        <w:rPr>
          <w:rFonts w:ascii="Arial" w:hAnsi="Arial" w:cs="Arial"/>
          <w:szCs w:val="22"/>
          <w:lang w:eastAsia="x-none"/>
        </w:rPr>
        <w:t>2017–18</w:t>
      </w:r>
      <w:r w:rsidRPr="00CB093C">
        <w:rPr>
          <w:rFonts w:ascii="Arial" w:hAnsi="Arial" w:cs="Arial"/>
          <w:szCs w:val="22"/>
          <w:lang w:eastAsia="x-none"/>
        </w:rPr>
        <w:t>, with data from 8 sites (</w:t>
      </w:r>
      <w:r w:rsidRPr="00CB093C">
        <w:rPr>
          <w:rFonts w:ascii="Arial" w:hAnsi="Arial" w:cs="Arial"/>
          <w:szCs w:val="22"/>
          <w:lang w:eastAsia="x-none"/>
        </w:rPr>
        <w:fldChar w:fldCharType="begin"/>
      </w:r>
      <w:r w:rsidRPr="00CB093C">
        <w:rPr>
          <w:rFonts w:ascii="Arial" w:hAnsi="Arial" w:cs="Arial"/>
          <w:szCs w:val="22"/>
          <w:lang w:eastAsia="x-none"/>
        </w:rPr>
        <w:instrText xml:space="preserve"> REF _Ref473891445 \h </w:instrText>
      </w:r>
      <w:r w:rsidR="00580DDA" w:rsidRPr="00CB093C">
        <w:rPr>
          <w:rFonts w:ascii="Arial" w:hAnsi="Arial" w:cs="Arial"/>
          <w:szCs w:val="22"/>
          <w:lang w:eastAsia="x-none"/>
        </w:rPr>
        <w:instrText xml:space="preserve"> \* MERGEFORMAT </w:instrText>
      </w:r>
      <w:r w:rsidRPr="00CB093C">
        <w:rPr>
          <w:rFonts w:ascii="Arial" w:hAnsi="Arial" w:cs="Arial"/>
          <w:szCs w:val="22"/>
          <w:lang w:eastAsia="x-none"/>
        </w:rPr>
      </w:r>
      <w:r w:rsidRPr="00CB093C">
        <w:rPr>
          <w:rFonts w:ascii="Arial" w:hAnsi="Arial" w:cs="Arial"/>
          <w:szCs w:val="22"/>
          <w:lang w:eastAsia="x-none"/>
        </w:rPr>
        <w:fldChar w:fldCharType="separate"/>
      </w:r>
      <w:r w:rsidR="005F00D4" w:rsidRPr="00CB093C">
        <w:rPr>
          <w:rFonts w:ascii="Arial" w:hAnsi="Arial" w:cs="Arial"/>
          <w:szCs w:val="22"/>
        </w:rPr>
        <w:t xml:space="preserve">Table </w:t>
      </w:r>
      <w:r w:rsidR="005F00D4">
        <w:rPr>
          <w:rFonts w:ascii="Arial" w:hAnsi="Arial" w:cs="Arial"/>
          <w:noProof/>
          <w:szCs w:val="22"/>
        </w:rPr>
        <w:t>13</w:t>
      </w:r>
      <w:r w:rsidRPr="00CB093C">
        <w:rPr>
          <w:rFonts w:ascii="Arial" w:hAnsi="Arial" w:cs="Arial"/>
          <w:szCs w:val="22"/>
          <w:lang w:eastAsia="x-none"/>
        </w:rPr>
        <w:fldChar w:fldCharType="end"/>
      </w:r>
      <w:r w:rsidRPr="00CB093C">
        <w:rPr>
          <w:rFonts w:ascii="Arial" w:hAnsi="Arial" w:cs="Arial"/>
          <w:szCs w:val="22"/>
          <w:lang w:eastAsia="x-none"/>
        </w:rPr>
        <w:t>).</w:t>
      </w:r>
    </w:p>
    <w:p w14:paraId="0C23BAD4" w14:textId="512747E1" w:rsidR="006178EE" w:rsidRPr="00CB093C" w:rsidRDefault="006178EE" w:rsidP="006178EE">
      <w:pPr>
        <w:rPr>
          <w:rFonts w:ascii="Arial" w:hAnsi="Arial" w:cs="Arial"/>
          <w:i/>
          <w:vanish/>
          <w:szCs w:val="22"/>
          <w:specVanish/>
        </w:rPr>
      </w:pPr>
      <w:bookmarkStart w:id="356" w:name="_Ref473891445"/>
      <w:bookmarkStart w:id="357" w:name="_Toc5616041"/>
      <w:r w:rsidRPr="00CB093C">
        <w:rPr>
          <w:rFonts w:ascii="Arial" w:hAnsi="Arial" w:cs="Arial"/>
          <w:szCs w:val="22"/>
        </w:rPr>
        <w:t xml:space="preserve">Table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Table \* ARABIC </w:instrText>
      </w:r>
      <w:r w:rsidR="00C506C7" w:rsidRPr="00CB093C">
        <w:rPr>
          <w:rFonts w:ascii="Arial" w:hAnsi="Arial" w:cs="Arial"/>
          <w:noProof/>
          <w:szCs w:val="22"/>
        </w:rPr>
        <w:fldChar w:fldCharType="separate"/>
      </w:r>
      <w:r w:rsidR="005F00D4">
        <w:rPr>
          <w:rFonts w:ascii="Arial" w:hAnsi="Arial" w:cs="Arial"/>
          <w:noProof/>
          <w:szCs w:val="22"/>
        </w:rPr>
        <w:t>13</w:t>
      </w:r>
      <w:r w:rsidR="00C506C7" w:rsidRPr="00CB093C">
        <w:rPr>
          <w:rFonts w:ascii="Arial" w:hAnsi="Arial" w:cs="Arial"/>
          <w:noProof/>
          <w:szCs w:val="22"/>
        </w:rPr>
        <w:fldChar w:fldCharType="end"/>
      </w:r>
      <w:bookmarkEnd w:id="356"/>
      <w:r w:rsidRPr="00CB093C">
        <w:rPr>
          <w:rFonts w:ascii="Arial" w:hAnsi="Arial" w:cs="Arial"/>
          <w:szCs w:val="22"/>
        </w:rPr>
        <w:t xml:space="preserve">. </w:t>
      </w:r>
      <w:r w:rsidRPr="00CB093C">
        <w:rPr>
          <w:rFonts w:ascii="Arial" w:hAnsi="Arial" w:cs="Arial"/>
          <w:i/>
          <w:szCs w:val="22"/>
        </w:rPr>
        <w:t>List of data sources of seagrass and environmental condition indicators for each seagrass habitat type in the Burdekin NRM region.</w:t>
      </w:r>
      <w:bookmarkEnd w:id="357"/>
    </w:p>
    <w:p w14:paraId="738076BD" w14:textId="1C6BC1A2" w:rsidR="006178EE" w:rsidRPr="00CB093C" w:rsidRDefault="006178EE" w:rsidP="006178EE">
      <w:pPr>
        <w:pStyle w:val="Caption"/>
        <w:rPr>
          <w:rFonts w:ascii="Arial" w:hAnsi="Arial" w:cs="Arial"/>
          <w:i/>
          <w:szCs w:val="22"/>
          <w:lang w:eastAsia="x-none"/>
        </w:rPr>
      </w:pPr>
      <w:r w:rsidRPr="00CB093C">
        <w:rPr>
          <w:rFonts w:ascii="Arial" w:hAnsi="Arial" w:cs="Arial"/>
          <w:i/>
          <w:szCs w:val="22"/>
        </w:rPr>
        <w:t xml:space="preserve"> </w:t>
      </w:r>
      <w:r w:rsidR="00B67313" w:rsidRPr="00CB093C">
        <w:rPr>
          <w:rFonts w:ascii="Arial" w:hAnsi="Arial" w:cs="Arial"/>
          <w:i/>
          <w:szCs w:val="22"/>
        </w:rPr>
        <w:t>*Seagrass-Watch.</w:t>
      </w:r>
      <w:r w:rsidRPr="00CB093C">
        <w:rPr>
          <w:rFonts w:ascii="Arial" w:hAnsi="Arial" w:cs="Arial"/>
          <w:i/>
          <w:szCs w:val="22"/>
        </w:rPr>
        <w:t xml:space="preserve"> For site details see </w:t>
      </w:r>
      <w:r w:rsidRPr="00CB093C">
        <w:rPr>
          <w:rFonts w:ascii="Arial" w:hAnsi="Arial" w:cs="Arial"/>
          <w:i/>
          <w:szCs w:val="22"/>
        </w:rPr>
        <w:fldChar w:fldCharType="begin"/>
      </w:r>
      <w:r w:rsidRPr="00CB093C">
        <w:rPr>
          <w:rFonts w:ascii="Arial" w:hAnsi="Arial" w:cs="Arial"/>
          <w:i/>
          <w:szCs w:val="22"/>
        </w:rPr>
        <w:instrText xml:space="preserve"> REF _Ref236539751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color w:val="000000"/>
          <w:szCs w:val="22"/>
        </w:rPr>
        <w:t xml:space="preserve">Table </w:t>
      </w:r>
      <w:r w:rsidR="005F00D4" w:rsidRPr="005F00D4">
        <w:rPr>
          <w:rFonts w:ascii="Arial" w:hAnsi="Arial" w:cs="Arial"/>
          <w:i/>
          <w:noProof/>
          <w:color w:val="000000"/>
          <w:szCs w:val="22"/>
        </w:rPr>
        <w:t>2</w:t>
      </w:r>
      <w:r w:rsidRPr="00CB093C">
        <w:rPr>
          <w:rFonts w:ascii="Arial" w:hAnsi="Arial" w:cs="Arial"/>
          <w:i/>
          <w:szCs w:val="22"/>
        </w:rPr>
        <w:fldChar w:fldCharType="end"/>
      </w:r>
      <w:r w:rsidRPr="00CB093C">
        <w:rPr>
          <w:rFonts w:ascii="Arial" w:hAnsi="Arial" w:cs="Arial"/>
          <w:i/>
          <w:szCs w:val="22"/>
        </w:rPr>
        <w:t xml:space="preserve"> and </w:t>
      </w:r>
      <w:r w:rsidRPr="00CB093C">
        <w:rPr>
          <w:rFonts w:ascii="Arial" w:hAnsi="Arial" w:cs="Arial"/>
          <w:i/>
          <w:szCs w:val="22"/>
        </w:rPr>
        <w:fldChar w:fldCharType="begin"/>
      </w:r>
      <w:r w:rsidRPr="00CB093C">
        <w:rPr>
          <w:rFonts w:ascii="Arial" w:hAnsi="Arial" w:cs="Arial"/>
          <w:i/>
          <w:szCs w:val="22"/>
        </w:rPr>
        <w:instrText xml:space="preserve"> REF _Ref461186562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color w:val="000000"/>
          <w:szCs w:val="22"/>
        </w:rPr>
        <w:t xml:space="preserve">Table </w:t>
      </w:r>
      <w:r w:rsidR="005F00D4" w:rsidRPr="005F00D4">
        <w:rPr>
          <w:rFonts w:ascii="Arial" w:hAnsi="Arial" w:cs="Arial"/>
          <w:i/>
          <w:noProof/>
          <w:color w:val="000000"/>
          <w:szCs w:val="22"/>
        </w:rPr>
        <w:t>3</w:t>
      </w:r>
      <w:r w:rsidRPr="00CB093C">
        <w:rPr>
          <w:rFonts w:ascii="Arial" w:hAnsi="Arial" w:cs="Arial"/>
          <w:i/>
          <w:szCs w:val="22"/>
        </w:rPr>
        <w:fldChar w:fldCharType="end"/>
      </w:r>
      <w:r w:rsidRPr="00CB093C">
        <w:rPr>
          <w:rFonts w:ascii="Arial" w:hAnsi="Arial" w:cs="Arial"/>
          <w:i/>
          <w:szCs w:val="22"/>
        </w:rPr>
        <w:t>.</w:t>
      </w:r>
      <w:r w:rsidR="006E47B4" w:rsidRPr="00CB093C">
        <w:rPr>
          <w:rFonts w:ascii="Arial" w:hAnsi="Arial" w:cs="Arial"/>
          <w:color w:val="000000"/>
          <w:szCs w:val="22"/>
          <w:vertAlign w:val="superscript"/>
        </w:rPr>
        <w:t xml:space="preserve"> </w:t>
      </w:r>
    </w:p>
    <w:tbl>
      <w:tblPr>
        <w:tblW w:w="96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3"/>
        <w:gridCol w:w="718"/>
        <w:gridCol w:w="3576"/>
        <w:gridCol w:w="475"/>
        <w:gridCol w:w="475"/>
        <w:gridCol w:w="475"/>
        <w:gridCol w:w="475"/>
        <w:gridCol w:w="475"/>
        <w:gridCol w:w="475"/>
        <w:gridCol w:w="475"/>
        <w:gridCol w:w="475"/>
      </w:tblGrid>
      <w:tr w:rsidR="006178EE" w:rsidRPr="00CB093C" w14:paraId="70F1713D" w14:textId="77777777" w:rsidTr="00AE3499">
        <w:trPr>
          <w:cantSplit/>
          <w:trHeight w:val="2345"/>
          <w:jc w:val="center"/>
        </w:trPr>
        <w:tc>
          <w:tcPr>
            <w:tcW w:w="1633" w:type="dxa"/>
            <w:shd w:val="clear" w:color="auto" w:fill="BBE0E3"/>
            <w:vAlign w:val="center"/>
          </w:tcPr>
          <w:p w14:paraId="1298D368" w14:textId="77777777" w:rsidR="006178EE" w:rsidRPr="00CB093C" w:rsidRDefault="006178EE" w:rsidP="00C36ADD">
            <w:pPr>
              <w:spacing w:before="0" w:after="0"/>
              <w:jc w:val="center"/>
              <w:rPr>
                <w:rFonts w:ascii="Arial" w:hAnsi="Arial" w:cs="Arial"/>
                <w:b/>
                <w:bCs/>
                <w:color w:val="000000"/>
                <w:szCs w:val="22"/>
              </w:rPr>
            </w:pPr>
            <w:r w:rsidRPr="00CB093C">
              <w:rPr>
                <w:rFonts w:ascii="Arial" w:hAnsi="Arial" w:cs="Arial"/>
                <w:b/>
                <w:bCs/>
                <w:color w:val="000000"/>
                <w:szCs w:val="22"/>
              </w:rPr>
              <w:t>Habitat</w:t>
            </w:r>
          </w:p>
        </w:tc>
        <w:tc>
          <w:tcPr>
            <w:tcW w:w="4250" w:type="dxa"/>
            <w:gridSpan w:val="2"/>
            <w:shd w:val="clear" w:color="auto" w:fill="BBE0E3"/>
            <w:noWrap/>
            <w:vAlign w:val="center"/>
          </w:tcPr>
          <w:p w14:paraId="0BF308D6" w14:textId="0CE534AD" w:rsidR="006178EE" w:rsidRPr="00CB093C" w:rsidRDefault="006178EE" w:rsidP="003737E9">
            <w:pPr>
              <w:spacing w:before="0" w:after="0"/>
              <w:jc w:val="center"/>
              <w:rPr>
                <w:rFonts w:ascii="Arial" w:hAnsi="Arial" w:cs="Arial"/>
                <w:b/>
                <w:bCs/>
                <w:color w:val="000000"/>
                <w:szCs w:val="22"/>
              </w:rPr>
            </w:pPr>
            <w:r w:rsidRPr="00CB093C">
              <w:rPr>
                <w:rFonts w:ascii="Arial" w:hAnsi="Arial" w:cs="Arial"/>
                <w:b/>
                <w:bCs/>
                <w:color w:val="000000"/>
                <w:szCs w:val="22"/>
              </w:rPr>
              <w:t>Site</w:t>
            </w:r>
            <w:r w:rsidR="003737E9" w:rsidRPr="00CB093C">
              <w:rPr>
                <w:rFonts w:ascii="Arial" w:hAnsi="Arial" w:cs="Arial"/>
                <w:b/>
                <w:bCs/>
                <w:color w:val="000000"/>
                <w:szCs w:val="22"/>
              </w:rPr>
              <w:t xml:space="preserve"> </w:t>
            </w:r>
            <w:r w:rsidRPr="00CB093C">
              <w:rPr>
                <w:rFonts w:ascii="Arial" w:hAnsi="Arial" w:cs="Arial"/>
                <w:b/>
                <w:bCs/>
                <w:color w:val="000000"/>
                <w:szCs w:val="22"/>
              </w:rPr>
              <w:t>code and location</w:t>
            </w:r>
          </w:p>
        </w:tc>
        <w:tc>
          <w:tcPr>
            <w:tcW w:w="473" w:type="dxa"/>
            <w:shd w:val="clear" w:color="auto" w:fill="BBE0E3"/>
            <w:textDirection w:val="btLr"/>
            <w:vAlign w:val="center"/>
          </w:tcPr>
          <w:p w14:paraId="05A6BB3C" w14:textId="1EB00670" w:rsidR="006178EE" w:rsidRPr="00CB093C" w:rsidRDefault="006178EE" w:rsidP="00C36ADD">
            <w:pPr>
              <w:spacing w:before="0" w:after="0"/>
              <w:ind w:left="113" w:right="113"/>
              <w:rPr>
                <w:rFonts w:ascii="Arial" w:hAnsi="Arial" w:cs="Arial"/>
                <w:b/>
                <w:bCs/>
                <w:color w:val="000000"/>
                <w:szCs w:val="22"/>
              </w:rPr>
            </w:pPr>
            <w:r w:rsidRPr="00CB093C">
              <w:rPr>
                <w:rFonts w:ascii="Arial" w:hAnsi="Arial" w:cs="Arial"/>
                <w:b/>
                <w:bCs/>
                <w:color w:val="000000"/>
                <w:szCs w:val="22"/>
              </w:rPr>
              <w:t>Seagrass abundance</w:t>
            </w:r>
          </w:p>
        </w:tc>
        <w:tc>
          <w:tcPr>
            <w:tcW w:w="473" w:type="dxa"/>
            <w:shd w:val="clear" w:color="auto" w:fill="BBE0E3"/>
            <w:textDirection w:val="btLr"/>
            <w:vAlign w:val="center"/>
          </w:tcPr>
          <w:p w14:paraId="686996D4" w14:textId="2CB845BC" w:rsidR="006178EE" w:rsidRPr="00CB093C" w:rsidRDefault="006178EE" w:rsidP="00C36ADD">
            <w:pPr>
              <w:spacing w:before="0" w:after="0"/>
              <w:ind w:left="113" w:right="113"/>
              <w:rPr>
                <w:rFonts w:ascii="Arial" w:hAnsi="Arial" w:cs="Arial"/>
                <w:b/>
                <w:bCs/>
                <w:color w:val="000000"/>
                <w:szCs w:val="22"/>
              </w:rPr>
            </w:pPr>
            <w:r w:rsidRPr="00CB093C">
              <w:rPr>
                <w:rFonts w:ascii="Arial" w:hAnsi="Arial" w:cs="Arial"/>
                <w:b/>
                <w:bCs/>
                <w:color w:val="000000"/>
                <w:szCs w:val="22"/>
              </w:rPr>
              <w:t xml:space="preserve">Seagrass composition </w:t>
            </w:r>
          </w:p>
        </w:tc>
        <w:tc>
          <w:tcPr>
            <w:tcW w:w="473" w:type="dxa"/>
            <w:shd w:val="clear" w:color="auto" w:fill="BBE0E3"/>
            <w:textDirection w:val="btLr"/>
            <w:vAlign w:val="center"/>
          </w:tcPr>
          <w:p w14:paraId="35CC3F66" w14:textId="345803BB" w:rsidR="006178EE" w:rsidRPr="00CB093C" w:rsidRDefault="006178EE" w:rsidP="00C36ADD">
            <w:pPr>
              <w:spacing w:before="0" w:after="0"/>
              <w:ind w:left="113" w:right="113"/>
              <w:rPr>
                <w:rFonts w:ascii="Arial" w:hAnsi="Arial" w:cs="Arial"/>
                <w:b/>
                <w:bCs/>
                <w:color w:val="000000"/>
                <w:szCs w:val="22"/>
              </w:rPr>
            </w:pPr>
            <w:r w:rsidRPr="00CB093C">
              <w:rPr>
                <w:rFonts w:ascii="Arial" w:hAnsi="Arial" w:cs="Arial"/>
                <w:b/>
                <w:bCs/>
                <w:color w:val="000000"/>
                <w:szCs w:val="22"/>
              </w:rPr>
              <w:t>Seagrass distribution</w:t>
            </w:r>
          </w:p>
        </w:tc>
        <w:tc>
          <w:tcPr>
            <w:tcW w:w="473" w:type="dxa"/>
            <w:shd w:val="clear" w:color="auto" w:fill="BBE0E3"/>
            <w:textDirection w:val="btLr"/>
            <w:vAlign w:val="center"/>
          </w:tcPr>
          <w:p w14:paraId="77A8F39C" w14:textId="77777777" w:rsidR="006178EE" w:rsidRPr="00CB093C" w:rsidRDefault="006178EE" w:rsidP="00C36ADD">
            <w:pPr>
              <w:spacing w:before="0" w:after="0"/>
              <w:ind w:left="113" w:right="113"/>
              <w:rPr>
                <w:rFonts w:ascii="Arial" w:hAnsi="Arial" w:cs="Arial"/>
                <w:b/>
                <w:bCs/>
                <w:color w:val="000000"/>
                <w:szCs w:val="22"/>
              </w:rPr>
            </w:pPr>
            <w:r w:rsidRPr="00CB093C">
              <w:rPr>
                <w:rFonts w:ascii="Arial" w:hAnsi="Arial" w:cs="Arial"/>
                <w:b/>
                <w:bCs/>
                <w:color w:val="000000"/>
                <w:szCs w:val="22"/>
              </w:rPr>
              <w:t>Reproductive effort</w:t>
            </w:r>
          </w:p>
        </w:tc>
        <w:tc>
          <w:tcPr>
            <w:tcW w:w="473" w:type="dxa"/>
            <w:shd w:val="clear" w:color="auto" w:fill="BBE0E3"/>
            <w:textDirection w:val="btLr"/>
            <w:vAlign w:val="center"/>
          </w:tcPr>
          <w:p w14:paraId="2796936C" w14:textId="77777777" w:rsidR="006178EE" w:rsidRPr="00CB093C" w:rsidRDefault="006178EE" w:rsidP="00C36ADD">
            <w:pPr>
              <w:spacing w:before="0" w:after="0"/>
              <w:ind w:left="113" w:right="113"/>
              <w:rPr>
                <w:rFonts w:ascii="Arial" w:hAnsi="Arial" w:cs="Arial"/>
                <w:b/>
                <w:bCs/>
                <w:color w:val="000000"/>
                <w:szCs w:val="22"/>
              </w:rPr>
            </w:pPr>
            <w:r w:rsidRPr="00CB093C">
              <w:rPr>
                <w:rFonts w:ascii="Arial" w:hAnsi="Arial" w:cs="Arial"/>
                <w:b/>
                <w:bCs/>
                <w:color w:val="000000"/>
                <w:szCs w:val="22"/>
              </w:rPr>
              <w:t>seed banks</w:t>
            </w:r>
          </w:p>
        </w:tc>
        <w:tc>
          <w:tcPr>
            <w:tcW w:w="473" w:type="dxa"/>
            <w:shd w:val="clear" w:color="auto" w:fill="BBE0E3"/>
            <w:textDirection w:val="btLr"/>
            <w:vAlign w:val="center"/>
          </w:tcPr>
          <w:p w14:paraId="56A25180" w14:textId="77777777" w:rsidR="006178EE" w:rsidRPr="00CB093C" w:rsidRDefault="006178EE" w:rsidP="00C36ADD">
            <w:pPr>
              <w:spacing w:before="0" w:after="0"/>
              <w:ind w:left="113" w:right="113"/>
              <w:rPr>
                <w:rFonts w:ascii="Arial" w:hAnsi="Arial" w:cs="Arial"/>
                <w:b/>
                <w:bCs/>
                <w:color w:val="000000"/>
                <w:szCs w:val="22"/>
              </w:rPr>
            </w:pPr>
            <w:r w:rsidRPr="00CB093C">
              <w:rPr>
                <w:rFonts w:ascii="Arial" w:hAnsi="Arial" w:cs="Arial"/>
                <w:b/>
                <w:bCs/>
                <w:color w:val="000000"/>
                <w:szCs w:val="22"/>
              </w:rPr>
              <w:t>Leaf tissue nutrients</w:t>
            </w:r>
          </w:p>
        </w:tc>
        <w:tc>
          <w:tcPr>
            <w:tcW w:w="473" w:type="dxa"/>
            <w:shd w:val="clear" w:color="auto" w:fill="BBE0E3"/>
            <w:textDirection w:val="btLr"/>
            <w:vAlign w:val="center"/>
          </w:tcPr>
          <w:p w14:paraId="2C1D8F57" w14:textId="77777777" w:rsidR="006178EE" w:rsidRPr="00CB093C" w:rsidRDefault="006178EE" w:rsidP="00C36ADD">
            <w:pPr>
              <w:spacing w:before="0" w:after="0"/>
              <w:ind w:left="113" w:right="113"/>
              <w:rPr>
                <w:rFonts w:ascii="Arial" w:hAnsi="Arial" w:cs="Arial"/>
                <w:b/>
                <w:bCs/>
                <w:color w:val="000000"/>
                <w:szCs w:val="22"/>
              </w:rPr>
            </w:pPr>
            <w:r w:rsidRPr="00CB093C">
              <w:rPr>
                <w:rFonts w:ascii="Arial" w:hAnsi="Arial" w:cs="Arial"/>
                <w:b/>
                <w:bCs/>
                <w:color w:val="000000"/>
                <w:szCs w:val="22"/>
              </w:rPr>
              <w:t>Meadow sediments</w:t>
            </w:r>
          </w:p>
        </w:tc>
        <w:tc>
          <w:tcPr>
            <w:tcW w:w="473" w:type="dxa"/>
            <w:shd w:val="clear" w:color="auto" w:fill="BBE0E3"/>
            <w:textDirection w:val="btLr"/>
            <w:vAlign w:val="center"/>
          </w:tcPr>
          <w:p w14:paraId="0510CF68" w14:textId="77777777" w:rsidR="006178EE" w:rsidRPr="00CB093C" w:rsidRDefault="006178EE" w:rsidP="00C36ADD">
            <w:pPr>
              <w:spacing w:before="0" w:after="0"/>
              <w:ind w:left="113" w:right="113"/>
              <w:rPr>
                <w:rFonts w:ascii="Arial" w:hAnsi="Arial" w:cs="Arial"/>
                <w:b/>
                <w:bCs/>
                <w:color w:val="000000"/>
                <w:szCs w:val="22"/>
              </w:rPr>
            </w:pPr>
            <w:r w:rsidRPr="00CB093C">
              <w:rPr>
                <w:rFonts w:ascii="Arial" w:hAnsi="Arial" w:cs="Arial"/>
                <w:b/>
                <w:bCs/>
                <w:color w:val="000000"/>
                <w:szCs w:val="22"/>
              </w:rPr>
              <w:t>Epiphytes &amp; macroalgae</w:t>
            </w:r>
          </w:p>
        </w:tc>
      </w:tr>
      <w:tr w:rsidR="006178EE" w:rsidRPr="00CB093C" w14:paraId="78877235" w14:textId="77777777" w:rsidTr="00AE3499">
        <w:trPr>
          <w:trHeight w:val="170"/>
          <w:jc w:val="center"/>
        </w:trPr>
        <w:tc>
          <w:tcPr>
            <w:tcW w:w="1633" w:type="dxa"/>
            <w:vMerge w:val="restart"/>
            <w:shd w:val="clear" w:color="auto" w:fill="E7F3F4"/>
            <w:vAlign w:val="center"/>
          </w:tcPr>
          <w:p w14:paraId="799234A8"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coastal intertidal</w:t>
            </w:r>
          </w:p>
        </w:tc>
        <w:tc>
          <w:tcPr>
            <w:tcW w:w="674" w:type="dxa"/>
            <w:shd w:val="clear" w:color="auto" w:fill="E7F3F4"/>
            <w:noWrap/>
            <w:vAlign w:val="center"/>
          </w:tcPr>
          <w:p w14:paraId="78FB08D7"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SB1</w:t>
            </w:r>
          </w:p>
        </w:tc>
        <w:tc>
          <w:tcPr>
            <w:tcW w:w="3576" w:type="dxa"/>
            <w:shd w:val="clear" w:color="auto" w:fill="E7F3F4"/>
            <w:noWrap/>
            <w:vAlign w:val="center"/>
          </w:tcPr>
          <w:p w14:paraId="518F0B07"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Shelley Beach (Townsville)</w:t>
            </w:r>
          </w:p>
        </w:tc>
        <w:tc>
          <w:tcPr>
            <w:tcW w:w="473" w:type="dxa"/>
            <w:shd w:val="clear" w:color="auto" w:fill="E7F3F4"/>
            <w:vAlign w:val="center"/>
          </w:tcPr>
          <w:p w14:paraId="77A6ED2C"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59E5A4D3"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59F10599"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0E709B59"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110453DE"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6E121767"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4718CD9E"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1D950256"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6178EE" w:rsidRPr="00CB093C" w14:paraId="6204E291" w14:textId="77777777" w:rsidTr="00AE3499">
        <w:trPr>
          <w:trHeight w:val="170"/>
          <w:jc w:val="center"/>
        </w:trPr>
        <w:tc>
          <w:tcPr>
            <w:tcW w:w="1633" w:type="dxa"/>
            <w:vMerge/>
            <w:shd w:val="clear" w:color="auto" w:fill="E7F3F4"/>
            <w:vAlign w:val="center"/>
          </w:tcPr>
          <w:p w14:paraId="7F355AB4" w14:textId="77777777" w:rsidR="006178EE" w:rsidRPr="00CB093C" w:rsidRDefault="006178EE" w:rsidP="00C36ADD">
            <w:pPr>
              <w:spacing w:before="0" w:after="0"/>
              <w:jc w:val="center"/>
              <w:rPr>
                <w:rFonts w:ascii="Arial" w:hAnsi="Arial" w:cs="Arial"/>
                <w:color w:val="000000"/>
                <w:szCs w:val="22"/>
              </w:rPr>
            </w:pPr>
          </w:p>
        </w:tc>
        <w:tc>
          <w:tcPr>
            <w:tcW w:w="674" w:type="dxa"/>
            <w:shd w:val="clear" w:color="auto" w:fill="E7F3F4"/>
            <w:noWrap/>
            <w:vAlign w:val="center"/>
          </w:tcPr>
          <w:p w14:paraId="3CE5AA8B" w14:textId="43CBD7C3"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SB2</w:t>
            </w:r>
            <w:r w:rsidR="00B67313" w:rsidRPr="00CB093C">
              <w:rPr>
                <w:rFonts w:ascii="Arial" w:hAnsi="Arial" w:cs="Arial"/>
                <w:color w:val="000000"/>
                <w:szCs w:val="22"/>
              </w:rPr>
              <w:t>*</w:t>
            </w:r>
          </w:p>
        </w:tc>
        <w:tc>
          <w:tcPr>
            <w:tcW w:w="3576" w:type="dxa"/>
            <w:shd w:val="clear" w:color="auto" w:fill="E7F3F4"/>
            <w:noWrap/>
            <w:vAlign w:val="center"/>
          </w:tcPr>
          <w:p w14:paraId="51CC79C6"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Shelley Beach (Townsville)</w:t>
            </w:r>
          </w:p>
        </w:tc>
        <w:tc>
          <w:tcPr>
            <w:tcW w:w="473" w:type="dxa"/>
            <w:shd w:val="clear" w:color="auto" w:fill="E7F3F4"/>
          </w:tcPr>
          <w:p w14:paraId="2C68949F"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431A5C9F"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656016D4" w14:textId="77777777" w:rsidR="006178EE" w:rsidRPr="00CB093C" w:rsidRDefault="006178EE" w:rsidP="00C36ADD">
            <w:pPr>
              <w:spacing w:before="0" w:after="0"/>
              <w:jc w:val="center"/>
              <w:rPr>
                <w:rFonts w:ascii="Arial" w:hAnsi="Arial" w:cs="Arial"/>
                <w:color w:val="000000"/>
                <w:szCs w:val="22"/>
              </w:rPr>
            </w:pPr>
          </w:p>
        </w:tc>
        <w:tc>
          <w:tcPr>
            <w:tcW w:w="473" w:type="dxa"/>
            <w:shd w:val="clear" w:color="auto" w:fill="E7F3F4"/>
          </w:tcPr>
          <w:p w14:paraId="32589F67" w14:textId="77777777" w:rsidR="006178EE" w:rsidRPr="00CB093C" w:rsidRDefault="006178EE" w:rsidP="00C36ADD">
            <w:pPr>
              <w:spacing w:before="0" w:after="0"/>
              <w:jc w:val="center"/>
              <w:rPr>
                <w:rFonts w:ascii="Arial" w:hAnsi="Arial" w:cs="Arial"/>
                <w:color w:val="000000"/>
                <w:szCs w:val="22"/>
              </w:rPr>
            </w:pPr>
          </w:p>
        </w:tc>
        <w:tc>
          <w:tcPr>
            <w:tcW w:w="473" w:type="dxa"/>
            <w:shd w:val="clear" w:color="auto" w:fill="E7F3F4"/>
          </w:tcPr>
          <w:p w14:paraId="0CE80AD6"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3CF4741B" w14:textId="77777777" w:rsidR="006178EE" w:rsidRPr="00CB093C" w:rsidRDefault="006178EE" w:rsidP="00C36ADD">
            <w:pPr>
              <w:spacing w:before="0" w:after="0"/>
              <w:jc w:val="center"/>
              <w:rPr>
                <w:rFonts w:ascii="Arial" w:hAnsi="Arial" w:cs="Arial"/>
                <w:color w:val="000000"/>
                <w:szCs w:val="22"/>
              </w:rPr>
            </w:pPr>
          </w:p>
        </w:tc>
        <w:tc>
          <w:tcPr>
            <w:tcW w:w="473" w:type="dxa"/>
            <w:shd w:val="clear" w:color="auto" w:fill="E7F3F4"/>
          </w:tcPr>
          <w:p w14:paraId="09170AC6"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54051509"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6178EE" w:rsidRPr="00CB093C" w14:paraId="126941D0" w14:textId="77777777" w:rsidTr="00AE3499">
        <w:trPr>
          <w:trHeight w:val="170"/>
          <w:jc w:val="center"/>
        </w:trPr>
        <w:tc>
          <w:tcPr>
            <w:tcW w:w="1633" w:type="dxa"/>
            <w:vMerge/>
            <w:shd w:val="clear" w:color="auto" w:fill="E7F3F4"/>
            <w:vAlign w:val="center"/>
          </w:tcPr>
          <w:p w14:paraId="7074CEE2" w14:textId="77777777" w:rsidR="006178EE" w:rsidRPr="00CB093C" w:rsidRDefault="006178EE" w:rsidP="00C36ADD">
            <w:pPr>
              <w:spacing w:before="0" w:after="0"/>
              <w:jc w:val="center"/>
              <w:rPr>
                <w:rFonts w:ascii="Arial" w:hAnsi="Arial" w:cs="Arial"/>
                <w:color w:val="000000"/>
                <w:szCs w:val="22"/>
              </w:rPr>
            </w:pPr>
          </w:p>
        </w:tc>
        <w:tc>
          <w:tcPr>
            <w:tcW w:w="674" w:type="dxa"/>
            <w:shd w:val="clear" w:color="auto" w:fill="E7F3F4"/>
            <w:noWrap/>
            <w:vAlign w:val="center"/>
          </w:tcPr>
          <w:p w14:paraId="4C3197C1"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BB1</w:t>
            </w:r>
          </w:p>
        </w:tc>
        <w:tc>
          <w:tcPr>
            <w:tcW w:w="3576" w:type="dxa"/>
            <w:shd w:val="clear" w:color="auto" w:fill="E7F3F4"/>
            <w:noWrap/>
            <w:vAlign w:val="center"/>
          </w:tcPr>
          <w:p w14:paraId="2597B76F"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Bushland Beach (Townsville)</w:t>
            </w:r>
          </w:p>
        </w:tc>
        <w:tc>
          <w:tcPr>
            <w:tcW w:w="473" w:type="dxa"/>
            <w:shd w:val="clear" w:color="auto" w:fill="E7F3F4"/>
          </w:tcPr>
          <w:p w14:paraId="4864DB84"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604627A6"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7E6BFD31"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0FDD449A"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369D8EE7"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55800E48"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2CB0BC3F"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1332796F"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6178EE" w:rsidRPr="00CB093C" w14:paraId="3282D4B0" w14:textId="77777777" w:rsidTr="00AE3499">
        <w:trPr>
          <w:trHeight w:val="170"/>
          <w:jc w:val="center"/>
        </w:trPr>
        <w:tc>
          <w:tcPr>
            <w:tcW w:w="1633" w:type="dxa"/>
            <w:vMerge/>
            <w:shd w:val="clear" w:color="auto" w:fill="E7F3F4"/>
            <w:vAlign w:val="center"/>
          </w:tcPr>
          <w:p w14:paraId="6B0E7BA9" w14:textId="77777777" w:rsidR="006178EE" w:rsidRPr="00CB093C" w:rsidRDefault="006178EE" w:rsidP="00C36ADD">
            <w:pPr>
              <w:spacing w:before="0" w:after="0"/>
              <w:jc w:val="center"/>
              <w:rPr>
                <w:rFonts w:ascii="Arial" w:hAnsi="Arial" w:cs="Arial"/>
                <w:color w:val="000000"/>
                <w:szCs w:val="22"/>
              </w:rPr>
            </w:pPr>
          </w:p>
        </w:tc>
        <w:tc>
          <w:tcPr>
            <w:tcW w:w="674" w:type="dxa"/>
            <w:shd w:val="clear" w:color="auto" w:fill="E7F3F4"/>
            <w:noWrap/>
            <w:vAlign w:val="center"/>
          </w:tcPr>
          <w:p w14:paraId="25AAFDF4"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JR1</w:t>
            </w:r>
          </w:p>
        </w:tc>
        <w:tc>
          <w:tcPr>
            <w:tcW w:w="3576" w:type="dxa"/>
            <w:shd w:val="clear" w:color="auto" w:fill="E7F3F4"/>
            <w:noWrap/>
            <w:vAlign w:val="center"/>
          </w:tcPr>
          <w:p w14:paraId="2BDD4159"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Jerona (Barratta CK, Bowling Green Bay)</w:t>
            </w:r>
          </w:p>
        </w:tc>
        <w:tc>
          <w:tcPr>
            <w:tcW w:w="473" w:type="dxa"/>
            <w:shd w:val="clear" w:color="auto" w:fill="E7F3F4"/>
          </w:tcPr>
          <w:p w14:paraId="6220C6A7"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1E71CDE9"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0EF523F0"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6D705BD1"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0A7F5285"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518D79E1"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3B89841B"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259DD1B5"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6178EE" w:rsidRPr="00CB093C" w14:paraId="0A2387DE" w14:textId="77777777" w:rsidTr="00AE3499">
        <w:trPr>
          <w:trHeight w:val="170"/>
          <w:jc w:val="center"/>
        </w:trPr>
        <w:tc>
          <w:tcPr>
            <w:tcW w:w="1633" w:type="dxa"/>
            <w:vMerge/>
            <w:shd w:val="clear" w:color="auto" w:fill="E7F3F4"/>
            <w:vAlign w:val="center"/>
          </w:tcPr>
          <w:p w14:paraId="602625CC" w14:textId="77777777" w:rsidR="006178EE" w:rsidRPr="00CB093C" w:rsidRDefault="006178EE" w:rsidP="00C36ADD">
            <w:pPr>
              <w:spacing w:before="0" w:after="0"/>
              <w:jc w:val="center"/>
              <w:rPr>
                <w:rFonts w:ascii="Arial" w:hAnsi="Arial" w:cs="Arial"/>
                <w:color w:val="000000"/>
                <w:szCs w:val="22"/>
              </w:rPr>
            </w:pPr>
          </w:p>
        </w:tc>
        <w:tc>
          <w:tcPr>
            <w:tcW w:w="674" w:type="dxa"/>
            <w:shd w:val="clear" w:color="auto" w:fill="E7F3F4"/>
            <w:noWrap/>
            <w:vAlign w:val="center"/>
          </w:tcPr>
          <w:p w14:paraId="3284F65A"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JR2</w:t>
            </w:r>
          </w:p>
        </w:tc>
        <w:tc>
          <w:tcPr>
            <w:tcW w:w="3576" w:type="dxa"/>
            <w:shd w:val="clear" w:color="auto" w:fill="E7F3F4"/>
            <w:noWrap/>
            <w:vAlign w:val="center"/>
          </w:tcPr>
          <w:p w14:paraId="31EB9C1C"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Jerona (Barratta CK, Bowling Green Bay)</w:t>
            </w:r>
          </w:p>
        </w:tc>
        <w:tc>
          <w:tcPr>
            <w:tcW w:w="473" w:type="dxa"/>
            <w:shd w:val="clear" w:color="auto" w:fill="E7F3F4"/>
          </w:tcPr>
          <w:p w14:paraId="36D0A79A"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7DBA9915"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7A8FA82C"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74338F66"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79114026"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25D6FB00"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4367F8F4"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06C68D33"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6178EE" w:rsidRPr="00CB093C" w14:paraId="57153B60" w14:textId="77777777" w:rsidTr="00AE3499">
        <w:trPr>
          <w:trHeight w:val="170"/>
          <w:jc w:val="center"/>
        </w:trPr>
        <w:tc>
          <w:tcPr>
            <w:tcW w:w="1633" w:type="dxa"/>
            <w:vMerge w:val="restart"/>
            <w:shd w:val="clear" w:color="auto" w:fill="F3F9FA"/>
            <w:vAlign w:val="center"/>
          </w:tcPr>
          <w:p w14:paraId="101FF4D1"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reef intertidal</w:t>
            </w:r>
          </w:p>
        </w:tc>
        <w:tc>
          <w:tcPr>
            <w:tcW w:w="674" w:type="dxa"/>
            <w:shd w:val="clear" w:color="auto" w:fill="F3F9FA"/>
            <w:noWrap/>
            <w:vAlign w:val="center"/>
          </w:tcPr>
          <w:p w14:paraId="34FFAD00"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MI1</w:t>
            </w:r>
          </w:p>
        </w:tc>
        <w:tc>
          <w:tcPr>
            <w:tcW w:w="3576" w:type="dxa"/>
            <w:shd w:val="clear" w:color="auto" w:fill="F3F9FA"/>
            <w:noWrap/>
            <w:vAlign w:val="center"/>
          </w:tcPr>
          <w:p w14:paraId="4F9C9FE2"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Picnic Bay (Magnetic Island)</w:t>
            </w:r>
          </w:p>
        </w:tc>
        <w:tc>
          <w:tcPr>
            <w:tcW w:w="473" w:type="dxa"/>
            <w:shd w:val="clear" w:color="auto" w:fill="F3F9FA"/>
          </w:tcPr>
          <w:p w14:paraId="46AE747F"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2DB80C59"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08BE6E81"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0CA1F8DF"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3CD54AB8"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5DA0482A"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68FD4C7F"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586C8ACA"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6178EE" w:rsidRPr="00CB093C" w14:paraId="14BD0B94" w14:textId="77777777" w:rsidTr="00AE3499">
        <w:trPr>
          <w:trHeight w:val="170"/>
          <w:jc w:val="center"/>
        </w:trPr>
        <w:tc>
          <w:tcPr>
            <w:tcW w:w="1633" w:type="dxa"/>
            <w:vMerge/>
            <w:shd w:val="clear" w:color="auto" w:fill="F3F9FA"/>
            <w:vAlign w:val="center"/>
          </w:tcPr>
          <w:p w14:paraId="6493C377" w14:textId="77777777" w:rsidR="006178EE" w:rsidRPr="00CB093C" w:rsidRDefault="006178EE" w:rsidP="00C36ADD">
            <w:pPr>
              <w:spacing w:before="0" w:after="0"/>
              <w:jc w:val="center"/>
              <w:rPr>
                <w:rFonts w:ascii="Arial" w:hAnsi="Arial" w:cs="Arial"/>
                <w:color w:val="000000"/>
                <w:szCs w:val="22"/>
              </w:rPr>
            </w:pPr>
          </w:p>
        </w:tc>
        <w:tc>
          <w:tcPr>
            <w:tcW w:w="674" w:type="dxa"/>
            <w:shd w:val="clear" w:color="auto" w:fill="F3F9FA"/>
            <w:noWrap/>
            <w:vAlign w:val="center"/>
          </w:tcPr>
          <w:p w14:paraId="13BE9429"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MI2</w:t>
            </w:r>
          </w:p>
        </w:tc>
        <w:tc>
          <w:tcPr>
            <w:tcW w:w="3576" w:type="dxa"/>
            <w:shd w:val="clear" w:color="auto" w:fill="F3F9FA"/>
            <w:noWrap/>
            <w:vAlign w:val="center"/>
          </w:tcPr>
          <w:p w14:paraId="114699E7"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Cockle Bay (Magnetic Island)</w:t>
            </w:r>
          </w:p>
        </w:tc>
        <w:tc>
          <w:tcPr>
            <w:tcW w:w="473" w:type="dxa"/>
            <w:shd w:val="clear" w:color="auto" w:fill="F3F9FA"/>
          </w:tcPr>
          <w:p w14:paraId="5C8ADE73"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5684D012"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402F2AC4"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6C886E14"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48F3DD0B"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4E73B880"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4879E79B"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tcPr>
          <w:p w14:paraId="07B70EBD"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6178EE" w:rsidRPr="00CB093C" w14:paraId="403628AB" w14:textId="77777777" w:rsidTr="00AE3499">
        <w:trPr>
          <w:trHeight w:val="170"/>
          <w:jc w:val="center"/>
        </w:trPr>
        <w:tc>
          <w:tcPr>
            <w:tcW w:w="1633" w:type="dxa"/>
            <w:shd w:val="clear" w:color="auto" w:fill="E7F3F4"/>
            <w:vAlign w:val="center"/>
          </w:tcPr>
          <w:p w14:paraId="3371F8F8"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reef subtidal</w:t>
            </w:r>
          </w:p>
        </w:tc>
        <w:tc>
          <w:tcPr>
            <w:tcW w:w="674" w:type="dxa"/>
            <w:shd w:val="clear" w:color="auto" w:fill="E7F3F4"/>
            <w:noWrap/>
            <w:vAlign w:val="center"/>
          </w:tcPr>
          <w:p w14:paraId="36691185"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MI3</w:t>
            </w:r>
          </w:p>
        </w:tc>
        <w:tc>
          <w:tcPr>
            <w:tcW w:w="3576" w:type="dxa"/>
            <w:shd w:val="clear" w:color="auto" w:fill="E7F3F4"/>
            <w:noWrap/>
            <w:vAlign w:val="center"/>
          </w:tcPr>
          <w:p w14:paraId="77D1E378"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t>Picnic Bay (Magnetic Island)</w:t>
            </w:r>
          </w:p>
        </w:tc>
        <w:tc>
          <w:tcPr>
            <w:tcW w:w="473" w:type="dxa"/>
            <w:shd w:val="clear" w:color="auto" w:fill="E7F3F4"/>
          </w:tcPr>
          <w:p w14:paraId="4A106FB9"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739AF33B"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1A721546"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25A6D534"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0C4DFD44"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26F9D739"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59C25E0D"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tcPr>
          <w:p w14:paraId="109F0958" w14:textId="77777777" w:rsidR="006178EE" w:rsidRPr="00CB093C" w:rsidRDefault="006178EE"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bookmarkEnd w:id="354"/>
    </w:tbl>
    <w:p w14:paraId="18B799C5" w14:textId="0E4922B8" w:rsidR="00AE3499" w:rsidRPr="00CB093C" w:rsidRDefault="00AE3499" w:rsidP="00AE3499">
      <w:pPr>
        <w:rPr>
          <w:rFonts w:ascii="Arial" w:hAnsi="Arial" w:cs="Arial"/>
          <w:szCs w:val="22"/>
        </w:rPr>
      </w:pPr>
    </w:p>
    <w:p w14:paraId="0461694B" w14:textId="77777777" w:rsidR="003E679B" w:rsidRPr="00CB093C" w:rsidRDefault="003E679B" w:rsidP="000F3AC4">
      <w:pPr>
        <w:pStyle w:val="Heading3"/>
        <w:numPr>
          <w:ilvl w:val="3"/>
          <w:numId w:val="4"/>
        </w:numPr>
        <w:rPr>
          <w:rFonts w:ascii="Arial" w:hAnsi="Arial" w:cs="Arial"/>
          <w:b w:val="0"/>
          <w:i/>
          <w:color w:val="000000"/>
          <w:sz w:val="22"/>
          <w:szCs w:val="22"/>
        </w:rPr>
      </w:pPr>
      <w:bookmarkStart w:id="358" w:name="_Toc533432013"/>
      <w:bookmarkStart w:id="359" w:name="_Toc11394746"/>
      <w:r w:rsidRPr="00CB093C">
        <w:rPr>
          <w:rFonts w:ascii="Arial" w:hAnsi="Arial" w:cs="Arial"/>
          <w:b w:val="0"/>
          <w:i/>
          <w:color w:val="000000"/>
          <w:sz w:val="22"/>
          <w:szCs w:val="22"/>
        </w:rPr>
        <w:lastRenderedPageBreak/>
        <w:t>Seagrass index and indicator scores</w:t>
      </w:r>
      <w:bookmarkEnd w:id="358"/>
      <w:bookmarkEnd w:id="359"/>
    </w:p>
    <w:p w14:paraId="6D68E635" w14:textId="4BCCBBC6" w:rsidR="002F149D" w:rsidRPr="00CB093C" w:rsidRDefault="003E679B" w:rsidP="002F149D">
      <w:pPr>
        <w:rPr>
          <w:rFonts w:ascii="Arial" w:hAnsi="Arial" w:cs="Arial"/>
          <w:szCs w:val="22"/>
          <w:lang w:val="en-GB"/>
        </w:rPr>
      </w:pPr>
      <w:r w:rsidRPr="00CB093C">
        <w:rPr>
          <w:rFonts w:ascii="Arial" w:hAnsi="Arial" w:cs="Arial"/>
          <w:szCs w:val="22"/>
          <w:lang w:val="en-GB"/>
        </w:rPr>
        <w:t>In the 201</w:t>
      </w:r>
      <w:r w:rsidR="00D132E9" w:rsidRPr="00CB093C">
        <w:rPr>
          <w:rFonts w:ascii="Arial" w:hAnsi="Arial" w:cs="Arial"/>
          <w:szCs w:val="22"/>
          <w:lang w:val="en-GB"/>
        </w:rPr>
        <w:t>7</w:t>
      </w:r>
      <w:r w:rsidRPr="00CB093C">
        <w:rPr>
          <w:rFonts w:ascii="Arial" w:hAnsi="Arial" w:cs="Arial"/>
          <w:szCs w:val="22"/>
          <w:lang w:val="en-GB"/>
        </w:rPr>
        <w:t>-1</w:t>
      </w:r>
      <w:r w:rsidR="00D132E9" w:rsidRPr="00CB093C">
        <w:rPr>
          <w:rFonts w:ascii="Arial" w:hAnsi="Arial" w:cs="Arial"/>
          <w:szCs w:val="22"/>
          <w:lang w:val="en-GB"/>
        </w:rPr>
        <w:t>8</w:t>
      </w:r>
      <w:r w:rsidRPr="00CB093C">
        <w:rPr>
          <w:rFonts w:ascii="Arial" w:hAnsi="Arial" w:cs="Arial"/>
          <w:szCs w:val="22"/>
          <w:lang w:val="en-GB"/>
        </w:rPr>
        <w:t xml:space="preserve"> monitoring period, the seagrass </w:t>
      </w:r>
      <w:r w:rsidR="00D132E9" w:rsidRPr="00CB093C">
        <w:rPr>
          <w:rFonts w:ascii="Arial" w:hAnsi="Arial" w:cs="Arial"/>
          <w:szCs w:val="22"/>
          <w:lang w:val="en-GB"/>
        </w:rPr>
        <w:t xml:space="preserve">condition </w:t>
      </w:r>
      <w:r w:rsidRPr="00CB093C">
        <w:rPr>
          <w:rFonts w:ascii="Arial" w:hAnsi="Arial" w:cs="Arial"/>
          <w:szCs w:val="22"/>
          <w:lang w:val="en-GB"/>
        </w:rPr>
        <w:t xml:space="preserve">index for the Burdekin region </w:t>
      </w:r>
      <w:r w:rsidR="00D132E9" w:rsidRPr="00CB093C">
        <w:rPr>
          <w:rFonts w:ascii="Arial" w:hAnsi="Arial" w:cs="Arial"/>
          <w:szCs w:val="22"/>
          <w:lang w:val="en-GB"/>
        </w:rPr>
        <w:t>declined</w:t>
      </w:r>
      <w:r w:rsidRPr="00CB093C">
        <w:rPr>
          <w:rFonts w:ascii="Arial" w:hAnsi="Arial" w:cs="Arial"/>
          <w:szCs w:val="22"/>
          <w:lang w:val="en-GB"/>
        </w:rPr>
        <w:t xml:space="preserve"> </w:t>
      </w:r>
      <w:r w:rsidR="00AF170E" w:rsidRPr="00CB093C">
        <w:rPr>
          <w:rFonts w:ascii="Arial" w:hAnsi="Arial" w:cs="Arial"/>
          <w:szCs w:val="22"/>
          <w:lang w:val="en-GB"/>
        </w:rPr>
        <w:t xml:space="preserve">slightly </w:t>
      </w:r>
      <w:r w:rsidRPr="00CB093C">
        <w:rPr>
          <w:rFonts w:ascii="Arial" w:hAnsi="Arial" w:cs="Arial"/>
          <w:szCs w:val="22"/>
          <w:lang w:val="en-GB"/>
        </w:rPr>
        <w:t xml:space="preserve">but remained </w:t>
      </w:r>
      <w:r w:rsidRPr="00CB093C">
        <w:rPr>
          <w:rFonts w:ascii="Arial" w:hAnsi="Arial" w:cs="Arial"/>
          <w:b/>
          <w:szCs w:val="22"/>
          <w:lang w:val="en-GB"/>
        </w:rPr>
        <w:t>moderate</w:t>
      </w:r>
      <w:r w:rsidR="00F24EAA" w:rsidRPr="00CB093C">
        <w:rPr>
          <w:rFonts w:ascii="Arial" w:hAnsi="Arial" w:cs="Arial"/>
          <w:szCs w:val="22"/>
          <w:lang w:val="en-GB"/>
        </w:rPr>
        <w:t xml:space="preserve"> (</w:t>
      </w:r>
      <w:r w:rsidR="002024A1" w:rsidRPr="00CB093C">
        <w:rPr>
          <w:rFonts w:ascii="Arial" w:hAnsi="Arial" w:cs="Arial"/>
          <w:color w:val="0000FF"/>
          <w:szCs w:val="22"/>
          <w:lang w:val="en-GB"/>
        </w:rPr>
        <w:fldChar w:fldCharType="begin"/>
      </w:r>
      <w:r w:rsidR="002024A1" w:rsidRPr="00CB093C">
        <w:rPr>
          <w:rFonts w:ascii="Arial" w:hAnsi="Arial" w:cs="Arial"/>
          <w:szCs w:val="22"/>
          <w:lang w:val="en-GB"/>
        </w:rPr>
        <w:instrText xml:space="preserve"> REF _Ref179446038 \h </w:instrText>
      </w:r>
      <w:r w:rsidR="00CB093C" w:rsidRPr="00CB093C">
        <w:rPr>
          <w:rFonts w:ascii="Arial" w:hAnsi="Arial" w:cs="Arial"/>
          <w:color w:val="0000FF"/>
          <w:szCs w:val="22"/>
          <w:lang w:val="en-GB"/>
        </w:rPr>
        <w:instrText xml:space="preserve"> \* MERGEFORMAT </w:instrText>
      </w:r>
      <w:r w:rsidR="002024A1" w:rsidRPr="00CB093C">
        <w:rPr>
          <w:rFonts w:ascii="Arial" w:hAnsi="Arial" w:cs="Arial"/>
          <w:color w:val="0000FF"/>
          <w:szCs w:val="22"/>
          <w:lang w:val="en-GB"/>
        </w:rPr>
      </w:r>
      <w:r w:rsidR="002024A1" w:rsidRPr="00CB093C">
        <w:rPr>
          <w:rFonts w:ascii="Arial" w:hAnsi="Arial" w:cs="Arial"/>
          <w:color w:val="0000FF"/>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54</w:t>
      </w:r>
      <w:r w:rsidR="002024A1" w:rsidRPr="00CB093C">
        <w:rPr>
          <w:rFonts w:ascii="Arial" w:hAnsi="Arial" w:cs="Arial"/>
          <w:color w:val="0000FF"/>
          <w:szCs w:val="22"/>
          <w:lang w:val="en-GB"/>
        </w:rPr>
        <w:fldChar w:fldCharType="end"/>
      </w:r>
      <w:r w:rsidR="00F24EAA" w:rsidRPr="00CB093C">
        <w:rPr>
          <w:rFonts w:ascii="Arial" w:hAnsi="Arial" w:cs="Arial"/>
          <w:szCs w:val="22"/>
          <w:lang w:val="en-GB"/>
        </w:rPr>
        <w:t>)</w:t>
      </w:r>
      <w:r w:rsidRPr="00CB093C">
        <w:rPr>
          <w:rFonts w:ascii="Arial" w:hAnsi="Arial" w:cs="Arial"/>
          <w:szCs w:val="22"/>
          <w:lang w:val="en-GB"/>
        </w:rPr>
        <w:t xml:space="preserve">. </w:t>
      </w:r>
      <w:r w:rsidR="00AF170E" w:rsidRPr="00CB093C">
        <w:rPr>
          <w:rFonts w:ascii="Arial" w:hAnsi="Arial" w:cs="Arial"/>
          <w:szCs w:val="22"/>
          <w:lang w:val="en-GB"/>
        </w:rPr>
        <w:t xml:space="preserve">Over the last four monitoring periods the index has changed little, increasing and </w:t>
      </w:r>
      <w:r w:rsidR="007A70FE" w:rsidRPr="00CB093C">
        <w:rPr>
          <w:rFonts w:ascii="Arial" w:hAnsi="Arial" w:cs="Arial"/>
          <w:szCs w:val="22"/>
          <w:lang w:val="en-GB"/>
        </w:rPr>
        <w:t>subsequently</w:t>
      </w:r>
      <w:r w:rsidR="00AF170E" w:rsidRPr="00CB093C">
        <w:rPr>
          <w:rFonts w:ascii="Arial" w:hAnsi="Arial" w:cs="Arial"/>
          <w:szCs w:val="22"/>
          <w:lang w:val="en-GB"/>
        </w:rPr>
        <w:t xml:space="preserve"> decreasing, but at a</w:t>
      </w:r>
      <w:r w:rsidR="00E63437" w:rsidRPr="00CB093C">
        <w:rPr>
          <w:rFonts w:ascii="Arial" w:hAnsi="Arial" w:cs="Arial"/>
          <w:szCs w:val="22"/>
          <w:lang w:val="en-GB"/>
        </w:rPr>
        <w:t xml:space="preserve"> relatively</w:t>
      </w:r>
      <w:r w:rsidR="00AF170E" w:rsidRPr="00CB093C">
        <w:rPr>
          <w:rFonts w:ascii="Arial" w:hAnsi="Arial" w:cs="Arial"/>
          <w:szCs w:val="22"/>
          <w:lang w:val="en-GB"/>
        </w:rPr>
        <w:t xml:space="preserve"> insignificant level. The changes generally reflect the gains and offsets between indicators. </w:t>
      </w:r>
      <w:r w:rsidR="008E654E" w:rsidRPr="00CB093C">
        <w:rPr>
          <w:rFonts w:ascii="Arial" w:hAnsi="Arial" w:cs="Arial"/>
          <w:szCs w:val="22"/>
          <w:lang w:val="en-GB"/>
        </w:rPr>
        <w:t>This year</w:t>
      </w:r>
      <w:r w:rsidR="00AF170E" w:rsidRPr="00CB093C">
        <w:rPr>
          <w:rFonts w:ascii="Arial" w:hAnsi="Arial" w:cs="Arial"/>
          <w:szCs w:val="22"/>
          <w:lang w:val="en-GB"/>
        </w:rPr>
        <w:t xml:space="preserve"> however, all indicators declined</w:t>
      </w:r>
      <w:r w:rsidR="00E63437" w:rsidRPr="00CB093C">
        <w:rPr>
          <w:rFonts w:ascii="Arial" w:hAnsi="Arial" w:cs="Arial"/>
          <w:szCs w:val="22"/>
          <w:lang w:val="en-GB"/>
        </w:rPr>
        <w:t xml:space="preserve"> (</w:t>
      </w:r>
      <w:r w:rsidR="002024A1" w:rsidRPr="00CB093C">
        <w:rPr>
          <w:rFonts w:ascii="Arial" w:hAnsi="Arial" w:cs="Arial"/>
          <w:color w:val="0000FF"/>
          <w:szCs w:val="22"/>
          <w:lang w:val="en-GB"/>
        </w:rPr>
        <w:fldChar w:fldCharType="begin"/>
      </w:r>
      <w:r w:rsidR="002024A1" w:rsidRPr="00CB093C">
        <w:rPr>
          <w:rFonts w:ascii="Arial" w:hAnsi="Arial" w:cs="Arial"/>
          <w:szCs w:val="22"/>
          <w:lang w:val="en-GB"/>
        </w:rPr>
        <w:instrText xml:space="preserve"> REF _Ref179446038 \h </w:instrText>
      </w:r>
      <w:r w:rsidR="00CB093C" w:rsidRPr="00CB093C">
        <w:rPr>
          <w:rFonts w:ascii="Arial" w:hAnsi="Arial" w:cs="Arial"/>
          <w:color w:val="0000FF"/>
          <w:szCs w:val="22"/>
          <w:lang w:val="en-GB"/>
        </w:rPr>
        <w:instrText xml:space="preserve"> \* MERGEFORMAT </w:instrText>
      </w:r>
      <w:r w:rsidR="002024A1" w:rsidRPr="00CB093C">
        <w:rPr>
          <w:rFonts w:ascii="Arial" w:hAnsi="Arial" w:cs="Arial"/>
          <w:color w:val="0000FF"/>
          <w:szCs w:val="22"/>
          <w:lang w:val="en-GB"/>
        </w:rPr>
      </w:r>
      <w:r w:rsidR="002024A1" w:rsidRPr="00CB093C">
        <w:rPr>
          <w:rFonts w:ascii="Arial" w:hAnsi="Arial" w:cs="Arial"/>
          <w:color w:val="0000FF"/>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54</w:t>
      </w:r>
      <w:r w:rsidR="002024A1" w:rsidRPr="00CB093C">
        <w:rPr>
          <w:rFonts w:ascii="Arial" w:hAnsi="Arial" w:cs="Arial"/>
          <w:color w:val="0000FF"/>
          <w:szCs w:val="22"/>
          <w:lang w:val="en-GB"/>
        </w:rPr>
        <w:fldChar w:fldCharType="end"/>
      </w:r>
      <w:r w:rsidR="00E63437" w:rsidRPr="00CB093C">
        <w:rPr>
          <w:rFonts w:ascii="Arial" w:hAnsi="Arial" w:cs="Arial"/>
          <w:szCs w:val="22"/>
          <w:lang w:val="en-GB"/>
        </w:rPr>
        <w:t>)</w:t>
      </w:r>
      <w:r w:rsidR="00AF170E" w:rsidRPr="00CB093C">
        <w:rPr>
          <w:rFonts w:ascii="Arial" w:hAnsi="Arial" w:cs="Arial"/>
          <w:szCs w:val="22"/>
          <w:lang w:val="en-GB"/>
        </w:rPr>
        <w:t xml:space="preserve">. </w:t>
      </w:r>
      <w:r w:rsidR="002F149D" w:rsidRPr="00CB093C">
        <w:rPr>
          <w:rFonts w:ascii="Arial" w:hAnsi="Arial" w:cs="Arial"/>
          <w:szCs w:val="22"/>
          <w:lang w:val="en-GB"/>
        </w:rPr>
        <w:t xml:space="preserve">Although seagrass abundance in </w:t>
      </w:r>
      <w:r w:rsidR="003654C6">
        <w:rPr>
          <w:rFonts w:ascii="Arial" w:hAnsi="Arial" w:cs="Arial"/>
          <w:szCs w:val="22"/>
          <w:lang w:val="en-GB"/>
        </w:rPr>
        <w:t>2017–18</w:t>
      </w:r>
      <w:r w:rsidR="002F149D" w:rsidRPr="00CB093C">
        <w:rPr>
          <w:rFonts w:ascii="Arial" w:hAnsi="Arial" w:cs="Arial"/>
          <w:szCs w:val="22"/>
          <w:lang w:val="en-GB"/>
        </w:rPr>
        <w:t xml:space="preserve"> remained in a good grade, previous gains at coastal intertidal and reef subtidal meadows were offset by declining abundances at reef intertidal sites and the continued decline of reproductive effort at reef sites.</w:t>
      </w:r>
    </w:p>
    <w:p w14:paraId="38A73C9D" w14:textId="2D72C589" w:rsidR="002F149D" w:rsidRPr="00CB093C" w:rsidRDefault="007A70FE" w:rsidP="002F149D">
      <w:pPr>
        <w:rPr>
          <w:rFonts w:ascii="Arial" w:hAnsi="Arial" w:cs="Arial"/>
          <w:szCs w:val="22"/>
        </w:rPr>
      </w:pPr>
      <w:r w:rsidRPr="00CB093C">
        <w:rPr>
          <w:rFonts w:ascii="Arial" w:hAnsi="Arial" w:cs="Arial"/>
          <w:szCs w:val="22"/>
          <w:lang w:val="en-GB"/>
        </w:rPr>
        <w:t>Examination</w:t>
      </w:r>
      <w:r w:rsidR="002F149D" w:rsidRPr="00CB093C">
        <w:rPr>
          <w:rFonts w:ascii="Arial" w:hAnsi="Arial" w:cs="Arial"/>
          <w:szCs w:val="22"/>
          <w:lang w:val="en-GB"/>
        </w:rPr>
        <w:t xml:space="preserve"> of contributing </w:t>
      </w:r>
      <w:r w:rsidR="00F13286" w:rsidRPr="00CB093C">
        <w:rPr>
          <w:rFonts w:ascii="Arial" w:hAnsi="Arial" w:cs="Arial"/>
          <w:szCs w:val="22"/>
          <w:lang w:val="en-GB"/>
        </w:rPr>
        <w:t xml:space="preserve">seagrass </w:t>
      </w:r>
      <w:r w:rsidR="002F149D" w:rsidRPr="00CB093C">
        <w:rPr>
          <w:rFonts w:ascii="Arial" w:hAnsi="Arial" w:cs="Arial"/>
          <w:szCs w:val="22"/>
          <w:lang w:val="en-GB"/>
        </w:rPr>
        <w:t>condition indicators over the long-term, show declines from 2009</w:t>
      </w:r>
      <w:r w:rsidR="008E654E" w:rsidRPr="00CB093C">
        <w:rPr>
          <w:rFonts w:ascii="Arial" w:hAnsi="Arial" w:cs="Arial"/>
          <w:szCs w:val="22"/>
          <w:lang w:val="en-GB"/>
        </w:rPr>
        <w:t>–</w:t>
      </w:r>
      <w:r w:rsidR="002F149D" w:rsidRPr="00CB093C">
        <w:rPr>
          <w:rFonts w:ascii="Arial" w:hAnsi="Arial" w:cs="Arial"/>
          <w:szCs w:val="22"/>
          <w:lang w:val="en-GB"/>
        </w:rPr>
        <w:t xml:space="preserve">2011 as a consequence of the years of above-average rainfall and </w:t>
      </w:r>
      <w:r w:rsidR="002F149D" w:rsidRPr="00CB093C">
        <w:rPr>
          <w:rFonts w:ascii="Arial" w:hAnsi="Arial" w:cs="Arial"/>
          <w:szCs w:val="22"/>
        </w:rPr>
        <w:t>severe weather, proceeded by rapid recovery. Since 2014</w:t>
      </w:r>
      <w:r w:rsidR="008E654E" w:rsidRPr="00CB093C">
        <w:rPr>
          <w:rFonts w:ascii="Arial" w:hAnsi="Arial" w:cs="Arial"/>
          <w:szCs w:val="22"/>
        </w:rPr>
        <w:t>–</w:t>
      </w:r>
      <w:r w:rsidR="002F149D" w:rsidRPr="00CB093C">
        <w:rPr>
          <w:rFonts w:ascii="Arial" w:hAnsi="Arial" w:cs="Arial"/>
          <w:szCs w:val="22"/>
        </w:rPr>
        <w:t>15 the indicators have fluctuated seasonally and between years</w:t>
      </w:r>
      <w:r w:rsidR="00E63437" w:rsidRPr="00CB093C">
        <w:rPr>
          <w:rFonts w:ascii="Arial" w:hAnsi="Arial" w:cs="Arial"/>
          <w:szCs w:val="22"/>
        </w:rPr>
        <w:t xml:space="preserve"> </w:t>
      </w:r>
      <w:r w:rsidR="00E63437" w:rsidRPr="00CB093C">
        <w:rPr>
          <w:rFonts w:ascii="Arial" w:hAnsi="Arial" w:cs="Arial"/>
          <w:szCs w:val="22"/>
          <w:lang w:val="en-GB"/>
        </w:rPr>
        <w:t>(</w:t>
      </w:r>
      <w:r w:rsidR="002024A1" w:rsidRPr="00CB093C">
        <w:rPr>
          <w:rFonts w:ascii="Arial" w:hAnsi="Arial" w:cs="Arial"/>
          <w:color w:val="0000FF"/>
          <w:szCs w:val="22"/>
          <w:lang w:val="en-GB"/>
        </w:rPr>
        <w:fldChar w:fldCharType="begin"/>
      </w:r>
      <w:r w:rsidR="002024A1" w:rsidRPr="00CB093C">
        <w:rPr>
          <w:rFonts w:ascii="Arial" w:hAnsi="Arial" w:cs="Arial"/>
          <w:szCs w:val="22"/>
          <w:lang w:val="en-GB"/>
        </w:rPr>
        <w:instrText xml:space="preserve"> REF _Ref179446038 \h </w:instrText>
      </w:r>
      <w:r w:rsidR="00CB093C" w:rsidRPr="00CB093C">
        <w:rPr>
          <w:rFonts w:ascii="Arial" w:hAnsi="Arial" w:cs="Arial"/>
          <w:color w:val="0000FF"/>
          <w:szCs w:val="22"/>
          <w:lang w:val="en-GB"/>
        </w:rPr>
        <w:instrText xml:space="preserve"> \* MERGEFORMAT </w:instrText>
      </w:r>
      <w:r w:rsidR="002024A1" w:rsidRPr="00CB093C">
        <w:rPr>
          <w:rFonts w:ascii="Arial" w:hAnsi="Arial" w:cs="Arial"/>
          <w:color w:val="0000FF"/>
          <w:szCs w:val="22"/>
          <w:lang w:val="en-GB"/>
        </w:rPr>
      </w:r>
      <w:r w:rsidR="002024A1" w:rsidRPr="00CB093C">
        <w:rPr>
          <w:rFonts w:ascii="Arial" w:hAnsi="Arial" w:cs="Arial"/>
          <w:color w:val="0000FF"/>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54</w:t>
      </w:r>
      <w:r w:rsidR="002024A1" w:rsidRPr="00CB093C">
        <w:rPr>
          <w:rFonts w:ascii="Arial" w:hAnsi="Arial" w:cs="Arial"/>
          <w:color w:val="0000FF"/>
          <w:szCs w:val="22"/>
          <w:lang w:val="en-GB"/>
        </w:rPr>
        <w:fldChar w:fldCharType="end"/>
      </w:r>
      <w:r w:rsidR="00E63437" w:rsidRPr="00CB093C">
        <w:rPr>
          <w:rFonts w:ascii="Arial" w:hAnsi="Arial" w:cs="Arial"/>
          <w:szCs w:val="22"/>
          <w:lang w:val="en-GB"/>
        </w:rPr>
        <w:t>)</w:t>
      </w:r>
      <w:r w:rsidR="002F149D" w:rsidRPr="00CB093C">
        <w:rPr>
          <w:rFonts w:ascii="Arial" w:hAnsi="Arial" w:cs="Arial"/>
          <w:szCs w:val="22"/>
        </w:rPr>
        <w:t>.</w:t>
      </w:r>
    </w:p>
    <w:bookmarkEnd w:id="355"/>
    <w:p w14:paraId="5EC8FD05" w14:textId="77777777" w:rsidR="000A5F0A" w:rsidRPr="00CB093C" w:rsidRDefault="00024A6D" w:rsidP="000F45DC">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drawing>
          <wp:inline distT="0" distB="0" distL="0" distR="0" wp14:anchorId="65E19B48" wp14:editId="6531EB06">
            <wp:extent cx="4751050" cy="4503305"/>
            <wp:effectExtent l="0" t="0" r="0" b="0"/>
            <wp:docPr id="296" name="Picture 296" descr="Composite figure of four graphs showing temporal trends in the Burdekin NRM region seagrass condition index and each of the individual indicators used to calculate the index, represented by GAM plots and coloured lines representing location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B_SG16.png"/>
                    <pic:cNvPicPr/>
                  </pic:nvPicPr>
                  <pic:blipFill>
                    <a:blip r:embed="rId98">
                      <a:extLst>
                        <a:ext uri="{28A0092B-C50C-407E-A947-70E740481C1C}">
                          <a14:useLocalDpi xmlns:a14="http://schemas.microsoft.com/office/drawing/2010/main" val="0"/>
                        </a:ext>
                      </a:extLst>
                    </a:blip>
                    <a:stretch>
                      <a:fillRect/>
                    </a:stretch>
                  </pic:blipFill>
                  <pic:spPr>
                    <a:xfrm>
                      <a:off x="0" y="0"/>
                      <a:ext cx="4751050" cy="4503305"/>
                    </a:xfrm>
                    <a:prstGeom prst="rect">
                      <a:avLst/>
                    </a:prstGeom>
                  </pic:spPr>
                </pic:pic>
              </a:graphicData>
            </a:graphic>
          </wp:inline>
        </w:drawing>
      </w:r>
    </w:p>
    <w:p w14:paraId="350E70C4" w14:textId="33281794" w:rsidR="00076C1A" w:rsidRPr="00CB093C" w:rsidRDefault="00BD6B65" w:rsidP="00076C1A">
      <w:pPr>
        <w:rPr>
          <w:rFonts w:ascii="Arial" w:hAnsi="Arial" w:cs="Arial"/>
          <w:vanish/>
          <w:color w:val="000000"/>
          <w:szCs w:val="22"/>
          <w:specVanish/>
        </w:rPr>
      </w:pPr>
      <w:bookmarkStart w:id="360" w:name="_Ref179446038"/>
      <w:bookmarkStart w:id="361" w:name="_Toc431493857"/>
      <w:bookmarkStart w:id="362" w:name="_Toc176158883"/>
      <w:bookmarkStart w:id="363" w:name="_Toc232845983"/>
      <w:bookmarkStart w:id="364" w:name="_Toc6402819"/>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54</w:t>
      </w:r>
      <w:r w:rsidR="0073595B" w:rsidRPr="00CB093C">
        <w:rPr>
          <w:rFonts w:ascii="Arial" w:hAnsi="Arial" w:cs="Arial"/>
          <w:color w:val="000000"/>
          <w:szCs w:val="22"/>
        </w:rPr>
        <w:fldChar w:fldCharType="end"/>
      </w:r>
      <w:bookmarkEnd w:id="360"/>
      <w:r w:rsidRPr="00CB093C">
        <w:rPr>
          <w:rFonts w:ascii="Arial" w:hAnsi="Arial" w:cs="Arial"/>
          <w:color w:val="000000"/>
          <w:szCs w:val="22"/>
        </w:rPr>
        <w:t xml:space="preserve">. </w:t>
      </w:r>
      <w:bookmarkEnd w:id="361"/>
      <w:bookmarkEnd w:id="362"/>
      <w:bookmarkEnd w:id="363"/>
      <w:r w:rsidR="00076C1A" w:rsidRPr="00CB093C">
        <w:rPr>
          <w:rFonts w:ascii="Arial" w:hAnsi="Arial" w:cs="Arial"/>
          <w:i/>
          <w:szCs w:val="22"/>
        </w:rPr>
        <w:t>Temporal trends in the Burdekin seagrass condition index and the indicators used to calculate the index</w:t>
      </w:r>
      <w:bookmarkEnd w:id="364"/>
    </w:p>
    <w:p w14:paraId="13809ABD" w14:textId="3AB810A3" w:rsidR="004E227C" w:rsidRPr="00CB093C" w:rsidRDefault="00076C1A" w:rsidP="00076C1A">
      <w:pPr>
        <w:rPr>
          <w:rFonts w:ascii="Arial" w:hAnsi="Arial" w:cs="Arial"/>
          <w:i/>
          <w:szCs w:val="22"/>
          <w:lang w:val="en-GB"/>
        </w:rPr>
      </w:pPr>
      <w:r w:rsidRPr="00CB093C">
        <w:rPr>
          <w:rFonts w:ascii="Arial" w:hAnsi="Arial" w:cs="Arial"/>
          <w:i/>
          <w:szCs w:val="22"/>
        </w:rPr>
        <w:t xml:space="preserve">: a. seagrass condition index (circles) and indicator trends (lines); b. </w:t>
      </w:r>
      <w:r w:rsidRPr="00CB093C">
        <w:rPr>
          <w:rFonts w:ascii="Arial" w:hAnsi="Arial" w:cs="Arial"/>
          <w:i/>
          <w:szCs w:val="22"/>
        </w:rPr>
        <w:lastRenderedPageBreak/>
        <w:t>GAM plots of seagrass abundance (</w:t>
      </w:r>
      <w:r w:rsidR="00882B72" w:rsidRPr="00CB093C">
        <w:rPr>
          <w:rFonts w:ascii="Arial" w:hAnsi="Arial" w:cs="Arial"/>
          <w:i/>
          <w:szCs w:val="22"/>
        </w:rPr>
        <w:t>%</w:t>
      </w:r>
      <w:r w:rsidRPr="00CB093C">
        <w:rPr>
          <w:rFonts w:ascii="Arial" w:hAnsi="Arial" w:cs="Arial"/>
          <w:i/>
          <w:szCs w:val="22"/>
        </w:rPr>
        <w:t xml:space="preserve"> cover) trends for each location (coloured lines) and the region (black line with grey shaded area defining 95% confidence intervals); c. average number of reproductive structures (±SE) (GAM not possible due to high count of zero values); and d. elemental ratios (atomic) of leaf tissue C:N nutrient content at each site (coloured circles) and regional trend represented by a GAM plot as dark line with shaded areas defining 95% confidence intervals of the trend</w:t>
      </w:r>
    </w:p>
    <w:p w14:paraId="5CAC1BAD" w14:textId="77777777" w:rsidR="00BE5D0E" w:rsidRPr="00CB093C" w:rsidRDefault="00BE5D0E" w:rsidP="004E227C">
      <w:pPr>
        <w:rPr>
          <w:rFonts w:ascii="Arial" w:hAnsi="Arial" w:cs="Arial"/>
          <w:color w:val="000000" w:themeColor="text1"/>
          <w:szCs w:val="22"/>
        </w:rPr>
      </w:pPr>
    </w:p>
    <w:p w14:paraId="799A86DD" w14:textId="5F4532BD" w:rsidR="003E679B" w:rsidRPr="00CB093C" w:rsidRDefault="003E679B" w:rsidP="000F3AC4">
      <w:pPr>
        <w:pStyle w:val="Heading3"/>
        <w:numPr>
          <w:ilvl w:val="3"/>
          <w:numId w:val="4"/>
        </w:numPr>
        <w:rPr>
          <w:rFonts w:ascii="Arial" w:hAnsi="Arial" w:cs="Arial"/>
          <w:b w:val="0"/>
          <w:i/>
          <w:color w:val="000000"/>
          <w:sz w:val="22"/>
          <w:szCs w:val="22"/>
        </w:rPr>
      </w:pPr>
      <w:bookmarkStart w:id="365" w:name="_Toc11394747"/>
      <w:r w:rsidRPr="00CB093C">
        <w:rPr>
          <w:rFonts w:ascii="Arial" w:hAnsi="Arial" w:cs="Arial"/>
          <w:b w:val="0"/>
          <w:i/>
          <w:color w:val="000000"/>
          <w:sz w:val="22"/>
          <w:szCs w:val="22"/>
        </w:rPr>
        <w:t xml:space="preserve">Seagrass abundance, </w:t>
      </w:r>
      <w:r w:rsidR="00F13286" w:rsidRPr="00CB093C">
        <w:rPr>
          <w:rFonts w:ascii="Arial" w:hAnsi="Arial" w:cs="Arial"/>
          <w:b w:val="0"/>
          <w:i/>
          <w:color w:val="000000"/>
          <w:sz w:val="22"/>
          <w:szCs w:val="22"/>
        </w:rPr>
        <w:t>composition</w:t>
      </w:r>
      <w:r w:rsidRPr="00CB093C">
        <w:rPr>
          <w:rFonts w:ascii="Arial" w:hAnsi="Arial" w:cs="Arial"/>
          <w:b w:val="0"/>
          <w:i/>
          <w:color w:val="000000"/>
          <w:sz w:val="22"/>
          <w:szCs w:val="22"/>
        </w:rPr>
        <w:t xml:space="preserve"> and extent</w:t>
      </w:r>
      <w:bookmarkEnd w:id="365"/>
    </w:p>
    <w:p w14:paraId="0B7C4811" w14:textId="79C0A8DF" w:rsidR="002F149D" w:rsidRPr="00CB093C" w:rsidRDefault="00F13286" w:rsidP="00FD7E76">
      <w:pPr>
        <w:rPr>
          <w:rFonts w:ascii="Arial" w:hAnsi="Arial" w:cs="Arial"/>
          <w:szCs w:val="22"/>
        </w:rPr>
      </w:pPr>
      <w:r w:rsidRPr="00CB093C">
        <w:rPr>
          <w:rFonts w:ascii="Arial" w:hAnsi="Arial" w:cs="Arial"/>
          <w:color w:val="000000" w:themeColor="text1"/>
          <w:szCs w:val="22"/>
        </w:rPr>
        <w:t xml:space="preserve">Over the duration of the MMP, seagrass abundance in the Burdekin region has shown a pattern of loss and recovery. Losses occurred </w:t>
      </w:r>
      <w:r w:rsidR="00C42103" w:rsidRPr="00CB093C">
        <w:rPr>
          <w:rFonts w:ascii="Arial" w:hAnsi="Arial" w:cs="Arial"/>
          <w:color w:val="000000" w:themeColor="text1"/>
          <w:szCs w:val="22"/>
        </w:rPr>
        <w:t xml:space="preserve">as a result of </w:t>
      </w:r>
      <w:r w:rsidRPr="00CB093C">
        <w:rPr>
          <w:rFonts w:ascii="Arial" w:hAnsi="Arial" w:cs="Arial"/>
          <w:color w:val="000000" w:themeColor="text1"/>
          <w:szCs w:val="22"/>
        </w:rPr>
        <w:t xml:space="preserve">multiple consecutive years of above-average rainfall </w:t>
      </w:r>
      <w:r w:rsidR="00C42103" w:rsidRPr="00CB093C">
        <w:rPr>
          <w:rFonts w:ascii="Arial" w:hAnsi="Arial" w:cs="Arial"/>
          <w:color w:val="000000" w:themeColor="text1"/>
          <w:szCs w:val="22"/>
        </w:rPr>
        <w:t xml:space="preserve">(river discharge) </w:t>
      </w:r>
      <w:r w:rsidR="00C42103" w:rsidRPr="00CB093C">
        <w:rPr>
          <w:rFonts w:ascii="Arial" w:hAnsi="Arial" w:cs="Arial"/>
          <w:szCs w:val="22"/>
          <w:lang w:val="en-GB"/>
        </w:rPr>
        <w:t xml:space="preserve">and </w:t>
      </w:r>
      <w:r w:rsidR="00C42103" w:rsidRPr="00CB093C">
        <w:rPr>
          <w:rFonts w:ascii="Arial" w:hAnsi="Arial" w:cs="Arial"/>
          <w:szCs w:val="22"/>
        </w:rPr>
        <w:t>severe weather (</w:t>
      </w:r>
      <w:r w:rsidR="00E4370B" w:rsidRPr="00CB093C">
        <w:rPr>
          <w:rFonts w:ascii="Arial" w:hAnsi="Arial" w:cs="Arial"/>
          <w:szCs w:val="22"/>
        </w:rPr>
        <w:t xml:space="preserve">cyclone </w:t>
      </w:r>
      <w:r w:rsidR="00C42103" w:rsidRPr="00CB093C">
        <w:rPr>
          <w:rFonts w:ascii="Arial" w:hAnsi="Arial" w:cs="Arial"/>
          <w:szCs w:val="22"/>
        </w:rPr>
        <w:t>Yasi) between 2008</w:t>
      </w:r>
      <w:r w:rsidR="00A675DA" w:rsidRPr="00CB093C">
        <w:rPr>
          <w:rFonts w:ascii="Arial" w:hAnsi="Arial" w:cs="Arial"/>
          <w:szCs w:val="22"/>
        </w:rPr>
        <w:t>–</w:t>
      </w:r>
      <w:r w:rsidR="00C42103" w:rsidRPr="00CB093C">
        <w:rPr>
          <w:rFonts w:ascii="Arial" w:hAnsi="Arial" w:cs="Arial"/>
          <w:szCs w:val="22"/>
        </w:rPr>
        <w:t>09 and 2010</w:t>
      </w:r>
      <w:r w:rsidR="00A675DA" w:rsidRPr="00CB093C">
        <w:rPr>
          <w:rFonts w:ascii="Arial" w:hAnsi="Arial" w:cs="Arial"/>
          <w:szCs w:val="22"/>
        </w:rPr>
        <w:t>–</w:t>
      </w:r>
      <w:r w:rsidR="00C42103" w:rsidRPr="00CB093C">
        <w:rPr>
          <w:rFonts w:ascii="Arial" w:hAnsi="Arial" w:cs="Arial"/>
          <w:szCs w:val="22"/>
        </w:rPr>
        <w:t xml:space="preserve">11. From 2011, seagrass rapidly recovered, </w:t>
      </w:r>
      <w:r w:rsidR="00D75691" w:rsidRPr="00CB093C">
        <w:rPr>
          <w:rFonts w:ascii="Arial" w:hAnsi="Arial" w:cs="Arial"/>
          <w:szCs w:val="22"/>
        </w:rPr>
        <w:t>however s</w:t>
      </w:r>
      <w:r w:rsidRPr="00CB093C">
        <w:rPr>
          <w:rFonts w:ascii="Arial" w:hAnsi="Arial" w:cs="Arial"/>
          <w:szCs w:val="22"/>
        </w:rPr>
        <w:t>ince 2014</w:t>
      </w:r>
      <w:r w:rsidR="00C42103" w:rsidRPr="00CB093C">
        <w:rPr>
          <w:rFonts w:ascii="Arial" w:hAnsi="Arial" w:cs="Arial"/>
          <w:szCs w:val="22"/>
        </w:rPr>
        <w:t xml:space="preserve">, seagrass abundance has progressively declined at reef (intertidal and subtidal) habitats. </w:t>
      </w:r>
      <w:r w:rsidRPr="00CB093C">
        <w:rPr>
          <w:rFonts w:ascii="Arial" w:hAnsi="Arial" w:cs="Arial"/>
          <w:color w:val="000000" w:themeColor="text1"/>
          <w:szCs w:val="22"/>
        </w:rPr>
        <w:t xml:space="preserve">Nearly 40% of </w:t>
      </w:r>
      <w:r w:rsidR="00C42103" w:rsidRPr="00CB093C">
        <w:rPr>
          <w:rFonts w:ascii="Arial" w:hAnsi="Arial" w:cs="Arial"/>
          <w:color w:val="000000" w:themeColor="text1"/>
          <w:szCs w:val="22"/>
        </w:rPr>
        <w:t xml:space="preserve">Burdekin region </w:t>
      </w:r>
      <w:r w:rsidRPr="00CB093C">
        <w:rPr>
          <w:rFonts w:ascii="Arial" w:hAnsi="Arial" w:cs="Arial"/>
          <w:color w:val="000000" w:themeColor="text1"/>
          <w:szCs w:val="22"/>
        </w:rPr>
        <w:t>sites declined in abu</w:t>
      </w:r>
      <w:r w:rsidR="00C42103" w:rsidRPr="00CB093C">
        <w:rPr>
          <w:rFonts w:ascii="Arial" w:hAnsi="Arial" w:cs="Arial"/>
          <w:color w:val="000000" w:themeColor="text1"/>
          <w:szCs w:val="22"/>
        </w:rPr>
        <w:t>n</w:t>
      </w:r>
      <w:r w:rsidRPr="00CB093C">
        <w:rPr>
          <w:rFonts w:ascii="Arial" w:hAnsi="Arial" w:cs="Arial"/>
          <w:color w:val="000000" w:themeColor="text1"/>
          <w:szCs w:val="22"/>
        </w:rPr>
        <w:t xml:space="preserve">dance in </w:t>
      </w:r>
      <w:r w:rsidR="003654C6">
        <w:rPr>
          <w:rFonts w:ascii="Arial" w:hAnsi="Arial" w:cs="Arial"/>
          <w:color w:val="000000" w:themeColor="text1"/>
          <w:szCs w:val="22"/>
        </w:rPr>
        <w:t>2017–18</w:t>
      </w:r>
      <w:r w:rsidRPr="00CB093C">
        <w:rPr>
          <w:rFonts w:ascii="Arial" w:hAnsi="Arial" w:cs="Arial"/>
          <w:color w:val="000000" w:themeColor="text1"/>
          <w:szCs w:val="22"/>
        </w:rPr>
        <w:t xml:space="preserve">, which was predominately at reef habitats. </w:t>
      </w:r>
      <w:r w:rsidR="00C42103" w:rsidRPr="00CB093C">
        <w:rPr>
          <w:rFonts w:ascii="Arial" w:hAnsi="Arial" w:cs="Arial"/>
          <w:color w:val="000000" w:themeColor="text1"/>
          <w:szCs w:val="22"/>
        </w:rPr>
        <w:t>T</w:t>
      </w:r>
      <w:r w:rsidRPr="00CB093C">
        <w:rPr>
          <w:rFonts w:ascii="Arial" w:hAnsi="Arial" w:cs="Arial"/>
          <w:color w:val="000000" w:themeColor="text1"/>
          <w:szCs w:val="22"/>
        </w:rPr>
        <w:t xml:space="preserve">he declines </w:t>
      </w:r>
      <w:r w:rsidR="00C42103" w:rsidRPr="00CB093C">
        <w:rPr>
          <w:rFonts w:ascii="Arial" w:hAnsi="Arial" w:cs="Arial"/>
          <w:color w:val="000000" w:themeColor="text1"/>
          <w:szCs w:val="22"/>
        </w:rPr>
        <w:t xml:space="preserve">however, </w:t>
      </w:r>
      <w:r w:rsidRPr="00CB093C">
        <w:rPr>
          <w:rFonts w:ascii="Arial" w:hAnsi="Arial" w:cs="Arial"/>
          <w:color w:val="000000" w:themeColor="text1"/>
          <w:szCs w:val="22"/>
        </w:rPr>
        <w:t xml:space="preserve">were offset </w:t>
      </w:r>
      <w:r w:rsidR="007A70FE" w:rsidRPr="00CB093C">
        <w:rPr>
          <w:rFonts w:ascii="Arial" w:hAnsi="Arial" w:cs="Arial"/>
          <w:color w:val="000000" w:themeColor="text1"/>
          <w:szCs w:val="22"/>
        </w:rPr>
        <w:t>to</w:t>
      </w:r>
      <w:r w:rsidR="00C42103" w:rsidRPr="00CB093C">
        <w:rPr>
          <w:rFonts w:ascii="Arial" w:hAnsi="Arial" w:cs="Arial"/>
          <w:color w:val="000000" w:themeColor="text1"/>
          <w:szCs w:val="22"/>
        </w:rPr>
        <w:t xml:space="preserve"> a </w:t>
      </w:r>
      <w:r w:rsidR="00C42103" w:rsidRPr="00CB093C">
        <w:rPr>
          <w:rFonts w:ascii="Arial" w:hAnsi="Arial" w:cs="Arial"/>
          <w:szCs w:val="22"/>
        </w:rPr>
        <w:t>degree by</w:t>
      </w:r>
      <w:r w:rsidRPr="00CB093C">
        <w:rPr>
          <w:rFonts w:ascii="Arial" w:hAnsi="Arial" w:cs="Arial"/>
          <w:szCs w:val="22"/>
        </w:rPr>
        <w:t xml:space="preserve"> increases in 40% of coastal habitat sites</w:t>
      </w:r>
      <w:r w:rsidR="00C42103" w:rsidRPr="00CB093C">
        <w:rPr>
          <w:rFonts w:ascii="Arial" w:hAnsi="Arial" w:cs="Arial"/>
          <w:szCs w:val="22"/>
        </w:rPr>
        <w:t>.</w:t>
      </w:r>
    </w:p>
    <w:p w14:paraId="1D9C2154" w14:textId="1C9FF0C1" w:rsidR="00C42103" w:rsidRPr="00CB093C" w:rsidRDefault="002F149D" w:rsidP="002F149D">
      <w:pPr>
        <w:rPr>
          <w:rFonts w:ascii="Arial" w:hAnsi="Arial" w:cs="Arial"/>
          <w:szCs w:val="22"/>
        </w:rPr>
      </w:pPr>
      <w:r w:rsidRPr="00CB093C">
        <w:rPr>
          <w:rFonts w:ascii="Arial" w:hAnsi="Arial" w:cs="Arial"/>
          <w:szCs w:val="22"/>
        </w:rPr>
        <w:t xml:space="preserve">An examination of the long term </w:t>
      </w:r>
      <w:r w:rsidR="007A70FE" w:rsidRPr="00CB093C">
        <w:rPr>
          <w:rFonts w:ascii="Arial" w:hAnsi="Arial" w:cs="Arial"/>
          <w:szCs w:val="22"/>
        </w:rPr>
        <w:t>abundances</w:t>
      </w:r>
      <w:r w:rsidRPr="00CB093C">
        <w:rPr>
          <w:rFonts w:ascii="Arial" w:hAnsi="Arial" w:cs="Arial"/>
          <w:szCs w:val="22"/>
        </w:rPr>
        <w:t xml:space="preserve"> across the Burdekin </w:t>
      </w:r>
      <w:r w:rsidR="00C42103" w:rsidRPr="00CB093C">
        <w:rPr>
          <w:rFonts w:ascii="Arial" w:hAnsi="Arial" w:cs="Arial"/>
          <w:szCs w:val="22"/>
        </w:rPr>
        <w:t>region</w:t>
      </w:r>
      <w:r w:rsidRPr="00CB093C">
        <w:rPr>
          <w:rFonts w:ascii="Arial" w:hAnsi="Arial" w:cs="Arial"/>
          <w:szCs w:val="22"/>
        </w:rPr>
        <w:t xml:space="preserve"> habitats </w:t>
      </w:r>
      <w:r w:rsidR="00ED5279" w:rsidRPr="00CB093C">
        <w:rPr>
          <w:rFonts w:ascii="Arial" w:hAnsi="Arial" w:cs="Arial"/>
          <w:szCs w:val="22"/>
        </w:rPr>
        <w:t>indicates no significant trend, except at one of the coastal sites near Jerona (Barratta Ck, Bowling Green Bay). As this site (JR2) has only been monitored since 2012, a significant increasing trend in abundance is not surprising, as this coincides with the main recovery period after the regional losses.</w:t>
      </w:r>
    </w:p>
    <w:p w14:paraId="693AC086" w14:textId="77777777" w:rsidR="00AE3499" w:rsidRPr="00CB093C" w:rsidRDefault="00AE3499" w:rsidP="00FD7E76">
      <w:pPr>
        <w:rPr>
          <w:rFonts w:ascii="Arial" w:hAnsi="Arial" w:cs="Arial"/>
          <w:color w:val="000000" w:themeColor="text1"/>
          <w:szCs w:val="22"/>
        </w:rPr>
      </w:pPr>
    </w:p>
    <w:p w14:paraId="13AE8405" w14:textId="77777777" w:rsidR="00E43A54" w:rsidRPr="00CB093C" w:rsidRDefault="00024A6D" w:rsidP="00E43A54">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lastRenderedPageBreak/>
        <w:drawing>
          <wp:inline distT="0" distB="0" distL="0" distR="0" wp14:anchorId="2A80F04C" wp14:editId="13907223">
            <wp:extent cx="5727044" cy="3779520"/>
            <wp:effectExtent l="0" t="0" r="7620" b="0"/>
            <wp:docPr id="295" name="Picture 295" descr="Panel of six graphs, displayed in two by three matrix, showing seagrass percent cover measures per quadrat (sites pooled) for each habitat monitored from June 2005 to May 2018 in the Burdekin NRM region. Top row displays the data as box plots and the bottom row as trends in seagrass abundance represented by a GAM plot and coloured lines representing individual site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B_cvr_GAM_Dec16.png"/>
                    <pic:cNvPicPr/>
                  </pic:nvPicPr>
                  <pic:blipFill>
                    <a:blip r:embed="rId99"/>
                    <a:stretch>
                      <a:fillRect/>
                    </a:stretch>
                  </pic:blipFill>
                  <pic:spPr>
                    <a:xfrm>
                      <a:off x="0" y="0"/>
                      <a:ext cx="5735498" cy="3785099"/>
                    </a:xfrm>
                    <a:prstGeom prst="rect">
                      <a:avLst/>
                    </a:prstGeom>
                  </pic:spPr>
                </pic:pic>
              </a:graphicData>
            </a:graphic>
          </wp:inline>
        </w:drawing>
      </w:r>
    </w:p>
    <w:p w14:paraId="17B1E8BD" w14:textId="2F2FF448" w:rsidR="00A355AB" w:rsidRPr="00CB093C" w:rsidRDefault="00E43A54" w:rsidP="00A355AB">
      <w:pPr>
        <w:rPr>
          <w:rFonts w:ascii="Arial" w:hAnsi="Arial" w:cs="Arial"/>
          <w:i/>
          <w:vanish/>
          <w:szCs w:val="22"/>
          <w:specVanish/>
        </w:rPr>
      </w:pPr>
      <w:bookmarkStart w:id="366" w:name="_Ref442441725"/>
      <w:bookmarkStart w:id="367" w:name="_Toc6402820"/>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55</w:t>
      </w:r>
      <w:r w:rsidR="00C506C7" w:rsidRPr="00CB093C">
        <w:rPr>
          <w:rFonts w:ascii="Arial" w:hAnsi="Arial" w:cs="Arial"/>
          <w:noProof/>
          <w:szCs w:val="22"/>
        </w:rPr>
        <w:fldChar w:fldCharType="end"/>
      </w:r>
      <w:bookmarkEnd w:id="366"/>
      <w:r w:rsidRPr="00CB093C">
        <w:rPr>
          <w:rFonts w:ascii="Arial" w:hAnsi="Arial" w:cs="Arial"/>
          <w:szCs w:val="22"/>
        </w:rPr>
        <w:t xml:space="preserve">.  </w:t>
      </w:r>
      <w:r w:rsidR="00A355AB" w:rsidRPr="00CB093C">
        <w:rPr>
          <w:rFonts w:ascii="Arial" w:hAnsi="Arial" w:cs="Arial"/>
          <w:i/>
          <w:szCs w:val="22"/>
        </w:rPr>
        <w:t xml:space="preserve">Seagrass per cent cover measures per quadrat (sites pooled) and long-term trends, for each habitat monitored in the </w:t>
      </w:r>
      <w:r w:rsidR="00A355AB" w:rsidRPr="00CB093C">
        <w:rPr>
          <w:rFonts w:ascii="Arial" w:hAnsi="Arial" w:cs="Arial"/>
          <w:i/>
          <w:color w:val="000000"/>
          <w:szCs w:val="22"/>
        </w:rPr>
        <w:t xml:space="preserve">Burdekin NRM </w:t>
      </w:r>
      <w:r w:rsidR="00A355AB" w:rsidRPr="00CB093C">
        <w:rPr>
          <w:rFonts w:ascii="Arial" w:hAnsi="Arial" w:cs="Arial"/>
          <w:i/>
          <w:szCs w:val="22"/>
        </w:rPr>
        <w:t>region from 2001 to 2018.</w:t>
      </w:r>
      <w:bookmarkEnd w:id="367"/>
    </w:p>
    <w:p w14:paraId="349504C8" w14:textId="1F3A52EF" w:rsidR="00E43A54" w:rsidRPr="00CB093C" w:rsidRDefault="00A355AB" w:rsidP="00A355AB">
      <w:pPr>
        <w:rPr>
          <w:rFonts w:ascii="Arial" w:hAnsi="Arial" w:cs="Arial"/>
          <w:color w:val="000000"/>
          <w:szCs w:val="22"/>
        </w:rPr>
      </w:pPr>
      <w:r w:rsidRPr="00CB093C">
        <w:rPr>
          <w:rFonts w:ascii="Arial" w:hAnsi="Arial" w:cs="Arial"/>
          <w:i/>
          <w:szCs w:val="22"/>
          <w:lang w:val="en-GB"/>
        </w:rPr>
        <w:t xml:space="preserve"> Whisker plots (top) show th</w:t>
      </w:r>
      <w:r w:rsidRPr="00CB093C">
        <w:rPr>
          <w:rFonts w:ascii="Arial" w:hAnsi="Arial" w:cs="Arial"/>
          <w:i/>
          <w:szCs w:val="22"/>
        </w:rPr>
        <w:t>e box representing the interquartile range of values, where the boundary of the box closest to zero indicates the 25</w:t>
      </w:r>
      <w:r w:rsidRPr="00CB093C">
        <w:rPr>
          <w:rFonts w:ascii="Arial" w:hAnsi="Arial" w:cs="Arial"/>
          <w:i/>
          <w:szCs w:val="22"/>
          <w:vertAlign w:val="superscript"/>
        </w:rPr>
        <w:t>th</w:t>
      </w:r>
      <w:r w:rsidRPr="00CB093C">
        <w:rPr>
          <w:rFonts w:ascii="Arial" w:hAnsi="Arial" w:cs="Arial"/>
          <w:i/>
          <w:szCs w:val="22"/>
        </w:rPr>
        <w:t xml:space="preserve"> percentile, a line within the box marks the median, and the boundary of the box farthest from zero indicates the 75</w:t>
      </w:r>
      <w:r w:rsidRPr="00CB093C">
        <w:rPr>
          <w:rFonts w:ascii="Arial" w:hAnsi="Arial" w:cs="Arial"/>
          <w:i/>
          <w:szCs w:val="22"/>
          <w:vertAlign w:val="superscript"/>
        </w:rPr>
        <w:t>th</w:t>
      </w:r>
      <w:r w:rsidRPr="00CB093C">
        <w:rPr>
          <w:rFonts w:ascii="Arial" w:hAnsi="Arial" w:cs="Arial"/>
          <w:i/>
          <w:szCs w:val="22"/>
        </w:rPr>
        <w:t xml:space="preserve"> percentile. Whiskers (error bars) above and below the box indicate the 90</w:t>
      </w:r>
      <w:r w:rsidRPr="00CB093C">
        <w:rPr>
          <w:rFonts w:ascii="Arial" w:hAnsi="Arial" w:cs="Arial"/>
          <w:i/>
          <w:szCs w:val="22"/>
          <w:vertAlign w:val="superscript"/>
        </w:rPr>
        <w:t>th</w:t>
      </w:r>
      <w:r w:rsidRPr="00CB093C">
        <w:rPr>
          <w:rFonts w:ascii="Arial" w:hAnsi="Arial" w:cs="Arial"/>
          <w:i/>
          <w:szCs w:val="22"/>
        </w:rPr>
        <w:t xml:space="preserve"> and 10</w:t>
      </w:r>
      <w:r w:rsidRPr="00CB093C">
        <w:rPr>
          <w:rFonts w:ascii="Arial" w:hAnsi="Arial" w:cs="Arial"/>
          <w:i/>
          <w:szCs w:val="22"/>
          <w:vertAlign w:val="superscript"/>
        </w:rPr>
        <w:t>th</w:t>
      </w:r>
      <w:r w:rsidRPr="00CB093C">
        <w:rPr>
          <w:rFonts w:ascii="Arial" w:hAnsi="Arial" w:cs="Arial"/>
          <w:i/>
          <w:szCs w:val="22"/>
        </w:rPr>
        <w:t xml:space="preserve"> percentiles, and the dots represent outlying points.</w:t>
      </w:r>
      <w:r w:rsidRPr="00CB093C">
        <w:rPr>
          <w:rFonts w:ascii="Arial" w:hAnsi="Arial" w:cs="Arial"/>
          <w:i/>
          <w:szCs w:val="22"/>
          <w:lang w:val="en-GB"/>
        </w:rPr>
        <w:t xml:space="preserve"> </w:t>
      </w:r>
      <w:r w:rsidRPr="00CB093C">
        <w:rPr>
          <w:rFonts w:ascii="Arial" w:hAnsi="Arial" w:cs="Arial"/>
          <w:i/>
          <w:szCs w:val="22"/>
        </w:rPr>
        <w:t>GAMM plots (bottom), show trends for each habitat and coloured lines represent individual site trends</w:t>
      </w:r>
      <w:r w:rsidR="00A062EF" w:rsidRPr="00CB093C">
        <w:rPr>
          <w:rFonts w:ascii="Arial" w:hAnsi="Arial" w:cs="Arial"/>
          <w:i/>
          <w:szCs w:val="22"/>
        </w:rPr>
        <w:t>.</w:t>
      </w:r>
    </w:p>
    <w:p w14:paraId="53E546F2" w14:textId="77777777" w:rsidR="00024A6D" w:rsidRPr="00CB093C" w:rsidRDefault="00024A6D" w:rsidP="00FD7E76">
      <w:pPr>
        <w:rPr>
          <w:rFonts w:ascii="Arial" w:hAnsi="Arial" w:cs="Arial"/>
          <w:szCs w:val="22"/>
        </w:rPr>
      </w:pPr>
    </w:p>
    <w:p w14:paraId="7D050198" w14:textId="7FDA1A04" w:rsidR="000A5F0A" w:rsidRPr="00CB093C" w:rsidRDefault="00E4370B" w:rsidP="00FD7E76">
      <w:pPr>
        <w:rPr>
          <w:rFonts w:ascii="Arial" w:hAnsi="Arial" w:cs="Arial"/>
          <w:iCs/>
          <w:szCs w:val="22"/>
        </w:rPr>
      </w:pPr>
      <w:r w:rsidRPr="00CB093C">
        <w:rPr>
          <w:rFonts w:ascii="Arial" w:hAnsi="Arial" w:cs="Arial"/>
          <w:szCs w:val="22"/>
        </w:rPr>
        <w:t>This year, as it has been</w:t>
      </w:r>
      <w:r w:rsidR="001446FA" w:rsidRPr="00CB093C">
        <w:rPr>
          <w:rFonts w:ascii="Arial" w:hAnsi="Arial" w:cs="Arial"/>
          <w:szCs w:val="22"/>
        </w:rPr>
        <w:t xml:space="preserve"> </w:t>
      </w:r>
      <w:r w:rsidRPr="00CB093C">
        <w:rPr>
          <w:rFonts w:ascii="Arial" w:hAnsi="Arial" w:cs="Arial"/>
          <w:szCs w:val="22"/>
        </w:rPr>
        <w:t>since 2014</w:t>
      </w:r>
      <w:r w:rsidR="00A675DA" w:rsidRPr="00CB093C">
        <w:rPr>
          <w:rFonts w:ascii="Arial" w:hAnsi="Arial" w:cs="Arial"/>
          <w:szCs w:val="22"/>
        </w:rPr>
        <w:t>–</w:t>
      </w:r>
      <w:r w:rsidR="002215CF" w:rsidRPr="00CB093C">
        <w:rPr>
          <w:rFonts w:ascii="Arial" w:hAnsi="Arial" w:cs="Arial"/>
          <w:szCs w:val="22"/>
        </w:rPr>
        <w:t>20</w:t>
      </w:r>
      <w:r w:rsidRPr="00CB093C">
        <w:rPr>
          <w:rFonts w:ascii="Arial" w:hAnsi="Arial" w:cs="Arial"/>
          <w:szCs w:val="22"/>
        </w:rPr>
        <w:t xml:space="preserve">15, </w:t>
      </w:r>
      <w:r w:rsidR="001446FA" w:rsidRPr="00CB093C">
        <w:rPr>
          <w:rFonts w:ascii="Arial" w:hAnsi="Arial" w:cs="Arial"/>
          <w:szCs w:val="22"/>
        </w:rPr>
        <w:t>a low</w:t>
      </w:r>
      <w:r w:rsidR="000A5F0A" w:rsidRPr="00CB093C">
        <w:rPr>
          <w:rFonts w:ascii="Arial" w:hAnsi="Arial" w:cs="Arial"/>
          <w:szCs w:val="22"/>
        </w:rPr>
        <w:t xml:space="preserve"> proportion of </w:t>
      </w:r>
      <w:r w:rsidR="00B65283" w:rsidRPr="00CB093C">
        <w:rPr>
          <w:rFonts w:ascii="Arial" w:hAnsi="Arial" w:cs="Arial"/>
          <w:szCs w:val="22"/>
        </w:rPr>
        <w:t xml:space="preserve">species displaying </w:t>
      </w:r>
      <w:r w:rsidR="000A5F0A" w:rsidRPr="00CB093C">
        <w:rPr>
          <w:rFonts w:ascii="Arial" w:hAnsi="Arial" w:cs="Arial"/>
          <w:szCs w:val="22"/>
        </w:rPr>
        <w:t xml:space="preserve">colonising </w:t>
      </w:r>
      <w:r w:rsidR="00B65283" w:rsidRPr="00CB093C">
        <w:rPr>
          <w:rFonts w:ascii="Arial" w:hAnsi="Arial" w:cs="Arial"/>
          <w:szCs w:val="22"/>
        </w:rPr>
        <w:t xml:space="preserve">traits </w:t>
      </w:r>
      <w:r w:rsidRPr="00CB093C">
        <w:rPr>
          <w:rFonts w:ascii="Arial" w:hAnsi="Arial" w:cs="Arial"/>
          <w:szCs w:val="22"/>
        </w:rPr>
        <w:t>are present</w:t>
      </w:r>
      <w:r w:rsidR="001446FA" w:rsidRPr="00CB093C">
        <w:rPr>
          <w:rFonts w:ascii="Arial" w:hAnsi="Arial" w:cs="Arial"/>
          <w:szCs w:val="22"/>
        </w:rPr>
        <w:t>in all habitats</w:t>
      </w:r>
      <w:r w:rsidR="001456FD" w:rsidRPr="00CB093C">
        <w:rPr>
          <w:rFonts w:ascii="Arial" w:hAnsi="Arial" w:cs="Arial"/>
          <w:szCs w:val="22"/>
        </w:rPr>
        <w:t xml:space="preserve"> (e.g. </w:t>
      </w:r>
      <w:r w:rsidR="001456FD" w:rsidRPr="00CB093C">
        <w:rPr>
          <w:rFonts w:ascii="Arial" w:hAnsi="Arial" w:cs="Arial"/>
          <w:i/>
          <w:szCs w:val="22"/>
        </w:rPr>
        <w:t>Halophila ovalis</w:t>
      </w:r>
      <w:r w:rsidR="001456FD" w:rsidRPr="00CB093C">
        <w:rPr>
          <w:rFonts w:ascii="Arial" w:hAnsi="Arial" w:cs="Arial"/>
          <w:szCs w:val="22"/>
        </w:rPr>
        <w:t>)</w:t>
      </w:r>
      <w:r w:rsidR="001446FA" w:rsidRPr="00CB093C">
        <w:rPr>
          <w:rFonts w:ascii="Arial" w:hAnsi="Arial" w:cs="Arial"/>
          <w:szCs w:val="22"/>
        </w:rPr>
        <w:t>. I</w:t>
      </w:r>
      <w:r w:rsidR="000A5F0A" w:rsidRPr="00CB093C">
        <w:rPr>
          <w:rFonts w:ascii="Arial" w:hAnsi="Arial" w:cs="Arial"/>
          <w:szCs w:val="22"/>
        </w:rPr>
        <w:t xml:space="preserve">nstead </w:t>
      </w:r>
      <w:r w:rsidR="001446FA" w:rsidRPr="00CB093C">
        <w:rPr>
          <w:rFonts w:ascii="Arial" w:hAnsi="Arial" w:cs="Arial"/>
          <w:szCs w:val="22"/>
        </w:rPr>
        <w:t>these habitats are</w:t>
      </w:r>
      <w:r w:rsidR="000A5F0A" w:rsidRPr="00CB093C">
        <w:rPr>
          <w:rFonts w:ascii="Arial" w:hAnsi="Arial" w:cs="Arial"/>
          <w:szCs w:val="22"/>
        </w:rPr>
        <w:t xml:space="preserve"> dominated by opportunistic species (</w:t>
      </w:r>
      <w:r w:rsidR="000A5F0A" w:rsidRPr="00CB093C">
        <w:rPr>
          <w:rFonts w:ascii="Arial" w:hAnsi="Arial" w:cs="Arial"/>
          <w:i/>
          <w:szCs w:val="22"/>
        </w:rPr>
        <w:t>H. uninervis, Z. muelleri, C. serrulata</w:t>
      </w:r>
      <w:r w:rsidR="000A5F0A" w:rsidRPr="00CB093C">
        <w:rPr>
          <w:rFonts w:ascii="Arial" w:hAnsi="Arial" w:cs="Arial"/>
          <w:szCs w:val="22"/>
        </w:rPr>
        <w:t>) in coastal and reef sites or persistent species in intertidal reef habitat (</w:t>
      </w:r>
      <w:r w:rsidR="000A5F0A" w:rsidRPr="00CB093C">
        <w:rPr>
          <w:rFonts w:ascii="Arial" w:hAnsi="Arial" w:cs="Arial"/>
          <w:i/>
          <w:szCs w:val="22"/>
        </w:rPr>
        <w:t>T. hemprichii</w:t>
      </w:r>
      <w:r w:rsidR="00327C5C" w:rsidRPr="00CB093C">
        <w:rPr>
          <w:rFonts w:ascii="Arial" w:hAnsi="Arial" w:cs="Arial"/>
          <w:szCs w:val="22"/>
        </w:rPr>
        <w:t>)</w:t>
      </w:r>
      <w:r w:rsidR="000A5F0A" w:rsidRPr="00CB093C">
        <w:rPr>
          <w:rFonts w:ascii="Arial" w:hAnsi="Arial" w:cs="Arial"/>
          <w:szCs w:val="22"/>
        </w:rPr>
        <w:t>. This is a sign of meadow progression following near decimation after the events leading up to and including 2011. Opportunistic and persistent foundation species also have a capacity to resist stress (survive, through reallocation of resources) caused by acute disturbances (</w:t>
      </w:r>
      <w:hyperlink w:anchor="_ENREF_37" w:tooltip="Collier, 2012 #9368"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&lt;EndNote&gt;&lt;Cite&gt;&lt;Author&gt;Collier&lt;/Author&gt;&lt;Year&gt;2012&lt;/Year&gt;&lt;RecNum&gt;9368&lt;/RecNum&gt;&lt;DisplayText&gt;Collier&lt;style face="italic"&gt; et al.&lt;/style&gt; 2012b&lt;/DisplayText&gt;&lt;record&gt;&lt;rec-number&gt;9368&lt;/rec-number&gt;&lt;foreign-keys&gt;&lt;key app="EN" db-id="0eve55x9y5vfd6e9dacxtew4eatve2dzds9a" timestamp="1375052483"&gt;9368&lt;/key&gt;&lt;/foreign-keys&gt;&lt;ref-type name="Journal Article"&gt;17&lt;/ref-type&gt;&lt;contributors&gt;&lt;authors&gt;&lt;author&gt;Collier, Catherine J.&lt;/author&gt;&lt;author&gt;Waycott, Michelle&lt;/author&gt;&lt;author&gt;Ospina, Ana Giraldo&lt;/author&gt;&lt;/authors&gt;&lt;/contributors&gt;&lt;titles&gt;&lt;title&gt;Responses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pub-dates&gt;&lt;date&gt;2012&lt;/date&gt;&lt;/pub-dates&gt;&lt;/dates&gt;&lt;isbn&gt;0025-326X&lt;/isbn&gt;&lt;accession-num&gt;WOS:000306249100023&lt;/accession-num&gt;&lt;urls&gt;&lt;related-urls&gt;&lt;url&gt;&amp;lt;Go to ISI&amp;gt;://WOS:000306249100023&lt;/url&gt;&lt;/related-urls&gt;&lt;/urls&gt;&lt;electronic-resource-num&gt;10.1016/j.marpolbul.2011.06.017&lt;/electronic-resource-num&gt;&lt;/record&gt;&lt;/Cite&gt;&lt;/EndNote&gt;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Collier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2012b</w:t>
        </w:r>
        <w:r w:rsidR="00513C39" w:rsidRPr="00CB093C">
          <w:rPr>
            <w:rFonts w:ascii="Arial" w:hAnsi="Arial" w:cs="Arial"/>
            <w:szCs w:val="22"/>
          </w:rPr>
          <w:fldChar w:fldCharType="end"/>
        </w:r>
      </w:hyperlink>
      <w:r w:rsidR="000A5F0A" w:rsidRPr="00CB093C">
        <w:rPr>
          <w:rFonts w:ascii="Arial" w:hAnsi="Arial" w:cs="Arial"/>
          <w:szCs w:val="22"/>
        </w:rPr>
        <w:t>), and therefore, current species composition provides greater overall resilie</w:t>
      </w:r>
      <w:r w:rsidR="00F96B43" w:rsidRPr="00CB093C">
        <w:rPr>
          <w:rFonts w:ascii="Arial" w:hAnsi="Arial" w:cs="Arial"/>
          <w:szCs w:val="22"/>
        </w:rPr>
        <w:t>nce in Burdekin meadows.</w:t>
      </w:r>
    </w:p>
    <w:p w14:paraId="441B0E04" w14:textId="77777777" w:rsidR="00270034" w:rsidRPr="00CB093C" w:rsidRDefault="00C83356" w:rsidP="000F45DC">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lastRenderedPageBreak/>
        <w:drawing>
          <wp:inline distT="0" distB="0" distL="0" distR="0" wp14:anchorId="2E06EB79" wp14:editId="0D936DC0">
            <wp:extent cx="6261331" cy="1520993"/>
            <wp:effectExtent l="0" t="0" r="6350" b="3175"/>
            <wp:docPr id="298" name="Picture 298" descr="Panel of three graphs showing proportion of total seagrass abundance composed of species displaying colonising traits (e.g. Halophila ovalis) in each inshore seagrass habitat (sites pooled) in the Burdekin NRM region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B_colonising_2016.png"/>
                    <pic:cNvPicPr/>
                  </pic:nvPicPr>
                  <pic:blipFill>
                    <a:blip r:embed="rId100">
                      <a:extLst>
                        <a:ext uri="{28A0092B-C50C-407E-A947-70E740481C1C}">
                          <a14:useLocalDpi xmlns:a14="http://schemas.microsoft.com/office/drawing/2010/main" val="0"/>
                        </a:ext>
                      </a:extLst>
                    </a:blip>
                    <a:stretch>
                      <a:fillRect/>
                    </a:stretch>
                  </pic:blipFill>
                  <pic:spPr>
                    <a:xfrm>
                      <a:off x="0" y="0"/>
                      <a:ext cx="6261331" cy="1520993"/>
                    </a:xfrm>
                    <a:prstGeom prst="rect">
                      <a:avLst/>
                    </a:prstGeom>
                  </pic:spPr>
                </pic:pic>
              </a:graphicData>
            </a:graphic>
          </wp:inline>
        </w:drawing>
      </w:r>
    </w:p>
    <w:p w14:paraId="5CF59B93" w14:textId="02E776C9" w:rsidR="00B910F2" w:rsidRPr="00CB093C" w:rsidRDefault="00BC6300" w:rsidP="00B910F2">
      <w:pPr>
        <w:rPr>
          <w:rFonts w:ascii="Arial" w:hAnsi="Arial" w:cs="Arial"/>
          <w:i/>
          <w:vanish/>
          <w:szCs w:val="22"/>
          <w:specVanish/>
        </w:rPr>
      </w:pPr>
      <w:bookmarkStart w:id="368" w:name="_Ref380429833"/>
      <w:bookmarkStart w:id="369" w:name="_Toc431493858"/>
      <w:bookmarkStart w:id="370" w:name="_Toc6402821"/>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56</w:t>
      </w:r>
      <w:r w:rsidR="00C506C7" w:rsidRPr="00CB093C">
        <w:rPr>
          <w:rFonts w:ascii="Arial" w:hAnsi="Arial" w:cs="Arial"/>
          <w:noProof/>
          <w:szCs w:val="22"/>
        </w:rPr>
        <w:fldChar w:fldCharType="end"/>
      </w:r>
      <w:bookmarkEnd w:id="368"/>
      <w:r w:rsidRPr="00CB093C">
        <w:rPr>
          <w:rFonts w:ascii="Arial" w:hAnsi="Arial" w:cs="Arial"/>
          <w:szCs w:val="22"/>
        </w:rPr>
        <w:t xml:space="preserve">. </w:t>
      </w:r>
      <w:r w:rsidRPr="00CB093C">
        <w:rPr>
          <w:rFonts w:ascii="Arial" w:hAnsi="Arial" w:cs="Arial"/>
          <w:i/>
          <w:szCs w:val="22"/>
        </w:rPr>
        <w:t xml:space="preserve">Proportion of seagrass abundance composed of </w:t>
      </w:r>
      <w:r w:rsidR="00270034" w:rsidRPr="00CB093C">
        <w:rPr>
          <w:rFonts w:ascii="Arial" w:hAnsi="Arial" w:cs="Arial"/>
          <w:i/>
          <w:szCs w:val="22"/>
        </w:rPr>
        <w:t>colonising</w:t>
      </w:r>
      <w:r w:rsidRPr="00CB093C">
        <w:rPr>
          <w:rFonts w:ascii="Arial" w:hAnsi="Arial" w:cs="Arial"/>
          <w:i/>
          <w:szCs w:val="22"/>
        </w:rPr>
        <w:t xml:space="preserve"> species</w:t>
      </w:r>
      <w:r w:rsidR="00B910F2" w:rsidRPr="00CB093C">
        <w:rPr>
          <w:rFonts w:ascii="Arial" w:hAnsi="Arial" w:cs="Arial"/>
          <w:i/>
          <w:szCs w:val="22"/>
        </w:rPr>
        <w:t xml:space="preserve"> at inshore habitats in the Burdekin region, 2001</w:t>
      </w:r>
      <w:r w:rsidR="00A675DA" w:rsidRPr="00CB093C">
        <w:rPr>
          <w:rFonts w:ascii="Arial" w:hAnsi="Arial" w:cs="Arial"/>
          <w:i/>
          <w:szCs w:val="22"/>
        </w:rPr>
        <w:t>–</w:t>
      </w:r>
      <w:r w:rsidR="00B910F2" w:rsidRPr="00CB093C">
        <w:rPr>
          <w:rFonts w:ascii="Arial" w:hAnsi="Arial" w:cs="Arial"/>
          <w:i/>
          <w:szCs w:val="22"/>
        </w:rPr>
        <w:t>201</w:t>
      </w:r>
      <w:r w:rsidR="00B51E48" w:rsidRPr="00CB093C">
        <w:rPr>
          <w:rFonts w:ascii="Arial" w:hAnsi="Arial" w:cs="Arial"/>
          <w:i/>
          <w:szCs w:val="22"/>
        </w:rPr>
        <w:t>8</w:t>
      </w:r>
      <w:r w:rsidRPr="00CB093C">
        <w:rPr>
          <w:rFonts w:ascii="Arial" w:hAnsi="Arial" w:cs="Arial"/>
          <w:i/>
          <w:szCs w:val="22"/>
        </w:rPr>
        <w:t>.</w:t>
      </w:r>
      <w:bookmarkEnd w:id="369"/>
      <w:bookmarkEnd w:id="370"/>
      <w:r w:rsidRPr="00CB093C">
        <w:rPr>
          <w:rFonts w:ascii="Arial" w:hAnsi="Arial" w:cs="Arial"/>
          <w:i/>
          <w:szCs w:val="22"/>
        </w:rPr>
        <w:t xml:space="preserve"> </w:t>
      </w:r>
    </w:p>
    <w:p w14:paraId="555E345D" w14:textId="4D650A8B" w:rsidR="00B910F2" w:rsidRPr="00CB093C" w:rsidRDefault="00BC6300" w:rsidP="00B910F2">
      <w:pPr>
        <w:rPr>
          <w:rFonts w:ascii="Arial" w:hAnsi="Arial" w:cs="Arial"/>
          <w:color w:val="000000"/>
          <w:szCs w:val="22"/>
        </w:rPr>
      </w:pPr>
      <w:r w:rsidRPr="00CB093C">
        <w:rPr>
          <w:rFonts w:ascii="Arial" w:hAnsi="Arial" w:cs="Arial"/>
          <w:i/>
          <w:szCs w:val="22"/>
        </w:rPr>
        <w:t xml:space="preserve">Grey area represents </w:t>
      </w:r>
      <w:r w:rsidR="003158FC" w:rsidRPr="00CB093C">
        <w:rPr>
          <w:rFonts w:ascii="Arial" w:hAnsi="Arial" w:cs="Arial"/>
          <w:i/>
          <w:szCs w:val="22"/>
        </w:rPr>
        <w:t>Reef</w:t>
      </w:r>
      <w:r w:rsidRPr="00CB093C">
        <w:rPr>
          <w:rFonts w:ascii="Arial" w:hAnsi="Arial" w:cs="Arial"/>
          <w:i/>
          <w:szCs w:val="22"/>
        </w:rPr>
        <w:t xml:space="preserve"> long-term average proportion of </w:t>
      </w:r>
      <w:r w:rsidR="00270034" w:rsidRPr="00CB093C">
        <w:rPr>
          <w:rFonts w:ascii="Arial" w:hAnsi="Arial" w:cs="Arial"/>
          <w:i/>
          <w:color w:val="000000"/>
          <w:szCs w:val="22"/>
        </w:rPr>
        <w:t>colonising</w:t>
      </w:r>
      <w:r w:rsidRPr="00CB093C">
        <w:rPr>
          <w:rFonts w:ascii="Arial" w:hAnsi="Arial" w:cs="Arial"/>
          <w:i/>
          <w:color w:val="000000"/>
          <w:szCs w:val="22"/>
        </w:rPr>
        <w:t xml:space="preserve"> </w:t>
      </w:r>
      <w:r w:rsidR="00E207CE" w:rsidRPr="00CB093C">
        <w:rPr>
          <w:rFonts w:ascii="Arial" w:hAnsi="Arial" w:cs="Arial"/>
          <w:i/>
          <w:color w:val="000000"/>
          <w:szCs w:val="22"/>
        </w:rPr>
        <w:t xml:space="preserve">species </w:t>
      </w:r>
      <w:r w:rsidRPr="00CB093C">
        <w:rPr>
          <w:rFonts w:ascii="Arial" w:hAnsi="Arial" w:cs="Arial"/>
          <w:i/>
          <w:color w:val="000000"/>
          <w:szCs w:val="22"/>
        </w:rPr>
        <w:t>for each habitat type.</w:t>
      </w:r>
      <w:r w:rsidR="00B910F2" w:rsidRPr="00CB093C">
        <w:rPr>
          <w:rFonts w:ascii="Arial" w:hAnsi="Arial" w:cs="Arial"/>
          <w:color w:val="000000"/>
          <w:szCs w:val="22"/>
        </w:rPr>
        <w:t xml:space="preserve"> </w:t>
      </w:r>
    </w:p>
    <w:p w14:paraId="1122F95F" w14:textId="23823FA8" w:rsidR="00E255DB" w:rsidRPr="00CB093C" w:rsidRDefault="00F96B43" w:rsidP="00034AD4">
      <w:pPr>
        <w:rPr>
          <w:rFonts w:ascii="Arial" w:hAnsi="Arial" w:cs="Arial"/>
          <w:szCs w:val="22"/>
          <w:lang w:val="en-US"/>
        </w:rPr>
      </w:pPr>
      <w:r w:rsidRPr="00CB093C">
        <w:rPr>
          <w:rFonts w:ascii="Arial" w:hAnsi="Arial" w:cs="Arial"/>
          <w:szCs w:val="22"/>
          <w:lang w:val="en-GB"/>
        </w:rPr>
        <w:t>Seagrass meadow extent within all intertidal monitoring sites has fluctuated within and between years (</w:t>
      </w:r>
      <w:r w:rsidRPr="00CB093C">
        <w:rPr>
          <w:rFonts w:ascii="Arial" w:hAnsi="Arial" w:cs="Arial"/>
          <w:szCs w:val="22"/>
          <w:lang w:val="en-GB"/>
        </w:rPr>
        <w:fldChar w:fldCharType="begin"/>
      </w:r>
      <w:r w:rsidRPr="00CB093C">
        <w:rPr>
          <w:rFonts w:ascii="Arial" w:hAnsi="Arial" w:cs="Arial"/>
          <w:szCs w:val="22"/>
          <w:lang w:val="en-GB"/>
        </w:rPr>
        <w:instrText xml:space="preserve"> REF _Ref179449820 \h </w:instrText>
      </w:r>
      <w:r w:rsidR="00580DDA"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57</w:t>
      </w:r>
      <w:r w:rsidRPr="00CB093C">
        <w:rPr>
          <w:rFonts w:ascii="Arial" w:hAnsi="Arial" w:cs="Arial"/>
          <w:szCs w:val="22"/>
          <w:lang w:val="en-GB"/>
        </w:rPr>
        <w:fldChar w:fldCharType="end"/>
      </w:r>
      <w:r w:rsidRPr="00CB093C">
        <w:rPr>
          <w:rFonts w:ascii="Arial" w:hAnsi="Arial" w:cs="Arial"/>
          <w:szCs w:val="22"/>
          <w:lang w:val="en-GB"/>
        </w:rPr>
        <w:t xml:space="preserve">), primarily due to </w:t>
      </w:r>
      <w:r w:rsidR="00110BFF" w:rsidRPr="00CB093C">
        <w:rPr>
          <w:rFonts w:ascii="Arial" w:hAnsi="Arial" w:cs="Arial"/>
          <w:szCs w:val="22"/>
          <w:lang w:val="en-GB"/>
        </w:rPr>
        <w:t xml:space="preserve">short-term </w:t>
      </w:r>
      <w:r w:rsidRPr="00CB093C">
        <w:rPr>
          <w:rFonts w:ascii="Arial" w:hAnsi="Arial" w:cs="Arial"/>
          <w:szCs w:val="22"/>
          <w:lang w:val="en-GB"/>
        </w:rPr>
        <w:t xml:space="preserve">losses and subsequent recolonisation. </w:t>
      </w:r>
      <w:r w:rsidR="00E85003" w:rsidRPr="00CB093C">
        <w:rPr>
          <w:rFonts w:ascii="Arial" w:hAnsi="Arial" w:cs="Arial"/>
          <w:szCs w:val="22"/>
          <w:lang w:val="en-US"/>
        </w:rPr>
        <w:t xml:space="preserve">In the </w:t>
      </w:r>
      <w:r w:rsidR="005132EF" w:rsidRPr="00CB093C">
        <w:rPr>
          <w:rFonts w:ascii="Arial" w:hAnsi="Arial" w:cs="Arial"/>
          <w:szCs w:val="22"/>
          <w:lang w:val="en-US"/>
        </w:rPr>
        <w:t>two to three years</w:t>
      </w:r>
      <w:r w:rsidR="00E85003" w:rsidRPr="00CB093C">
        <w:rPr>
          <w:rFonts w:ascii="Arial" w:hAnsi="Arial" w:cs="Arial"/>
          <w:szCs w:val="22"/>
          <w:lang w:val="en-US"/>
        </w:rPr>
        <w:t xml:space="preserve"> prior to 2011</w:t>
      </w:r>
      <w:r w:rsidR="005132EF" w:rsidRPr="00CB093C">
        <w:rPr>
          <w:rFonts w:ascii="Arial" w:hAnsi="Arial" w:cs="Arial"/>
          <w:szCs w:val="22"/>
          <w:lang w:val="en-US"/>
        </w:rPr>
        <w:t>, significant changes occurred across the region with all seagrass meadows reducing in size and changing in landscape from continuous, to patchy, to isolated patches and finally to isolated shoots with the loss of meadow cohesion (</w:t>
      </w:r>
      <w:r w:rsidR="00E85003" w:rsidRPr="00CB093C">
        <w:rPr>
          <w:rFonts w:ascii="Arial" w:hAnsi="Arial" w:cs="Arial"/>
          <w:szCs w:val="22"/>
        </w:rPr>
        <w:fldChar w:fldCharType="begin"/>
      </w:r>
      <w:r w:rsidR="00E85003" w:rsidRPr="00CB093C">
        <w:rPr>
          <w:rFonts w:ascii="Arial" w:hAnsi="Arial" w:cs="Arial"/>
          <w:szCs w:val="22"/>
          <w:lang w:val="en-US"/>
        </w:rPr>
        <w:instrText xml:space="preserve"> REF _Ref179449820 \h </w:instrText>
      </w:r>
      <w:r w:rsidR="00E85003" w:rsidRPr="00CB093C">
        <w:rPr>
          <w:rFonts w:ascii="Arial" w:hAnsi="Arial" w:cs="Arial"/>
          <w:szCs w:val="22"/>
        </w:rPr>
        <w:instrText xml:space="preserve"> \* MERGEFORMAT </w:instrText>
      </w:r>
      <w:r w:rsidR="00E85003" w:rsidRPr="00CB093C">
        <w:rPr>
          <w:rFonts w:ascii="Arial" w:hAnsi="Arial" w:cs="Arial"/>
          <w:szCs w:val="22"/>
        </w:rPr>
      </w:r>
      <w:r w:rsidR="00E85003"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57</w:t>
      </w:r>
      <w:r w:rsidR="00E85003" w:rsidRPr="00CB093C">
        <w:rPr>
          <w:rFonts w:ascii="Arial" w:hAnsi="Arial" w:cs="Arial"/>
          <w:szCs w:val="22"/>
        </w:rPr>
        <w:fldChar w:fldCharType="end"/>
      </w:r>
      <w:r w:rsidR="005132EF" w:rsidRPr="00CB093C">
        <w:rPr>
          <w:rFonts w:ascii="Arial" w:hAnsi="Arial" w:cs="Arial"/>
          <w:szCs w:val="22"/>
          <w:lang w:val="en-US"/>
        </w:rPr>
        <w:t>).</w:t>
      </w:r>
      <w:r w:rsidR="00734C8B" w:rsidRPr="00CB093C">
        <w:rPr>
          <w:rFonts w:ascii="Arial" w:hAnsi="Arial" w:cs="Arial"/>
          <w:szCs w:val="22"/>
          <w:lang w:val="en-US"/>
        </w:rPr>
        <w:t xml:space="preserve"> That trend was also replicated at the </w:t>
      </w:r>
      <w:r w:rsidR="00E255DB" w:rsidRPr="00CB093C">
        <w:rPr>
          <w:rFonts w:ascii="Arial" w:hAnsi="Arial" w:cs="Arial"/>
          <w:szCs w:val="22"/>
          <w:lang w:val="en-US"/>
        </w:rPr>
        <w:t>bay</w:t>
      </w:r>
      <w:r w:rsidR="00734C8B" w:rsidRPr="00CB093C">
        <w:rPr>
          <w:rFonts w:ascii="Arial" w:hAnsi="Arial" w:cs="Arial"/>
          <w:szCs w:val="22"/>
          <w:lang w:val="en-US"/>
        </w:rPr>
        <w:t>-wide scale in Cleveland Bay, with considerable loss of meadow area and meadow fragmentation (</w:t>
      </w:r>
      <w:hyperlink w:anchor="_ENREF_124" w:tooltip="Petus, 2014 #10800"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&lt;EndNote&gt;&lt;Cite&gt;&lt;Author&gt;Petus&lt;/Author&gt;&lt;Year&gt;2014&lt;/Year&gt;&lt;RecNum&gt;10800&lt;/RecNum&gt;&lt;DisplayText&gt;Petus&lt;style face="italic"&gt; et al.&lt;/style&gt; 2014&lt;/DisplayText&gt;&lt;record&gt;&lt;rec-number&gt;10800&lt;/rec-number&gt;&lt;foreign-keys&gt;&lt;key app="EN" db-id="0eve55x9y5vfd6e9dacxtew4eatve2dzds9a" timestamp="1479685536"&gt;10800&lt;/key&gt;&lt;/foreign-keys&gt;&lt;ref-type name="Journal Article"&gt;17&lt;/ref-type&gt;&lt;contributors&gt;&lt;authors&gt;&lt;author&gt;Petus, Caroline&lt;/author&gt;&lt;author&gt;Collier, Catherine&lt;/author&gt;&lt;author&gt;Devlin, Michelle&lt;/author&gt;&lt;author&gt;Rasheed, Michael&lt;/author&gt;&lt;author&gt;McKenna, Skye&lt;/author&gt;&lt;/authors&gt;&lt;/contributors&gt;&lt;titles&gt;&lt;title&gt;Using MODIS data for understanding changes in seagrass meadow health: A case study in the Great Barrier Reef (Australia)&lt;/title&gt;&lt;secondary-title&gt;Marine Environmental Research&lt;/secondary-title&gt;&lt;/titles&gt;&lt;periodical&gt;&lt;full-title&gt;Marine Environmental Research&lt;/full-title&gt;&lt;/periodical&gt;&lt;pages&gt;68-85&lt;/pages&gt;&lt;volume&gt;98&lt;/volume&gt;&lt;keywords&gt;&lt;keyword&gt;Seagrass health&lt;/keyword&gt;&lt;keyword&gt;MODIS&lt;/keyword&gt;&lt;keyword&gt;Water clarity&lt;/keyword&gt;&lt;keyword&gt;Ecological consequences&lt;/keyword&gt;&lt;/keywords&gt;&lt;dates&gt;&lt;year&gt;2014&lt;/year&gt;&lt;/dates&gt;&lt;isbn&gt;0141-1136&lt;/isbn&gt;&lt;urls&gt;&lt;related-urls&gt;&lt;url&gt;http://www.sciencedirect.com/science/article/pii/S0141113614000488&lt;/url&gt;&lt;/related-urls&gt;&lt;/urls&gt;&lt;electronic-resource-num&gt;http://dx.doi.org/10.1016/j.marenvres.2014.03.006&lt;/electronic-resource-num&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Petus</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2014</w:t>
        </w:r>
        <w:r w:rsidR="00513C39" w:rsidRPr="00CB093C">
          <w:rPr>
            <w:rFonts w:ascii="Arial" w:hAnsi="Arial" w:cs="Arial"/>
            <w:szCs w:val="22"/>
            <w:lang w:val="en-US"/>
          </w:rPr>
          <w:fldChar w:fldCharType="end"/>
        </w:r>
      </w:hyperlink>
      <w:r w:rsidR="00734C8B" w:rsidRPr="00CB093C">
        <w:rPr>
          <w:rFonts w:ascii="Arial" w:hAnsi="Arial" w:cs="Arial"/>
          <w:szCs w:val="22"/>
          <w:lang w:val="en-US"/>
        </w:rPr>
        <w:t>).</w:t>
      </w:r>
      <w:r w:rsidR="005132EF" w:rsidRPr="00CB093C">
        <w:rPr>
          <w:rFonts w:ascii="Arial" w:hAnsi="Arial" w:cs="Arial"/>
          <w:szCs w:val="22"/>
          <w:lang w:val="en-US"/>
        </w:rPr>
        <w:t xml:space="preserve"> </w:t>
      </w:r>
      <w:r w:rsidR="0063146C" w:rsidRPr="00CB093C">
        <w:rPr>
          <w:rFonts w:ascii="Arial" w:hAnsi="Arial" w:cs="Arial"/>
          <w:szCs w:val="22"/>
          <w:lang w:val="en-US"/>
        </w:rPr>
        <w:t xml:space="preserve">This was caused by the high rainfall and riverine discharge that affected much of the </w:t>
      </w:r>
      <w:r w:rsidR="00E255DB" w:rsidRPr="00CB093C">
        <w:rPr>
          <w:rFonts w:ascii="Arial" w:hAnsi="Arial" w:cs="Arial"/>
          <w:szCs w:val="22"/>
          <w:lang w:val="en-US"/>
        </w:rPr>
        <w:t>Reef</w:t>
      </w:r>
      <w:r w:rsidR="0063146C" w:rsidRPr="00CB093C">
        <w:rPr>
          <w:rFonts w:ascii="Arial" w:hAnsi="Arial" w:cs="Arial"/>
          <w:szCs w:val="22"/>
          <w:lang w:val="en-US"/>
        </w:rPr>
        <w:t xml:space="preserve">. </w:t>
      </w:r>
    </w:p>
    <w:p w14:paraId="10711BFE" w14:textId="2BCD21DC" w:rsidR="00327C5C" w:rsidRPr="00CB093C" w:rsidRDefault="00E85003" w:rsidP="00034AD4">
      <w:pPr>
        <w:rPr>
          <w:rFonts w:ascii="Arial" w:hAnsi="Arial" w:cs="Arial"/>
          <w:szCs w:val="22"/>
          <w:lang w:val="en-US"/>
        </w:rPr>
      </w:pPr>
      <w:r w:rsidRPr="00CB093C">
        <w:rPr>
          <w:rFonts w:ascii="Arial" w:hAnsi="Arial" w:cs="Arial"/>
          <w:szCs w:val="22"/>
          <w:lang w:val="en-US"/>
        </w:rPr>
        <w:t>Since 2011, meadow extents have increased in both coastal and reef habitats to pre-2009 levels (</w:t>
      </w:r>
      <w:r w:rsidRPr="00CB093C">
        <w:rPr>
          <w:rFonts w:ascii="Arial" w:hAnsi="Arial" w:cs="Arial"/>
          <w:szCs w:val="22"/>
        </w:rPr>
        <w:fldChar w:fldCharType="begin"/>
      </w:r>
      <w:r w:rsidRPr="00CB093C">
        <w:rPr>
          <w:rFonts w:ascii="Arial" w:hAnsi="Arial" w:cs="Arial"/>
          <w:szCs w:val="22"/>
          <w:lang w:val="en-US"/>
        </w:rPr>
        <w:instrText xml:space="preserve"> REF _Ref179449820 \h </w:instrText>
      </w:r>
      <w:r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57</w:t>
      </w:r>
      <w:r w:rsidRPr="00CB093C">
        <w:rPr>
          <w:rFonts w:ascii="Arial" w:hAnsi="Arial" w:cs="Arial"/>
          <w:szCs w:val="22"/>
        </w:rPr>
        <w:fldChar w:fldCharType="end"/>
      </w:r>
      <w:r w:rsidRPr="00CB093C">
        <w:rPr>
          <w:rFonts w:ascii="Arial" w:hAnsi="Arial" w:cs="Arial"/>
          <w:szCs w:val="22"/>
          <w:lang w:val="en-US"/>
        </w:rPr>
        <w:t>)</w:t>
      </w:r>
      <w:r w:rsidR="0040420B" w:rsidRPr="00CB093C">
        <w:rPr>
          <w:rFonts w:ascii="Arial" w:hAnsi="Arial" w:cs="Arial"/>
          <w:szCs w:val="22"/>
          <w:lang w:val="en-US"/>
        </w:rPr>
        <w:t xml:space="preserve"> and </w:t>
      </w:r>
      <w:r w:rsidR="00327C5C" w:rsidRPr="00CB093C">
        <w:rPr>
          <w:rFonts w:ascii="Arial" w:hAnsi="Arial" w:cs="Arial"/>
          <w:szCs w:val="22"/>
          <w:lang w:val="en-US"/>
        </w:rPr>
        <w:t xml:space="preserve">predominately </w:t>
      </w:r>
      <w:r w:rsidR="0040420B" w:rsidRPr="00CB093C">
        <w:rPr>
          <w:rFonts w:ascii="Arial" w:hAnsi="Arial" w:cs="Arial"/>
          <w:szCs w:val="22"/>
          <w:lang w:val="en-US"/>
        </w:rPr>
        <w:t>remained stable</w:t>
      </w:r>
      <w:r w:rsidR="00327C5C" w:rsidRPr="00CB093C">
        <w:rPr>
          <w:rFonts w:ascii="Arial" w:hAnsi="Arial" w:cs="Arial"/>
          <w:szCs w:val="22"/>
          <w:lang w:val="en-US"/>
        </w:rPr>
        <w:t xml:space="preserve"> until </w:t>
      </w:r>
      <w:r w:rsidR="003654C6">
        <w:rPr>
          <w:rFonts w:ascii="Arial" w:hAnsi="Arial" w:cs="Arial"/>
          <w:szCs w:val="22"/>
          <w:lang w:val="en-US"/>
        </w:rPr>
        <w:t>2017–18</w:t>
      </w:r>
      <w:r w:rsidRPr="00CB093C">
        <w:rPr>
          <w:rFonts w:ascii="Arial" w:hAnsi="Arial" w:cs="Arial"/>
          <w:szCs w:val="22"/>
          <w:lang w:val="en-US"/>
        </w:rPr>
        <w:t>.</w:t>
      </w:r>
      <w:r w:rsidR="0040420B" w:rsidRPr="00CB093C">
        <w:rPr>
          <w:rFonts w:ascii="Arial" w:hAnsi="Arial" w:cs="Arial"/>
          <w:szCs w:val="22"/>
          <w:lang w:val="en-US"/>
        </w:rPr>
        <w:t xml:space="preserve"> </w:t>
      </w:r>
      <w:r w:rsidR="009243E9" w:rsidRPr="00CB093C">
        <w:rPr>
          <w:rFonts w:ascii="Arial" w:hAnsi="Arial" w:cs="Arial"/>
          <w:szCs w:val="22"/>
          <w:lang w:val="en-US"/>
        </w:rPr>
        <w:t xml:space="preserve">In </w:t>
      </w:r>
      <w:r w:rsidR="004F39E2" w:rsidRPr="00CB093C">
        <w:rPr>
          <w:rFonts w:ascii="Arial" w:hAnsi="Arial" w:cs="Arial"/>
          <w:szCs w:val="22"/>
          <w:lang w:val="en-US"/>
        </w:rPr>
        <w:t xml:space="preserve">early </w:t>
      </w:r>
      <w:r w:rsidR="009243E9" w:rsidRPr="00CB093C">
        <w:rPr>
          <w:rFonts w:ascii="Arial" w:hAnsi="Arial" w:cs="Arial"/>
          <w:szCs w:val="22"/>
          <w:lang w:val="en-US"/>
        </w:rPr>
        <w:t xml:space="preserve">2014, </w:t>
      </w:r>
      <w:r w:rsidR="00327C5C" w:rsidRPr="00CB093C">
        <w:rPr>
          <w:rFonts w:ascii="Arial" w:hAnsi="Arial" w:cs="Arial"/>
          <w:szCs w:val="22"/>
          <w:lang w:val="en-US"/>
        </w:rPr>
        <w:t xml:space="preserve">subtidal </w:t>
      </w:r>
      <w:r w:rsidR="009243E9" w:rsidRPr="00CB093C">
        <w:rPr>
          <w:rFonts w:ascii="Arial" w:hAnsi="Arial" w:cs="Arial"/>
          <w:szCs w:val="22"/>
          <w:lang w:val="en-US"/>
        </w:rPr>
        <w:t>seagrass extent declined to the lowest in 2 years</w:t>
      </w:r>
      <w:r w:rsidR="0063146C" w:rsidRPr="00CB093C">
        <w:rPr>
          <w:rFonts w:ascii="Arial" w:hAnsi="Arial" w:cs="Arial"/>
          <w:szCs w:val="22"/>
          <w:lang w:val="en-US"/>
        </w:rPr>
        <w:t xml:space="preserve"> but </w:t>
      </w:r>
      <w:r w:rsidR="004F39E2" w:rsidRPr="00CB093C">
        <w:rPr>
          <w:rFonts w:ascii="Arial" w:hAnsi="Arial" w:cs="Arial"/>
          <w:szCs w:val="22"/>
          <w:lang w:val="en-US"/>
        </w:rPr>
        <w:t>subse</w:t>
      </w:r>
      <w:r w:rsidR="00734C8B" w:rsidRPr="00CB093C">
        <w:rPr>
          <w:rFonts w:ascii="Arial" w:hAnsi="Arial" w:cs="Arial"/>
          <w:szCs w:val="22"/>
          <w:lang w:val="en-US"/>
        </w:rPr>
        <w:t>quently recovered</w:t>
      </w:r>
      <w:r w:rsidR="00110BFF" w:rsidRPr="00CB093C">
        <w:rPr>
          <w:rFonts w:ascii="Arial" w:hAnsi="Arial" w:cs="Arial"/>
          <w:szCs w:val="22"/>
          <w:lang w:val="en-US"/>
        </w:rPr>
        <w:t xml:space="preserve"> within 6 months to </w:t>
      </w:r>
      <w:r w:rsidR="007A70FE" w:rsidRPr="00CB093C">
        <w:rPr>
          <w:rFonts w:ascii="Arial" w:hAnsi="Arial" w:cs="Arial"/>
          <w:szCs w:val="22"/>
          <w:lang w:val="en-US"/>
        </w:rPr>
        <w:t>its</w:t>
      </w:r>
      <w:r w:rsidR="00110BFF" w:rsidRPr="00CB093C">
        <w:rPr>
          <w:rFonts w:ascii="Arial" w:hAnsi="Arial" w:cs="Arial"/>
          <w:szCs w:val="22"/>
          <w:lang w:val="en-US"/>
        </w:rPr>
        <w:t xml:space="preserve"> maximum extent</w:t>
      </w:r>
      <w:r w:rsidR="00734C8B" w:rsidRPr="00CB093C">
        <w:rPr>
          <w:rFonts w:ascii="Arial" w:hAnsi="Arial" w:cs="Arial"/>
          <w:szCs w:val="22"/>
          <w:lang w:val="en-US"/>
        </w:rPr>
        <w:t xml:space="preserve">. </w:t>
      </w:r>
      <w:r w:rsidR="00327C5C" w:rsidRPr="00CB093C">
        <w:rPr>
          <w:rFonts w:ascii="Arial" w:hAnsi="Arial" w:cs="Arial"/>
          <w:szCs w:val="22"/>
          <w:lang w:val="en-US"/>
        </w:rPr>
        <w:t xml:space="preserve">In </w:t>
      </w:r>
      <w:r w:rsidR="003654C6">
        <w:rPr>
          <w:rFonts w:ascii="Arial" w:hAnsi="Arial" w:cs="Arial"/>
          <w:szCs w:val="22"/>
          <w:lang w:val="en-US"/>
        </w:rPr>
        <w:t>2017–18</w:t>
      </w:r>
      <w:r w:rsidR="00327C5C" w:rsidRPr="00CB093C">
        <w:rPr>
          <w:rFonts w:ascii="Arial" w:hAnsi="Arial" w:cs="Arial"/>
          <w:szCs w:val="22"/>
          <w:lang w:val="en-US"/>
        </w:rPr>
        <w:t xml:space="preserve">, the subtidal </w:t>
      </w:r>
      <w:r w:rsidR="00C57100" w:rsidRPr="00CB093C">
        <w:rPr>
          <w:rFonts w:ascii="Arial" w:hAnsi="Arial" w:cs="Arial"/>
          <w:szCs w:val="22"/>
          <w:lang w:val="en-US"/>
        </w:rPr>
        <w:t xml:space="preserve">reef </w:t>
      </w:r>
      <w:r w:rsidR="00327C5C" w:rsidRPr="00CB093C">
        <w:rPr>
          <w:rFonts w:ascii="Arial" w:hAnsi="Arial" w:cs="Arial"/>
          <w:szCs w:val="22"/>
          <w:lang w:val="en-US"/>
        </w:rPr>
        <w:t xml:space="preserve">seagrass extent </w:t>
      </w:r>
      <w:r w:rsidR="000E1904" w:rsidRPr="00CB093C">
        <w:rPr>
          <w:rFonts w:ascii="Arial" w:hAnsi="Arial" w:cs="Arial"/>
          <w:szCs w:val="22"/>
          <w:lang w:val="en-US"/>
        </w:rPr>
        <w:t xml:space="preserve">again </w:t>
      </w:r>
      <w:r w:rsidR="00327C5C" w:rsidRPr="00CB093C">
        <w:rPr>
          <w:rFonts w:ascii="Arial" w:hAnsi="Arial" w:cs="Arial"/>
          <w:szCs w:val="22"/>
          <w:lang w:val="en-US"/>
        </w:rPr>
        <w:t>declined</w:t>
      </w:r>
      <w:r w:rsidR="000E1904" w:rsidRPr="00CB093C">
        <w:rPr>
          <w:rFonts w:ascii="Arial" w:hAnsi="Arial" w:cs="Arial"/>
          <w:szCs w:val="22"/>
          <w:lang w:val="en-US"/>
        </w:rPr>
        <w:t xml:space="preserve">, but unlike in 2014, the coastal </w:t>
      </w:r>
      <w:r w:rsidR="00C57100" w:rsidRPr="00CB093C">
        <w:rPr>
          <w:rFonts w:ascii="Arial" w:hAnsi="Arial" w:cs="Arial"/>
          <w:szCs w:val="22"/>
          <w:lang w:val="en-US"/>
        </w:rPr>
        <w:t xml:space="preserve">intertidal </w:t>
      </w:r>
      <w:r w:rsidR="000E1904" w:rsidRPr="00CB093C">
        <w:rPr>
          <w:rFonts w:ascii="Arial" w:hAnsi="Arial" w:cs="Arial"/>
          <w:szCs w:val="22"/>
          <w:lang w:val="en-US"/>
        </w:rPr>
        <w:t>meadows have also declined in extent due to a proliferation of scarring and fragmentation.</w:t>
      </w:r>
    </w:p>
    <w:p w14:paraId="4BC8F38A" w14:textId="77777777" w:rsidR="00270034" w:rsidRPr="00CB093C" w:rsidRDefault="00C83356" w:rsidP="000F45DC">
      <w:pPr>
        <w:keepNext/>
        <w:widowControl w:val="0"/>
        <w:spacing w:after="0"/>
        <w:jc w:val="center"/>
        <w:rPr>
          <w:rFonts w:ascii="Arial" w:hAnsi="Arial" w:cs="Arial"/>
          <w:noProof/>
          <w:szCs w:val="22"/>
          <w:lang w:eastAsia="en-AU"/>
        </w:rPr>
      </w:pPr>
      <w:r w:rsidRPr="00CB093C">
        <w:rPr>
          <w:rFonts w:ascii="Arial" w:hAnsi="Arial" w:cs="Arial"/>
          <w:noProof/>
          <w:szCs w:val="22"/>
          <w:lang w:val="en-US"/>
        </w:rPr>
        <w:drawing>
          <wp:inline distT="0" distB="0" distL="0" distR="0" wp14:anchorId="22C1741A" wp14:editId="3EAC3F6F">
            <wp:extent cx="4092412" cy="1804256"/>
            <wp:effectExtent l="0" t="0" r="3810" b="5715"/>
            <wp:docPr id="299" name="Picture 299" descr="Line graphs showing spatial extent of seagrass meadows within a 100m radius of monitoring sites for each habitat and monitoring period across the Burdekin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 name="B_extent_avg_2016.png"/>
                    <pic:cNvPicPr/>
                  </pic:nvPicPr>
                  <pic:blipFill>
                    <a:blip r:embed="rId101">
                      <a:extLst>
                        <a:ext uri="{28A0092B-C50C-407E-A947-70E740481C1C}">
                          <a14:useLocalDpi xmlns:a14="http://schemas.microsoft.com/office/drawing/2010/main" val="0"/>
                        </a:ext>
                      </a:extLst>
                    </a:blip>
                    <a:stretch>
                      <a:fillRect/>
                    </a:stretch>
                  </pic:blipFill>
                  <pic:spPr>
                    <a:xfrm>
                      <a:off x="0" y="0"/>
                      <a:ext cx="4092412" cy="1804256"/>
                    </a:xfrm>
                    <a:prstGeom prst="rect">
                      <a:avLst/>
                    </a:prstGeom>
                  </pic:spPr>
                </pic:pic>
              </a:graphicData>
            </a:graphic>
          </wp:inline>
        </w:drawing>
      </w:r>
    </w:p>
    <w:p w14:paraId="7733D7F6" w14:textId="36FED5CE" w:rsidR="00BC6300" w:rsidRPr="00CB093C" w:rsidRDefault="005132EF" w:rsidP="00BC6300">
      <w:pPr>
        <w:rPr>
          <w:rFonts w:ascii="Arial" w:hAnsi="Arial" w:cs="Arial"/>
          <w:i/>
          <w:szCs w:val="22"/>
        </w:rPr>
      </w:pPr>
      <w:bookmarkStart w:id="371" w:name="_Ref179449820"/>
      <w:bookmarkStart w:id="372" w:name="_Toc176158888"/>
      <w:bookmarkStart w:id="373" w:name="_Toc232845989"/>
      <w:bookmarkStart w:id="374" w:name="_Toc431493859"/>
      <w:bookmarkStart w:id="375" w:name="_Toc6402822"/>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57</w:t>
      </w:r>
      <w:r w:rsidR="0073595B" w:rsidRPr="00CB093C">
        <w:rPr>
          <w:rFonts w:ascii="Arial" w:hAnsi="Arial" w:cs="Arial"/>
          <w:szCs w:val="22"/>
        </w:rPr>
        <w:fldChar w:fldCharType="end"/>
      </w:r>
      <w:bookmarkEnd w:id="371"/>
      <w:r w:rsidRPr="00CB093C">
        <w:rPr>
          <w:rFonts w:ascii="Arial" w:hAnsi="Arial" w:cs="Arial"/>
          <w:szCs w:val="22"/>
        </w:rPr>
        <w:t>.</w:t>
      </w:r>
      <w:bookmarkEnd w:id="372"/>
      <w:bookmarkEnd w:id="373"/>
      <w:r w:rsidR="00BC6300" w:rsidRPr="00CB093C">
        <w:rPr>
          <w:rFonts w:ascii="Arial" w:hAnsi="Arial" w:cs="Arial"/>
          <w:szCs w:val="22"/>
        </w:rPr>
        <w:t xml:space="preserve"> </w:t>
      </w:r>
      <w:r w:rsidR="00BC6300" w:rsidRPr="00CB093C">
        <w:rPr>
          <w:rFonts w:ascii="Arial" w:hAnsi="Arial" w:cs="Arial"/>
          <w:i/>
          <w:szCs w:val="22"/>
        </w:rPr>
        <w:t xml:space="preserve">Change in spatial extent of seagrass meadows within monitoring sites for each </w:t>
      </w:r>
      <w:r w:rsidR="00B910F2" w:rsidRPr="00CB093C">
        <w:rPr>
          <w:rFonts w:ascii="Arial" w:hAnsi="Arial" w:cs="Arial"/>
          <w:i/>
          <w:szCs w:val="22"/>
        </w:rPr>
        <w:t xml:space="preserve">inshore intertidal </w:t>
      </w:r>
      <w:r w:rsidR="00BC6300" w:rsidRPr="00CB093C">
        <w:rPr>
          <w:rFonts w:ascii="Arial" w:hAnsi="Arial" w:cs="Arial"/>
          <w:i/>
          <w:szCs w:val="22"/>
        </w:rPr>
        <w:t>habitat and monitoring period across the Burdekin region</w:t>
      </w:r>
      <w:r w:rsidR="00B910F2" w:rsidRPr="00CB093C">
        <w:rPr>
          <w:rFonts w:ascii="Arial" w:hAnsi="Arial" w:cs="Arial"/>
          <w:i/>
          <w:szCs w:val="22"/>
        </w:rPr>
        <w:t>, 2005</w:t>
      </w:r>
      <w:r w:rsidR="00A675DA" w:rsidRPr="00CB093C">
        <w:rPr>
          <w:rFonts w:ascii="Arial" w:hAnsi="Arial" w:cs="Arial"/>
          <w:i/>
          <w:szCs w:val="22"/>
        </w:rPr>
        <w:t>–</w:t>
      </w:r>
      <w:r w:rsidR="00B910F2" w:rsidRPr="00CB093C">
        <w:rPr>
          <w:rFonts w:ascii="Arial" w:hAnsi="Arial" w:cs="Arial"/>
          <w:i/>
          <w:szCs w:val="22"/>
        </w:rPr>
        <w:t>201</w:t>
      </w:r>
      <w:r w:rsidR="00D40A36" w:rsidRPr="00CB093C">
        <w:rPr>
          <w:rFonts w:ascii="Arial" w:hAnsi="Arial" w:cs="Arial"/>
          <w:i/>
          <w:szCs w:val="22"/>
        </w:rPr>
        <w:t>8</w:t>
      </w:r>
      <w:r w:rsidR="00BC6300" w:rsidRPr="00CB093C">
        <w:rPr>
          <w:rFonts w:ascii="Arial" w:hAnsi="Arial" w:cs="Arial"/>
          <w:i/>
          <w:szCs w:val="22"/>
        </w:rPr>
        <w:t>.</w:t>
      </w:r>
      <w:bookmarkEnd w:id="374"/>
      <w:bookmarkEnd w:id="375"/>
    </w:p>
    <w:p w14:paraId="31042893" w14:textId="71519637" w:rsidR="005132EF" w:rsidRPr="00CB093C" w:rsidRDefault="005132EF" w:rsidP="000F3AC4">
      <w:pPr>
        <w:pStyle w:val="Heading3"/>
        <w:numPr>
          <w:ilvl w:val="3"/>
          <w:numId w:val="4"/>
        </w:numPr>
        <w:rPr>
          <w:rFonts w:ascii="Arial" w:hAnsi="Arial" w:cs="Arial"/>
          <w:b w:val="0"/>
          <w:i/>
          <w:color w:val="000000"/>
          <w:sz w:val="22"/>
          <w:szCs w:val="22"/>
        </w:rPr>
      </w:pPr>
      <w:bookmarkStart w:id="376" w:name="_Toc184102000"/>
      <w:bookmarkStart w:id="377" w:name="_Toc11394748"/>
      <w:r w:rsidRPr="00CB093C">
        <w:rPr>
          <w:rFonts w:ascii="Arial" w:hAnsi="Arial" w:cs="Arial"/>
          <w:b w:val="0"/>
          <w:i/>
          <w:color w:val="000000"/>
          <w:sz w:val="22"/>
          <w:szCs w:val="22"/>
        </w:rPr>
        <w:lastRenderedPageBreak/>
        <w:t>Seagrass reproductive status</w:t>
      </w:r>
      <w:bookmarkEnd w:id="376"/>
      <w:bookmarkEnd w:id="377"/>
    </w:p>
    <w:p w14:paraId="0795626D" w14:textId="3C5D9F38" w:rsidR="00270034" w:rsidRPr="00CB093C" w:rsidRDefault="00270034" w:rsidP="00B45034">
      <w:pPr>
        <w:autoSpaceDE w:val="0"/>
        <w:autoSpaceDN w:val="0"/>
        <w:adjustRightInd w:val="0"/>
        <w:spacing w:before="0" w:after="0"/>
        <w:rPr>
          <w:rFonts w:ascii="Arial" w:hAnsi="Arial" w:cs="Arial"/>
          <w:szCs w:val="22"/>
          <w:lang w:eastAsia="en-AU"/>
        </w:rPr>
      </w:pPr>
      <w:r w:rsidRPr="00CB093C">
        <w:rPr>
          <w:rFonts w:ascii="Arial" w:hAnsi="Arial" w:cs="Arial"/>
          <w:szCs w:val="22"/>
          <w:lang w:eastAsia="en-AU"/>
        </w:rPr>
        <w:t xml:space="preserve">Reproductive effort </w:t>
      </w:r>
      <w:r w:rsidR="00A9762D" w:rsidRPr="00CB093C">
        <w:rPr>
          <w:rFonts w:ascii="Arial" w:hAnsi="Arial" w:cs="Arial"/>
          <w:szCs w:val="22"/>
          <w:lang w:eastAsia="en-AU"/>
        </w:rPr>
        <w:t xml:space="preserve">is variable across Burdekin region habitats. Coastal habitats </w:t>
      </w:r>
      <w:r w:rsidR="003D0691" w:rsidRPr="00CB093C">
        <w:rPr>
          <w:rFonts w:ascii="Arial" w:hAnsi="Arial" w:cs="Arial"/>
          <w:szCs w:val="22"/>
          <w:lang w:eastAsia="en-AU"/>
        </w:rPr>
        <w:t>h</w:t>
      </w:r>
      <w:r w:rsidRPr="00CB093C">
        <w:rPr>
          <w:rFonts w:ascii="Arial" w:hAnsi="Arial" w:cs="Arial"/>
          <w:szCs w:val="22"/>
          <w:lang w:eastAsia="en-AU"/>
        </w:rPr>
        <w:t xml:space="preserve">ad been on an increasing trajectory </w:t>
      </w:r>
      <w:r w:rsidR="00A9762D" w:rsidRPr="00CB093C">
        <w:rPr>
          <w:rFonts w:ascii="Arial" w:hAnsi="Arial" w:cs="Arial"/>
          <w:szCs w:val="22"/>
          <w:lang w:eastAsia="en-AU"/>
        </w:rPr>
        <w:t>since 2012, and although fluctuating</w:t>
      </w:r>
      <w:r w:rsidRPr="00CB093C">
        <w:rPr>
          <w:rFonts w:ascii="Arial" w:hAnsi="Arial" w:cs="Arial"/>
          <w:szCs w:val="22"/>
          <w:lang w:eastAsia="en-AU"/>
        </w:rPr>
        <w:t xml:space="preserve"> </w:t>
      </w:r>
      <w:r w:rsidR="00A9762D" w:rsidRPr="00CB093C">
        <w:rPr>
          <w:rFonts w:ascii="Arial" w:hAnsi="Arial" w:cs="Arial"/>
          <w:szCs w:val="22"/>
          <w:lang w:eastAsia="en-AU"/>
        </w:rPr>
        <w:t xml:space="preserve">since 2016, </w:t>
      </w:r>
      <w:r w:rsidR="00915906" w:rsidRPr="00CB093C">
        <w:rPr>
          <w:rFonts w:ascii="Arial" w:hAnsi="Arial" w:cs="Arial"/>
          <w:szCs w:val="22"/>
          <w:lang w:eastAsia="en-AU"/>
        </w:rPr>
        <w:t>both reproductive effort and seed density</w:t>
      </w:r>
      <w:r w:rsidR="00475877" w:rsidRPr="00CB093C">
        <w:rPr>
          <w:rFonts w:ascii="Arial" w:hAnsi="Arial" w:cs="Arial"/>
          <w:szCs w:val="22"/>
          <w:lang w:eastAsia="en-AU"/>
        </w:rPr>
        <w:t xml:space="preserve"> </w:t>
      </w:r>
      <w:r w:rsidR="00915906" w:rsidRPr="00CB093C">
        <w:rPr>
          <w:rFonts w:ascii="Arial" w:hAnsi="Arial" w:cs="Arial"/>
          <w:szCs w:val="22"/>
          <w:lang w:eastAsia="en-AU"/>
        </w:rPr>
        <w:t>were</w:t>
      </w:r>
      <w:r w:rsidR="00475877" w:rsidRPr="00CB093C">
        <w:rPr>
          <w:rFonts w:ascii="Arial" w:hAnsi="Arial" w:cs="Arial"/>
          <w:szCs w:val="22"/>
          <w:lang w:eastAsia="en-AU"/>
        </w:rPr>
        <w:t xml:space="preserve"> higher than in other habitat types</w:t>
      </w:r>
      <w:r w:rsidR="00A9762D" w:rsidRPr="00CB093C">
        <w:rPr>
          <w:rFonts w:ascii="Arial" w:hAnsi="Arial" w:cs="Arial"/>
          <w:szCs w:val="22"/>
          <w:lang w:eastAsia="en-AU"/>
        </w:rPr>
        <w:t xml:space="preserve"> in </w:t>
      </w:r>
      <w:r w:rsidR="003654C6">
        <w:rPr>
          <w:rFonts w:ascii="Arial" w:hAnsi="Arial" w:cs="Arial"/>
          <w:szCs w:val="22"/>
          <w:lang w:eastAsia="en-AU"/>
        </w:rPr>
        <w:t>2017–18</w:t>
      </w:r>
      <w:r w:rsidR="00A9762D" w:rsidRPr="00CB093C">
        <w:rPr>
          <w:rFonts w:ascii="Arial" w:hAnsi="Arial" w:cs="Arial"/>
          <w:szCs w:val="22"/>
          <w:lang w:eastAsia="en-AU"/>
        </w:rPr>
        <w:t xml:space="preserve">. </w:t>
      </w:r>
      <w:r w:rsidR="007D5701" w:rsidRPr="00CB093C">
        <w:rPr>
          <w:rFonts w:ascii="Arial" w:hAnsi="Arial" w:cs="Arial"/>
          <w:szCs w:val="22"/>
          <w:lang w:eastAsia="en-AU"/>
        </w:rPr>
        <w:t xml:space="preserve">At reef intertidal sites, reproductive effort has remained low, </w:t>
      </w:r>
      <w:r w:rsidR="00A9762D" w:rsidRPr="00CB093C">
        <w:rPr>
          <w:rFonts w:ascii="Arial" w:hAnsi="Arial" w:cs="Arial"/>
          <w:szCs w:val="22"/>
          <w:lang w:eastAsia="en-AU"/>
        </w:rPr>
        <w:t xml:space="preserve">with </w:t>
      </w:r>
      <w:r w:rsidR="00D34CC2" w:rsidRPr="00CB093C">
        <w:rPr>
          <w:rFonts w:ascii="Arial" w:hAnsi="Arial" w:cs="Arial"/>
          <w:szCs w:val="22"/>
          <w:lang w:eastAsia="en-AU"/>
        </w:rPr>
        <w:t xml:space="preserve">similarly </w:t>
      </w:r>
      <w:r w:rsidR="00A9762D" w:rsidRPr="00CB093C">
        <w:rPr>
          <w:rFonts w:ascii="Arial" w:hAnsi="Arial" w:cs="Arial"/>
          <w:szCs w:val="22"/>
          <w:lang w:eastAsia="en-AU"/>
        </w:rPr>
        <w:t>low</w:t>
      </w:r>
      <w:r w:rsidR="009A51A0" w:rsidRPr="00CB093C">
        <w:rPr>
          <w:rFonts w:ascii="Arial" w:hAnsi="Arial" w:cs="Arial"/>
          <w:szCs w:val="22"/>
          <w:lang w:eastAsia="en-AU"/>
        </w:rPr>
        <w:t xml:space="preserve"> </w:t>
      </w:r>
      <w:r w:rsidR="00A9762D" w:rsidRPr="00CB093C">
        <w:rPr>
          <w:rFonts w:ascii="Arial" w:hAnsi="Arial" w:cs="Arial"/>
          <w:szCs w:val="22"/>
          <w:lang w:eastAsia="en-AU"/>
        </w:rPr>
        <w:t xml:space="preserve">seed densities </w:t>
      </w:r>
      <w:r w:rsidR="00D34CC2" w:rsidRPr="00CB093C">
        <w:rPr>
          <w:rFonts w:ascii="Arial" w:hAnsi="Arial" w:cs="Arial"/>
          <w:szCs w:val="22"/>
          <w:lang w:eastAsia="en-AU"/>
        </w:rPr>
        <w:t>due to lack of replenishment</w:t>
      </w:r>
      <w:r w:rsidR="009A51A0" w:rsidRPr="00CB093C">
        <w:rPr>
          <w:rFonts w:ascii="Arial" w:hAnsi="Arial" w:cs="Arial"/>
          <w:szCs w:val="22"/>
          <w:lang w:eastAsia="en-AU"/>
        </w:rPr>
        <w:t>. By contrast, although reproductive effort is typically low a</w:t>
      </w:r>
      <w:r w:rsidR="007D5701" w:rsidRPr="00CB093C">
        <w:rPr>
          <w:rFonts w:ascii="Arial" w:hAnsi="Arial" w:cs="Arial"/>
          <w:szCs w:val="22"/>
          <w:lang w:eastAsia="en-AU"/>
        </w:rPr>
        <w:t xml:space="preserve">t reef subtidal sites, </w:t>
      </w:r>
      <w:r w:rsidR="009A51A0" w:rsidRPr="00CB093C">
        <w:rPr>
          <w:rFonts w:ascii="Arial" w:hAnsi="Arial" w:cs="Arial"/>
          <w:szCs w:val="22"/>
          <w:lang w:eastAsia="en-AU"/>
        </w:rPr>
        <w:t xml:space="preserve">a seed bank has built up from 2011, and was maintained </w:t>
      </w:r>
      <w:r w:rsidR="00E255DB" w:rsidRPr="00CB093C">
        <w:rPr>
          <w:rFonts w:ascii="Arial" w:hAnsi="Arial" w:cs="Arial"/>
          <w:szCs w:val="22"/>
          <w:lang w:eastAsia="en-AU"/>
        </w:rPr>
        <w:t>this year</w:t>
      </w:r>
      <w:r w:rsidR="009A51A0" w:rsidRPr="00CB093C">
        <w:rPr>
          <w:rFonts w:ascii="Arial" w:hAnsi="Arial" w:cs="Arial"/>
          <w:szCs w:val="22"/>
          <w:lang w:eastAsia="en-AU"/>
        </w:rPr>
        <w:t xml:space="preserve"> </w:t>
      </w:r>
      <w:r w:rsidR="008968C5" w:rsidRPr="00CB093C">
        <w:rPr>
          <w:rFonts w:ascii="Arial" w:hAnsi="Arial" w:cs="Arial"/>
          <w:szCs w:val="22"/>
          <w:lang w:eastAsia="en-AU"/>
        </w:rPr>
        <w:t>(</w:t>
      </w:r>
      <w:r w:rsidR="008968C5" w:rsidRPr="00CB093C">
        <w:rPr>
          <w:rFonts w:ascii="Arial" w:hAnsi="Arial" w:cs="Arial"/>
          <w:szCs w:val="22"/>
          <w:lang w:eastAsia="en-AU"/>
        </w:rPr>
        <w:fldChar w:fldCharType="begin"/>
      </w:r>
      <w:r w:rsidR="008968C5" w:rsidRPr="00CB093C">
        <w:rPr>
          <w:rFonts w:ascii="Arial" w:hAnsi="Arial" w:cs="Arial"/>
          <w:szCs w:val="22"/>
          <w:lang w:eastAsia="en-AU"/>
        </w:rPr>
        <w:instrText xml:space="preserve"> REF _Ref271531417 \h </w:instrText>
      </w:r>
      <w:r w:rsidR="00580DDA" w:rsidRPr="00CB093C">
        <w:rPr>
          <w:rFonts w:ascii="Arial" w:hAnsi="Arial" w:cs="Arial"/>
          <w:szCs w:val="22"/>
          <w:lang w:eastAsia="en-AU"/>
        </w:rPr>
        <w:instrText xml:space="preserve"> \* MERGEFORMAT </w:instrText>
      </w:r>
      <w:r w:rsidR="008968C5" w:rsidRPr="00CB093C">
        <w:rPr>
          <w:rFonts w:ascii="Arial" w:hAnsi="Arial" w:cs="Arial"/>
          <w:szCs w:val="22"/>
          <w:lang w:eastAsia="en-AU"/>
        </w:rPr>
      </w:r>
      <w:r w:rsidR="008968C5" w:rsidRPr="00CB093C">
        <w:rPr>
          <w:rFonts w:ascii="Arial" w:hAnsi="Arial" w:cs="Arial"/>
          <w:szCs w:val="22"/>
          <w:lang w:eastAsia="en-AU"/>
        </w:rPr>
        <w:fldChar w:fldCharType="separate"/>
      </w:r>
      <w:r w:rsidR="005F00D4" w:rsidRPr="00CB093C">
        <w:rPr>
          <w:rFonts w:ascii="Arial" w:hAnsi="Arial" w:cs="Arial"/>
          <w:szCs w:val="22"/>
        </w:rPr>
        <w:t xml:space="preserve">Figure </w:t>
      </w:r>
      <w:r w:rsidR="005F00D4">
        <w:rPr>
          <w:rFonts w:ascii="Arial" w:hAnsi="Arial" w:cs="Arial"/>
          <w:noProof/>
          <w:szCs w:val="22"/>
        </w:rPr>
        <w:t>58</w:t>
      </w:r>
      <w:r w:rsidR="008968C5" w:rsidRPr="00CB093C">
        <w:rPr>
          <w:rFonts w:ascii="Arial" w:hAnsi="Arial" w:cs="Arial"/>
          <w:szCs w:val="22"/>
          <w:lang w:eastAsia="en-AU"/>
        </w:rPr>
        <w:fldChar w:fldCharType="end"/>
      </w:r>
      <w:r w:rsidR="008968C5" w:rsidRPr="00CB093C">
        <w:rPr>
          <w:rFonts w:ascii="Arial" w:hAnsi="Arial" w:cs="Arial"/>
          <w:szCs w:val="22"/>
          <w:lang w:eastAsia="en-AU"/>
        </w:rPr>
        <w:t xml:space="preserve">). </w:t>
      </w:r>
    </w:p>
    <w:p w14:paraId="08EDACF8" w14:textId="77777777" w:rsidR="00270034" w:rsidRPr="00CB093C" w:rsidRDefault="00015AD8" w:rsidP="000F45DC">
      <w:pPr>
        <w:keepNext/>
        <w:widowControl w:val="0"/>
        <w:spacing w:after="0"/>
        <w:jc w:val="center"/>
        <w:rPr>
          <w:rFonts w:ascii="Arial" w:hAnsi="Arial" w:cs="Arial"/>
          <w:noProof/>
          <w:color w:val="000000"/>
          <w:szCs w:val="22"/>
          <w:lang w:eastAsia="en-AU"/>
        </w:rPr>
      </w:pPr>
      <w:r w:rsidRPr="00CB093C">
        <w:rPr>
          <w:rFonts w:ascii="Arial" w:hAnsi="Arial" w:cs="Arial"/>
          <w:noProof/>
          <w:color w:val="000000"/>
          <w:szCs w:val="22"/>
          <w:lang w:val="en-US"/>
        </w:rPr>
        <w:drawing>
          <wp:inline distT="0" distB="0" distL="0" distR="0" wp14:anchorId="7D012F1C" wp14:editId="3094746A">
            <wp:extent cx="5744224" cy="1384885"/>
            <wp:effectExtent l="0" t="0" r="0" b="6350"/>
            <wp:docPr id="301" name="Picture 301" descr="Panel of three composite bar and scatter plot graphs showing seed banks (bars) and reproductive effort (dots) at inshore seagrass habitats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 name="B_repro16.png"/>
                    <pic:cNvPicPr/>
                  </pic:nvPicPr>
                  <pic:blipFill>
                    <a:blip r:embed="rId102">
                      <a:extLst>
                        <a:ext uri="{28A0092B-C50C-407E-A947-70E740481C1C}">
                          <a14:useLocalDpi xmlns:a14="http://schemas.microsoft.com/office/drawing/2010/main" val="0"/>
                        </a:ext>
                      </a:extLst>
                    </a:blip>
                    <a:stretch>
                      <a:fillRect/>
                    </a:stretch>
                  </pic:blipFill>
                  <pic:spPr>
                    <a:xfrm>
                      <a:off x="0" y="0"/>
                      <a:ext cx="5744224" cy="1384885"/>
                    </a:xfrm>
                    <a:prstGeom prst="rect">
                      <a:avLst/>
                    </a:prstGeom>
                  </pic:spPr>
                </pic:pic>
              </a:graphicData>
            </a:graphic>
          </wp:inline>
        </w:drawing>
      </w:r>
    </w:p>
    <w:p w14:paraId="21115081" w14:textId="4E0F2A26" w:rsidR="0075536C" w:rsidRPr="00CB093C" w:rsidRDefault="005132EF" w:rsidP="0075536C">
      <w:pPr>
        <w:rPr>
          <w:rFonts w:ascii="Arial" w:hAnsi="Arial" w:cs="Arial"/>
          <w:i/>
          <w:vanish/>
          <w:color w:val="000000"/>
          <w:szCs w:val="22"/>
          <w:specVanish/>
        </w:rPr>
      </w:pPr>
      <w:bookmarkStart w:id="378" w:name="_Ref271531417"/>
      <w:bookmarkStart w:id="379" w:name="_Toc431493860"/>
      <w:bookmarkStart w:id="380" w:name="_Toc6402823"/>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58</w:t>
      </w:r>
      <w:r w:rsidR="00C506C7" w:rsidRPr="00CB093C">
        <w:rPr>
          <w:rFonts w:ascii="Arial" w:hAnsi="Arial" w:cs="Arial"/>
          <w:noProof/>
          <w:szCs w:val="22"/>
        </w:rPr>
        <w:fldChar w:fldCharType="end"/>
      </w:r>
      <w:bookmarkEnd w:id="378"/>
      <w:r w:rsidRPr="00CB093C">
        <w:rPr>
          <w:rFonts w:ascii="Arial" w:hAnsi="Arial" w:cs="Arial"/>
          <w:szCs w:val="22"/>
        </w:rPr>
        <w:t xml:space="preserve">. </w:t>
      </w:r>
      <w:r w:rsidR="00CF6835" w:rsidRPr="00CB093C">
        <w:rPr>
          <w:rFonts w:ascii="Arial" w:hAnsi="Arial" w:cs="Arial"/>
          <w:i/>
          <w:szCs w:val="22"/>
        </w:rPr>
        <w:t>R</w:t>
      </w:r>
      <w:r w:rsidR="00B910F2" w:rsidRPr="00CB093C">
        <w:rPr>
          <w:rFonts w:ascii="Arial" w:hAnsi="Arial" w:cs="Arial"/>
          <w:i/>
          <w:szCs w:val="22"/>
        </w:rPr>
        <w:t xml:space="preserve">eproductive effort at inshore intertidal </w:t>
      </w:r>
      <w:r w:rsidR="00C72F27" w:rsidRPr="00CB093C">
        <w:rPr>
          <w:rFonts w:ascii="Arial" w:hAnsi="Arial" w:cs="Arial"/>
          <w:i/>
          <w:szCs w:val="22"/>
        </w:rPr>
        <w:t xml:space="preserve">coast and reef </w:t>
      </w:r>
      <w:r w:rsidR="00CA2B35" w:rsidRPr="00CB093C">
        <w:rPr>
          <w:rFonts w:ascii="Arial" w:hAnsi="Arial" w:cs="Arial"/>
          <w:i/>
          <w:szCs w:val="22"/>
        </w:rPr>
        <w:t xml:space="preserve">and subtidal reef </w:t>
      </w:r>
      <w:r w:rsidR="00B910F2" w:rsidRPr="00CB093C">
        <w:rPr>
          <w:rFonts w:ascii="Arial" w:hAnsi="Arial" w:cs="Arial"/>
          <w:i/>
          <w:szCs w:val="22"/>
        </w:rPr>
        <w:t>habitats in the Burdekin region</w:t>
      </w:r>
      <w:r w:rsidR="00C72F27" w:rsidRPr="00CB093C">
        <w:rPr>
          <w:rFonts w:ascii="Arial" w:hAnsi="Arial" w:cs="Arial"/>
          <w:i/>
          <w:szCs w:val="22"/>
        </w:rPr>
        <w:t>.</w:t>
      </w:r>
      <w:bookmarkEnd w:id="379"/>
      <w:bookmarkEnd w:id="380"/>
      <w:r w:rsidR="00B910F2" w:rsidRPr="00CB093C">
        <w:rPr>
          <w:rFonts w:ascii="Arial" w:hAnsi="Arial" w:cs="Arial"/>
          <w:i/>
          <w:vanish/>
          <w:szCs w:val="22"/>
          <w:specVanish/>
        </w:rPr>
        <w:t xml:space="preserve"> </w:t>
      </w:r>
      <w:r w:rsidR="00C72F27" w:rsidRPr="00CB093C">
        <w:rPr>
          <w:rFonts w:ascii="Arial" w:hAnsi="Arial" w:cs="Arial"/>
          <w:i/>
          <w:szCs w:val="22"/>
        </w:rPr>
        <w:t xml:space="preserve"> </w:t>
      </w:r>
    </w:p>
    <w:p w14:paraId="304A375C" w14:textId="77777777" w:rsidR="00270034" w:rsidRPr="00CB093C" w:rsidRDefault="00B910F2" w:rsidP="00F31F8D">
      <w:pPr>
        <w:rPr>
          <w:rFonts w:ascii="Arial" w:hAnsi="Arial" w:cs="Arial"/>
          <w:iCs/>
          <w:color w:val="000000"/>
          <w:szCs w:val="22"/>
        </w:rPr>
      </w:pPr>
      <w:r w:rsidRPr="00CB093C">
        <w:rPr>
          <w:rFonts w:ascii="Arial" w:hAnsi="Arial" w:cs="Arial"/>
          <w:i/>
          <w:szCs w:val="22"/>
        </w:rPr>
        <w:t>Seed bank presented as the total number of seeds per m</w:t>
      </w:r>
      <w:r w:rsidRPr="00CB093C">
        <w:rPr>
          <w:rFonts w:ascii="Arial" w:hAnsi="Arial" w:cs="Arial"/>
          <w:i/>
          <w:szCs w:val="22"/>
          <w:vertAlign w:val="superscript"/>
        </w:rPr>
        <w:t>2</w:t>
      </w:r>
      <w:r w:rsidRPr="00CB093C">
        <w:rPr>
          <w:rFonts w:ascii="Arial" w:hAnsi="Arial" w:cs="Arial"/>
          <w:i/>
          <w:szCs w:val="22"/>
        </w:rPr>
        <w:t xml:space="preserve"> sediment surface</w:t>
      </w:r>
      <w:r w:rsidR="00B65283" w:rsidRPr="00CB093C">
        <w:rPr>
          <w:rFonts w:ascii="Arial" w:hAnsi="Arial" w:cs="Arial"/>
          <w:i/>
          <w:szCs w:val="22"/>
        </w:rPr>
        <w:t xml:space="preserve"> (bars ±SE)</w:t>
      </w:r>
      <w:r w:rsidRPr="00CB093C">
        <w:rPr>
          <w:rFonts w:ascii="Arial" w:hAnsi="Arial" w:cs="Arial"/>
          <w:i/>
          <w:szCs w:val="22"/>
        </w:rPr>
        <w:t>, and late dry season reproductive effort presented as the average number of reproductive structures per core (species and sites pooled)</w:t>
      </w:r>
      <w:r w:rsidR="00B65283" w:rsidRPr="00CB093C">
        <w:rPr>
          <w:rFonts w:ascii="Arial" w:hAnsi="Arial" w:cs="Arial"/>
          <w:i/>
          <w:szCs w:val="22"/>
        </w:rPr>
        <w:t xml:space="preserve"> (dots ±SE)</w:t>
      </w:r>
      <w:r w:rsidRPr="00CB093C">
        <w:rPr>
          <w:rFonts w:ascii="Arial" w:hAnsi="Arial" w:cs="Arial"/>
          <w:i/>
          <w:szCs w:val="22"/>
        </w:rPr>
        <w:t xml:space="preserve">. </w:t>
      </w:r>
      <w:r w:rsidR="00C72F27" w:rsidRPr="00CB093C">
        <w:rPr>
          <w:rFonts w:ascii="Arial" w:hAnsi="Arial" w:cs="Arial"/>
          <w:i/>
          <w:szCs w:val="22"/>
        </w:rPr>
        <w:t>NB: Y-axis scale for seed banks</w:t>
      </w:r>
      <w:r w:rsidR="005132EF" w:rsidRPr="00CB093C">
        <w:rPr>
          <w:rFonts w:ascii="Arial" w:hAnsi="Arial" w:cs="Arial"/>
          <w:i/>
          <w:szCs w:val="22"/>
        </w:rPr>
        <w:t xml:space="preserve"> </w:t>
      </w:r>
      <w:r w:rsidR="00C72F27" w:rsidRPr="00CB093C">
        <w:rPr>
          <w:rFonts w:ascii="Arial" w:hAnsi="Arial" w:cs="Arial"/>
          <w:i/>
          <w:szCs w:val="22"/>
        </w:rPr>
        <w:t>differ</w:t>
      </w:r>
      <w:r w:rsidR="00B65283" w:rsidRPr="00CB093C">
        <w:rPr>
          <w:rFonts w:ascii="Arial" w:hAnsi="Arial" w:cs="Arial"/>
          <w:i/>
          <w:szCs w:val="22"/>
        </w:rPr>
        <w:t>s</w:t>
      </w:r>
      <w:r w:rsidR="00C72F27" w:rsidRPr="00CB093C">
        <w:rPr>
          <w:rFonts w:ascii="Arial" w:hAnsi="Arial" w:cs="Arial"/>
          <w:i/>
          <w:szCs w:val="22"/>
        </w:rPr>
        <w:t xml:space="preserve"> between habitats.</w:t>
      </w:r>
      <w:r w:rsidRPr="00CB093C">
        <w:rPr>
          <w:rFonts w:ascii="Arial" w:hAnsi="Arial" w:cs="Arial"/>
          <w:szCs w:val="22"/>
        </w:rPr>
        <w:t xml:space="preserve"> </w:t>
      </w:r>
    </w:p>
    <w:p w14:paraId="44B20DFD" w14:textId="702AC82D" w:rsidR="003E679B" w:rsidRPr="00CB093C" w:rsidRDefault="003E679B" w:rsidP="000F3AC4">
      <w:pPr>
        <w:pStyle w:val="Heading3"/>
        <w:numPr>
          <w:ilvl w:val="3"/>
          <w:numId w:val="4"/>
        </w:numPr>
        <w:rPr>
          <w:rFonts w:ascii="Arial" w:hAnsi="Arial" w:cs="Arial"/>
          <w:b w:val="0"/>
          <w:i/>
          <w:color w:val="000000"/>
          <w:sz w:val="22"/>
          <w:szCs w:val="22"/>
        </w:rPr>
      </w:pPr>
      <w:bookmarkStart w:id="381" w:name="_Toc11394749"/>
      <w:r w:rsidRPr="00CB093C">
        <w:rPr>
          <w:rFonts w:ascii="Arial" w:hAnsi="Arial" w:cs="Arial"/>
          <w:b w:val="0"/>
          <w:i/>
          <w:color w:val="000000"/>
          <w:sz w:val="22"/>
          <w:szCs w:val="22"/>
        </w:rPr>
        <w:t>Seagrass leaf tissue nutrients</w:t>
      </w:r>
      <w:bookmarkEnd w:id="381"/>
    </w:p>
    <w:p w14:paraId="23C2613F" w14:textId="3D65BF70" w:rsidR="00270034" w:rsidRPr="00CB093C" w:rsidRDefault="00270034" w:rsidP="00270034">
      <w:pPr>
        <w:rPr>
          <w:rFonts w:ascii="Arial" w:hAnsi="Arial" w:cs="Arial"/>
          <w:szCs w:val="22"/>
        </w:rPr>
      </w:pPr>
      <w:r w:rsidRPr="00CB093C">
        <w:rPr>
          <w:rFonts w:ascii="Arial" w:hAnsi="Arial" w:cs="Arial"/>
          <w:szCs w:val="22"/>
        </w:rPr>
        <w:t xml:space="preserve">Seagrass leaf tissue molar C:N ratios </w:t>
      </w:r>
      <w:r w:rsidR="0049434E" w:rsidRPr="00CB093C">
        <w:rPr>
          <w:rFonts w:ascii="Arial" w:hAnsi="Arial" w:cs="Arial"/>
          <w:szCs w:val="22"/>
        </w:rPr>
        <w:t>remained unchanged at</w:t>
      </w:r>
      <w:r w:rsidR="00B24AAD" w:rsidRPr="00CB093C">
        <w:rPr>
          <w:rFonts w:ascii="Arial" w:hAnsi="Arial" w:cs="Arial"/>
          <w:szCs w:val="22"/>
        </w:rPr>
        <w:t xml:space="preserve"> coastal habitats </w:t>
      </w:r>
      <w:r w:rsidR="00C66143" w:rsidRPr="00CB093C">
        <w:rPr>
          <w:rFonts w:ascii="Arial" w:hAnsi="Arial" w:cs="Arial"/>
          <w:szCs w:val="22"/>
        </w:rPr>
        <w:t xml:space="preserve">in </w:t>
      </w:r>
      <w:r w:rsidR="003654C6">
        <w:rPr>
          <w:rFonts w:ascii="Arial" w:hAnsi="Arial" w:cs="Arial"/>
          <w:szCs w:val="22"/>
        </w:rPr>
        <w:t>2017–18</w:t>
      </w:r>
      <w:r w:rsidR="0049434E" w:rsidRPr="00CB093C">
        <w:rPr>
          <w:rFonts w:ascii="Arial" w:hAnsi="Arial" w:cs="Arial"/>
          <w:szCs w:val="22"/>
        </w:rPr>
        <w:t xml:space="preserve"> after</w:t>
      </w:r>
      <w:r w:rsidR="00C66143" w:rsidRPr="00CB093C">
        <w:rPr>
          <w:rFonts w:ascii="Arial" w:hAnsi="Arial" w:cs="Arial"/>
          <w:szCs w:val="22"/>
        </w:rPr>
        <w:t xml:space="preserve"> </w:t>
      </w:r>
      <w:r w:rsidR="00B24AAD" w:rsidRPr="00CB093C">
        <w:rPr>
          <w:rFonts w:ascii="Arial" w:hAnsi="Arial" w:cs="Arial"/>
          <w:szCs w:val="22"/>
        </w:rPr>
        <w:t>reaching historical maxima</w:t>
      </w:r>
      <w:r w:rsidR="0049434E" w:rsidRPr="00CB093C">
        <w:rPr>
          <w:rFonts w:ascii="Arial" w:hAnsi="Arial" w:cs="Arial"/>
          <w:szCs w:val="22"/>
        </w:rPr>
        <w:t xml:space="preserve"> in 2016</w:t>
      </w:r>
      <w:r w:rsidR="00A675DA" w:rsidRPr="00CB093C">
        <w:rPr>
          <w:rFonts w:ascii="Arial" w:hAnsi="Arial" w:cs="Arial"/>
          <w:szCs w:val="22"/>
        </w:rPr>
        <w:t>–</w:t>
      </w:r>
      <w:r w:rsidR="002215CF" w:rsidRPr="00CB093C">
        <w:rPr>
          <w:rFonts w:ascii="Arial" w:hAnsi="Arial" w:cs="Arial"/>
          <w:szCs w:val="22"/>
        </w:rPr>
        <w:t>20</w:t>
      </w:r>
      <w:r w:rsidR="0049434E" w:rsidRPr="00CB093C">
        <w:rPr>
          <w:rFonts w:ascii="Arial" w:hAnsi="Arial" w:cs="Arial"/>
          <w:szCs w:val="22"/>
        </w:rPr>
        <w:t>17</w:t>
      </w:r>
      <w:r w:rsidR="00B24AAD" w:rsidRPr="00CB093C">
        <w:rPr>
          <w:rFonts w:ascii="Arial" w:hAnsi="Arial" w:cs="Arial"/>
          <w:szCs w:val="22"/>
        </w:rPr>
        <w:t xml:space="preserve"> </w:t>
      </w:r>
      <w:r w:rsidRPr="00CB093C">
        <w:rPr>
          <w:rFonts w:ascii="Arial" w:hAnsi="Arial" w:cs="Arial"/>
          <w:szCs w:val="22"/>
        </w:rPr>
        <w:t>(</w:t>
      </w:r>
      <w:r w:rsidR="002C452C" w:rsidRPr="00CB093C">
        <w:rPr>
          <w:rFonts w:ascii="Arial" w:hAnsi="Arial" w:cs="Arial"/>
          <w:szCs w:val="22"/>
        </w:rPr>
        <w:fldChar w:fldCharType="begin"/>
      </w:r>
      <w:r w:rsidR="002C452C" w:rsidRPr="00CB093C">
        <w:rPr>
          <w:rFonts w:ascii="Arial" w:hAnsi="Arial" w:cs="Arial"/>
          <w:szCs w:val="22"/>
        </w:rPr>
        <w:instrText xml:space="preserve"> REF _Ref271126020 \h </w:instrText>
      </w:r>
      <w:r w:rsidR="00580DDA" w:rsidRPr="00CB093C">
        <w:rPr>
          <w:rFonts w:ascii="Arial" w:hAnsi="Arial" w:cs="Arial"/>
          <w:szCs w:val="22"/>
        </w:rPr>
        <w:instrText xml:space="preserve"> \* MERGEFORMAT </w:instrText>
      </w:r>
      <w:r w:rsidR="002C452C" w:rsidRPr="00CB093C">
        <w:rPr>
          <w:rFonts w:ascii="Arial" w:hAnsi="Arial" w:cs="Arial"/>
          <w:szCs w:val="22"/>
        </w:rPr>
      </w:r>
      <w:r w:rsidR="002C452C" w:rsidRPr="00CB093C">
        <w:rPr>
          <w:rFonts w:ascii="Arial" w:hAnsi="Arial" w:cs="Arial"/>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59</w:t>
      </w:r>
      <w:r w:rsidR="002C452C" w:rsidRPr="00CB093C">
        <w:rPr>
          <w:rFonts w:ascii="Arial" w:hAnsi="Arial" w:cs="Arial"/>
          <w:szCs w:val="22"/>
        </w:rPr>
        <w:fldChar w:fldCharType="end"/>
      </w:r>
      <w:r w:rsidRPr="00CB093C">
        <w:rPr>
          <w:rFonts w:ascii="Arial" w:hAnsi="Arial" w:cs="Arial"/>
          <w:szCs w:val="22"/>
        </w:rPr>
        <w:t xml:space="preserve">). </w:t>
      </w:r>
      <w:r w:rsidR="00B24AAD" w:rsidRPr="00CB093C">
        <w:rPr>
          <w:rFonts w:ascii="Arial" w:hAnsi="Arial" w:cs="Arial"/>
          <w:szCs w:val="22"/>
        </w:rPr>
        <w:t xml:space="preserve">There were also small </w:t>
      </w:r>
      <w:r w:rsidR="0049434E" w:rsidRPr="00CB093C">
        <w:rPr>
          <w:rFonts w:ascii="Arial" w:hAnsi="Arial" w:cs="Arial"/>
          <w:szCs w:val="22"/>
        </w:rPr>
        <w:t>de</w:t>
      </w:r>
      <w:r w:rsidR="00B24AAD" w:rsidRPr="00CB093C">
        <w:rPr>
          <w:rFonts w:ascii="Arial" w:hAnsi="Arial" w:cs="Arial"/>
          <w:szCs w:val="22"/>
        </w:rPr>
        <w:t>creases at reef habitat</w:t>
      </w:r>
      <w:r w:rsidR="0049434E" w:rsidRPr="00CB093C">
        <w:rPr>
          <w:rFonts w:ascii="Arial" w:hAnsi="Arial" w:cs="Arial"/>
          <w:szCs w:val="22"/>
        </w:rPr>
        <w:t>s</w:t>
      </w:r>
      <w:r w:rsidR="00B24AAD" w:rsidRPr="00CB093C">
        <w:rPr>
          <w:rFonts w:ascii="Arial" w:hAnsi="Arial" w:cs="Arial"/>
          <w:szCs w:val="22"/>
        </w:rPr>
        <w:t xml:space="preserve">, where the values were </w:t>
      </w:r>
      <w:r w:rsidR="0049434E" w:rsidRPr="00CB093C">
        <w:rPr>
          <w:rFonts w:ascii="Arial" w:hAnsi="Arial" w:cs="Arial"/>
          <w:szCs w:val="22"/>
        </w:rPr>
        <w:t xml:space="preserve">at or just </w:t>
      </w:r>
      <w:r w:rsidR="00B24AAD" w:rsidRPr="00CB093C">
        <w:rPr>
          <w:rFonts w:ascii="Arial" w:hAnsi="Arial" w:cs="Arial"/>
          <w:szCs w:val="22"/>
        </w:rPr>
        <w:t>above the</w:t>
      </w:r>
      <w:r w:rsidRPr="00CB093C">
        <w:rPr>
          <w:rFonts w:ascii="Arial" w:hAnsi="Arial" w:cs="Arial"/>
          <w:szCs w:val="22"/>
        </w:rPr>
        <w:t xml:space="preserve"> threshold value (C:N &lt;20) </w:t>
      </w:r>
      <w:r w:rsidR="00C66143" w:rsidRPr="00CB093C">
        <w:rPr>
          <w:rFonts w:ascii="Arial" w:hAnsi="Arial" w:cs="Arial"/>
          <w:szCs w:val="22"/>
        </w:rPr>
        <w:t xml:space="preserve">that </w:t>
      </w:r>
      <w:r w:rsidRPr="00CB093C">
        <w:rPr>
          <w:rFonts w:ascii="Arial" w:hAnsi="Arial" w:cs="Arial"/>
          <w:szCs w:val="22"/>
        </w:rPr>
        <w:t>indicat</w:t>
      </w:r>
      <w:r w:rsidR="00C66143" w:rsidRPr="00CB093C">
        <w:rPr>
          <w:rFonts w:ascii="Arial" w:hAnsi="Arial" w:cs="Arial"/>
          <w:szCs w:val="22"/>
        </w:rPr>
        <w:t>es</w:t>
      </w:r>
      <w:r w:rsidRPr="00CB093C">
        <w:rPr>
          <w:rFonts w:ascii="Arial" w:hAnsi="Arial" w:cs="Arial"/>
          <w:szCs w:val="22"/>
        </w:rPr>
        <w:t xml:space="preserve"> </w:t>
      </w:r>
      <w:r w:rsidR="00A65C8A" w:rsidRPr="00CB093C">
        <w:rPr>
          <w:rFonts w:ascii="Arial" w:hAnsi="Arial" w:cs="Arial"/>
          <w:szCs w:val="22"/>
        </w:rPr>
        <w:t>that nitrogen is not in supply at a rate in excess of growth requirements (i.e. N limited)</w:t>
      </w:r>
      <w:r w:rsidR="00B24AAD" w:rsidRPr="00CB093C">
        <w:rPr>
          <w:rFonts w:ascii="Arial" w:hAnsi="Arial" w:cs="Arial"/>
          <w:szCs w:val="22"/>
        </w:rPr>
        <w:t xml:space="preserve">. The </w:t>
      </w:r>
      <w:r w:rsidR="0049434E" w:rsidRPr="00CB093C">
        <w:rPr>
          <w:rFonts w:ascii="Arial" w:hAnsi="Arial" w:cs="Arial"/>
          <w:szCs w:val="22"/>
        </w:rPr>
        <w:t>increase</w:t>
      </w:r>
      <w:r w:rsidR="00B24AAD" w:rsidRPr="00CB093C">
        <w:rPr>
          <w:rFonts w:ascii="Arial" w:hAnsi="Arial" w:cs="Arial"/>
          <w:szCs w:val="22"/>
        </w:rPr>
        <w:t xml:space="preserve"> in</w:t>
      </w:r>
      <w:r w:rsidRPr="00CB093C">
        <w:rPr>
          <w:rFonts w:ascii="Arial" w:hAnsi="Arial" w:cs="Arial"/>
          <w:szCs w:val="22"/>
        </w:rPr>
        <w:t xml:space="preserve"> N:P at </w:t>
      </w:r>
      <w:r w:rsidR="003B14EE" w:rsidRPr="00CB093C">
        <w:rPr>
          <w:rFonts w:ascii="Arial" w:hAnsi="Arial" w:cs="Arial"/>
          <w:szCs w:val="22"/>
        </w:rPr>
        <w:t>all</w:t>
      </w:r>
      <w:r w:rsidRPr="00CB093C">
        <w:rPr>
          <w:rFonts w:ascii="Arial" w:hAnsi="Arial" w:cs="Arial"/>
          <w:szCs w:val="22"/>
        </w:rPr>
        <w:t xml:space="preserve"> </w:t>
      </w:r>
      <w:r w:rsidR="0049434E" w:rsidRPr="00CB093C">
        <w:rPr>
          <w:rFonts w:ascii="Arial" w:hAnsi="Arial" w:cs="Arial"/>
          <w:szCs w:val="22"/>
        </w:rPr>
        <w:t>habitats</w:t>
      </w:r>
      <w:r w:rsidRPr="00CB093C">
        <w:rPr>
          <w:rFonts w:ascii="Arial" w:hAnsi="Arial" w:cs="Arial"/>
          <w:szCs w:val="22"/>
        </w:rPr>
        <w:t xml:space="preserve"> suggest</w:t>
      </w:r>
      <w:r w:rsidR="00B24AAD" w:rsidRPr="00CB093C">
        <w:rPr>
          <w:rFonts w:ascii="Arial" w:hAnsi="Arial" w:cs="Arial"/>
          <w:szCs w:val="22"/>
        </w:rPr>
        <w:t>s</w:t>
      </w:r>
      <w:r w:rsidRPr="00CB093C">
        <w:rPr>
          <w:rFonts w:ascii="Arial" w:hAnsi="Arial" w:cs="Arial"/>
          <w:szCs w:val="22"/>
        </w:rPr>
        <w:t xml:space="preserve"> </w:t>
      </w:r>
      <w:r w:rsidR="0049434E" w:rsidRPr="00CB093C">
        <w:rPr>
          <w:rFonts w:ascii="Arial" w:hAnsi="Arial" w:cs="Arial"/>
          <w:szCs w:val="22"/>
        </w:rPr>
        <w:t>some degree of reduced</w:t>
      </w:r>
      <w:r w:rsidR="00B24AAD" w:rsidRPr="00CB093C">
        <w:rPr>
          <w:rFonts w:ascii="Arial" w:hAnsi="Arial" w:cs="Arial"/>
          <w:szCs w:val="22"/>
        </w:rPr>
        <w:t xml:space="preserve"> </w:t>
      </w:r>
      <w:r w:rsidR="0049434E" w:rsidRPr="00CB093C">
        <w:rPr>
          <w:rFonts w:ascii="Arial" w:hAnsi="Arial" w:cs="Arial"/>
          <w:szCs w:val="22"/>
        </w:rPr>
        <w:t>P</w:t>
      </w:r>
      <w:r w:rsidR="00B24AAD" w:rsidRPr="00CB093C">
        <w:rPr>
          <w:rFonts w:ascii="Arial" w:hAnsi="Arial" w:cs="Arial"/>
          <w:szCs w:val="22"/>
        </w:rPr>
        <w:t>-availability</w:t>
      </w:r>
      <w:r w:rsidR="0049434E" w:rsidRPr="00CB093C">
        <w:rPr>
          <w:rFonts w:ascii="Arial" w:hAnsi="Arial" w:cs="Arial"/>
          <w:szCs w:val="22"/>
        </w:rPr>
        <w:t>, which</w:t>
      </w:r>
      <w:r w:rsidRPr="00CB093C">
        <w:rPr>
          <w:rFonts w:ascii="Arial" w:hAnsi="Arial" w:cs="Arial"/>
          <w:szCs w:val="22"/>
        </w:rPr>
        <w:t xml:space="preserve"> </w:t>
      </w:r>
      <w:r w:rsidR="00B24AAD" w:rsidRPr="00CB093C">
        <w:rPr>
          <w:rFonts w:ascii="Arial" w:hAnsi="Arial" w:cs="Arial"/>
          <w:szCs w:val="22"/>
        </w:rPr>
        <w:t>is likely to be</w:t>
      </w:r>
      <w:r w:rsidR="003B14EE" w:rsidRPr="00CB093C">
        <w:rPr>
          <w:rFonts w:ascii="Arial" w:hAnsi="Arial" w:cs="Arial"/>
          <w:szCs w:val="22"/>
        </w:rPr>
        <w:t xml:space="preserve"> contributing to the </w:t>
      </w:r>
      <w:r w:rsidR="00B24AAD" w:rsidRPr="00CB093C">
        <w:rPr>
          <w:rFonts w:ascii="Arial" w:hAnsi="Arial" w:cs="Arial"/>
          <w:szCs w:val="22"/>
        </w:rPr>
        <w:t>rising</w:t>
      </w:r>
      <w:r w:rsidR="003B14EE" w:rsidRPr="00CB093C">
        <w:rPr>
          <w:rFonts w:ascii="Arial" w:hAnsi="Arial" w:cs="Arial"/>
          <w:szCs w:val="22"/>
        </w:rPr>
        <w:t xml:space="preserve"> C:</w:t>
      </w:r>
      <w:r w:rsidR="0049434E" w:rsidRPr="00CB093C">
        <w:rPr>
          <w:rFonts w:ascii="Arial" w:hAnsi="Arial" w:cs="Arial"/>
          <w:szCs w:val="22"/>
        </w:rPr>
        <w:t>P</w:t>
      </w:r>
      <w:r w:rsidR="003B14EE" w:rsidRPr="00CB093C">
        <w:rPr>
          <w:rFonts w:ascii="Arial" w:hAnsi="Arial" w:cs="Arial"/>
          <w:szCs w:val="22"/>
        </w:rPr>
        <w:t xml:space="preserve"> ratios</w:t>
      </w:r>
      <w:r w:rsidR="00B32B4D" w:rsidRPr="00CB093C">
        <w:rPr>
          <w:rFonts w:ascii="Arial" w:hAnsi="Arial" w:cs="Arial"/>
          <w:szCs w:val="22"/>
        </w:rPr>
        <w:t xml:space="preserve"> </w:t>
      </w:r>
      <w:r w:rsidR="0049434E" w:rsidRPr="00CB093C">
        <w:rPr>
          <w:rFonts w:ascii="Arial" w:hAnsi="Arial" w:cs="Arial"/>
          <w:szCs w:val="22"/>
        </w:rPr>
        <w:t>and the slight decline in %P (</w:t>
      </w:r>
      <w:r w:rsidR="0049434E" w:rsidRPr="00CB093C">
        <w:rPr>
          <w:rFonts w:ascii="Arial" w:hAnsi="Arial" w:cs="Arial"/>
          <w:szCs w:val="22"/>
        </w:rPr>
        <w:fldChar w:fldCharType="begin"/>
      </w:r>
      <w:r w:rsidR="0049434E" w:rsidRPr="00CB093C">
        <w:rPr>
          <w:rFonts w:ascii="Arial" w:hAnsi="Arial" w:cs="Arial"/>
          <w:szCs w:val="22"/>
        </w:rPr>
        <w:instrText xml:space="preserve"> REF _Ref271126020 \h  \* MERGEFORMAT </w:instrText>
      </w:r>
      <w:r w:rsidR="0049434E" w:rsidRPr="00CB093C">
        <w:rPr>
          <w:rFonts w:ascii="Arial" w:hAnsi="Arial" w:cs="Arial"/>
          <w:szCs w:val="22"/>
        </w:rPr>
      </w:r>
      <w:r w:rsidR="0049434E" w:rsidRPr="00CB093C">
        <w:rPr>
          <w:rFonts w:ascii="Arial" w:hAnsi="Arial" w:cs="Arial"/>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59</w:t>
      </w:r>
      <w:r w:rsidR="0049434E" w:rsidRPr="00CB093C">
        <w:rPr>
          <w:rFonts w:ascii="Arial" w:hAnsi="Arial" w:cs="Arial"/>
          <w:szCs w:val="22"/>
        </w:rPr>
        <w:fldChar w:fldCharType="end"/>
      </w:r>
      <w:r w:rsidR="0049434E" w:rsidRPr="00CB093C">
        <w:rPr>
          <w:rFonts w:ascii="Arial" w:hAnsi="Arial" w:cs="Arial"/>
          <w:szCs w:val="22"/>
        </w:rPr>
        <w:t xml:space="preserve">). </w:t>
      </w:r>
    </w:p>
    <w:p w14:paraId="7319797D" w14:textId="77777777" w:rsidR="00270034" w:rsidRPr="00CB093C" w:rsidRDefault="00015AD8" w:rsidP="003D62EE">
      <w:pPr>
        <w:keepNext/>
        <w:widowControl w:val="0"/>
        <w:spacing w:after="0"/>
        <w:rPr>
          <w:rFonts w:ascii="Arial" w:hAnsi="Arial" w:cs="Arial"/>
          <w:color w:val="000000"/>
          <w:szCs w:val="22"/>
        </w:rPr>
      </w:pPr>
      <w:r w:rsidRPr="00CB093C">
        <w:rPr>
          <w:rFonts w:ascii="Arial" w:hAnsi="Arial" w:cs="Arial"/>
          <w:noProof/>
          <w:color w:val="000000"/>
          <w:szCs w:val="22"/>
          <w:lang w:val="en-US"/>
        </w:rPr>
        <w:lastRenderedPageBreak/>
        <w:drawing>
          <wp:inline distT="0" distB="0" distL="0" distR="0" wp14:anchorId="146D055E" wp14:editId="363C8824">
            <wp:extent cx="5435600" cy="7051367"/>
            <wp:effectExtent l="0" t="0" r="0" b="0"/>
            <wp:docPr id="302" name="Picture 302" descr="Set of twenty one scatter plots, displayed in seven by three matrix, with straight lines and markers showing annual elemental ratios (atomic) of seagrass leaf tissue C:N, N:P, C:P, percent Nitrogen, percent Phosphorous, delta 13 Carbon and delta 15 Nitrogen concentrations for the three seagrass habitats in the Burdekin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B_CN_yr_Dec16.png"/>
                    <pic:cNvPicPr/>
                  </pic:nvPicPr>
                  <pic:blipFill>
                    <a:blip r:embed="rId103"/>
                    <a:stretch>
                      <a:fillRect/>
                    </a:stretch>
                  </pic:blipFill>
                  <pic:spPr>
                    <a:xfrm>
                      <a:off x="0" y="0"/>
                      <a:ext cx="5441475" cy="7058988"/>
                    </a:xfrm>
                    <a:prstGeom prst="rect">
                      <a:avLst/>
                    </a:prstGeom>
                  </pic:spPr>
                </pic:pic>
              </a:graphicData>
            </a:graphic>
          </wp:inline>
        </w:drawing>
      </w:r>
    </w:p>
    <w:p w14:paraId="63FD8A5D" w14:textId="75C053E1" w:rsidR="00930A4B" w:rsidRPr="00CB093C" w:rsidRDefault="005132EF" w:rsidP="00930A4B">
      <w:pPr>
        <w:pStyle w:val="Caption"/>
        <w:rPr>
          <w:rFonts w:ascii="Arial" w:hAnsi="Arial" w:cs="Arial"/>
          <w:i/>
          <w:vanish/>
          <w:color w:val="000000" w:themeColor="text1"/>
          <w:szCs w:val="22"/>
          <w:specVanish/>
        </w:rPr>
      </w:pPr>
      <w:bookmarkStart w:id="382" w:name="_Ref271126020"/>
      <w:bookmarkStart w:id="383" w:name="_Toc431493862"/>
      <w:bookmarkStart w:id="384" w:name="_Toc6402824"/>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59</w:t>
      </w:r>
      <w:r w:rsidR="0073595B" w:rsidRPr="00CB093C">
        <w:rPr>
          <w:rFonts w:ascii="Arial" w:hAnsi="Arial" w:cs="Arial"/>
          <w:color w:val="000000"/>
          <w:szCs w:val="22"/>
        </w:rPr>
        <w:fldChar w:fldCharType="end"/>
      </w:r>
      <w:bookmarkEnd w:id="382"/>
      <w:r w:rsidRPr="00CB093C">
        <w:rPr>
          <w:rFonts w:ascii="Arial" w:hAnsi="Arial" w:cs="Arial"/>
          <w:color w:val="000000"/>
          <w:szCs w:val="22"/>
        </w:rPr>
        <w:t xml:space="preserve">. </w:t>
      </w:r>
      <w:bookmarkEnd w:id="383"/>
      <w:r w:rsidR="00930A4B" w:rsidRPr="00CB093C">
        <w:rPr>
          <w:rFonts w:ascii="Arial" w:hAnsi="Arial" w:cs="Arial"/>
          <w:i/>
          <w:color w:val="000000"/>
          <w:szCs w:val="22"/>
          <w:lang w:eastAsia="en-AU"/>
        </w:rPr>
        <w:t xml:space="preserve">Seagrass leaf tissue nutrient elemental ratios (C:N:P) and </w:t>
      </w:r>
      <w:r w:rsidR="00930A4B" w:rsidRPr="00CB093C">
        <w:rPr>
          <w:rFonts w:ascii="Arial" w:hAnsi="Arial" w:cs="Arial"/>
          <w:i/>
          <w:color w:val="000000"/>
          <w:szCs w:val="22"/>
          <w:lang w:val="en-US"/>
        </w:rPr>
        <w:t>concentrations (</w:t>
      </w:r>
      <w:r w:rsidR="00930A4B" w:rsidRPr="00CB093C">
        <w:rPr>
          <w:rFonts w:ascii="Arial" w:hAnsi="Arial" w:cs="Arial"/>
          <w:i/>
          <w:color w:val="000000"/>
          <w:szCs w:val="22"/>
          <w:lang w:eastAsia="en-AU"/>
        </w:rPr>
        <w:t xml:space="preserve">%N, %P, </w:t>
      </w:r>
      <w:r w:rsidR="00930A4B" w:rsidRPr="00CB093C">
        <w:rPr>
          <w:rFonts w:ascii="Arial" w:hAnsi="Arial" w:cs="Arial"/>
          <w:i/>
          <w:color w:val="000000"/>
          <w:szCs w:val="22"/>
        </w:rPr>
        <w:t>δ</w:t>
      </w:r>
      <w:r w:rsidR="00930A4B" w:rsidRPr="00CB093C">
        <w:rPr>
          <w:rFonts w:ascii="Arial" w:hAnsi="Arial" w:cs="Arial"/>
          <w:i/>
          <w:color w:val="000000"/>
          <w:szCs w:val="22"/>
          <w:vertAlign w:val="superscript"/>
        </w:rPr>
        <w:t>13</w:t>
      </w:r>
      <w:r w:rsidR="00930A4B" w:rsidRPr="00CB093C">
        <w:rPr>
          <w:rFonts w:ascii="Arial" w:hAnsi="Arial" w:cs="Arial"/>
          <w:i/>
          <w:color w:val="000000"/>
          <w:szCs w:val="22"/>
        </w:rPr>
        <w:t>C</w:t>
      </w:r>
      <w:r w:rsidR="00930A4B" w:rsidRPr="00CB093C">
        <w:rPr>
          <w:rFonts w:ascii="Arial" w:hAnsi="Arial" w:cs="Arial"/>
          <w:i/>
          <w:color w:val="000000"/>
          <w:szCs w:val="22"/>
          <w:lang w:val="en-US"/>
        </w:rPr>
        <w:t xml:space="preserve"> and </w:t>
      </w:r>
      <w:r w:rsidR="00930A4B" w:rsidRPr="00CB093C">
        <w:rPr>
          <w:rFonts w:ascii="Arial" w:hAnsi="Arial" w:cs="Arial"/>
          <w:i/>
          <w:color w:val="000000"/>
          <w:szCs w:val="22"/>
        </w:rPr>
        <w:t>δ</w:t>
      </w:r>
      <w:r w:rsidR="00930A4B" w:rsidRPr="00CB093C">
        <w:rPr>
          <w:rFonts w:ascii="Arial" w:hAnsi="Arial" w:cs="Arial"/>
          <w:i/>
          <w:color w:val="000000"/>
          <w:szCs w:val="22"/>
          <w:vertAlign w:val="superscript"/>
        </w:rPr>
        <w:t>15</w:t>
      </w:r>
      <w:r w:rsidR="00930A4B" w:rsidRPr="00CB093C">
        <w:rPr>
          <w:rFonts w:ascii="Arial" w:hAnsi="Arial" w:cs="Arial"/>
          <w:i/>
          <w:color w:val="000000"/>
          <w:szCs w:val="22"/>
        </w:rPr>
        <w:t>N)</w:t>
      </w:r>
      <w:r w:rsidR="00930A4B" w:rsidRPr="00CB093C">
        <w:rPr>
          <w:rFonts w:ascii="Arial" w:hAnsi="Arial" w:cs="Arial"/>
          <w:i/>
          <w:color w:val="000000"/>
          <w:szCs w:val="22"/>
          <w:lang w:val="en-US"/>
        </w:rPr>
        <w:t xml:space="preserve"> </w:t>
      </w:r>
      <w:r w:rsidR="00930A4B" w:rsidRPr="00CB093C">
        <w:rPr>
          <w:rFonts w:ascii="Arial" w:hAnsi="Arial" w:cs="Arial"/>
          <w:i/>
          <w:color w:val="000000"/>
          <w:szCs w:val="22"/>
          <w:lang w:eastAsia="en-AU"/>
        </w:rPr>
        <w:t xml:space="preserve">for each habitat in the </w:t>
      </w:r>
      <w:r w:rsidR="004E65AD" w:rsidRPr="00CB093C">
        <w:rPr>
          <w:rFonts w:ascii="Arial" w:hAnsi="Arial" w:cs="Arial"/>
          <w:i/>
          <w:color w:val="000000"/>
          <w:szCs w:val="22"/>
          <w:lang w:eastAsia="en-AU"/>
        </w:rPr>
        <w:t>Burdekin</w:t>
      </w:r>
      <w:r w:rsidR="00930A4B" w:rsidRPr="00CB093C">
        <w:rPr>
          <w:rFonts w:ascii="Arial" w:hAnsi="Arial" w:cs="Arial"/>
          <w:i/>
          <w:color w:val="000000"/>
          <w:szCs w:val="22"/>
          <w:lang w:eastAsia="en-AU"/>
        </w:rPr>
        <w:t xml:space="preserve"> region</w:t>
      </w:r>
      <w:bookmarkEnd w:id="384"/>
    </w:p>
    <w:p w14:paraId="1B97D8B0" w14:textId="2BFB3DAE" w:rsidR="00565927" w:rsidRPr="00CB093C" w:rsidRDefault="00930A4B" w:rsidP="00930A4B">
      <w:pPr>
        <w:rPr>
          <w:rFonts w:ascii="Arial" w:hAnsi="Arial" w:cs="Arial"/>
          <w:i/>
          <w:color w:val="000000"/>
          <w:szCs w:val="22"/>
          <w:lang w:eastAsia="en-AU"/>
        </w:rPr>
      </w:pPr>
      <w:r w:rsidRPr="00CB093C">
        <w:rPr>
          <w:rFonts w:ascii="Arial" w:hAnsi="Arial" w:cs="Arial"/>
          <w:i/>
          <w:color w:val="000000"/>
          <w:szCs w:val="22"/>
          <w:lang w:eastAsia="en-AU"/>
        </w:rPr>
        <w:t xml:space="preserve"> (± SE) (foundation species pooled). Horizontal shaded bands or dashed lines represents the accepted seagrass </w:t>
      </w:r>
      <w:r w:rsidRPr="00CB093C">
        <w:rPr>
          <w:rFonts w:ascii="Arial" w:hAnsi="Arial" w:cs="Arial"/>
          <w:i/>
          <w:color w:val="000000"/>
          <w:szCs w:val="22"/>
        </w:rPr>
        <w:t xml:space="preserve">guideline </w:t>
      </w:r>
      <w:r w:rsidRPr="00CB093C">
        <w:rPr>
          <w:rFonts w:ascii="Arial" w:hAnsi="Arial" w:cs="Arial"/>
          <w:i/>
          <w:color w:val="000000"/>
          <w:szCs w:val="22"/>
          <w:lang w:eastAsia="en-AU"/>
        </w:rPr>
        <w:t xml:space="preserve">values, where: C:N ratios within the band may </w:t>
      </w:r>
      <w:r w:rsidRPr="00CB093C">
        <w:rPr>
          <w:rFonts w:ascii="Arial" w:hAnsi="Arial" w:cs="Arial"/>
          <w:i/>
          <w:color w:val="000000"/>
          <w:szCs w:val="22"/>
        </w:rPr>
        <w:t xml:space="preserve">indicate reduced light availability and/or N enrichment; </w:t>
      </w:r>
      <w:r w:rsidRPr="00CB093C">
        <w:rPr>
          <w:rFonts w:ascii="Arial" w:hAnsi="Arial" w:cs="Arial"/>
          <w:i/>
          <w:color w:val="000000"/>
          <w:szCs w:val="22"/>
          <w:lang w:eastAsia="en-AU"/>
        </w:rPr>
        <w:t xml:space="preserve">N:P ratios above the band indicate P limitation, below indicate N limitation and within indicates replete, and; C:P ratios within the band may </w:t>
      </w:r>
      <w:r w:rsidRPr="00CB093C">
        <w:rPr>
          <w:rFonts w:ascii="Arial" w:hAnsi="Arial" w:cs="Arial"/>
          <w:i/>
          <w:color w:val="000000"/>
          <w:szCs w:val="22"/>
        </w:rPr>
        <w:t xml:space="preserve">indicate </w:t>
      </w:r>
      <w:r w:rsidRPr="00CB093C">
        <w:rPr>
          <w:rFonts w:ascii="Arial" w:hAnsi="Arial" w:cs="Arial"/>
          <w:i/>
          <w:color w:val="000000"/>
          <w:szCs w:val="22"/>
          <w:lang w:eastAsia="en-AU"/>
        </w:rPr>
        <w:t>nutrient rich habitats (large P pool).</w:t>
      </w:r>
      <w:r w:rsidRPr="00CB093C">
        <w:rPr>
          <w:rFonts w:ascii="Arial" w:hAnsi="Arial" w:cs="Arial"/>
          <w:color w:val="000000"/>
          <w:szCs w:val="22"/>
          <w:lang w:eastAsia="en-AU"/>
        </w:rPr>
        <w:t xml:space="preserve"> </w:t>
      </w:r>
      <w:r w:rsidRPr="00CB093C">
        <w:rPr>
          <w:rFonts w:ascii="Arial" w:hAnsi="Arial" w:cs="Arial"/>
          <w:i/>
          <w:color w:val="000000"/>
          <w:szCs w:val="22"/>
        </w:rPr>
        <w:t xml:space="preserve">Dashed lines in %N and %P indicate global median values of 1.8 </w:t>
      </w:r>
      <w:r w:rsidR="00882B72" w:rsidRPr="00CB093C">
        <w:rPr>
          <w:rFonts w:ascii="Arial" w:hAnsi="Arial" w:cs="Arial"/>
          <w:i/>
          <w:color w:val="000000"/>
          <w:szCs w:val="22"/>
        </w:rPr>
        <w:t>%</w:t>
      </w:r>
      <w:r w:rsidRPr="00CB093C">
        <w:rPr>
          <w:rFonts w:ascii="Arial" w:hAnsi="Arial" w:cs="Arial"/>
          <w:i/>
          <w:color w:val="000000"/>
          <w:szCs w:val="22"/>
        </w:rPr>
        <w:t xml:space="preserve"> and 0.2 </w:t>
      </w:r>
      <w:r w:rsidR="00882B72" w:rsidRPr="00CB093C">
        <w:rPr>
          <w:rFonts w:ascii="Arial" w:hAnsi="Arial" w:cs="Arial"/>
          <w:i/>
          <w:color w:val="000000"/>
          <w:szCs w:val="22"/>
        </w:rPr>
        <w:t>%</w:t>
      </w:r>
      <w:r w:rsidRPr="00CB093C">
        <w:rPr>
          <w:rFonts w:ascii="Arial" w:hAnsi="Arial" w:cs="Arial"/>
          <w:i/>
          <w:color w:val="000000"/>
          <w:szCs w:val="22"/>
        </w:rPr>
        <w:t xml:space="preserve"> for tissue nitrogen and phosphorus, respectively (</w:t>
      </w:r>
      <w:hyperlink w:anchor="_ENREF_50" w:tooltip="Duarte, 1990 #1954" w:history="1">
        <w:r w:rsidR="00513C39" w:rsidRPr="00CB093C">
          <w:rPr>
            <w:rFonts w:ascii="Arial" w:hAnsi="Arial" w:cs="Arial"/>
            <w:i/>
            <w:color w:val="000000"/>
            <w:szCs w:val="22"/>
          </w:rPr>
          <w:fldChar w:fldCharType="begin"/>
        </w:r>
        <w:r w:rsidR="00513C39" w:rsidRPr="00CB093C">
          <w:rPr>
            <w:rFonts w:ascii="Arial" w:hAnsi="Arial" w:cs="Arial"/>
            <w:i/>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513C39" w:rsidRPr="00CB093C">
          <w:rPr>
            <w:rFonts w:ascii="Arial" w:hAnsi="Arial" w:cs="Arial"/>
            <w:i/>
            <w:color w:val="000000"/>
            <w:szCs w:val="22"/>
          </w:rPr>
          <w:fldChar w:fldCharType="separate"/>
        </w:r>
        <w:r w:rsidR="00513C39" w:rsidRPr="00CB093C">
          <w:rPr>
            <w:rFonts w:ascii="Arial" w:hAnsi="Arial" w:cs="Arial"/>
            <w:i/>
            <w:noProof/>
            <w:color w:val="000000"/>
            <w:szCs w:val="22"/>
          </w:rPr>
          <w:t>Duarte 1990</w:t>
        </w:r>
        <w:r w:rsidR="00513C39" w:rsidRPr="00CB093C">
          <w:rPr>
            <w:rFonts w:ascii="Arial" w:hAnsi="Arial" w:cs="Arial"/>
            <w:i/>
            <w:color w:val="000000"/>
            <w:szCs w:val="22"/>
          </w:rPr>
          <w:fldChar w:fldCharType="end"/>
        </w:r>
      </w:hyperlink>
      <w:r w:rsidRPr="00CB093C">
        <w:rPr>
          <w:rFonts w:ascii="Arial" w:hAnsi="Arial" w:cs="Arial"/>
          <w:i/>
          <w:color w:val="000000"/>
          <w:szCs w:val="22"/>
        </w:rPr>
        <w:t>).</w:t>
      </w:r>
    </w:p>
    <w:p w14:paraId="7C5582CF" w14:textId="40EA9587" w:rsidR="005132EF" w:rsidRPr="00CB093C" w:rsidRDefault="005132EF" w:rsidP="000F3AC4">
      <w:pPr>
        <w:pStyle w:val="Heading3"/>
        <w:numPr>
          <w:ilvl w:val="3"/>
          <w:numId w:val="4"/>
        </w:numPr>
        <w:rPr>
          <w:rFonts w:ascii="Arial" w:hAnsi="Arial" w:cs="Arial"/>
          <w:b w:val="0"/>
          <w:i/>
          <w:color w:val="000000"/>
          <w:sz w:val="22"/>
          <w:szCs w:val="22"/>
        </w:rPr>
      </w:pPr>
      <w:bookmarkStart w:id="385" w:name="_Toc232845920"/>
      <w:bookmarkStart w:id="386" w:name="_Toc184102003"/>
      <w:bookmarkStart w:id="387" w:name="_Toc11394750"/>
      <w:r w:rsidRPr="00CB093C">
        <w:rPr>
          <w:rFonts w:ascii="Arial" w:hAnsi="Arial" w:cs="Arial"/>
          <w:b w:val="0"/>
          <w:i/>
          <w:color w:val="000000"/>
          <w:sz w:val="22"/>
          <w:szCs w:val="22"/>
        </w:rPr>
        <w:t>Epiphytes and macroalgae</w:t>
      </w:r>
      <w:bookmarkEnd w:id="385"/>
      <w:bookmarkEnd w:id="386"/>
      <w:bookmarkEnd w:id="387"/>
    </w:p>
    <w:p w14:paraId="24120F08" w14:textId="2D38F057" w:rsidR="00E255DB" w:rsidRPr="00CB093C" w:rsidRDefault="005132EF" w:rsidP="00034AD4">
      <w:pPr>
        <w:rPr>
          <w:rFonts w:ascii="Arial" w:hAnsi="Arial" w:cs="Arial"/>
          <w:szCs w:val="22"/>
          <w:lang w:val="en-US"/>
        </w:rPr>
      </w:pPr>
      <w:r w:rsidRPr="00CB093C">
        <w:rPr>
          <w:rFonts w:ascii="Arial" w:hAnsi="Arial" w:cs="Arial"/>
          <w:szCs w:val="22"/>
          <w:lang w:val="en-US"/>
        </w:rPr>
        <w:t xml:space="preserve">Epiphyte cover on seagrass leaf blades </w:t>
      </w:r>
      <w:r w:rsidR="00574FC8" w:rsidRPr="00CB093C">
        <w:rPr>
          <w:rFonts w:ascii="Arial" w:hAnsi="Arial" w:cs="Arial"/>
          <w:szCs w:val="22"/>
          <w:lang w:val="en-US"/>
        </w:rPr>
        <w:t>differs between</w:t>
      </w:r>
      <w:r w:rsidR="00BB0EF6" w:rsidRPr="00CB093C">
        <w:rPr>
          <w:rFonts w:ascii="Arial" w:hAnsi="Arial" w:cs="Arial"/>
          <w:szCs w:val="22"/>
          <w:lang w:val="en-US"/>
        </w:rPr>
        <w:t xml:space="preserve"> the </w:t>
      </w:r>
      <w:r w:rsidR="00292745" w:rsidRPr="00CB093C">
        <w:rPr>
          <w:rFonts w:ascii="Arial" w:hAnsi="Arial" w:cs="Arial"/>
          <w:szCs w:val="22"/>
          <w:lang w:val="en-US"/>
        </w:rPr>
        <w:t xml:space="preserve">wet </w:t>
      </w:r>
      <w:r w:rsidR="00574FC8" w:rsidRPr="00CB093C">
        <w:rPr>
          <w:rFonts w:ascii="Arial" w:hAnsi="Arial" w:cs="Arial"/>
          <w:szCs w:val="22"/>
          <w:lang w:val="en-US"/>
        </w:rPr>
        <w:t>and</w:t>
      </w:r>
      <w:r w:rsidR="00F84928" w:rsidRPr="00CB093C">
        <w:rPr>
          <w:rFonts w:ascii="Arial" w:hAnsi="Arial" w:cs="Arial"/>
          <w:szCs w:val="22"/>
          <w:lang w:val="en-US"/>
        </w:rPr>
        <w:t xml:space="preserve"> </w:t>
      </w:r>
      <w:r w:rsidR="00292745" w:rsidRPr="00CB093C">
        <w:rPr>
          <w:rFonts w:ascii="Arial" w:hAnsi="Arial" w:cs="Arial"/>
          <w:szCs w:val="22"/>
          <w:lang w:val="en-US"/>
        </w:rPr>
        <w:t>dry</w:t>
      </w:r>
      <w:r w:rsidR="00582441" w:rsidRPr="00CB093C">
        <w:rPr>
          <w:rFonts w:ascii="Arial" w:hAnsi="Arial" w:cs="Arial"/>
          <w:szCs w:val="22"/>
          <w:lang w:val="en-US"/>
        </w:rPr>
        <w:t xml:space="preserve"> </w:t>
      </w:r>
      <w:r w:rsidR="00BB0EF6" w:rsidRPr="00CB093C">
        <w:rPr>
          <w:rFonts w:ascii="Arial" w:hAnsi="Arial" w:cs="Arial"/>
          <w:szCs w:val="22"/>
          <w:lang w:val="en-US"/>
        </w:rPr>
        <w:t xml:space="preserve">season </w:t>
      </w:r>
      <w:r w:rsidR="00740990" w:rsidRPr="00CB093C">
        <w:rPr>
          <w:rFonts w:ascii="Arial" w:hAnsi="Arial" w:cs="Arial"/>
          <w:szCs w:val="22"/>
          <w:lang w:val="en-US"/>
        </w:rPr>
        <w:t>at coastal sites, but there is not a strong s</w:t>
      </w:r>
      <w:r w:rsidR="00B26D25" w:rsidRPr="00CB093C">
        <w:rPr>
          <w:rFonts w:ascii="Arial" w:hAnsi="Arial" w:cs="Arial"/>
          <w:szCs w:val="22"/>
          <w:lang w:val="en-US"/>
        </w:rPr>
        <w:t>easonal trend in other habitats</w:t>
      </w:r>
      <w:r w:rsidR="00740990" w:rsidRPr="00CB093C">
        <w:rPr>
          <w:rFonts w:ascii="Arial" w:hAnsi="Arial" w:cs="Arial"/>
          <w:szCs w:val="22"/>
          <w:lang w:val="en-US"/>
        </w:rPr>
        <w:t xml:space="preserve">. </w:t>
      </w:r>
      <w:r w:rsidR="00C45977" w:rsidRPr="00CB093C">
        <w:rPr>
          <w:rFonts w:ascii="Arial" w:hAnsi="Arial" w:cs="Arial"/>
          <w:szCs w:val="22"/>
          <w:lang w:val="en-US"/>
        </w:rPr>
        <w:t>(</w:t>
      </w:r>
      <w:r w:rsidR="00C45977" w:rsidRPr="00CB093C">
        <w:rPr>
          <w:rFonts w:ascii="Arial" w:hAnsi="Arial" w:cs="Arial"/>
          <w:szCs w:val="22"/>
          <w:lang w:val="en-US"/>
        </w:rPr>
        <w:fldChar w:fldCharType="begin"/>
      </w:r>
      <w:r w:rsidR="00C45977" w:rsidRPr="00CB093C">
        <w:rPr>
          <w:rFonts w:ascii="Arial" w:hAnsi="Arial" w:cs="Arial"/>
          <w:szCs w:val="22"/>
          <w:lang w:val="en-US"/>
        </w:rPr>
        <w:instrText xml:space="preserve"> REF _Ref380433470 \h </w:instrText>
      </w:r>
      <w:r w:rsidR="00015190" w:rsidRPr="00CB093C">
        <w:rPr>
          <w:rFonts w:ascii="Arial" w:hAnsi="Arial" w:cs="Arial"/>
          <w:szCs w:val="22"/>
          <w:lang w:val="en-US"/>
        </w:rPr>
        <w:instrText xml:space="preserve"> \* MERGEFORMAT </w:instrText>
      </w:r>
      <w:r w:rsidR="00C45977" w:rsidRPr="00CB093C">
        <w:rPr>
          <w:rFonts w:ascii="Arial" w:hAnsi="Arial" w:cs="Arial"/>
          <w:szCs w:val="22"/>
          <w:lang w:val="en-US"/>
        </w:rPr>
      </w:r>
      <w:r w:rsidR="00C45977"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60</w:t>
      </w:r>
      <w:r w:rsidR="00C45977" w:rsidRPr="00CB093C">
        <w:rPr>
          <w:rFonts w:ascii="Arial" w:hAnsi="Arial" w:cs="Arial"/>
          <w:szCs w:val="22"/>
          <w:lang w:val="en-US"/>
        </w:rPr>
        <w:fldChar w:fldCharType="end"/>
      </w:r>
      <w:r w:rsidR="00D40A36" w:rsidRPr="00CB093C">
        <w:rPr>
          <w:rFonts w:ascii="Arial" w:hAnsi="Arial" w:cs="Arial"/>
          <w:szCs w:val="22"/>
          <w:lang w:val="en-US"/>
        </w:rPr>
        <w:t>)</w:t>
      </w:r>
      <w:r w:rsidR="00BB0EF6" w:rsidRPr="00CB093C">
        <w:rPr>
          <w:rFonts w:ascii="Arial" w:hAnsi="Arial" w:cs="Arial"/>
          <w:szCs w:val="22"/>
          <w:lang w:val="en-US"/>
        </w:rPr>
        <w:t xml:space="preserve">. </w:t>
      </w:r>
      <w:r w:rsidR="00574FC8" w:rsidRPr="00CB093C">
        <w:rPr>
          <w:rFonts w:ascii="Arial" w:hAnsi="Arial" w:cs="Arial"/>
          <w:szCs w:val="22"/>
          <w:lang w:val="en-US"/>
        </w:rPr>
        <w:t xml:space="preserve">Apart from a decline in epiphyte abundance at intertidal habitats in the late wet season </w:t>
      </w:r>
      <w:r w:rsidR="003654C6">
        <w:rPr>
          <w:rFonts w:ascii="Arial" w:hAnsi="Arial" w:cs="Arial"/>
          <w:szCs w:val="22"/>
          <w:lang w:val="en-US"/>
        </w:rPr>
        <w:t>2017–18</w:t>
      </w:r>
      <w:r w:rsidR="00574FC8" w:rsidRPr="00CB093C">
        <w:rPr>
          <w:rFonts w:ascii="Arial" w:hAnsi="Arial" w:cs="Arial"/>
          <w:szCs w:val="22"/>
          <w:lang w:val="en-US"/>
        </w:rPr>
        <w:t xml:space="preserve">, epiphyte abundance have been above the </w:t>
      </w:r>
      <w:r w:rsidR="00E255DB" w:rsidRPr="00CB093C">
        <w:rPr>
          <w:rFonts w:ascii="Arial" w:hAnsi="Arial" w:cs="Arial"/>
          <w:szCs w:val="22"/>
          <w:lang w:val="en-US"/>
        </w:rPr>
        <w:t>Reef</w:t>
      </w:r>
      <w:r w:rsidR="00574FC8" w:rsidRPr="00CB093C">
        <w:rPr>
          <w:rFonts w:ascii="Arial" w:hAnsi="Arial" w:cs="Arial"/>
          <w:szCs w:val="22"/>
          <w:lang w:val="en-US"/>
        </w:rPr>
        <w:t>-wide lon</w:t>
      </w:r>
      <w:r w:rsidR="009213E9" w:rsidRPr="00CB093C">
        <w:rPr>
          <w:rFonts w:ascii="Arial" w:hAnsi="Arial" w:cs="Arial"/>
          <w:szCs w:val="22"/>
          <w:lang w:val="en-US"/>
        </w:rPr>
        <w:t>g</w:t>
      </w:r>
      <w:r w:rsidR="00574FC8" w:rsidRPr="00CB093C">
        <w:rPr>
          <w:rFonts w:ascii="Arial" w:hAnsi="Arial" w:cs="Arial"/>
          <w:szCs w:val="22"/>
          <w:lang w:val="en-US"/>
        </w:rPr>
        <w:t>-term average</w:t>
      </w:r>
      <w:r w:rsidR="009213E9" w:rsidRPr="00CB093C">
        <w:rPr>
          <w:rFonts w:ascii="Arial" w:hAnsi="Arial" w:cs="Arial"/>
          <w:szCs w:val="22"/>
          <w:lang w:val="en-US"/>
        </w:rPr>
        <w:t xml:space="preserve"> for the last few years. </w:t>
      </w:r>
    </w:p>
    <w:p w14:paraId="59364322" w14:textId="77777777" w:rsidR="00E255DB" w:rsidRPr="00CB093C" w:rsidRDefault="009213E9" w:rsidP="00034AD4">
      <w:pPr>
        <w:rPr>
          <w:rFonts w:ascii="Arial" w:hAnsi="Arial" w:cs="Arial"/>
          <w:szCs w:val="22"/>
          <w:lang w:val="en-US"/>
        </w:rPr>
      </w:pPr>
      <w:r w:rsidRPr="00CB093C">
        <w:rPr>
          <w:rFonts w:ascii="Arial" w:hAnsi="Arial" w:cs="Arial"/>
          <w:szCs w:val="22"/>
          <w:lang w:val="en-US"/>
        </w:rPr>
        <w:t xml:space="preserve">Macroalgae abundance has remained low and below the long-term average at coastal habitats, </w:t>
      </w:r>
      <w:r w:rsidR="007A70FE" w:rsidRPr="00CB093C">
        <w:rPr>
          <w:rFonts w:ascii="Arial" w:hAnsi="Arial" w:cs="Arial"/>
          <w:szCs w:val="22"/>
          <w:lang w:val="en-US"/>
        </w:rPr>
        <w:t>however</w:t>
      </w:r>
      <w:r w:rsidRPr="00CB093C">
        <w:rPr>
          <w:rFonts w:ascii="Arial" w:hAnsi="Arial" w:cs="Arial"/>
          <w:szCs w:val="22"/>
          <w:lang w:val="en-US"/>
        </w:rPr>
        <w:t xml:space="preserve"> abundances have increased over the last </w:t>
      </w:r>
      <w:r w:rsidR="007A70FE" w:rsidRPr="00CB093C">
        <w:rPr>
          <w:rFonts w:ascii="Arial" w:hAnsi="Arial" w:cs="Arial"/>
          <w:szCs w:val="22"/>
          <w:lang w:val="en-US"/>
        </w:rPr>
        <w:t>two</w:t>
      </w:r>
      <w:r w:rsidRPr="00CB093C">
        <w:rPr>
          <w:rFonts w:ascii="Arial" w:hAnsi="Arial" w:cs="Arial"/>
          <w:szCs w:val="22"/>
          <w:lang w:val="en-US"/>
        </w:rPr>
        <w:t xml:space="preserve"> monitoring periods at reef (intertidal and reef) habitats. </w:t>
      </w:r>
    </w:p>
    <w:p w14:paraId="7788482A" w14:textId="38EC4AFF" w:rsidR="00F84928" w:rsidRPr="00CB093C" w:rsidRDefault="00292745" w:rsidP="00034AD4">
      <w:pPr>
        <w:rPr>
          <w:rFonts w:ascii="Arial" w:hAnsi="Arial" w:cs="Arial"/>
          <w:szCs w:val="22"/>
          <w:lang w:val="en-US"/>
        </w:rPr>
      </w:pPr>
      <w:r w:rsidRPr="00CB093C">
        <w:rPr>
          <w:rFonts w:ascii="Arial" w:hAnsi="Arial" w:cs="Arial"/>
          <w:szCs w:val="22"/>
          <w:lang w:val="en-US"/>
        </w:rPr>
        <w:t>Both epiphytes and macroalgae cover can increase following nutrient enrichment (</w:t>
      </w:r>
      <w:r w:rsidR="004D6969" w:rsidRPr="00CB093C">
        <w:rPr>
          <w:rFonts w:ascii="Arial" w:hAnsi="Arial" w:cs="Arial"/>
          <w:szCs w:val="22"/>
          <w:lang w:val="en-US"/>
        </w:rPr>
        <w:fldChar w:fldCharType="begin">
          <w:fldData xml:space="preserve">PEVuZE5vdGU+PENpdGU+PEF1dGhvcj5OZWxzb248L0F1dGhvcj48WWVhcj4yMDE3PC9ZZWFyPjxS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</w:fldData>
        </w:fldChar>
      </w:r>
      <w:r w:rsidR="004D6969" w:rsidRPr="00CB093C">
        <w:rPr>
          <w:rFonts w:ascii="Arial" w:hAnsi="Arial" w:cs="Arial"/>
          <w:szCs w:val="22"/>
          <w:lang w:val="en-US"/>
        </w:rPr>
        <w:instrText xml:space="preserve"> ADDIN EN.CITE </w:instrText>
      </w:r>
      <w:r w:rsidR="004D6969" w:rsidRPr="00CB093C">
        <w:rPr>
          <w:rFonts w:ascii="Arial" w:hAnsi="Arial" w:cs="Arial"/>
          <w:szCs w:val="22"/>
          <w:lang w:val="en-US"/>
        </w:rPr>
        <w:fldChar w:fldCharType="begin">
          <w:fldData xml:space="preserve">PEVuZE5vdGU+PENpdGU+PEF1dGhvcj5OZWxzb248L0F1dGhvcj48WWVhcj4yMDE3PC9ZZWFyPjxS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</w:fldData>
        </w:fldChar>
      </w:r>
      <w:r w:rsidR="004D6969" w:rsidRPr="00CB093C">
        <w:rPr>
          <w:rFonts w:ascii="Arial" w:hAnsi="Arial" w:cs="Arial"/>
          <w:szCs w:val="22"/>
          <w:lang w:val="en-US"/>
        </w:rPr>
        <w:instrText xml:space="preserve"> ADDIN EN.CITE.DATA </w:instrText>
      </w:r>
      <w:r w:rsidR="004D6969" w:rsidRPr="00CB093C">
        <w:rPr>
          <w:rFonts w:ascii="Arial" w:hAnsi="Arial" w:cs="Arial"/>
          <w:szCs w:val="22"/>
          <w:lang w:val="en-US"/>
        </w:rPr>
      </w:r>
      <w:r w:rsidR="004D6969" w:rsidRPr="00CB093C">
        <w:rPr>
          <w:rFonts w:ascii="Arial" w:hAnsi="Arial" w:cs="Arial"/>
          <w:szCs w:val="22"/>
          <w:lang w:val="en-US"/>
        </w:rPr>
        <w:fldChar w:fldCharType="end"/>
      </w:r>
      <w:r w:rsidR="004D6969" w:rsidRPr="00CB093C">
        <w:rPr>
          <w:rFonts w:ascii="Arial" w:hAnsi="Arial" w:cs="Arial"/>
          <w:szCs w:val="22"/>
          <w:lang w:val="en-US"/>
        </w:rPr>
      </w:r>
      <w:r w:rsidR="004D6969" w:rsidRPr="00CB093C">
        <w:rPr>
          <w:rFonts w:ascii="Arial" w:hAnsi="Arial" w:cs="Arial"/>
          <w:szCs w:val="22"/>
          <w:lang w:val="en-US"/>
        </w:rPr>
        <w:fldChar w:fldCharType="separate"/>
      </w:r>
      <w:hyperlink w:anchor="_ENREF_15" w:tooltip="Cabaço, 2013 #10917" w:history="1">
        <w:r w:rsidR="00513C39" w:rsidRPr="00CB093C">
          <w:rPr>
            <w:rFonts w:ascii="Arial" w:hAnsi="Arial" w:cs="Arial"/>
            <w:noProof/>
            <w:szCs w:val="22"/>
            <w:lang w:val="en-US"/>
          </w:rPr>
          <w:t>Cabaço</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2013</w:t>
        </w:r>
      </w:hyperlink>
      <w:r w:rsidR="004D6969" w:rsidRPr="00CB093C">
        <w:rPr>
          <w:rFonts w:ascii="Arial" w:hAnsi="Arial" w:cs="Arial"/>
          <w:noProof/>
          <w:szCs w:val="22"/>
          <w:lang w:val="en-US"/>
        </w:rPr>
        <w:t xml:space="preserve">; </w:t>
      </w:r>
      <w:hyperlink w:anchor="_ENREF_117" w:tooltip="Nelson, 2017 #10813" w:history="1">
        <w:r w:rsidR="00513C39" w:rsidRPr="00CB093C">
          <w:rPr>
            <w:rFonts w:ascii="Arial" w:hAnsi="Arial" w:cs="Arial"/>
            <w:noProof/>
            <w:szCs w:val="22"/>
            <w:lang w:val="en-US"/>
          </w:rPr>
          <w:t>Nelson 2017</w:t>
        </w:r>
      </w:hyperlink>
      <w:r w:rsidR="004D6969" w:rsidRPr="00CB093C">
        <w:rPr>
          <w:rFonts w:ascii="Arial" w:hAnsi="Arial" w:cs="Arial"/>
          <w:szCs w:val="22"/>
          <w:lang w:val="en-US"/>
        </w:rPr>
        <w:fldChar w:fldCharType="end"/>
      </w:r>
      <w:r w:rsidR="00740990" w:rsidRPr="00CB093C">
        <w:rPr>
          <w:rFonts w:ascii="Arial" w:hAnsi="Arial" w:cs="Arial"/>
          <w:szCs w:val="22"/>
          <w:lang w:val="en-US"/>
        </w:rPr>
        <w:t>)</w:t>
      </w:r>
      <w:r w:rsidRPr="00CB093C">
        <w:rPr>
          <w:rFonts w:ascii="Arial" w:hAnsi="Arial" w:cs="Arial"/>
          <w:szCs w:val="22"/>
          <w:lang w:val="en-US"/>
        </w:rPr>
        <w:t xml:space="preserve">; however, due to complex ecological and biological factors (e.g. grazing </w:t>
      </w:r>
      <w:hyperlink w:anchor="_ENREF_69" w:tooltip="Heck, 2006 #7246"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&lt;EndNote&gt;&lt;Cite&gt;&lt;Author&gt;Heck&lt;/Author&gt;&lt;Year&gt;2006&lt;/Year&gt;&lt;RecNum&gt;7246&lt;/RecNum&gt;&lt;DisplayText&gt;Heck and Valentine 2006&lt;/DisplayText&gt;&lt;record&gt;&lt;rec-number&gt;7246&lt;/rec-number&gt;&lt;foreign-keys&gt;&lt;key app="EN" db-id="0eve55x9y5vfd6e9dacxtew4eatve2dzds9a" timestamp="0"&gt;7246&lt;/key&gt;&lt;/foreign-keys&gt;&lt;ref-type name="Journal Article"&gt;17&lt;/ref-type&gt;&lt;contributors&gt;&lt;authors&gt;&lt;author&gt;Heck, K. L.&lt;/author&gt;&lt;author&gt;Valentine, J. F.&lt;/author&gt;&lt;/authors&gt;&lt;/contributors&gt;&lt;auth-address&gt;Heck, K. L.&amp;#xD;Dauphin Isl Sea Lab, 101 Bienville Blvd, Dauphin Isl, AL 36528 USA&amp;#xD;Dauphin Isl Sea Lab, Dauphin Isl, AL 36528 USA&amp;#xD;Univ S Alabama, Dauphin Isl, AL 36528 USA&lt;/auth-address&gt;&lt;titles&gt;&lt;title&gt;Plant-herbivore interactions in seagrass meadows&lt;/title&gt;&lt;secondary-title&gt;Journal of Experimental Marine Biology and Ecology&lt;/secondary-title&gt;&lt;alt-title&gt;J Exp Mar Biol Ecol&amp;#xD;J Exp Mar Biol Ecol&lt;/alt-title&gt;&lt;/titles&gt;&lt;periodical&gt;&lt;full-title&gt;Journal of Experimental Marine Biology and Ecology&lt;/full-title&gt;&lt;/periodical&gt;&lt;pages&gt;420-436&lt;/pages&gt;&lt;volume&gt;330&lt;/volume&gt;&lt;number&gt;1&lt;/number&gt;&lt;keywords&gt;&lt;keyword&gt;epiphytes&lt;/keyword&gt;&lt;keyword&gt;food webs&lt;/keyword&gt;&lt;keyword&gt;grazing&lt;/keyword&gt;&lt;keyword&gt;herbivory&lt;/keyword&gt;&lt;keyword&gt;seagrasses&lt;/keyword&gt;&lt;keyword&gt;suspension feeders&lt;/keyword&gt;&lt;keyword&gt;eelgrass zostera-marina&lt;/keyword&gt;&lt;keyword&gt;turtlegrass thalassia-testudinum&lt;/keyword&gt;&lt;keyword&gt;surfgrass phyllospadix-torreyi&lt;/keyword&gt;&lt;keyword&gt;urchin lytechinus-variegatus&lt;/keyword&gt;&lt;keyword&gt;suspension-feeding bivalves&lt;/keyword&gt;&lt;keyword&gt;mussels mytilus-edulis&lt;/keyword&gt;&lt;keyword&gt;oceanica l. delile&lt;/keyword&gt;&lt;keyword&gt;gulf-of-mexico&lt;/keyword&gt;&lt;keyword&gt;banks ex konig&lt;/keyword&gt;&lt;keyword&gt;nutrient enrichment&lt;/keyword&gt;&lt;/keywords&gt;&lt;dates&gt;&lt;year&gt;2006&lt;/year&gt;&lt;pub-dates&gt;&lt;date&gt;MAR 7&lt;/date&gt;&lt;/pub-dates&gt;&lt;/dates&gt;&lt;accession-num&gt;ISI:000236058900034&lt;/accession-num&gt;&lt;label&gt;Elsevier Science Bv&lt;/label&gt;&lt;urls&gt;&lt;related-urls&gt;&lt;url&gt;&amp;lt;Go to ISI&amp;gt;://000236058900034&lt;/url&gt;&lt;/related-urls&gt;&lt;/urls&gt;&lt;/record&gt;&lt;/Cite&gt;&lt;/EndNote&gt;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Heck and Valentine 2006</w:t>
        </w:r>
        <w:r w:rsidR="00513C39" w:rsidRPr="00CB093C">
          <w:rPr>
            <w:rFonts w:ascii="Arial" w:hAnsi="Arial" w:cs="Arial"/>
            <w:szCs w:val="22"/>
            <w:lang w:val="en-US"/>
          </w:rPr>
          <w:fldChar w:fldCharType="end"/>
        </w:r>
      </w:hyperlink>
      <w:r w:rsidRPr="00CB093C">
        <w:rPr>
          <w:rFonts w:ascii="Arial" w:hAnsi="Arial" w:cs="Arial"/>
          <w:szCs w:val="22"/>
          <w:lang w:val="en-US"/>
        </w:rPr>
        <w:t>), the</w:t>
      </w:r>
      <w:r w:rsidR="00281B60" w:rsidRPr="00CB093C">
        <w:rPr>
          <w:rFonts w:ascii="Arial" w:hAnsi="Arial" w:cs="Arial"/>
          <w:szCs w:val="22"/>
          <w:lang w:val="en-US"/>
        </w:rPr>
        <w:t>ir abundance may not necessarily correlate</w:t>
      </w:r>
      <w:r w:rsidR="00E564B0" w:rsidRPr="00CB093C">
        <w:rPr>
          <w:rFonts w:ascii="Arial" w:hAnsi="Arial" w:cs="Arial"/>
          <w:szCs w:val="22"/>
          <w:lang w:val="en-US"/>
        </w:rPr>
        <w:t xml:space="preserve"> to nutrient loading.</w:t>
      </w:r>
      <w:r w:rsidR="00740990" w:rsidRPr="00CB093C">
        <w:rPr>
          <w:rFonts w:ascii="Arial" w:hAnsi="Arial" w:cs="Arial"/>
          <w:szCs w:val="22"/>
          <w:lang w:val="en-US"/>
        </w:rPr>
        <w:t xml:space="preserve"> Elevated water temperature</w:t>
      </w:r>
      <w:r w:rsidR="009213E9" w:rsidRPr="00CB093C">
        <w:rPr>
          <w:rFonts w:ascii="Arial" w:hAnsi="Arial" w:cs="Arial"/>
          <w:szCs w:val="22"/>
          <w:lang w:val="en-US"/>
        </w:rPr>
        <w:t>s over the last four years</w:t>
      </w:r>
      <w:r w:rsidR="00740990" w:rsidRPr="00CB093C">
        <w:rPr>
          <w:rFonts w:ascii="Arial" w:hAnsi="Arial" w:cs="Arial"/>
          <w:szCs w:val="22"/>
          <w:lang w:val="en-US"/>
        </w:rPr>
        <w:t xml:space="preserve"> may have also driven faster rates of epiphyte and macroalgae cover in </w:t>
      </w:r>
      <w:r w:rsidR="009213E9" w:rsidRPr="00CB093C">
        <w:rPr>
          <w:rFonts w:ascii="Arial" w:hAnsi="Arial" w:cs="Arial"/>
          <w:szCs w:val="22"/>
          <w:lang w:val="en-US"/>
        </w:rPr>
        <w:t>reef habitats</w:t>
      </w:r>
      <w:r w:rsidR="00740990" w:rsidRPr="00CB093C">
        <w:rPr>
          <w:rFonts w:ascii="Arial" w:hAnsi="Arial" w:cs="Arial"/>
          <w:szCs w:val="22"/>
          <w:lang w:val="en-US"/>
        </w:rPr>
        <w:t>, as they can be highly responsive to temperature</w:t>
      </w:r>
      <w:r w:rsidR="009213E9" w:rsidRPr="00CB093C">
        <w:rPr>
          <w:rFonts w:ascii="Arial" w:hAnsi="Arial" w:cs="Arial"/>
          <w:szCs w:val="22"/>
          <w:lang w:val="en-US"/>
        </w:rPr>
        <w:t xml:space="preserve"> and less turbid waters</w:t>
      </w:r>
      <w:r w:rsidR="00740990" w:rsidRPr="00CB093C">
        <w:rPr>
          <w:rFonts w:ascii="Arial" w:hAnsi="Arial" w:cs="Arial"/>
          <w:szCs w:val="22"/>
          <w:lang w:val="en-US"/>
        </w:rPr>
        <w:t>.</w:t>
      </w:r>
    </w:p>
    <w:p w14:paraId="424574F5" w14:textId="77777777" w:rsidR="00F84928" w:rsidRPr="00CB093C" w:rsidRDefault="00015AD8" w:rsidP="00F84928">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58410C0F" wp14:editId="01F872C5">
            <wp:extent cx="5496945" cy="3079292"/>
            <wp:effectExtent l="0" t="0" r="8890" b="6985"/>
            <wp:docPr id="305" name="Picture 305" descr="Set of six bar charts showing long-term trend in mean epiphyte and macroalgae abundance (% cover) at each inshore seagrass habitats in the Burdekin NRM region, relative to the long-term average for each inshore GBR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B_epi_algae_change_2016.png"/>
                    <pic:cNvPicPr/>
                  </pic:nvPicPr>
                  <pic:blipFill>
                    <a:blip r:embed="rId104">
                      <a:extLst>
                        <a:ext uri="{28A0092B-C50C-407E-A947-70E740481C1C}">
                          <a14:useLocalDpi xmlns:a14="http://schemas.microsoft.com/office/drawing/2010/main" val="0"/>
                        </a:ext>
                      </a:extLst>
                    </a:blip>
                    <a:stretch>
                      <a:fillRect/>
                    </a:stretch>
                  </pic:blipFill>
                  <pic:spPr>
                    <a:xfrm>
                      <a:off x="0" y="0"/>
                      <a:ext cx="5496945" cy="3079292"/>
                    </a:xfrm>
                    <a:prstGeom prst="rect">
                      <a:avLst/>
                    </a:prstGeom>
                  </pic:spPr>
                </pic:pic>
              </a:graphicData>
            </a:graphic>
          </wp:inline>
        </w:drawing>
      </w:r>
    </w:p>
    <w:p w14:paraId="7DA4C506" w14:textId="36122E70" w:rsidR="00527E4F" w:rsidRPr="00CB093C" w:rsidRDefault="005132EF" w:rsidP="00527E4F">
      <w:pPr>
        <w:spacing w:before="0"/>
        <w:ind w:right="233"/>
        <w:rPr>
          <w:rFonts w:ascii="Arial" w:hAnsi="Arial" w:cs="Arial"/>
          <w:i/>
          <w:vanish/>
          <w:szCs w:val="22"/>
          <w:specVanish/>
        </w:rPr>
      </w:pPr>
      <w:bookmarkStart w:id="388" w:name="_Ref211930918"/>
      <w:bookmarkStart w:id="389" w:name="_Ref380433470"/>
      <w:bookmarkStart w:id="390" w:name="_Toc232845987"/>
      <w:bookmarkStart w:id="391" w:name="_Toc431493864"/>
      <w:bookmarkStart w:id="392" w:name="_Toc6402825"/>
      <w:r w:rsidRPr="00CB093C">
        <w:rPr>
          <w:rFonts w:ascii="Arial" w:hAnsi="Arial" w:cs="Arial"/>
          <w:szCs w:val="22"/>
        </w:rPr>
        <w:t xml:space="preserve">Figure </w:t>
      </w:r>
      <w:r w:rsidR="00412A75" w:rsidRPr="00CB093C">
        <w:rPr>
          <w:rFonts w:ascii="Arial" w:hAnsi="Arial" w:cs="Arial"/>
          <w:noProof/>
          <w:szCs w:val="22"/>
        </w:rPr>
        <w:fldChar w:fldCharType="begin"/>
      </w:r>
      <w:r w:rsidR="00412A75" w:rsidRPr="00CB093C">
        <w:rPr>
          <w:rFonts w:ascii="Arial" w:hAnsi="Arial" w:cs="Arial"/>
          <w:noProof/>
          <w:szCs w:val="22"/>
        </w:rPr>
        <w:instrText xml:space="preserve"> SEQ Figure \* ARABIC </w:instrText>
      </w:r>
      <w:r w:rsidR="00412A75" w:rsidRPr="00CB093C">
        <w:rPr>
          <w:rFonts w:ascii="Arial" w:hAnsi="Arial" w:cs="Arial"/>
          <w:noProof/>
          <w:szCs w:val="22"/>
        </w:rPr>
        <w:fldChar w:fldCharType="separate"/>
      </w:r>
      <w:r w:rsidR="005F00D4">
        <w:rPr>
          <w:rFonts w:ascii="Arial" w:hAnsi="Arial" w:cs="Arial"/>
          <w:noProof/>
          <w:szCs w:val="22"/>
        </w:rPr>
        <w:t>60</w:t>
      </w:r>
      <w:r w:rsidR="00412A75" w:rsidRPr="00CB093C">
        <w:rPr>
          <w:rFonts w:ascii="Arial" w:hAnsi="Arial" w:cs="Arial"/>
          <w:noProof/>
          <w:szCs w:val="22"/>
        </w:rPr>
        <w:fldChar w:fldCharType="end"/>
      </w:r>
      <w:bookmarkEnd w:id="388"/>
      <w:bookmarkEnd w:id="389"/>
      <w:r w:rsidRPr="00CB093C">
        <w:rPr>
          <w:rFonts w:ascii="Arial" w:hAnsi="Arial" w:cs="Arial"/>
          <w:szCs w:val="22"/>
        </w:rPr>
        <w:t xml:space="preserve">. </w:t>
      </w:r>
      <w:bookmarkEnd w:id="390"/>
      <w:r w:rsidR="00BC6300" w:rsidRPr="00CB093C">
        <w:rPr>
          <w:rFonts w:ascii="Arial" w:hAnsi="Arial" w:cs="Arial"/>
          <w:i/>
          <w:szCs w:val="22"/>
        </w:rPr>
        <w:t>Long-term trend in mean epiphyte and macroalgae abundance (</w:t>
      </w:r>
      <w:r w:rsidR="00882B72" w:rsidRPr="00CB093C">
        <w:rPr>
          <w:rFonts w:ascii="Arial" w:hAnsi="Arial" w:cs="Arial"/>
          <w:i/>
          <w:szCs w:val="22"/>
        </w:rPr>
        <w:t>%</w:t>
      </w:r>
      <w:r w:rsidR="00BC6300" w:rsidRPr="00CB093C">
        <w:rPr>
          <w:rFonts w:ascii="Arial" w:hAnsi="Arial" w:cs="Arial"/>
          <w:i/>
          <w:szCs w:val="22"/>
        </w:rPr>
        <w:t xml:space="preserve"> cover) relative to the long-term </w:t>
      </w:r>
      <w:r w:rsidR="003158FC" w:rsidRPr="00CB093C">
        <w:rPr>
          <w:rFonts w:ascii="Arial" w:hAnsi="Arial" w:cs="Arial"/>
          <w:i/>
          <w:szCs w:val="22"/>
        </w:rPr>
        <w:t>Reef</w:t>
      </w:r>
      <w:r w:rsidR="00DE31AC" w:rsidRPr="00CB093C">
        <w:rPr>
          <w:rFonts w:ascii="Arial" w:hAnsi="Arial" w:cs="Arial"/>
          <w:i/>
          <w:szCs w:val="22"/>
        </w:rPr>
        <w:t xml:space="preserve"> </w:t>
      </w:r>
      <w:r w:rsidR="00BC6300" w:rsidRPr="00CB093C">
        <w:rPr>
          <w:rFonts w:ascii="Arial" w:hAnsi="Arial" w:cs="Arial"/>
          <w:i/>
          <w:szCs w:val="22"/>
        </w:rPr>
        <w:t xml:space="preserve">average for each </w:t>
      </w:r>
      <w:r w:rsidR="00527E4F" w:rsidRPr="00CB093C">
        <w:rPr>
          <w:rFonts w:ascii="Arial" w:hAnsi="Arial" w:cs="Arial"/>
          <w:i/>
          <w:szCs w:val="22"/>
        </w:rPr>
        <w:t>inshore</w:t>
      </w:r>
      <w:r w:rsidR="00BC6300" w:rsidRPr="00CB093C">
        <w:rPr>
          <w:rFonts w:ascii="Arial" w:hAnsi="Arial" w:cs="Arial"/>
          <w:i/>
          <w:szCs w:val="22"/>
        </w:rPr>
        <w:t xml:space="preserve"> seagrass habitat </w:t>
      </w:r>
      <w:r w:rsidR="00527E4F" w:rsidRPr="00CB093C">
        <w:rPr>
          <w:rFonts w:ascii="Arial" w:hAnsi="Arial" w:cs="Arial"/>
          <w:i/>
          <w:szCs w:val="22"/>
        </w:rPr>
        <w:t>in the Burdekin region</w:t>
      </w:r>
      <w:bookmarkEnd w:id="391"/>
      <w:bookmarkEnd w:id="392"/>
      <w:r w:rsidR="00527E4F" w:rsidRPr="00CB093C">
        <w:rPr>
          <w:rFonts w:ascii="Arial" w:hAnsi="Arial" w:cs="Arial"/>
          <w:i/>
          <w:szCs w:val="22"/>
        </w:rPr>
        <w:t xml:space="preserve"> </w:t>
      </w:r>
    </w:p>
    <w:p w14:paraId="35277835" w14:textId="146379AE" w:rsidR="00527E4F" w:rsidRPr="00CB093C" w:rsidRDefault="00527E4F" w:rsidP="00527E4F">
      <w:pPr>
        <w:spacing w:before="0"/>
        <w:ind w:right="233"/>
        <w:rPr>
          <w:rFonts w:ascii="Arial" w:hAnsi="Arial" w:cs="Arial"/>
          <w:i/>
          <w:szCs w:val="22"/>
        </w:rPr>
      </w:pPr>
      <w:r w:rsidRPr="00CB093C">
        <w:rPr>
          <w:rFonts w:ascii="Arial" w:hAnsi="Arial" w:cs="Arial"/>
          <w:i/>
          <w:szCs w:val="22"/>
        </w:rPr>
        <w:t xml:space="preserve"> </w:t>
      </w:r>
      <w:r w:rsidR="00BC6300" w:rsidRPr="00CB093C">
        <w:rPr>
          <w:rFonts w:ascii="Arial" w:hAnsi="Arial" w:cs="Arial"/>
          <w:i/>
          <w:szCs w:val="22"/>
        </w:rPr>
        <w:t xml:space="preserve">(sites pooled, ±SE). </w:t>
      </w:r>
      <w:r w:rsidR="00E255DB" w:rsidRPr="00CB093C">
        <w:rPr>
          <w:rFonts w:ascii="Arial" w:hAnsi="Arial" w:cs="Arial"/>
          <w:i/>
          <w:szCs w:val="22"/>
        </w:rPr>
        <w:t>Red/green text</w:t>
      </w:r>
    </w:p>
    <w:p w14:paraId="61024208" w14:textId="00A57347" w:rsidR="00E0661B" w:rsidRPr="00CB093C" w:rsidRDefault="005132EF" w:rsidP="0015509E">
      <w:pPr>
        <w:pStyle w:val="Heading2"/>
      </w:pPr>
      <w:r w:rsidRPr="00CB093C">
        <w:rPr>
          <w:lang w:val="en-GB"/>
        </w:rPr>
        <w:br w:type="page"/>
      </w:r>
      <w:bookmarkStart w:id="393" w:name="_Toc11394751"/>
      <w:bookmarkStart w:id="394" w:name="_Toc170191638"/>
      <w:r w:rsidR="00637325">
        <w:t>Mackay-Whitsunday</w:t>
      </w:r>
      <w:bookmarkEnd w:id="393"/>
    </w:p>
    <w:p w14:paraId="2EAC211F" w14:textId="512EC690" w:rsidR="005132EF" w:rsidRPr="00CB093C" w:rsidRDefault="006574F1" w:rsidP="00AD06D4">
      <w:pPr>
        <w:pStyle w:val="Heading3"/>
        <w:numPr>
          <w:ilvl w:val="2"/>
          <w:numId w:val="4"/>
        </w:numPr>
        <w:rPr>
          <w:rFonts w:ascii="Arial" w:hAnsi="Arial" w:cs="Arial"/>
          <w:color w:val="000000"/>
          <w:sz w:val="22"/>
          <w:szCs w:val="22"/>
        </w:rPr>
      </w:pPr>
      <w:bookmarkStart w:id="395" w:name="_Toc184102010"/>
      <w:bookmarkStart w:id="396" w:name="_Toc431493774"/>
      <w:bookmarkStart w:id="397" w:name="_Toc11394752"/>
      <w:bookmarkStart w:id="398" w:name="OLE_LINK38"/>
      <w:bookmarkStart w:id="399" w:name="OLE_LINK39"/>
      <w:bookmarkEnd w:id="394"/>
      <w:r w:rsidRPr="00CB093C">
        <w:rPr>
          <w:rFonts w:ascii="Arial" w:hAnsi="Arial" w:cs="Arial"/>
          <w:color w:val="000000"/>
          <w:sz w:val="22"/>
          <w:szCs w:val="22"/>
        </w:rPr>
        <w:t>201</w:t>
      </w:r>
      <w:r w:rsidR="00E31504" w:rsidRPr="00CB093C">
        <w:rPr>
          <w:rFonts w:ascii="Arial" w:hAnsi="Arial" w:cs="Arial"/>
          <w:color w:val="000000"/>
          <w:sz w:val="22"/>
          <w:szCs w:val="22"/>
        </w:rPr>
        <w:t>7</w:t>
      </w:r>
      <w:r w:rsidR="00ED7F82" w:rsidRPr="00CB093C">
        <w:rPr>
          <w:rFonts w:ascii="Arial" w:hAnsi="Arial" w:cs="Arial"/>
          <w:color w:val="000000"/>
          <w:sz w:val="22"/>
          <w:szCs w:val="22"/>
        </w:rPr>
        <w:t>–</w:t>
      </w:r>
      <w:r w:rsidRPr="00CB093C">
        <w:rPr>
          <w:rFonts w:ascii="Arial" w:hAnsi="Arial" w:cs="Arial"/>
          <w:color w:val="000000"/>
          <w:sz w:val="22"/>
          <w:szCs w:val="22"/>
        </w:rPr>
        <w:t>1</w:t>
      </w:r>
      <w:r w:rsidR="00E31504" w:rsidRPr="00CB093C">
        <w:rPr>
          <w:rFonts w:ascii="Arial" w:hAnsi="Arial" w:cs="Arial"/>
          <w:color w:val="000000"/>
          <w:sz w:val="22"/>
          <w:szCs w:val="22"/>
        </w:rPr>
        <w:t>8</w:t>
      </w:r>
      <w:r w:rsidR="005132EF" w:rsidRPr="00CB093C">
        <w:rPr>
          <w:rFonts w:ascii="Arial" w:hAnsi="Arial" w:cs="Arial"/>
          <w:color w:val="000000"/>
          <w:sz w:val="22"/>
          <w:szCs w:val="22"/>
        </w:rPr>
        <w:t xml:space="preserve"> Summary</w:t>
      </w:r>
      <w:bookmarkEnd w:id="395"/>
      <w:bookmarkEnd w:id="396"/>
      <w:bookmarkEnd w:id="397"/>
    </w:p>
    <w:p w14:paraId="66CC17DA" w14:textId="5ECE48CA" w:rsidR="00ED7F82" w:rsidRPr="00CB093C" w:rsidRDefault="00D75691" w:rsidP="00ED7F82">
      <w:pPr>
        <w:rPr>
          <w:rFonts w:ascii="Arial" w:hAnsi="Arial" w:cs="Arial"/>
          <w:szCs w:val="22"/>
        </w:rPr>
      </w:pPr>
      <w:bookmarkStart w:id="400" w:name="_Toc184102011"/>
      <w:bookmarkStart w:id="401" w:name="_Toc431493775"/>
      <w:bookmarkEnd w:id="398"/>
      <w:bookmarkEnd w:id="399"/>
      <w:r w:rsidRPr="00CB093C">
        <w:rPr>
          <w:rFonts w:ascii="Arial" w:hAnsi="Arial" w:cs="Arial"/>
          <w:szCs w:val="22"/>
        </w:rPr>
        <w:t>Inshore s</w:t>
      </w:r>
      <w:r w:rsidR="00D65272" w:rsidRPr="00CB093C">
        <w:rPr>
          <w:rFonts w:ascii="Arial" w:hAnsi="Arial" w:cs="Arial"/>
          <w:szCs w:val="22"/>
        </w:rPr>
        <w:t xml:space="preserve">eagrass meadows across the </w:t>
      </w:r>
      <w:r w:rsidR="00637325">
        <w:rPr>
          <w:rFonts w:ascii="Arial" w:hAnsi="Arial" w:cs="Arial"/>
          <w:color w:val="000000" w:themeColor="text1"/>
          <w:szCs w:val="22"/>
        </w:rPr>
        <w:t>Mackay-Whitsunday</w:t>
      </w:r>
      <w:r w:rsidR="00D65272" w:rsidRPr="00CB093C">
        <w:rPr>
          <w:rFonts w:ascii="Arial" w:hAnsi="Arial" w:cs="Arial"/>
          <w:color w:val="000000" w:themeColor="text1"/>
          <w:szCs w:val="22"/>
        </w:rPr>
        <w:t xml:space="preserve"> </w:t>
      </w:r>
      <w:r w:rsidR="00D65272" w:rsidRPr="00CB093C">
        <w:rPr>
          <w:rFonts w:ascii="Arial" w:hAnsi="Arial" w:cs="Arial"/>
          <w:szCs w:val="22"/>
        </w:rPr>
        <w:t xml:space="preserve">NRM region declined in overall condition in </w:t>
      </w:r>
      <w:r w:rsidR="008C0E45">
        <w:rPr>
          <w:rFonts w:ascii="Arial" w:hAnsi="Arial" w:cs="Arial"/>
          <w:szCs w:val="22"/>
        </w:rPr>
        <w:t>2017–18</w:t>
      </w:r>
      <w:r w:rsidR="00D65272" w:rsidRPr="00CB093C">
        <w:rPr>
          <w:rFonts w:ascii="Arial" w:hAnsi="Arial" w:cs="Arial"/>
          <w:szCs w:val="22"/>
        </w:rPr>
        <w:t xml:space="preserve">, </w:t>
      </w:r>
      <w:r w:rsidR="00AB00C3" w:rsidRPr="00CB093C">
        <w:rPr>
          <w:rFonts w:ascii="Arial" w:hAnsi="Arial" w:cs="Arial"/>
          <w:szCs w:val="22"/>
        </w:rPr>
        <w:t xml:space="preserve">with the condition grade remaining </w:t>
      </w:r>
      <w:r w:rsidR="00AB00C3" w:rsidRPr="00CB093C">
        <w:rPr>
          <w:rFonts w:ascii="Arial" w:hAnsi="Arial" w:cs="Arial"/>
          <w:b/>
          <w:szCs w:val="22"/>
        </w:rPr>
        <w:t>poor</w:t>
      </w:r>
      <w:r w:rsidR="00AB00C3" w:rsidRPr="00CB093C">
        <w:rPr>
          <w:rFonts w:ascii="Arial" w:hAnsi="Arial" w:cs="Arial"/>
          <w:szCs w:val="22"/>
        </w:rPr>
        <w:t xml:space="preserve"> (</w:t>
      </w:r>
      <w:r w:rsidR="00AB00C3" w:rsidRPr="00CB093C">
        <w:rPr>
          <w:rFonts w:ascii="Arial" w:hAnsi="Arial" w:cs="Arial"/>
          <w:szCs w:val="22"/>
        </w:rPr>
        <w:fldChar w:fldCharType="begin"/>
      </w:r>
      <w:r w:rsidR="00AB00C3" w:rsidRPr="00CB093C">
        <w:rPr>
          <w:rFonts w:ascii="Arial" w:hAnsi="Arial" w:cs="Arial"/>
          <w:szCs w:val="22"/>
        </w:rPr>
        <w:instrText xml:space="preserve"> REF _Ref461377180 \h </w:instrText>
      </w:r>
      <w:r w:rsidR="00CB093C" w:rsidRPr="00CB093C">
        <w:rPr>
          <w:rFonts w:ascii="Arial" w:hAnsi="Arial" w:cs="Arial"/>
          <w:szCs w:val="22"/>
        </w:rPr>
        <w:instrText xml:space="preserve"> \* MERGEFORMAT </w:instrText>
      </w:r>
      <w:r w:rsidR="00AB00C3" w:rsidRPr="00CB093C">
        <w:rPr>
          <w:rFonts w:ascii="Arial" w:hAnsi="Arial" w:cs="Arial"/>
          <w:szCs w:val="22"/>
        </w:rPr>
      </w:r>
      <w:r w:rsidR="00AB00C3"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61</w:t>
      </w:r>
      <w:r w:rsidR="00AB00C3" w:rsidRPr="00CB093C">
        <w:rPr>
          <w:rFonts w:ascii="Arial" w:hAnsi="Arial" w:cs="Arial"/>
          <w:szCs w:val="22"/>
        </w:rPr>
        <w:fldChar w:fldCharType="end"/>
      </w:r>
      <w:r w:rsidR="00AB00C3" w:rsidRPr="00CB093C">
        <w:rPr>
          <w:rFonts w:ascii="Arial" w:hAnsi="Arial" w:cs="Arial"/>
          <w:szCs w:val="22"/>
        </w:rPr>
        <w:t>)</w:t>
      </w:r>
      <w:r w:rsidR="00D65272" w:rsidRPr="00CB093C">
        <w:rPr>
          <w:rFonts w:ascii="Arial" w:hAnsi="Arial" w:cs="Arial"/>
          <w:szCs w:val="22"/>
        </w:rPr>
        <w:t xml:space="preserve">. </w:t>
      </w:r>
      <w:r w:rsidR="00ED7F82" w:rsidRPr="00CB093C">
        <w:rPr>
          <w:rFonts w:ascii="Arial" w:hAnsi="Arial" w:cs="Arial"/>
          <w:szCs w:val="22"/>
        </w:rPr>
        <w:t xml:space="preserve">All condition indicators </w:t>
      </w:r>
      <w:r w:rsidRPr="00CB093C">
        <w:rPr>
          <w:rFonts w:ascii="Arial" w:hAnsi="Arial" w:cs="Arial"/>
          <w:szCs w:val="22"/>
        </w:rPr>
        <w:t>also declined</w:t>
      </w:r>
      <w:r w:rsidR="00ED7F82" w:rsidRPr="00CB093C">
        <w:rPr>
          <w:rFonts w:ascii="Arial" w:hAnsi="Arial" w:cs="Arial"/>
          <w:szCs w:val="22"/>
        </w:rPr>
        <w:t>:</w:t>
      </w:r>
    </w:p>
    <w:p w14:paraId="237AE46B" w14:textId="0548B0CD" w:rsidR="00D905C4" w:rsidRPr="00CB093C" w:rsidRDefault="00D905C4" w:rsidP="00AD06D4">
      <w:pPr>
        <w:pStyle w:val="ListParagraph"/>
        <w:numPr>
          <w:ilvl w:val="0"/>
          <w:numId w:val="27"/>
        </w:numPr>
        <w:spacing w:after="0"/>
        <w:rPr>
          <w:rFonts w:ascii="Arial" w:hAnsi="Arial" w:cs="Arial"/>
          <w:szCs w:val="22"/>
        </w:rPr>
      </w:pPr>
      <w:r w:rsidRPr="00CB093C">
        <w:rPr>
          <w:rFonts w:ascii="Arial" w:hAnsi="Arial" w:cs="Arial"/>
          <w:szCs w:val="22"/>
        </w:rPr>
        <w:t>abundance score was poor</w:t>
      </w:r>
    </w:p>
    <w:p w14:paraId="3C999C09" w14:textId="7762046E" w:rsidR="00D905C4" w:rsidRPr="00CB093C" w:rsidRDefault="00D905C4" w:rsidP="00AD06D4">
      <w:pPr>
        <w:pStyle w:val="ListParagraph"/>
        <w:numPr>
          <w:ilvl w:val="0"/>
          <w:numId w:val="27"/>
        </w:numPr>
        <w:spacing w:after="0"/>
        <w:rPr>
          <w:rFonts w:ascii="Arial" w:hAnsi="Arial" w:cs="Arial"/>
          <w:szCs w:val="22"/>
        </w:rPr>
      </w:pPr>
      <w:r w:rsidRPr="00CB093C">
        <w:rPr>
          <w:rFonts w:ascii="Arial" w:hAnsi="Arial" w:cs="Arial"/>
          <w:szCs w:val="22"/>
        </w:rPr>
        <w:t xml:space="preserve">reproductive effort score was very poor </w:t>
      </w:r>
    </w:p>
    <w:p w14:paraId="6B0E6D10" w14:textId="546BBA04" w:rsidR="00D905C4" w:rsidRPr="00CB093C" w:rsidRDefault="00D905C4" w:rsidP="00AD06D4">
      <w:pPr>
        <w:pStyle w:val="ListParagraph"/>
        <w:numPr>
          <w:ilvl w:val="0"/>
          <w:numId w:val="27"/>
        </w:numPr>
        <w:spacing w:after="0"/>
        <w:rPr>
          <w:rFonts w:ascii="Arial" w:hAnsi="Arial" w:cs="Arial"/>
          <w:szCs w:val="22"/>
        </w:rPr>
      </w:pPr>
      <w:r w:rsidRPr="00CB093C">
        <w:rPr>
          <w:rFonts w:ascii="Arial" w:hAnsi="Arial" w:cs="Arial"/>
          <w:szCs w:val="22"/>
        </w:rPr>
        <w:t>tissue nutrient score was poor.</w:t>
      </w:r>
      <w:r w:rsidRPr="00CB093C">
        <w:rPr>
          <w:rFonts w:ascii="Arial" w:hAnsi="Arial" w:cs="Arial"/>
          <w:color w:val="000000" w:themeColor="text1"/>
          <w:szCs w:val="22"/>
        </w:rPr>
        <w:t xml:space="preserve"> </w:t>
      </w:r>
    </w:p>
    <w:p w14:paraId="4FB76139" w14:textId="677DD31A" w:rsidR="009520A4" w:rsidRPr="00CB093C" w:rsidRDefault="00D65272" w:rsidP="00D65272">
      <w:pPr>
        <w:rPr>
          <w:rFonts w:ascii="Arial" w:hAnsi="Arial" w:cs="Arial"/>
          <w:szCs w:val="22"/>
          <w:lang w:val="en-GB"/>
        </w:rPr>
      </w:pPr>
      <w:r w:rsidRPr="00CB093C">
        <w:rPr>
          <w:rFonts w:ascii="Arial" w:hAnsi="Arial" w:cs="Arial"/>
          <w:szCs w:val="22"/>
        </w:rPr>
        <w:t xml:space="preserve">Although meadow distribution improved relative to the previous period, </w:t>
      </w:r>
      <w:r w:rsidRPr="00CB093C">
        <w:rPr>
          <w:rFonts w:ascii="Arial" w:hAnsi="Arial" w:cs="Arial"/>
          <w:szCs w:val="22"/>
          <w:lang w:val="en-GB"/>
        </w:rPr>
        <w:t>64% of sites decreased in abundance. All subtidal sites decreased</w:t>
      </w:r>
      <w:r w:rsidR="003C0E8D" w:rsidRPr="00CB093C">
        <w:rPr>
          <w:rFonts w:ascii="Arial" w:hAnsi="Arial" w:cs="Arial"/>
          <w:szCs w:val="22"/>
          <w:lang w:val="en-GB"/>
        </w:rPr>
        <w:t xml:space="preserve"> in abundance</w:t>
      </w:r>
      <w:r w:rsidRPr="00CB093C">
        <w:rPr>
          <w:rFonts w:ascii="Arial" w:hAnsi="Arial" w:cs="Arial"/>
          <w:szCs w:val="22"/>
          <w:lang w:val="en-GB"/>
        </w:rPr>
        <w:t xml:space="preserve">, however losses only occurred in 25% and 50% of coastal and reef intertidal sites, respectively. </w:t>
      </w:r>
      <w:r w:rsidR="00ED7AD5" w:rsidRPr="00CB093C">
        <w:rPr>
          <w:rFonts w:ascii="Arial" w:hAnsi="Arial" w:cs="Arial"/>
          <w:szCs w:val="22"/>
        </w:rPr>
        <w:t>The long-term trend for the region indicates a significant decrease in abundance.</w:t>
      </w:r>
    </w:p>
    <w:p w14:paraId="6E30E8D9" w14:textId="77777777" w:rsidR="00D635DF" w:rsidRPr="00CB093C" w:rsidRDefault="003C0E8D" w:rsidP="00D65272">
      <w:pPr>
        <w:rPr>
          <w:rFonts w:ascii="Arial" w:hAnsi="Arial" w:cs="Arial"/>
          <w:szCs w:val="22"/>
        </w:rPr>
      </w:pPr>
      <w:r w:rsidRPr="00CB093C">
        <w:rPr>
          <w:rFonts w:ascii="Arial" w:hAnsi="Arial" w:cs="Arial"/>
          <w:szCs w:val="22"/>
          <w:lang w:val="en-GB"/>
        </w:rPr>
        <w:t>Recovery potential wa</w:t>
      </w:r>
      <w:r w:rsidR="00D65272" w:rsidRPr="00CB093C">
        <w:rPr>
          <w:rFonts w:ascii="Arial" w:hAnsi="Arial" w:cs="Arial"/>
          <w:szCs w:val="22"/>
          <w:lang w:val="en-GB"/>
        </w:rPr>
        <w:t xml:space="preserve">s varied across the region and habitats. Seagrass reproductive effort remained elevated at coastal habitats, however the overall indicator score declined greatly due to very low or absent reproductive effort in reef and estuarine habitats. In addition, declining and low seed banks at coastal habitats and reef habitats may limit </w:t>
      </w:r>
      <w:r w:rsidR="00D65272" w:rsidRPr="00CB093C">
        <w:rPr>
          <w:rFonts w:ascii="Arial" w:hAnsi="Arial" w:cs="Arial"/>
          <w:szCs w:val="22"/>
        </w:rPr>
        <w:t xml:space="preserve">recovery. Although a greater </w:t>
      </w:r>
      <w:r w:rsidR="00D65272" w:rsidRPr="00CB093C">
        <w:rPr>
          <w:rFonts w:ascii="Arial" w:hAnsi="Arial" w:cs="Arial"/>
          <w:szCs w:val="22"/>
          <w:lang w:val="en-GB"/>
        </w:rPr>
        <w:t>seed bank was present in the estuarine meadows, they lack replenishment capability due to deficient reproductive effort</w:t>
      </w:r>
      <w:r w:rsidRPr="00CB093C">
        <w:rPr>
          <w:rFonts w:ascii="Arial" w:hAnsi="Arial" w:cs="Arial"/>
          <w:szCs w:val="22"/>
          <w:lang w:val="en-GB"/>
        </w:rPr>
        <w:t xml:space="preserve"> (i.e. limited recovery capacity)</w:t>
      </w:r>
      <w:r w:rsidR="00D65272" w:rsidRPr="00CB093C">
        <w:rPr>
          <w:rFonts w:ascii="Arial" w:hAnsi="Arial" w:cs="Arial"/>
          <w:szCs w:val="22"/>
          <w:lang w:val="en-GB"/>
        </w:rPr>
        <w:t xml:space="preserve">, which coupled with low seagrass abundance </w:t>
      </w:r>
      <w:r w:rsidRPr="00CB093C">
        <w:rPr>
          <w:rFonts w:ascii="Arial" w:hAnsi="Arial" w:cs="Arial"/>
          <w:szCs w:val="22"/>
          <w:lang w:val="en-GB"/>
        </w:rPr>
        <w:t xml:space="preserve">(i.e. low resistance) </w:t>
      </w:r>
      <w:r w:rsidR="00D65272" w:rsidRPr="00CB093C">
        <w:rPr>
          <w:rFonts w:ascii="Arial" w:hAnsi="Arial" w:cs="Arial"/>
          <w:szCs w:val="22"/>
          <w:lang w:val="en-GB"/>
        </w:rPr>
        <w:t xml:space="preserve">may </w:t>
      </w:r>
      <w:r w:rsidR="00D65272" w:rsidRPr="00CB093C">
        <w:rPr>
          <w:rFonts w:ascii="Arial" w:hAnsi="Arial" w:cs="Arial"/>
          <w:szCs w:val="22"/>
        </w:rPr>
        <w:t xml:space="preserve">render the meadows vulnerable to large disturbances in the near future. </w:t>
      </w:r>
    </w:p>
    <w:p w14:paraId="372341BD" w14:textId="6561B954" w:rsidR="00D65272" w:rsidRPr="00CB093C" w:rsidRDefault="00D65272" w:rsidP="00D65272">
      <w:pPr>
        <w:rPr>
          <w:rFonts w:ascii="Arial" w:hAnsi="Arial" w:cs="Arial"/>
          <w:szCs w:val="22"/>
        </w:rPr>
      </w:pPr>
      <w:r w:rsidRPr="00CB093C">
        <w:rPr>
          <w:rFonts w:ascii="Arial" w:hAnsi="Arial" w:cs="Arial"/>
          <w:szCs w:val="22"/>
        </w:rPr>
        <w:t>Leaf tissue C:N ratios were unchanged and remained poor</w:t>
      </w:r>
      <w:r w:rsidRPr="00CB093C">
        <w:rPr>
          <w:rFonts w:ascii="Arial" w:hAnsi="Arial" w:cs="Arial"/>
          <w:b/>
          <w:szCs w:val="22"/>
        </w:rPr>
        <w:t xml:space="preserve"> </w:t>
      </w:r>
      <w:r w:rsidRPr="00CB093C">
        <w:rPr>
          <w:rFonts w:ascii="Arial" w:hAnsi="Arial" w:cs="Arial"/>
          <w:szCs w:val="22"/>
        </w:rPr>
        <w:t xml:space="preserve">overall. </w:t>
      </w:r>
    </w:p>
    <w:p w14:paraId="5E9DB1AC" w14:textId="5574F07D" w:rsidR="00D65272" w:rsidRPr="00CB093C" w:rsidRDefault="00D65272" w:rsidP="00D65272">
      <w:pPr>
        <w:rPr>
          <w:rFonts w:ascii="Arial" w:hAnsi="Arial" w:cs="Arial"/>
          <w:szCs w:val="22"/>
        </w:rPr>
      </w:pPr>
      <w:r w:rsidRPr="00CB093C">
        <w:rPr>
          <w:rFonts w:ascii="Arial" w:hAnsi="Arial" w:cs="Arial"/>
          <w:szCs w:val="22"/>
        </w:rPr>
        <w:t xml:space="preserve">The </w:t>
      </w:r>
      <w:r w:rsidR="00637325">
        <w:rPr>
          <w:rFonts w:ascii="Arial" w:hAnsi="Arial" w:cs="Arial"/>
          <w:szCs w:val="22"/>
        </w:rPr>
        <w:t>Mackay-Whitsunday</w:t>
      </w:r>
      <w:r w:rsidRPr="00CB093C">
        <w:rPr>
          <w:rFonts w:ascii="Arial" w:hAnsi="Arial" w:cs="Arial"/>
          <w:szCs w:val="22"/>
        </w:rPr>
        <w:t xml:space="preserve"> regional seagrass condition had been improving since 2010</w:t>
      </w:r>
      <w:r w:rsidR="00D635DF" w:rsidRPr="00CB093C">
        <w:rPr>
          <w:rFonts w:ascii="Arial" w:hAnsi="Arial" w:cs="Arial"/>
          <w:szCs w:val="22"/>
        </w:rPr>
        <w:t>–</w:t>
      </w:r>
      <w:r w:rsidR="00ED7F82" w:rsidRPr="00CB093C">
        <w:rPr>
          <w:rFonts w:ascii="Arial" w:hAnsi="Arial" w:cs="Arial"/>
          <w:szCs w:val="22"/>
        </w:rPr>
        <w:t>20</w:t>
      </w:r>
      <w:r w:rsidRPr="00CB093C">
        <w:rPr>
          <w:rFonts w:ascii="Arial" w:hAnsi="Arial" w:cs="Arial"/>
          <w:szCs w:val="22"/>
        </w:rPr>
        <w:t>11, when it reached its lowest level since monitoring commenced</w:t>
      </w:r>
      <w:r w:rsidR="003C0E8D" w:rsidRPr="00CB093C">
        <w:rPr>
          <w:rFonts w:ascii="Arial" w:hAnsi="Arial" w:cs="Arial"/>
          <w:szCs w:val="22"/>
        </w:rPr>
        <w:t>. H</w:t>
      </w:r>
      <w:r w:rsidRPr="00CB093C">
        <w:rPr>
          <w:rFonts w:ascii="Arial" w:hAnsi="Arial" w:cs="Arial"/>
          <w:szCs w:val="22"/>
        </w:rPr>
        <w:t>owever by 2016</w:t>
      </w:r>
      <w:r w:rsidR="00D635DF" w:rsidRPr="00CB093C">
        <w:rPr>
          <w:rFonts w:ascii="Arial" w:hAnsi="Arial" w:cs="Arial"/>
          <w:szCs w:val="22"/>
        </w:rPr>
        <w:t>–</w:t>
      </w:r>
      <w:r w:rsidR="00ED7F82" w:rsidRPr="00CB093C">
        <w:rPr>
          <w:rFonts w:ascii="Arial" w:hAnsi="Arial" w:cs="Arial"/>
          <w:szCs w:val="22"/>
        </w:rPr>
        <w:t>20</w:t>
      </w:r>
      <w:r w:rsidRPr="00CB093C">
        <w:rPr>
          <w:rFonts w:ascii="Arial" w:hAnsi="Arial" w:cs="Arial"/>
          <w:szCs w:val="22"/>
        </w:rPr>
        <w:t xml:space="preserve">17 the </w:t>
      </w:r>
      <w:r w:rsidR="003C0E8D" w:rsidRPr="00CB093C">
        <w:rPr>
          <w:rFonts w:ascii="Arial" w:hAnsi="Arial" w:cs="Arial"/>
          <w:szCs w:val="22"/>
        </w:rPr>
        <w:t xml:space="preserve">recovery </w:t>
      </w:r>
      <w:r w:rsidRPr="00CB093C">
        <w:rPr>
          <w:rFonts w:ascii="Arial" w:hAnsi="Arial" w:cs="Arial"/>
          <w:szCs w:val="22"/>
        </w:rPr>
        <w:t>trend abated</w:t>
      </w:r>
      <w:r w:rsidR="003C0E8D" w:rsidRPr="00CB093C">
        <w:rPr>
          <w:rFonts w:ascii="Arial" w:hAnsi="Arial" w:cs="Arial"/>
          <w:szCs w:val="22"/>
        </w:rPr>
        <w:t>,</w:t>
      </w:r>
      <w:r w:rsidRPr="00CB093C">
        <w:rPr>
          <w:rFonts w:ascii="Arial" w:hAnsi="Arial" w:cs="Arial"/>
          <w:szCs w:val="22"/>
        </w:rPr>
        <w:t xml:space="preserve"> as a consequence of </w:t>
      </w:r>
      <w:r w:rsidR="00D635DF" w:rsidRPr="00CB093C">
        <w:rPr>
          <w:rFonts w:ascii="Arial" w:hAnsi="Arial" w:cs="Arial"/>
          <w:szCs w:val="22"/>
        </w:rPr>
        <w:t xml:space="preserve">cyclone </w:t>
      </w:r>
      <w:r w:rsidRPr="00CB093C">
        <w:rPr>
          <w:rFonts w:ascii="Arial" w:hAnsi="Arial" w:cs="Arial"/>
          <w:szCs w:val="22"/>
        </w:rPr>
        <w:t>Debbie</w:t>
      </w:r>
      <w:r w:rsidR="003C0E8D" w:rsidRPr="00CB093C">
        <w:rPr>
          <w:rFonts w:ascii="Arial" w:hAnsi="Arial" w:cs="Arial"/>
          <w:szCs w:val="22"/>
        </w:rPr>
        <w:t>, and t</w:t>
      </w:r>
      <w:r w:rsidRPr="00CB093C">
        <w:rPr>
          <w:rFonts w:ascii="Arial" w:hAnsi="Arial" w:cs="Arial"/>
          <w:szCs w:val="22"/>
        </w:rPr>
        <w:t>he 2016</w:t>
      </w:r>
      <w:r w:rsidR="00D635DF" w:rsidRPr="00CB093C">
        <w:rPr>
          <w:rFonts w:ascii="Arial" w:hAnsi="Arial" w:cs="Arial"/>
          <w:szCs w:val="22"/>
        </w:rPr>
        <w:t>–</w:t>
      </w:r>
      <w:r w:rsidR="00ED7F82" w:rsidRPr="00CB093C">
        <w:rPr>
          <w:rFonts w:ascii="Arial" w:hAnsi="Arial" w:cs="Arial"/>
          <w:szCs w:val="22"/>
        </w:rPr>
        <w:t>20</w:t>
      </w:r>
      <w:r w:rsidRPr="00CB093C">
        <w:rPr>
          <w:rFonts w:ascii="Arial" w:hAnsi="Arial" w:cs="Arial"/>
          <w:szCs w:val="22"/>
        </w:rPr>
        <w:t xml:space="preserve">17 decline continued </w:t>
      </w:r>
      <w:r w:rsidR="00D635DF" w:rsidRPr="00CB093C">
        <w:rPr>
          <w:rFonts w:ascii="Arial" w:hAnsi="Arial" w:cs="Arial"/>
          <w:szCs w:val="22"/>
        </w:rPr>
        <w:t>this year.</w:t>
      </w:r>
    </w:p>
    <w:p w14:paraId="2787B1AD" w14:textId="77777777" w:rsidR="009F0873" w:rsidRPr="00CB093C" w:rsidRDefault="009F0873" w:rsidP="00D65272">
      <w:pPr>
        <w:rPr>
          <w:rFonts w:ascii="Arial" w:hAnsi="Arial" w:cs="Arial"/>
          <w:szCs w:val="22"/>
        </w:rPr>
      </w:pPr>
    </w:p>
    <w:p w14:paraId="090076E6" w14:textId="77777777" w:rsidR="00F7114B" w:rsidRPr="00CB093C" w:rsidRDefault="00786EF1" w:rsidP="00F7114B">
      <w:pPr>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767F9847" wp14:editId="08A311E0">
            <wp:extent cx="4320000" cy="2656800"/>
            <wp:effectExtent l="0" t="0" r="4445" b="0"/>
            <wp:docPr id="512" name="Picture 512" descr="Scatter plot with straight lines and markers showing seagrass condition index (including standard errors), with contributing indicator scores for the Mackay Whitsunda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INDEX_MW_2016.png"/>
                    <pic:cNvPicPr/>
                  </pic:nvPicPr>
                  <pic:blipFill>
                    <a:blip r:embed="rId105">
                      <a:extLst>
                        <a:ext uri="{28A0092B-C50C-407E-A947-70E740481C1C}">
                          <a14:useLocalDpi xmlns:a14="http://schemas.microsoft.com/office/drawing/2010/main" val="0"/>
                        </a:ext>
                      </a:extLst>
                    </a:blip>
                    <a:stretch>
                      <a:fillRect/>
                    </a:stretch>
                  </pic:blipFill>
                  <pic:spPr>
                    <a:xfrm>
                      <a:off x="0" y="0"/>
                      <a:ext cx="4320000" cy="2656800"/>
                    </a:xfrm>
                    <a:prstGeom prst="rect">
                      <a:avLst/>
                    </a:prstGeom>
                  </pic:spPr>
                </pic:pic>
              </a:graphicData>
            </a:graphic>
          </wp:inline>
        </w:drawing>
      </w:r>
    </w:p>
    <w:p w14:paraId="71DE1744" w14:textId="23889B9B" w:rsidR="00F7114B" w:rsidRPr="00CB093C" w:rsidRDefault="00F7114B" w:rsidP="00F7114B">
      <w:pPr>
        <w:rPr>
          <w:rFonts w:ascii="Arial" w:hAnsi="Arial" w:cs="Arial"/>
          <w:i/>
          <w:vanish/>
          <w:szCs w:val="22"/>
          <w:specVanish/>
        </w:rPr>
      </w:pPr>
      <w:bookmarkStart w:id="402" w:name="_Ref461377180"/>
      <w:bookmarkStart w:id="403" w:name="_Toc431493872"/>
      <w:bookmarkStart w:id="404" w:name="_Toc6402826"/>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61</w:t>
      </w:r>
      <w:r w:rsidRPr="00CB093C">
        <w:rPr>
          <w:rFonts w:ascii="Arial" w:hAnsi="Arial" w:cs="Arial"/>
          <w:color w:val="000000"/>
          <w:szCs w:val="22"/>
        </w:rPr>
        <w:fldChar w:fldCharType="end"/>
      </w:r>
      <w:bookmarkEnd w:id="402"/>
      <w:r w:rsidRPr="00CB093C">
        <w:rPr>
          <w:rFonts w:ascii="Arial" w:hAnsi="Arial" w:cs="Arial"/>
          <w:color w:val="000000"/>
          <w:szCs w:val="22"/>
        </w:rPr>
        <w:t xml:space="preserve">. </w:t>
      </w:r>
      <w:r w:rsidRPr="00CB093C">
        <w:rPr>
          <w:rFonts w:ascii="Arial" w:hAnsi="Arial" w:cs="Arial"/>
          <w:i/>
          <w:color w:val="000000"/>
          <w:szCs w:val="22"/>
        </w:rPr>
        <w:t xml:space="preserve">Report card of seagrass status indicators and index for the </w:t>
      </w:r>
      <w:r w:rsidR="00637325">
        <w:rPr>
          <w:rFonts w:ascii="Arial" w:hAnsi="Arial" w:cs="Arial"/>
          <w:i/>
          <w:color w:val="000000"/>
          <w:szCs w:val="22"/>
        </w:rPr>
        <w:t>Mackay-Whitsunday</w:t>
      </w:r>
      <w:r w:rsidRPr="00CB093C">
        <w:rPr>
          <w:rFonts w:ascii="Arial" w:hAnsi="Arial" w:cs="Arial"/>
          <w:i/>
          <w:color w:val="000000"/>
          <w:szCs w:val="22"/>
        </w:rPr>
        <w:t xml:space="preserve"> NRM </w:t>
      </w:r>
      <w:r w:rsidRPr="00CB093C">
        <w:rPr>
          <w:rFonts w:ascii="Arial" w:hAnsi="Arial" w:cs="Arial"/>
          <w:i/>
          <w:szCs w:val="22"/>
        </w:rPr>
        <w:t>region</w:t>
      </w:r>
      <w:bookmarkEnd w:id="403"/>
      <w:bookmarkEnd w:id="404"/>
    </w:p>
    <w:p w14:paraId="702F7101" w14:textId="68886783" w:rsidR="00F7114B" w:rsidRPr="00CB093C" w:rsidRDefault="00F7114B" w:rsidP="00F7114B">
      <w:pPr>
        <w:rPr>
          <w:rFonts w:ascii="Arial" w:hAnsi="Arial" w:cs="Arial"/>
          <w:i/>
          <w:szCs w:val="22"/>
        </w:rPr>
      </w:pPr>
      <w:r w:rsidRPr="00CB093C">
        <w:rPr>
          <w:rFonts w:ascii="Arial" w:hAnsi="Arial" w:cs="Arial"/>
          <w:i/>
          <w:szCs w:val="22"/>
        </w:rPr>
        <w:t xml:space="preserve"> (averages across habitats and sites). Values are indexed scores scaled from </w:t>
      </w:r>
      <w:r w:rsidR="00ED7F82" w:rsidRPr="00CB093C">
        <w:rPr>
          <w:rFonts w:ascii="Arial" w:hAnsi="Arial" w:cs="Arial"/>
          <w:i/>
          <w:szCs w:val="22"/>
        </w:rPr>
        <w:t xml:space="preserve">0–100 and graded: </w:t>
      </w:r>
      <w:r w:rsidR="00ED7F82" w:rsidRPr="00CB093C">
        <w:rPr>
          <w:rFonts w:ascii="Arial" w:hAnsi="Arial" w:cs="Arial"/>
          <w:color w:val="008000"/>
          <w:szCs w:val="22"/>
        </w:rPr>
        <w:t>●</w:t>
      </w:r>
      <w:r w:rsidR="00ED7F82" w:rsidRPr="00CB093C">
        <w:rPr>
          <w:rFonts w:ascii="Arial" w:hAnsi="Arial" w:cs="Arial"/>
          <w:i/>
          <w:szCs w:val="22"/>
        </w:rPr>
        <w:t xml:space="preserve"> = very good (81-100), </w:t>
      </w:r>
      <w:r w:rsidR="00ED7F82" w:rsidRPr="00CB093C">
        <w:rPr>
          <w:rFonts w:ascii="Arial" w:hAnsi="Arial" w:cs="Arial"/>
          <w:color w:val="92D050"/>
          <w:szCs w:val="22"/>
        </w:rPr>
        <w:t>●</w:t>
      </w:r>
      <w:r w:rsidR="00ED7F82" w:rsidRPr="00CB093C">
        <w:rPr>
          <w:rFonts w:ascii="Arial" w:hAnsi="Arial" w:cs="Arial"/>
          <w:i/>
          <w:szCs w:val="22"/>
        </w:rPr>
        <w:t xml:space="preserve"> = good (61 - 80), </w:t>
      </w:r>
      <w:r w:rsidR="00ED7F82" w:rsidRPr="00CB093C">
        <w:rPr>
          <w:rFonts w:ascii="Arial" w:hAnsi="Arial" w:cs="Arial"/>
          <w:color w:val="FFFF00"/>
          <w:szCs w:val="22"/>
        </w:rPr>
        <w:t>●</w:t>
      </w:r>
      <w:r w:rsidR="00ED7F82" w:rsidRPr="00CB093C">
        <w:rPr>
          <w:rFonts w:ascii="Arial" w:hAnsi="Arial" w:cs="Arial"/>
          <w:i/>
          <w:szCs w:val="22"/>
        </w:rPr>
        <w:t xml:space="preserve"> = moderate (41 - 60), </w:t>
      </w:r>
      <w:r w:rsidR="00ED7F82" w:rsidRPr="00CB093C">
        <w:rPr>
          <w:rFonts w:ascii="Arial" w:hAnsi="Arial" w:cs="Arial"/>
          <w:i/>
          <w:color w:val="FFC000"/>
          <w:szCs w:val="22"/>
        </w:rPr>
        <w:t>●</w:t>
      </w:r>
      <w:r w:rsidR="00ED7F82" w:rsidRPr="00CB093C">
        <w:rPr>
          <w:rFonts w:ascii="Arial" w:hAnsi="Arial" w:cs="Arial"/>
          <w:i/>
          <w:szCs w:val="22"/>
        </w:rPr>
        <w:t xml:space="preserve"> = poor (21 - 40), </w:t>
      </w:r>
      <w:r w:rsidR="00ED7F82" w:rsidRPr="00CB093C">
        <w:rPr>
          <w:rFonts w:ascii="Arial" w:hAnsi="Arial" w:cs="Arial"/>
          <w:i/>
          <w:color w:val="FF0000"/>
          <w:szCs w:val="22"/>
        </w:rPr>
        <w:t>●</w:t>
      </w:r>
      <w:r w:rsidR="00ED7F82" w:rsidRPr="00CB093C">
        <w:rPr>
          <w:rFonts w:ascii="Arial" w:hAnsi="Arial" w:cs="Arial"/>
          <w:i/>
          <w:szCs w:val="22"/>
        </w:rPr>
        <w:t> = very poor (0 - 20).</w:t>
      </w:r>
      <w:r w:rsidR="00ED7F82" w:rsidRPr="00CB093C">
        <w:rPr>
          <w:rFonts w:ascii="Arial" w:hAnsi="Arial" w:cs="Arial"/>
          <w:i/>
          <w:color w:val="000000"/>
          <w:szCs w:val="22"/>
        </w:rPr>
        <w:t xml:space="preserve"> NB: Scores</w:t>
      </w:r>
      <w:r w:rsidR="00ED7F82" w:rsidRPr="00CB093C">
        <w:rPr>
          <w:rFonts w:ascii="Arial" w:hAnsi="Arial" w:cs="Arial"/>
          <w:i/>
          <w:szCs w:val="22"/>
        </w:rPr>
        <w:t xml:space="preserve"> are unitless.</w:t>
      </w:r>
    </w:p>
    <w:p w14:paraId="18114F78" w14:textId="793215EC" w:rsidR="008F6ECE" w:rsidRPr="00CB093C" w:rsidRDefault="008F6ECE" w:rsidP="00AD06D4">
      <w:pPr>
        <w:pStyle w:val="Heading3"/>
        <w:numPr>
          <w:ilvl w:val="2"/>
          <w:numId w:val="4"/>
        </w:numPr>
        <w:rPr>
          <w:rFonts w:ascii="Arial" w:hAnsi="Arial" w:cs="Arial"/>
          <w:color w:val="000000"/>
          <w:sz w:val="22"/>
          <w:szCs w:val="22"/>
        </w:rPr>
      </w:pPr>
      <w:bookmarkStart w:id="405" w:name="_Toc11394753"/>
      <w:r w:rsidRPr="00CB093C">
        <w:rPr>
          <w:rFonts w:ascii="Arial" w:hAnsi="Arial" w:cs="Arial"/>
          <w:color w:val="000000"/>
          <w:sz w:val="22"/>
          <w:szCs w:val="22"/>
        </w:rPr>
        <w:t>Climate and environmental pressures</w:t>
      </w:r>
      <w:bookmarkEnd w:id="405"/>
    </w:p>
    <w:p w14:paraId="50488C82" w14:textId="62FCB209" w:rsidR="00A304F1" w:rsidRPr="00CB093C" w:rsidRDefault="003E679B" w:rsidP="003E679B">
      <w:pPr>
        <w:rPr>
          <w:rFonts w:ascii="Arial" w:hAnsi="Arial" w:cs="Arial"/>
          <w:szCs w:val="22"/>
          <w:lang w:val="en-GB"/>
        </w:rPr>
      </w:pPr>
      <w:r w:rsidRPr="00CB093C">
        <w:rPr>
          <w:rFonts w:ascii="Arial" w:hAnsi="Arial" w:cs="Arial"/>
          <w:szCs w:val="22"/>
          <w:lang w:val="en-GB"/>
        </w:rPr>
        <w:t xml:space="preserve">The </w:t>
      </w:r>
      <w:r w:rsidR="00EB6CC6">
        <w:rPr>
          <w:rFonts w:ascii="Arial" w:hAnsi="Arial" w:cs="Arial"/>
          <w:szCs w:val="22"/>
          <w:lang w:val="en-GB"/>
        </w:rPr>
        <w:t>2017–</w:t>
      </w:r>
      <w:r w:rsidR="00455322" w:rsidRPr="00CB093C">
        <w:rPr>
          <w:rFonts w:ascii="Arial" w:hAnsi="Arial" w:cs="Arial"/>
          <w:szCs w:val="22"/>
          <w:lang w:val="en-GB"/>
        </w:rPr>
        <w:t>18</w:t>
      </w:r>
      <w:r w:rsidRPr="00CB093C">
        <w:rPr>
          <w:rFonts w:ascii="Arial" w:hAnsi="Arial" w:cs="Arial"/>
          <w:szCs w:val="22"/>
          <w:lang w:val="en-GB"/>
        </w:rPr>
        <w:t xml:space="preserve"> monitoring period in the </w:t>
      </w:r>
      <w:r w:rsidR="00637325">
        <w:rPr>
          <w:rFonts w:ascii="Arial" w:hAnsi="Arial" w:cs="Arial"/>
          <w:szCs w:val="22"/>
          <w:lang w:val="en-GB"/>
        </w:rPr>
        <w:t>Mackay-Whitsunday</w:t>
      </w:r>
      <w:r w:rsidRPr="00CB093C">
        <w:rPr>
          <w:rFonts w:ascii="Arial" w:hAnsi="Arial" w:cs="Arial"/>
          <w:szCs w:val="22"/>
          <w:lang w:val="en-GB"/>
        </w:rPr>
        <w:t xml:space="preserve"> region was characterised by rainfall </w:t>
      </w:r>
      <w:r w:rsidR="00914FD1" w:rsidRPr="00CB093C">
        <w:rPr>
          <w:rFonts w:ascii="Arial" w:hAnsi="Arial" w:cs="Arial"/>
          <w:szCs w:val="22"/>
          <w:lang w:val="en-GB"/>
        </w:rPr>
        <w:t xml:space="preserve">and discharge </w:t>
      </w:r>
      <w:r w:rsidR="00C4626E" w:rsidRPr="00CB093C">
        <w:rPr>
          <w:rFonts w:ascii="Arial" w:hAnsi="Arial" w:cs="Arial"/>
          <w:szCs w:val="22"/>
          <w:lang w:val="en-GB"/>
        </w:rPr>
        <w:t xml:space="preserve">that was </w:t>
      </w:r>
      <w:r w:rsidR="00914FD1" w:rsidRPr="00CB093C">
        <w:rPr>
          <w:rFonts w:ascii="Arial" w:hAnsi="Arial" w:cs="Arial"/>
          <w:szCs w:val="22"/>
          <w:lang w:val="en-GB"/>
        </w:rPr>
        <w:t xml:space="preserve">well </w:t>
      </w:r>
      <w:r w:rsidR="00C4626E" w:rsidRPr="00CB093C">
        <w:rPr>
          <w:rFonts w:ascii="Arial" w:hAnsi="Arial" w:cs="Arial"/>
          <w:szCs w:val="22"/>
          <w:lang w:val="en-GB"/>
        </w:rPr>
        <w:t>below the long-term average</w:t>
      </w:r>
      <w:r w:rsidR="00914FD1" w:rsidRPr="00CB093C">
        <w:rPr>
          <w:rFonts w:ascii="Arial" w:hAnsi="Arial" w:cs="Arial"/>
          <w:szCs w:val="22"/>
          <w:lang w:val="en-GB"/>
        </w:rPr>
        <w:t xml:space="preserve"> </w:t>
      </w:r>
      <w:r w:rsidRPr="00CB093C">
        <w:rPr>
          <w:rFonts w:ascii="Arial" w:hAnsi="Arial" w:cs="Arial"/>
          <w:szCs w:val="22"/>
          <w:lang w:val="en-GB"/>
        </w:rPr>
        <w:t>(</w:t>
      </w:r>
      <w:r w:rsidRPr="00CB093C">
        <w:rPr>
          <w:rFonts w:ascii="Arial" w:hAnsi="Arial" w:cs="Arial"/>
          <w:szCs w:val="22"/>
          <w:lang w:val="en-GB"/>
        </w:rPr>
        <w:fldChar w:fldCharType="begin"/>
      </w:r>
      <w:r w:rsidRPr="00CB093C">
        <w:rPr>
          <w:rFonts w:ascii="Arial" w:hAnsi="Arial" w:cs="Arial"/>
          <w:szCs w:val="22"/>
          <w:lang w:val="en-GB"/>
        </w:rPr>
        <w:instrText xml:space="preserve"> REF _Ref530687825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5F00D4">
        <w:rPr>
          <w:rFonts w:ascii="Arial" w:hAnsi="Arial" w:cs="Arial"/>
          <w:szCs w:val="22"/>
          <w:lang w:val="en-GB"/>
        </w:rPr>
        <w:t>Figure 53</w:t>
      </w:r>
      <w:r w:rsidRPr="00CB093C">
        <w:rPr>
          <w:rFonts w:ascii="Arial" w:hAnsi="Arial" w:cs="Arial"/>
          <w:szCs w:val="22"/>
          <w:lang w:val="en-GB"/>
        </w:rPr>
        <w:fldChar w:fldCharType="end"/>
      </w:r>
      <w:r w:rsidRPr="00CB093C">
        <w:rPr>
          <w:rFonts w:ascii="Arial" w:hAnsi="Arial" w:cs="Arial"/>
          <w:szCs w:val="22"/>
          <w:lang w:val="en-GB"/>
        </w:rPr>
        <w:t xml:space="preserve">). Apart from a minor flow event in early April 2018, the region experienced a </w:t>
      </w:r>
      <w:r w:rsidR="0056580C" w:rsidRPr="00CB093C">
        <w:rPr>
          <w:rFonts w:ascii="Arial" w:hAnsi="Arial" w:cs="Arial"/>
          <w:szCs w:val="22"/>
          <w:lang w:val="en-GB"/>
        </w:rPr>
        <w:t>benign</w:t>
      </w:r>
      <w:r w:rsidRPr="00CB093C">
        <w:rPr>
          <w:rFonts w:ascii="Arial" w:hAnsi="Arial" w:cs="Arial"/>
          <w:szCs w:val="22"/>
          <w:lang w:val="en-GB"/>
        </w:rPr>
        <w:t xml:space="preserve"> </w:t>
      </w:r>
      <w:r w:rsidR="003654C6">
        <w:rPr>
          <w:rFonts w:ascii="Arial" w:hAnsi="Arial" w:cs="Arial"/>
          <w:szCs w:val="22"/>
          <w:lang w:val="en-GB"/>
        </w:rPr>
        <w:t>2017–18</w:t>
      </w:r>
      <w:r w:rsidR="00C81636" w:rsidRPr="00CB093C">
        <w:rPr>
          <w:rFonts w:ascii="Arial" w:hAnsi="Arial" w:cs="Arial"/>
          <w:szCs w:val="22"/>
          <w:lang w:val="en-GB"/>
        </w:rPr>
        <w:t xml:space="preserve"> </w:t>
      </w:r>
      <w:r w:rsidRPr="00CB093C">
        <w:rPr>
          <w:rFonts w:ascii="Arial" w:hAnsi="Arial" w:cs="Arial"/>
          <w:szCs w:val="22"/>
          <w:lang w:val="en-GB"/>
        </w:rPr>
        <w:t>wet season (</w:t>
      </w:r>
      <w:hyperlink w:anchor="_ENREF_65" w:tooltip="Gruber, 2019 #11860" w:history="1">
        <w:r w:rsidR="00513C39" w:rsidRPr="00CB093C">
          <w:rPr>
            <w:rFonts w:ascii="Arial" w:hAnsi="Arial" w:cs="Arial"/>
            <w:szCs w:val="22"/>
            <w:lang w:val="en-GB"/>
          </w:rPr>
          <w:fldChar w:fldCharType="begin"/>
        </w:r>
        <w:r w:rsidR="00513C39" w:rsidRPr="00CB093C">
          <w:rPr>
            <w:rFonts w:ascii="Arial" w:hAnsi="Arial" w:cs="Arial"/>
            <w:szCs w:val="22"/>
            <w:lang w:val="en-GB"/>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szCs w:val="22"/>
            <w:lang w:val="en-GB"/>
          </w:rPr>
          <w:fldChar w:fldCharType="separate"/>
        </w:r>
        <w:r w:rsidR="00513C39" w:rsidRPr="00CB093C">
          <w:rPr>
            <w:rFonts w:ascii="Arial" w:hAnsi="Arial" w:cs="Arial"/>
            <w:noProof/>
            <w:szCs w:val="22"/>
            <w:lang w:val="en-GB"/>
          </w:rPr>
          <w:t>Gruber</w:t>
        </w:r>
        <w:r w:rsidR="00513C39" w:rsidRPr="00CB093C">
          <w:rPr>
            <w:rFonts w:ascii="Arial" w:hAnsi="Arial" w:cs="Arial"/>
            <w:i/>
            <w:noProof/>
            <w:szCs w:val="22"/>
            <w:lang w:val="en-GB"/>
          </w:rPr>
          <w:t xml:space="preserve"> et al.</w:t>
        </w:r>
        <w:r w:rsidR="00513C39" w:rsidRPr="00CB093C">
          <w:rPr>
            <w:rFonts w:ascii="Arial" w:hAnsi="Arial" w:cs="Arial"/>
            <w:noProof/>
            <w:szCs w:val="22"/>
            <w:lang w:val="en-GB"/>
          </w:rPr>
          <w:t xml:space="preserve"> 2019</w:t>
        </w:r>
        <w:r w:rsidR="00513C39" w:rsidRPr="00CB093C">
          <w:rPr>
            <w:rFonts w:ascii="Arial" w:hAnsi="Arial" w:cs="Arial"/>
            <w:szCs w:val="22"/>
            <w:lang w:val="en-GB"/>
          </w:rPr>
          <w:fldChar w:fldCharType="end"/>
        </w:r>
      </w:hyperlink>
      <w:r w:rsidRPr="00CB093C">
        <w:rPr>
          <w:rFonts w:ascii="Arial" w:hAnsi="Arial" w:cs="Arial"/>
          <w:szCs w:val="22"/>
          <w:lang w:val="en-GB"/>
        </w:rPr>
        <w:t xml:space="preserve">). </w:t>
      </w:r>
    </w:p>
    <w:p w14:paraId="69871076" w14:textId="1A32AD4D" w:rsidR="008A59C6" w:rsidRPr="00CB093C" w:rsidRDefault="003E679B" w:rsidP="008A59C6">
      <w:pPr>
        <w:rPr>
          <w:rFonts w:ascii="Arial" w:hAnsi="Arial" w:cs="Arial"/>
          <w:szCs w:val="22"/>
          <w:lang w:val="en-GB"/>
        </w:rPr>
      </w:pPr>
      <w:r w:rsidRPr="00CB093C">
        <w:rPr>
          <w:rFonts w:ascii="Arial" w:hAnsi="Arial" w:cs="Arial"/>
          <w:szCs w:val="22"/>
          <w:lang w:val="en-GB"/>
        </w:rPr>
        <w:t xml:space="preserve">Exposure of inshore seagrass to turbid waters during the wet season was at the long-term </w:t>
      </w:r>
      <w:r w:rsidR="00A304F1" w:rsidRPr="00CB093C">
        <w:rPr>
          <w:rFonts w:ascii="Arial" w:hAnsi="Arial" w:cs="Arial"/>
          <w:szCs w:val="22"/>
          <w:lang w:val="en-GB"/>
        </w:rPr>
        <w:t xml:space="preserve">average </w:t>
      </w:r>
      <w:r w:rsidR="004F06D4" w:rsidRPr="00CB093C">
        <w:rPr>
          <w:rFonts w:ascii="Arial" w:hAnsi="Arial" w:cs="Arial"/>
          <w:szCs w:val="22"/>
          <w:lang w:val="en-GB"/>
        </w:rPr>
        <w:t>(</w:t>
      </w:r>
      <w:r w:rsidR="004F06D4" w:rsidRPr="00CB093C">
        <w:rPr>
          <w:rFonts w:ascii="Arial" w:hAnsi="Arial" w:cs="Arial"/>
          <w:color w:val="0000FF"/>
          <w:szCs w:val="22"/>
          <w:lang w:val="en-GB"/>
        </w:rPr>
        <w:fldChar w:fldCharType="begin"/>
      </w:r>
      <w:r w:rsidR="004F06D4" w:rsidRPr="00CB093C">
        <w:rPr>
          <w:rFonts w:ascii="Arial" w:hAnsi="Arial" w:cs="Arial"/>
          <w:szCs w:val="22"/>
          <w:lang w:val="en-GB"/>
        </w:rPr>
        <w:instrText xml:space="preserve"> REF _Ref533507597 \h </w:instrText>
      </w:r>
      <w:r w:rsidR="00CB093C" w:rsidRPr="00CB093C">
        <w:rPr>
          <w:rFonts w:ascii="Arial" w:hAnsi="Arial" w:cs="Arial"/>
          <w:color w:val="0000FF"/>
          <w:szCs w:val="22"/>
          <w:lang w:val="en-GB"/>
        </w:rPr>
        <w:instrText xml:space="preserve"> \* MERGEFORMAT </w:instrText>
      </w:r>
      <w:r w:rsidR="004F06D4" w:rsidRPr="00CB093C">
        <w:rPr>
          <w:rFonts w:ascii="Arial" w:hAnsi="Arial" w:cs="Arial"/>
          <w:color w:val="0000FF"/>
          <w:szCs w:val="22"/>
          <w:lang w:val="en-GB"/>
        </w:rPr>
      </w:r>
      <w:r w:rsidR="004F06D4" w:rsidRPr="00CB093C">
        <w:rPr>
          <w:rFonts w:ascii="Arial" w:hAnsi="Arial" w:cs="Arial"/>
          <w:color w:val="0000FF"/>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62</w:t>
      </w:r>
      <w:r w:rsidR="004F06D4" w:rsidRPr="00CB093C">
        <w:rPr>
          <w:rFonts w:ascii="Arial" w:hAnsi="Arial" w:cs="Arial"/>
          <w:color w:val="0000FF"/>
          <w:szCs w:val="22"/>
          <w:lang w:val="en-GB"/>
        </w:rPr>
        <w:fldChar w:fldCharType="end"/>
      </w:r>
      <w:r w:rsidR="004F06D4" w:rsidRPr="00CB093C">
        <w:rPr>
          <w:rFonts w:ascii="Arial" w:hAnsi="Arial" w:cs="Arial"/>
          <w:szCs w:val="22"/>
          <w:lang w:val="en-GB"/>
        </w:rPr>
        <w:t>)</w:t>
      </w:r>
      <w:r w:rsidRPr="00CB093C">
        <w:rPr>
          <w:rFonts w:ascii="Arial" w:hAnsi="Arial" w:cs="Arial"/>
          <w:szCs w:val="22"/>
          <w:lang w:val="en-GB"/>
        </w:rPr>
        <w:t>. Exposure to ‘brown’ or ‘green’ turbid water was variable among seagrass habitats (</w:t>
      </w:r>
      <w:r w:rsidR="00E847F8" w:rsidRPr="00CB093C">
        <w:rPr>
          <w:rFonts w:ascii="Arial" w:hAnsi="Arial" w:cs="Arial"/>
          <w:color w:val="0000FF"/>
          <w:szCs w:val="22"/>
          <w:lang w:val="en-GB"/>
        </w:rPr>
        <w:fldChar w:fldCharType="begin"/>
      </w:r>
      <w:r w:rsidR="00E847F8" w:rsidRPr="00CB093C">
        <w:rPr>
          <w:rFonts w:ascii="Arial" w:hAnsi="Arial" w:cs="Arial"/>
          <w:szCs w:val="22"/>
          <w:lang w:val="en-GB"/>
        </w:rPr>
        <w:instrText xml:space="preserve"> REF _Ref533507597 \h </w:instrText>
      </w:r>
      <w:r w:rsidR="00CB093C" w:rsidRPr="00CB093C">
        <w:rPr>
          <w:rFonts w:ascii="Arial" w:hAnsi="Arial" w:cs="Arial"/>
          <w:color w:val="0000FF"/>
          <w:szCs w:val="22"/>
          <w:lang w:val="en-GB"/>
        </w:rPr>
        <w:instrText xml:space="preserve"> \* MERGEFORMAT </w:instrText>
      </w:r>
      <w:r w:rsidR="00E847F8" w:rsidRPr="00CB093C">
        <w:rPr>
          <w:rFonts w:ascii="Arial" w:hAnsi="Arial" w:cs="Arial"/>
          <w:color w:val="0000FF"/>
          <w:szCs w:val="22"/>
          <w:lang w:val="en-GB"/>
        </w:rPr>
      </w:r>
      <w:r w:rsidR="00E847F8" w:rsidRPr="00CB093C">
        <w:rPr>
          <w:rFonts w:ascii="Arial" w:hAnsi="Arial" w:cs="Arial"/>
          <w:color w:val="0000FF"/>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62</w:t>
      </w:r>
      <w:r w:rsidR="00E847F8" w:rsidRPr="00CB093C">
        <w:rPr>
          <w:rFonts w:ascii="Arial" w:hAnsi="Arial" w:cs="Arial"/>
          <w:color w:val="0000FF"/>
          <w:szCs w:val="22"/>
          <w:lang w:val="en-GB"/>
        </w:rPr>
        <w:fldChar w:fldCharType="end"/>
      </w:r>
      <w:r w:rsidRPr="00CB093C">
        <w:rPr>
          <w:rFonts w:ascii="Arial" w:hAnsi="Arial" w:cs="Arial"/>
          <w:szCs w:val="22"/>
          <w:lang w:val="en-GB"/>
        </w:rPr>
        <w:t xml:space="preserve">). Estuarine and coastal were not only exposed to turbid waters for the entire wet season, but were the only habitats exposed to ‘brown’ </w:t>
      </w:r>
      <w:r w:rsidR="00CA04ED" w:rsidRPr="00CB093C">
        <w:rPr>
          <w:rFonts w:ascii="Arial" w:hAnsi="Arial" w:cs="Arial"/>
          <w:szCs w:val="22"/>
          <w:lang w:val="en-GB"/>
        </w:rPr>
        <w:t xml:space="preserve">sediment laden </w:t>
      </w:r>
      <w:r w:rsidRPr="00CB093C">
        <w:rPr>
          <w:rFonts w:ascii="Arial" w:hAnsi="Arial" w:cs="Arial"/>
          <w:szCs w:val="22"/>
          <w:lang w:val="en-GB"/>
        </w:rPr>
        <w:t xml:space="preserve">waters. </w:t>
      </w:r>
    </w:p>
    <w:p w14:paraId="095A0F4D" w14:textId="478503E2" w:rsidR="00A304F1" w:rsidRPr="00CB093C" w:rsidRDefault="008A59C6" w:rsidP="008A59C6">
      <w:pPr>
        <w:rPr>
          <w:rFonts w:ascii="Arial" w:hAnsi="Arial" w:cs="Arial"/>
          <w:szCs w:val="22"/>
          <w:lang w:val="en-GB"/>
        </w:rPr>
      </w:pPr>
      <w:r w:rsidRPr="00CB093C">
        <w:rPr>
          <w:rFonts w:ascii="Arial" w:hAnsi="Arial" w:cs="Arial"/>
          <w:szCs w:val="22"/>
          <w:lang w:val="en-GB"/>
        </w:rPr>
        <w:t>Estuarine sites in Sarina Inlet (SI1 and SI2), were exposed to ‘brown’ turbid water for 76% of the wet season, resulting in marginally lower benthic light (</w:t>
      </w:r>
      <w:r w:rsidRPr="00CB093C">
        <w:rPr>
          <w:rFonts w:ascii="Arial" w:hAnsi="Arial" w:cs="Arial"/>
          <w:szCs w:val="22"/>
          <w:lang w:val="en-GB"/>
        </w:rPr>
        <w:fldChar w:fldCharType="begin"/>
      </w:r>
      <w:r w:rsidRPr="00CB093C">
        <w:rPr>
          <w:rFonts w:ascii="Arial" w:hAnsi="Arial" w:cs="Arial"/>
          <w:szCs w:val="22"/>
          <w:lang w:val="en-GB"/>
        </w:rPr>
        <w:instrText xml:space="preserve"> REF _Ref507596879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9</w:t>
      </w:r>
      <w:r w:rsidRPr="00CB093C">
        <w:rPr>
          <w:rFonts w:ascii="Arial" w:hAnsi="Arial" w:cs="Arial"/>
          <w:szCs w:val="22"/>
          <w:lang w:val="en-GB"/>
        </w:rPr>
        <w:fldChar w:fldCharType="end"/>
      </w:r>
      <w:r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_Ref533507597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62</w:t>
      </w:r>
      <w:r w:rsidRPr="00CB093C">
        <w:rPr>
          <w:rFonts w:ascii="Arial" w:hAnsi="Arial" w:cs="Arial"/>
          <w:szCs w:val="22"/>
          <w:lang w:val="en-GB"/>
        </w:rPr>
        <w:fldChar w:fldCharType="end"/>
      </w:r>
      <w:r w:rsidRPr="00CB093C">
        <w:rPr>
          <w:rFonts w:ascii="Arial" w:hAnsi="Arial" w:cs="Arial"/>
          <w:szCs w:val="22"/>
          <w:lang w:val="en-GB"/>
        </w:rPr>
        <w:t xml:space="preserve">). Reef habitats fringing the mainland (HB1 and HB2) and located on offshore islands (HM1 and HM2) were only exposed to ‘green’ water </w:t>
      </w:r>
      <w:r w:rsidR="00A304F1" w:rsidRPr="00CB093C">
        <w:rPr>
          <w:rFonts w:ascii="Arial" w:hAnsi="Arial" w:cs="Arial"/>
          <w:szCs w:val="22"/>
          <w:lang w:val="en-GB"/>
        </w:rPr>
        <w:t xml:space="preserve">but at high frequency </w:t>
      </w:r>
      <w:r w:rsidRPr="00CB093C">
        <w:rPr>
          <w:rFonts w:ascii="Arial" w:hAnsi="Arial" w:cs="Arial"/>
          <w:szCs w:val="22"/>
          <w:lang w:val="en-GB"/>
        </w:rPr>
        <w:t>(</w:t>
      </w:r>
      <w:r w:rsidR="00CA04ED" w:rsidRPr="00CB093C">
        <w:rPr>
          <w:rFonts w:ascii="Arial" w:hAnsi="Arial" w:cs="Arial"/>
          <w:szCs w:val="22"/>
          <w:lang w:val="en-GB"/>
        </w:rPr>
        <w:t>95% and 81% of wet season weeks</w:t>
      </w:r>
      <w:r w:rsidRPr="00CB093C">
        <w:rPr>
          <w:rFonts w:ascii="Arial" w:hAnsi="Arial" w:cs="Arial"/>
          <w:szCs w:val="22"/>
          <w:lang w:val="en-GB"/>
        </w:rPr>
        <w:t>) and experienced average benthic light (</w:t>
      </w:r>
      <w:r w:rsidRPr="00CB093C">
        <w:rPr>
          <w:rFonts w:ascii="Arial" w:hAnsi="Arial" w:cs="Arial"/>
          <w:szCs w:val="22"/>
          <w:lang w:val="en-GB"/>
        </w:rPr>
        <w:fldChar w:fldCharType="begin"/>
      </w:r>
      <w:r w:rsidRPr="00CB093C">
        <w:rPr>
          <w:rFonts w:ascii="Arial" w:hAnsi="Arial" w:cs="Arial"/>
          <w:szCs w:val="22"/>
          <w:lang w:val="en-GB"/>
        </w:rPr>
        <w:instrText xml:space="preserve"> REF _Ref507596879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9</w:t>
      </w:r>
      <w:r w:rsidRPr="00CB093C">
        <w:rPr>
          <w:rFonts w:ascii="Arial" w:hAnsi="Arial" w:cs="Arial"/>
          <w:szCs w:val="22"/>
          <w:lang w:val="en-GB"/>
        </w:rPr>
        <w:fldChar w:fldCharType="end"/>
      </w:r>
      <w:r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_Ref533507597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62</w:t>
      </w:r>
      <w:r w:rsidRPr="00CB093C">
        <w:rPr>
          <w:rFonts w:ascii="Arial" w:hAnsi="Arial" w:cs="Arial"/>
          <w:szCs w:val="22"/>
          <w:lang w:val="en-GB"/>
        </w:rPr>
        <w:fldChar w:fldCharType="end"/>
      </w:r>
      <w:r w:rsidRPr="00CB093C">
        <w:rPr>
          <w:rFonts w:ascii="Arial" w:hAnsi="Arial" w:cs="Arial"/>
          <w:szCs w:val="22"/>
          <w:lang w:val="en-GB"/>
        </w:rPr>
        <w:t xml:space="preserve">). </w:t>
      </w:r>
    </w:p>
    <w:p w14:paraId="7D8F7660" w14:textId="25829476" w:rsidR="008A59C6" w:rsidRPr="00CB093C" w:rsidRDefault="006A0E09" w:rsidP="008A59C6">
      <w:pPr>
        <w:rPr>
          <w:rFonts w:ascii="Arial" w:hAnsi="Arial" w:cs="Arial"/>
          <w:szCs w:val="22"/>
          <w:lang w:val="en-GB"/>
        </w:rPr>
      </w:pPr>
      <w:r w:rsidRPr="00CB093C">
        <w:rPr>
          <w:rFonts w:ascii="Arial" w:hAnsi="Arial" w:cs="Arial"/>
          <w:szCs w:val="22"/>
          <w:lang w:val="en-GB"/>
        </w:rPr>
        <w:t>Within-canopy light was slightly lower than long-term average but remained above 10 mol m</w:t>
      </w:r>
      <w:r w:rsidRPr="00CB093C">
        <w:rPr>
          <w:rFonts w:ascii="Arial" w:hAnsi="Arial" w:cs="Arial"/>
          <w:szCs w:val="22"/>
          <w:vertAlign w:val="superscript"/>
          <w:lang w:val="en-GB"/>
        </w:rPr>
        <w:t>-2</w:t>
      </w:r>
      <w:r w:rsidRPr="00CB093C">
        <w:rPr>
          <w:rFonts w:ascii="Arial" w:hAnsi="Arial" w:cs="Arial"/>
          <w:szCs w:val="22"/>
          <w:lang w:val="en-GB"/>
        </w:rPr>
        <w:t xml:space="preserve"> d</w:t>
      </w:r>
      <w:r w:rsidRPr="00CB093C">
        <w:rPr>
          <w:rFonts w:ascii="Arial" w:hAnsi="Arial" w:cs="Arial"/>
          <w:szCs w:val="22"/>
          <w:vertAlign w:val="superscript"/>
          <w:lang w:val="en-GB"/>
        </w:rPr>
        <w:t>-1</w:t>
      </w:r>
      <w:r w:rsidRPr="00CB093C">
        <w:rPr>
          <w:rFonts w:ascii="Arial" w:hAnsi="Arial" w:cs="Arial"/>
          <w:szCs w:val="22"/>
          <w:lang w:val="en-GB"/>
        </w:rPr>
        <w:t xml:space="preserve"> on average. However, benthic light at the coastal meadows was above the long-term average (</w:t>
      </w:r>
      <w:r w:rsidRPr="00CB093C">
        <w:rPr>
          <w:rFonts w:ascii="Arial" w:hAnsi="Arial" w:cs="Arial"/>
          <w:szCs w:val="22"/>
          <w:lang w:val="en-GB"/>
        </w:rPr>
        <w:fldChar w:fldCharType="begin"/>
      </w:r>
      <w:r w:rsidRPr="00CB093C">
        <w:rPr>
          <w:rFonts w:ascii="Arial" w:hAnsi="Arial" w:cs="Arial"/>
          <w:szCs w:val="22"/>
          <w:lang w:val="en-GB"/>
        </w:rPr>
        <w:instrText xml:space="preserve"> REF _Ref507596879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9</w:t>
      </w:r>
      <w:r w:rsidRPr="00CB093C">
        <w:rPr>
          <w:rFonts w:ascii="Arial" w:hAnsi="Arial" w:cs="Arial"/>
          <w:szCs w:val="22"/>
          <w:lang w:val="en-GB"/>
        </w:rPr>
        <w:fldChar w:fldCharType="end"/>
      </w:r>
      <w:r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_Ref533507597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62</w:t>
      </w:r>
      <w:r w:rsidRPr="00CB093C">
        <w:rPr>
          <w:rFonts w:ascii="Arial" w:hAnsi="Arial" w:cs="Arial"/>
          <w:szCs w:val="22"/>
          <w:lang w:val="en-GB"/>
        </w:rPr>
        <w:fldChar w:fldCharType="end"/>
      </w:r>
      <w:r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_Ref410298084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color w:val="000000"/>
          <w:szCs w:val="22"/>
          <w:lang w:val="en-GB"/>
        </w:rPr>
        <w:t xml:space="preserve">Figure </w:t>
      </w:r>
      <w:r w:rsidR="005F00D4">
        <w:rPr>
          <w:rFonts w:ascii="Arial" w:hAnsi="Arial" w:cs="Arial"/>
          <w:noProof/>
          <w:color w:val="000000"/>
          <w:szCs w:val="22"/>
          <w:lang w:val="en-GB"/>
        </w:rPr>
        <w:t>110</w:t>
      </w:r>
      <w:r w:rsidRPr="00CB093C">
        <w:rPr>
          <w:rFonts w:ascii="Arial" w:hAnsi="Arial" w:cs="Arial"/>
          <w:szCs w:val="22"/>
          <w:lang w:val="en-GB"/>
        </w:rPr>
        <w:fldChar w:fldCharType="end"/>
      </w:r>
      <w:r w:rsidRPr="00CB093C">
        <w:rPr>
          <w:rFonts w:ascii="Arial" w:hAnsi="Arial" w:cs="Arial"/>
          <w:szCs w:val="22"/>
          <w:lang w:val="en-GB"/>
        </w:rPr>
        <w:t xml:space="preserve">), which could be due to the more sheltered position of the sites from prevailing weather. </w:t>
      </w:r>
      <w:r w:rsidR="008A59C6" w:rsidRPr="00CB093C">
        <w:rPr>
          <w:rFonts w:ascii="Arial" w:hAnsi="Arial" w:cs="Arial"/>
          <w:szCs w:val="22"/>
          <w:lang w:val="en-GB"/>
        </w:rPr>
        <w:t xml:space="preserve">The reduced light experienced across the </w:t>
      </w:r>
      <w:r w:rsidR="00637325">
        <w:rPr>
          <w:rFonts w:ascii="Arial" w:hAnsi="Arial" w:cs="Arial"/>
          <w:szCs w:val="22"/>
          <w:lang w:val="en-GB"/>
        </w:rPr>
        <w:t>Mackay-Whitsunday</w:t>
      </w:r>
      <w:r w:rsidR="008A59C6" w:rsidRPr="00CB093C">
        <w:rPr>
          <w:rFonts w:ascii="Arial" w:hAnsi="Arial" w:cs="Arial"/>
          <w:szCs w:val="22"/>
          <w:lang w:val="en-GB"/>
        </w:rPr>
        <w:t xml:space="preserve"> region may have also been exacerbated by higher than average number of days in which wind speeds exceeded 25 km hr</w:t>
      </w:r>
      <w:r w:rsidR="008A59C6" w:rsidRPr="00CB093C">
        <w:rPr>
          <w:rFonts w:ascii="Arial" w:hAnsi="Arial" w:cs="Arial"/>
          <w:szCs w:val="22"/>
          <w:vertAlign w:val="superscript"/>
          <w:lang w:val="en-GB"/>
        </w:rPr>
        <w:t>-1</w:t>
      </w:r>
      <w:r w:rsidR="008A59C6" w:rsidRPr="00CB093C">
        <w:rPr>
          <w:rFonts w:ascii="Arial" w:hAnsi="Arial" w:cs="Arial"/>
          <w:szCs w:val="22"/>
          <w:lang w:val="en-GB"/>
        </w:rPr>
        <w:t xml:space="preserve"> (</w:t>
      </w:r>
      <w:r w:rsidR="008A59C6" w:rsidRPr="00CB093C">
        <w:rPr>
          <w:rFonts w:ascii="Arial" w:hAnsi="Arial" w:cs="Arial"/>
          <w:szCs w:val="22"/>
          <w:lang w:val="en-GB"/>
        </w:rPr>
        <w:fldChar w:fldCharType="begin"/>
      </w:r>
      <w:r w:rsidR="008A59C6" w:rsidRPr="00CB093C">
        <w:rPr>
          <w:rFonts w:ascii="Arial" w:hAnsi="Arial" w:cs="Arial"/>
          <w:szCs w:val="22"/>
          <w:lang w:val="en-GB"/>
        </w:rPr>
        <w:instrText xml:space="preserve"> REF _Ref534127691 \h </w:instrText>
      </w:r>
      <w:r w:rsidR="00CB093C" w:rsidRPr="00CB093C">
        <w:rPr>
          <w:rFonts w:ascii="Arial" w:hAnsi="Arial" w:cs="Arial"/>
          <w:szCs w:val="22"/>
          <w:lang w:val="en-GB"/>
        </w:rPr>
        <w:instrText xml:space="preserve"> \* MERGEFORMAT </w:instrText>
      </w:r>
      <w:r w:rsidR="008A59C6" w:rsidRPr="00CB093C">
        <w:rPr>
          <w:rFonts w:ascii="Arial" w:hAnsi="Arial" w:cs="Arial"/>
          <w:szCs w:val="22"/>
          <w:lang w:val="en-GB"/>
        </w:rPr>
      </w:r>
      <w:r w:rsidR="008A59C6" w:rsidRPr="00CB093C">
        <w:rPr>
          <w:rFonts w:ascii="Arial" w:hAnsi="Arial" w:cs="Arial"/>
          <w:szCs w:val="22"/>
          <w:lang w:val="en-GB"/>
        </w:rPr>
        <w:fldChar w:fldCharType="separate"/>
      </w:r>
      <w:r w:rsidR="005F00D4" w:rsidRPr="00CB093C">
        <w:rPr>
          <w:rFonts w:ascii="Arial" w:hAnsi="Arial" w:cs="Arial"/>
          <w:color w:val="000000"/>
          <w:szCs w:val="22"/>
          <w:lang w:val="en-GB"/>
        </w:rPr>
        <w:t xml:space="preserve">Figure </w:t>
      </w:r>
      <w:r w:rsidR="005F00D4">
        <w:rPr>
          <w:rFonts w:ascii="Arial" w:hAnsi="Arial" w:cs="Arial"/>
          <w:noProof/>
          <w:color w:val="000000"/>
          <w:szCs w:val="22"/>
          <w:lang w:val="en-GB"/>
        </w:rPr>
        <w:t>95</w:t>
      </w:r>
      <w:r w:rsidR="008A59C6" w:rsidRPr="00CB093C">
        <w:rPr>
          <w:rFonts w:ascii="Arial" w:hAnsi="Arial" w:cs="Arial"/>
          <w:szCs w:val="22"/>
          <w:lang w:val="en-GB"/>
        </w:rPr>
        <w:fldChar w:fldCharType="end"/>
      </w:r>
      <w:r w:rsidR="008A59C6" w:rsidRPr="00CB093C">
        <w:rPr>
          <w:rFonts w:ascii="Arial" w:hAnsi="Arial" w:cs="Arial"/>
          <w:szCs w:val="22"/>
          <w:lang w:val="en-GB"/>
        </w:rPr>
        <w:t xml:space="preserve">), which may have suspended fine sediments into the water column. Also, daytime tides were generally higher throughout </w:t>
      </w:r>
      <w:r w:rsidR="003654C6">
        <w:rPr>
          <w:rFonts w:ascii="Arial" w:hAnsi="Arial" w:cs="Arial"/>
          <w:szCs w:val="22"/>
          <w:lang w:val="en-GB"/>
        </w:rPr>
        <w:t>2017–18</w:t>
      </w:r>
      <w:r w:rsidR="008A59C6" w:rsidRPr="00CB093C">
        <w:rPr>
          <w:rFonts w:ascii="Arial" w:hAnsi="Arial" w:cs="Arial"/>
          <w:szCs w:val="22"/>
          <w:lang w:val="en-GB"/>
        </w:rPr>
        <w:t xml:space="preserve">, which although </w:t>
      </w:r>
      <w:r w:rsidR="00A304F1" w:rsidRPr="00CB093C">
        <w:rPr>
          <w:rFonts w:ascii="Arial" w:hAnsi="Arial" w:cs="Arial"/>
          <w:szCs w:val="22"/>
          <w:lang w:val="en-GB"/>
        </w:rPr>
        <w:t>potentially</w:t>
      </w:r>
      <w:r w:rsidR="008A59C6" w:rsidRPr="00CB093C">
        <w:rPr>
          <w:rFonts w:ascii="Arial" w:hAnsi="Arial" w:cs="Arial"/>
          <w:szCs w:val="22"/>
          <w:lang w:val="en-GB"/>
        </w:rPr>
        <w:t xml:space="preserve"> provid</w:t>
      </w:r>
      <w:r w:rsidR="00A304F1" w:rsidRPr="00CB093C">
        <w:rPr>
          <w:rFonts w:ascii="Arial" w:hAnsi="Arial" w:cs="Arial"/>
          <w:szCs w:val="22"/>
          <w:lang w:val="en-GB"/>
        </w:rPr>
        <w:t>ing</w:t>
      </w:r>
      <w:r w:rsidR="008A59C6" w:rsidRPr="00CB093C">
        <w:rPr>
          <w:rFonts w:ascii="Arial" w:hAnsi="Arial" w:cs="Arial"/>
          <w:szCs w:val="22"/>
          <w:lang w:val="en-GB"/>
        </w:rPr>
        <w:t xml:space="preserve"> some respite from intertidal exposure (nearly a quarter less than the long term average), could have resulted in longer periods of reduced light availability during periods of higher water turbidity.</w:t>
      </w:r>
    </w:p>
    <w:p w14:paraId="5623F4FC" w14:textId="2DB436FE" w:rsidR="00A304F1" w:rsidRPr="00CB093C" w:rsidRDefault="003654C6" w:rsidP="008A59C6">
      <w:pPr>
        <w:rPr>
          <w:rFonts w:ascii="Arial" w:hAnsi="Arial" w:cs="Arial"/>
          <w:szCs w:val="22"/>
        </w:rPr>
      </w:pPr>
      <w:r>
        <w:rPr>
          <w:rFonts w:ascii="Arial" w:hAnsi="Arial" w:cs="Arial"/>
          <w:szCs w:val="22"/>
          <w:lang w:val="en-GB"/>
        </w:rPr>
        <w:t>2017–18</w:t>
      </w:r>
      <w:r w:rsidR="008A59C6" w:rsidRPr="00CB093C">
        <w:rPr>
          <w:rFonts w:ascii="Arial" w:hAnsi="Arial" w:cs="Arial"/>
          <w:szCs w:val="22"/>
          <w:lang w:val="en-GB"/>
        </w:rPr>
        <w:t xml:space="preserve"> was the </w:t>
      </w:r>
      <w:r w:rsidR="008A59C6" w:rsidRPr="00CB093C">
        <w:rPr>
          <w:rFonts w:ascii="Arial" w:hAnsi="Arial" w:cs="Arial"/>
          <w:szCs w:val="22"/>
        </w:rPr>
        <w:t xml:space="preserve">fourth consecutive year intertidal </w:t>
      </w:r>
      <w:r w:rsidR="008A59C6" w:rsidRPr="00CB093C">
        <w:rPr>
          <w:rFonts w:ascii="Arial" w:hAnsi="Arial" w:cs="Arial"/>
          <w:szCs w:val="22"/>
          <w:lang w:val="en-GB"/>
        </w:rPr>
        <w:t xml:space="preserve">within-canopy </w:t>
      </w:r>
      <w:r w:rsidR="008A59C6" w:rsidRPr="00CB093C">
        <w:rPr>
          <w:rFonts w:ascii="Arial" w:hAnsi="Arial" w:cs="Arial"/>
          <w:szCs w:val="22"/>
        </w:rPr>
        <w:t>temperatures were the above long-term average and the third highest average annual temperature (25.7</w:t>
      </w:r>
      <w:r w:rsidR="008A59C6" w:rsidRPr="00CB093C">
        <w:rPr>
          <w:rFonts w:ascii="Arial" w:hAnsi="Arial" w:cs="Arial"/>
          <w:szCs w:val="22"/>
          <w:lang w:val="en-GB"/>
        </w:rPr>
        <w:t>°C</w:t>
      </w:r>
      <w:r w:rsidR="008A59C6" w:rsidRPr="00CB093C">
        <w:rPr>
          <w:rFonts w:ascii="Arial" w:hAnsi="Arial" w:cs="Arial"/>
          <w:szCs w:val="22"/>
        </w:rPr>
        <w:t>) since 2003 (</w:t>
      </w:r>
      <w:r w:rsidR="008A59C6" w:rsidRPr="00CB093C">
        <w:rPr>
          <w:rFonts w:ascii="Arial" w:hAnsi="Arial" w:cs="Arial"/>
          <w:szCs w:val="22"/>
        </w:rPr>
        <w:fldChar w:fldCharType="begin"/>
      </w:r>
      <w:r w:rsidR="008A59C6" w:rsidRPr="00CB093C">
        <w:rPr>
          <w:rFonts w:ascii="Arial" w:hAnsi="Arial" w:cs="Arial"/>
          <w:szCs w:val="22"/>
        </w:rPr>
        <w:instrText xml:space="preserve"> REF _Ref533507597 \h </w:instrText>
      </w:r>
      <w:r w:rsidR="00CB093C" w:rsidRPr="00CB093C">
        <w:rPr>
          <w:rFonts w:ascii="Arial" w:hAnsi="Arial" w:cs="Arial"/>
          <w:szCs w:val="22"/>
        </w:rPr>
        <w:instrText xml:space="preserve"> \* MERGEFORMAT </w:instrText>
      </w:r>
      <w:r w:rsidR="008A59C6" w:rsidRPr="00CB093C">
        <w:rPr>
          <w:rFonts w:ascii="Arial" w:hAnsi="Arial" w:cs="Arial"/>
          <w:szCs w:val="22"/>
        </w:rPr>
      </w:r>
      <w:r w:rsidR="008A59C6"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62</w:t>
      </w:r>
      <w:r w:rsidR="008A59C6" w:rsidRPr="00CB093C">
        <w:rPr>
          <w:rFonts w:ascii="Arial" w:hAnsi="Arial" w:cs="Arial"/>
          <w:szCs w:val="22"/>
        </w:rPr>
        <w:fldChar w:fldCharType="end"/>
      </w:r>
      <w:r w:rsidR="008A59C6" w:rsidRPr="00CB093C">
        <w:rPr>
          <w:rFonts w:ascii="Arial" w:hAnsi="Arial" w:cs="Arial"/>
          <w:szCs w:val="22"/>
        </w:rPr>
        <w:t xml:space="preserve">). Maximum intertidal </w:t>
      </w:r>
      <w:r w:rsidR="008A59C6" w:rsidRPr="00CB093C">
        <w:rPr>
          <w:rFonts w:ascii="Arial" w:hAnsi="Arial" w:cs="Arial"/>
          <w:szCs w:val="22"/>
          <w:lang w:val="en-GB"/>
        </w:rPr>
        <w:t xml:space="preserve">within-canopy </w:t>
      </w:r>
      <w:r w:rsidR="008A59C6" w:rsidRPr="00CB093C">
        <w:rPr>
          <w:rFonts w:ascii="Arial" w:hAnsi="Arial" w:cs="Arial"/>
          <w:szCs w:val="22"/>
        </w:rPr>
        <w:t>temperatures exceeded 35</w:t>
      </w:r>
      <w:r w:rsidR="008A59C6" w:rsidRPr="00CB093C">
        <w:rPr>
          <w:rFonts w:ascii="Arial" w:hAnsi="Arial" w:cs="Arial"/>
          <w:szCs w:val="22"/>
          <w:lang w:val="en-GB"/>
        </w:rPr>
        <w:t>°C</w:t>
      </w:r>
      <w:r w:rsidR="008A59C6" w:rsidRPr="00CB093C">
        <w:rPr>
          <w:rFonts w:ascii="Arial" w:hAnsi="Arial" w:cs="Arial"/>
          <w:szCs w:val="22"/>
        </w:rPr>
        <w:t xml:space="preserve"> for a total of 66 days during </w:t>
      </w:r>
      <w:r>
        <w:rPr>
          <w:rFonts w:ascii="Arial" w:hAnsi="Arial" w:cs="Arial"/>
          <w:szCs w:val="22"/>
        </w:rPr>
        <w:t>2017–18</w:t>
      </w:r>
      <w:r w:rsidR="008A59C6" w:rsidRPr="00CB093C">
        <w:rPr>
          <w:rFonts w:ascii="Arial" w:hAnsi="Arial" w:cs="Arial"/>
          <w:szCs w:val="22"/>
        </w:rPr>
        <w:t>, with the highest temperature recorded at 40.1</w:t>
      </w:r>
      <w:r w:rsidR="008A59C6" w:rsidRPr="00CB093C">
        <w:rPr>
          <w:rFonts w:ascii="Arial" w:hAnsi="Arial" w:cs="Arial"/>
          <w:szCs w:val="22"/>
          <w:lang w:val="en-GB"/>
        </w:rPr>
        <w:t>°C</w:t>
      </w:r>
      <w:r w:rsidR="008A59C6" w:rsidRPr="00CB093C">
        <w:rPr>
          <w:rFonts w:ascii="Arial" w:hAnsi="Arial" w:cs="Arial"/>
          <w:szCs w:val="22"/>
        </w:rPr>
        <w:t xml:space="preserve"> (MP1, 4pm 12Feb18). </w:t>
      </w:r>
      <w:r>
        <w:rPr>
          <w:rFonts w:ascii="Arial" w:hAnsi="Arial" w:cs="Arial"/>
          <w:szCs w:val="22"/>
        </w:rPr>
        <w:t>2017–18</w:t>
      </w:r>
      <w:r w:rsidR="008A59C6" w:rsidRPr="00CB093C">
        <w:rPr>
          <w:rFonts w:ascii="Arial" w:hAnsi="Arial" w:cs="Arial"/>
          <w:szCs w:val="22"/>
        </w:rPr>
        <w:t xml:space="preserve"> was the first full year of subtidal monitoring with an annual average temperature of 25.7</w:t>
      </w:r>
      <w:r w:rsidR="008A59C6" w:rsidRPr="00CB093C">
        <w:rPr>
          <w:rFonts w:ascii="Arial" w:hAnsi="Arial" w:cs="Arial"/>
          <w:szCs w:val="22"/>
          <w:lang w:val="en-GB"/>
        </w:rPr>
        <w:t>°C</w:t>
      </w:r>
      <w:r w:rsidR="008A59C6" w:rsidRPr="00CB093C">
        <w:rPr>
          <w:rFonts w:ascii="Arial" w:hAnsi="Arial" w:cs="Arial"/>
          <w:szCs w:val="22"/>
        </w:rPr>
        <w:t>, and maximum of 31</w:t>
      </w:r>
      <w:r w:rsidR="008A59C6" w:rsidRPr="00CB093C">
        <w:rPr>
          <w:rFonts w:ascii="Arial" w:hAnsi="Arial" w:cs="Arial"/>
          <w:szCs w:val="22"/>
          <w:lang w:val="en-GB"/>
        </w:rPr>
        <w:t>°C</w:t>
      </w:r>
      <w:r w:rsidR="008A59C6" w:rsidRPr="00CB093C">
        <w:rPr>
          <w:rFonts w:ascii="Arial" w:hAnsi="Arial" w:cs="Arial"/>
          <w:szCs w:val="22"/>
        </w:rPr>
        <w:t xml:space="preserve"> (3pm 30Dec17). </w:t>
      </w:r>
    </w:p>
    <w:p w14:paraId="03BD3637" w14:textId="436F14CB" w:rsidR="008A59C6" w:rsidRPr="00CB093C" w:rsidRDefault="008A59C6" w:rsidP="008A59C6">
      <w:pPr>
        <w:rPr>
          <w:rFonts w:ascii="Arial" w:hAnsi="Arial" w:cs="Arial"/>
          <w:szCs w:val="22"/>
          <w:lang w:val="en-GB"/>
        </w:rPr>
      </w:pPr>
      <w:r w:rsidRPr="00CB093C">
        <w:rPr>
          <w:rFonts w:ascii="Arial" w:hAnsi="Arial" w:cs="Arial"/>
          <w:szCs w:val="22"/>
          <w:lang w:val="en-GB"/>
        </w:rPr>
        <w:t>Daily tide exposure was below the long</w:t>
      </w:r>
      <w:r w:rsidRPr="00CB093C">
        <w:rPr>
          <w:rFonts w:ascii="Cambria Math" w:hAnsi="Cambria Math" w:cs="Cambria Math"/>
          <w:szCs w:val="22"/>
          <w:lang w:val="en-GB"/>
        </w:rPr>
        <w:t>‐</w:t>
      </w:r>
      <w:r w:rsidRPr="00CB093C">
        <w:rPr>
          <w:rFonts w:ascii="Arial" w:hAnsi="Arial" w:cs="Arial"/>
          <w:szCs w:val="22"/>
          <w:lang w:val="en-GB"/>
        </w:rPr>
        <w:t xml:space="preserve">term average in </w:t>
      </w:r>
      <w:r w:rsidR="003654C6">
        <w:rPr>
          <w:rFonts w:ascii="Arial" w:hAnsi="Arial" w:cs="Arial"/>
          <w:szCs w:val="22"/>
          <w:lang w:val="en-GB"/>
        </w:rPr>
        <w:t>2017–18</w:t>
      </w:r>
      <w:r w:rsidR="00C81636" w:rsidRPr="00CB093C">
        <w:rPr>
          <w:rFonts w:ascii="Arial" w:hAnsi="Arial" w:cs="Arial"/>
          <w:szCs w:val="22"/>
          <w:lang w:val="en-GB"/>
        </w:rPr>
        <w:t xml:space="preserve"> </w:t>
      </w:r>
      <w:r w:rsidRPr="00CB093C">
        <w:rPr>
          <w:rFonts w:ascii="Arial" w:hAnsi="Arial" w:cs="Arial"/>
          <w:szCs w:val="22"/>
          <w:lang w:val="en-GB"/>
        </w:rPr>
        <w:t>(</w:t>
      </w:r>
      <w:r w:rsidRPr="00CB093C">
        <w:rPr>
          <w:rFonts w:ascii="Arial" w:hAnsi="Arial" w:cs="Arial"/>
          <w:szCs w:val="22"/>
        </w:rPr>
        <w:fldChar w:fldCharType="begin"/>
      </w:r>
      <w:r w:rsidRPr="00CB093C">
        <w:rPr>
          <w:rFonts w:ascii="Arial" w:hAnsi="Arial" w:cs="Arial"/>
          <w:szCs w:val="22"/>
        </w:rPr>
        <w:instrText xml:space="preserve"> REF _Ref533507597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62</w:t>
      </w:r>
      <w:r w:rsidRPr="00CB093C">
        <w:rPr>
          <w:rFonts w:ascii="Arial" w:hAnsi="Arial" w:cs="Arial"/>
          <w:szCs w:val="22"/>
        </w:rPr>
        <w:fldChar w:fldCharType="end"/>
      </w:r>
      <w:r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_Ref410297244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103</w:t>
      </w:r>
      <w:r w:rsidRPr="00CB093C">
        <w:rPr>
          <w:rFonts w:ascii="Arial" w:hAnsi="Arial" w:cs="Arial"/>
          <w:szCs w:val="22"/>
          <w:lang w:val="en-GB"/>
        </w:rPr>
        <w:fldChar w:fldCharType="end"/>
      </w:r>
      <w:r w:rsidRPr="00CB093C">
        <w:rPr>
          <w:rFonts w:ascii="Arial" w:hAnsi="Arial" w:cs="Arial"/>
          <w:szCs w:val="22"/>
          <w:lang w:val="en-GB"/>
        </w:rPr>
        <w:t>), which may have provided some respite from the elevated temperatures.</w:t>
      </w:r>
    </w:p>
    <w:p w14:paraId="298BA9D7" w14:textId="1626FE12" w:rsidR="008E7BE7" w:rsidRPr="00CB093C" w:rsidRDefault="008A59C6" w:rsidP="008A59C6">
      <w:pPr>
        <w:rPr>
          <w:rFonts w:ascii="Arial" w:hAnsi="Arial" w:cs="Arial"/>
          <w:szCs w:val="22"/>
          <w:lang w:val="en-GB"/>
        </w:rPr>
      </w:pPr>
      <w:r w:rsidRPr="00CB093C">
        <w:rPr>
          <w:rFonts w:ascii="Arial" w:hAnsi="Arial" w:cs="Arial"/>
          <w:szCs w:val="22"/>
          <w:lang w:val="en-GB"/>
        </w:rPr>
        <w:t xml:space="preserve">The proportion of fine grain sizes decreases in the sediments of the seagrass monitoring sites/meadows with distance from the coast/river mouths in the </w:t>
      </w:r>
      <w:r w:rsidR="00637325">
        <w:rPr>
          <w:rFonts w:ascii="Arial" w:hAnsi="Arial" w:cs="Arial"/>
          <w:szCs w:val="22"/>
          <w:lang w:val="en-GB"/>
        </w:rPr>
        <w:t>Mackay-Whitsunday</w:t>
      </w:r>
      <w:r w:rsidRPr="00CB093C">
        <w:rPr>
          <w:rFonts w:ascii="Arial" w:hAnsi="Arial" w:cs="Arial"/>
          <w:szCs w:val="22"/>
          <w:lang w:val="en-GB"/>
        </w:rPr>
        <w:t xml:space="preserve"> region. Estuarine sediments were composed of greater proportion of finer sediments, and in </w:t>
      </w:r>
      <w:r w:rsidR="00EB6CC6">
        <w:rPr>
          <w:rFonts w:ascii="Arial" w:hAnsi="Arial" w:cs="Arial"/>
          <w:szCs w:val="22"/>
          <w:lang w:val="en-GB"/>
        </w:rPr>
        <w:t>2017–</w:t>
      </w:r>
      <w:r w:rsidR="00455322" w:rsidRPr="00CB093C">
        <w:rPr>
          <w:rFonts w:ascii="Arial" w:hAnsi="Arial" w:cs="Arial"/>
          <w:szCs w:val="22"/>
          <w:lang w:val="en-GB"/>
        </w:rPr>
        <w:t>18</w:t>
      </w:r>
      <w:r w:rsidR="00C81636" w:rsidRPr="00CB093C">
        <w:rPr>
          <w:rFonts w:ascii="Arial" w:hAnsi="Arial" w:cs="Arial"/>
          <w:szCs w:val="22"/>
          <w:lang w:val="en-GB"/>
        </w:rPr>
        <w:t xml:space="preserve"> </w:t>
      </w:r>
      <w:r w:rsidRPr="00CB093C">
        <w:rPr>
          <w:rFonts w:ascii="Arial" w:hAnsi="Arial" w:cs="Arial"/>
          <w:szCs w:val="22"/>
          <w:lang w:val="en-GB"/>
        </w:rPr>
        <w:t>the proportion of mud was slightly higher than 2016</w:t>
      </w:r>
      <w:r w:rsidR="008E7BE7" w:rsidRPr="00CB093C">
        <w:rPr>
          <w:rFonts w:ascii="Arial" w:hAnsi="Arial" w:cs="Arial"/>
          <w:szCs w:val="22"/>
          <w:lang w:val="en-GB"/>
        </w:rPr>
        <w:t>–</w:t>
      </w:r>
      <w:r w:rsidRPr="00CB093C">
        <w:rPr>
          <w:rFonts w:ascii="Arial" w:hAnsi="Arial" w:cs="Arial"/>
          <w:szCs w:val="22"/>
          <w:lang w:val="en-GB"/>
        </w:rPr>
        <w:t xml:space="preserve">17, but similar to the </w:t>
      </w:r>
      <w:r w:rsidR="00A304F1" w:rsidRPr="00CB093C">
        <w:rPr>
          <w:rFonts w:ascii="Arial" w:hAnsi="Arial" w:cs="Arial"/>
          <w:szCs w:val="22"/>
          <w:lang w:val="en-GB"/>
        </w:rPr>
        <w:t xml:space="preserve">Reef-wide </w:t>
      </w:r>
      <w:r w:rsidRPr="00CB093C">
        <w:rPr>
          <w:rFonts w:ascii="Arial" w:hAnsi="Arial" w:cs="Arial"/>
          <w:szCs w:val="22"/>
          <w:lang w:val="en-GB"/>
        </w:rPr>
        <w:t>long-term average (</w:t>
      </w:r>
      <w:r w:rsidRPr="00CB093C">
        <w:rPr>
          <w:rFonts w:ascii="Arial" w:hAnsi="Arial" w:cs="Arial"/>
          <w:szCs w:val="22"/>
          <w:lang w:val="en-GB"/>
        </w:rPr>
        <w:fldChar w:fldCharType="begin"/>
      </w:r>
      <w:r w:rsidRPr="00CB093C">
        <w:rPr>
          <w:rFonts w:ascii="Arial" w:hAnsi="Arial" w:cs="Arial"/>
          <w:szCs w:val="22"/>
          <w:lang w:val="en-GB"/>
        </w:rPr>
        <w:instrText xml:space="preserve"> REF _Ref511131656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121</w:t>
      </w:r>
      <w:r w:rsidRPr="00CB093C">
        <w:rPr>
          <w:rFonts w:ascii="Arial" w:hAnsi="Arial" w:cs="Arial"/>
          <w:szCs w:val="22"/>
          <w:lang w:val="en-GB"/>
        </w:rPr>
        <w:fldChar w:fldCharType="end"/>
      </w:r>
      <w:r w:rsidRPr="00CB093C">
        <w:rPr>
          <w:rFonts w:ascii="Arial" w:hAnsi="Arial" w:cs="Arial"/>
          <w:szCs w:val="22"/>
          <w:lang w:val="en-GB"/>
        </w:rPr>
        <w:t xml:space="preserve">). </w:t>
      </w:r>
    </w:p>
    <w:p w14:paraId="7B5DC0C6" w14:textId="4C727D39" w:rsidR="008E7BE7" w:rsidRPr="00CB093C" w:rsidRDefault="008A59C6" w:rsidP="008A59C6">
      <w:pPr>
        <w:rPr>
          <w:rFonts w:ascii="Arial" w:hAnsi="Arial" w:cs="Arial"/>
          <w:szCs w:val="22"/>
          <w:lang w:val="en-GB"/>
        </w:rPr>
      </w:pPr>
      <w:r w:rsidRPr="00CB093C">
        <w:rPr>
          <w:rFonts w:ascii="Arial" w:hAnsi="Arial" w:cs="Arial"/>
          <w:szCs w:val="22"/>
          <w:lang w:val="en-GB"/>
        </w:rPr>
        <w:t xml:space="preserve">Coastal habitat meadows had less mud than estuarine habitats over the long term, but fluctuate within and between both meadows and years. In </w:t>
      </w:r>
      <w:r w:rsidR="00EB6CC6">
        <w:rPr>
          <w:rFonts w:ascii="Arial" w:hAnsi="Arial" w:cs="Arial"/>
          <w:szCs w:val="22"/>
          <w:lang w:val="en-GB"/>
        </w:rPr>
        <w:t>2017–</w:t>
      </w:r>
      <w:r w:rsidR="00455322" w:rsidRPr="00CB093C">
        <w:rPr>
          <w:rFonts w:ascii="Arial" w:hAnsi="Arial" w:cs="Arial"/>
          <w:szCs w:val="22"/>
          <w:lang w:val="en-GB"/>
        </w:rPr>
        <w:t>18</w:t>
      </w:r>
      <w:r w:rsidRPr="00CB093C">
        <w:rPr>
          <w:rFonts w:ascii="Arial" w:hAnsi="Arial" w:cs="Arial"/>
          <w:szCs w:val="22"/>
          <w:lang w:val="en-GB"/>
        </w:rPr>
        <w:t xml:space="preserve"> some sites/meadows had a higher proportion of mud (e.g. PI2 and MP2) than the </w:t>
      </w:r>
      <w:r w:rsidR="003158FC" w:rsidRPr="00CB093C">
        <w:rPr>
          <w:rFonts w:ascii="Arial" w:hAnsi="Arial" w:cs="Arial"/>
          <w:szCs w:val="22"/>
          <w:lang w:val="en-GB"/>
        </w:rPr>
        <w:t>Reef</w:t>
      </w:r>
      <w:r w:rsidRPr="00CB093C">
        <w:rPr>
          <w:rFonts w:ascii="Arial" w:hAnsi="Arial" w:cs="Arial"/>
          <w:szCs w:val="22"/>
          <w:lang w:val="en-GB"/>
        </w:rPr>
        <w:t xml:space="preserve"> long-term average (</w:t>
      </w:r>
      <w:r w:rsidRPr="00CB093C">
        <w:rPr>
          <w:rFonts w:ascii="Arial" w:hAnsi="Arial" w:cs="Arial"/>
          <w:szCs w:val="22"/>
          <w:lang w:val="en-GB"/>
        </w:rPr>
        <w:fldChar w:fldCharType="begin"/>
      </w:r>
      <w:r w:rsidRPr="00CB093C">
        <w:rPr>
          <w:rFonts w:ascii="Arial" w:hAnsi="Arial" w:cs="Arial"/>
          <w:szCs w:val="22"/>
          <w:lang w:val="en-GB"/>
        </w:rPr>
        <w:instrText xml:space="preserve"> REF _Ref511131673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122</w:t>
      </w:r>
      <w:r w:rsidRPr="00CB093C">
        <w:rPr>
          <w:rFonts w:ascii="Arial" w:hAnsi="Arial" w:cs="Arial"/>
          <w:szCs w:val="22"/>
          <w:lang w:val="en-GB"/>
        </w:rPr>
        <w:fldChar w:fldCharType="end"/>
      </w:r>
      <w:r w:rsidRPr="00CB093C">
        <w:rPr>
          <w:rFonts w:ascii="Arial" w:hAnsi="Arial" w:cs="Arial"/>
          <w:szCs w:val="22"/>
          <w:lang w:val="en-GB"/>
        </w:rPr>
        <w:t xml:space="preserve">). </w:t>
      </w:r>
    </w:p>
    <w:p w14:paraId="0CD5A0D8" w14:textId="3D742A2A" w:rsidR="008A59C6" w:rsidRPr="00CB093C" w:rsidRDefault="008A59C6" w:rsidP="008A59C6">
      <w:pPr>
        <w:rPr>
          <w:rFonts w:ascii="Arial" w:hAnsi="Arial" w:cs="Arial"/>
          <w:szCs w:val="22"/>
          <w:lang w:val="en-GB"/>
        </w:rPr>
      </w:pPr>
      <w:r w:rsidRPr="00CB093C">
        <w:rPr>
          <w:rFonts w:ascii="Arial" w:hAnsi="Arial" w:cs="Arial"/>
          <w:szCs w:val="22"/>
          <w:lang w:val="en-GB"/>
        </w:rPr>
        <w:t xml:space="preserve">Reef habitats were composed predominately of fine to medium sand, however after </w:t>
      </w:r>
      <w:r w:rsidR="008E7BE7" w:rsidRPr="00CB093C">
        <w:rPr>
          <w:rFonts w:ascii="Arial" w:hAnsi="Arial" w:cs="Arial"/>
          <w:szCs w:val="22"/>
          <w:lang w:val="en-GB"/>
        </w:rPr>
        <w:t xml:space="preserve">cyclone </w:t>
      </w:r>
      <w:r w:rsidRPr="00CB093C">
        <w:rPr>
          <w:rFonts w:ascii="Arial" w:hAnsi="Arial" w:cs="Arial"/>
          <w:szCs w:val="22"/>
          <w:lang w:val="en-GB"/>
        </w:rPr>
        <w:t xml:space="preserve">Debbie in early 2017, one of the meadows has maintained a proportion of mud above the </w:t>
      </w:r>
      <w:r w:rsidR="003158FC" w:rsidRPr="00CB093C">
        <w:rPr>
          <w:rFonts w:ascii="Arial" w:hAnsi="Arial" w:cs="Arial"/>
          <w:szCs w:val="22"/>
          <w:lang w:val="en-GB"/>
        </w:rPr>
        <w:t>Reef</w:t>
      </w:r>
      <w:r w:rsidRPr="00CB093C">
        <w:rPr>
          <w:rFonts w:ascii="Arial" w:hAnsi="Arial" w:cs="Arial"/>
          <w:szCs w:val="22"/>
          <w:lang w:val="en-GB"/>
        </w:rPr>
        <w:t xml:space="preserve"> long-term average (</w:t>
      </w:r>
      <w:r w:rsidRPr="00CB093C">
        <w:rPr>
          <w:rFonts w:ascii="Arial" w:hAnsi="Arial" w:cs="Arial"/>
          <w:szCs w:val="22"/>
          <w:lang w:val="en-GB"/>
        </w:rPr>
        <w:fldChar w:fldCharType="begin"/>
      </w:r>
      <w:r w:rsidRPr="00CB093C">
        <w:rPr>
          <w:rFonts w:ascii="Arial" w:hAnsi="Arial" w:cs="Arial"/>
          <w:szCs w:val="22"/>
          <w:lang w:val="en-GB"/>
        </w:rPr>
        <w:instrText xml:space="preserve"> REF _Ref511131682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123</w:t>
      </w:r>
      <w:r w:rsidRPr="00CB093C">
        <w:rPr>
          <w:rFonts w:ascii="Arial" w:hAnsi="Arial" w:cs="Arial"/>
          <w:szCs w:val="22"/>
          <w:lang w:val="en-GB"/>
        </w:rPr>
        <w:fldChar w:fldCharType="end"/>
      </w:r>
      <w:r w:rsidRPr="00CB093C">
        <w:rPr>
          <w:rFonts w:ascii="Arial" w:hAnsi="Arial" w:cs="Arial"/>
          <w:szCs w:val="22"/>
          <w:lang w:val="en-GB"/>
        </w:rPr>
        <w:t>).</w:t>
      </w:r>
    </w:p>
    <w:p w14:paraId="54EFA412" w14:textId="532CA664" w:rsidR="008A59C6" w:rsidRPr="00CB093C" w:rsidRDefault="008A59C6" w:rsidP="003E679B">
      <w:pPr>
        <w:rPr>
          <w:rFonts w:ascii="Arial" w:hAnsi="Arial" w:cs="Arial"/>
          <w:szCs w:val="22"/>
          <w:lang w:val="en-GB"/>
        </w:rPr>
      </w:pPr>
    </w:p>
    <w:p w14:paraId="72F831E0" w14:textId="77777777" w:rsidR="008A59C6" w:rsidRPr="00CB093C" w:rsidRDefault="008A59C6" w:rsidP="003E679B">
      <w:pPr>
        <w:rPr>
          <w:rFonts w:ascii="Arial" w:hAnsi="Arial" w:cs="Arial"/>
          <w:szCs w:val="22"/>
          <w:lang w:val="en-GB"/>
        </w:rPr>
      </w:pPr>
    </w:p>
    <w:p w14:paraId="047AE69E" w14:textId="6E0B2EE1" w:rsidR="00353458" w:rsidRPr="00CB093C" w:rsidRDefault="00114443" w:rsidP="00C36ADD">
      <w:pPr>
        <w:rPr>
          <w:rFonts w:ascii="Arial" w:hAnsi="Arial" w:cs="Arial"/>
          <w:color w:val="000000" w:themeColor="text1"/>
          <w:szCs w:val="22"/>
        </w:rPr>
      </w:pPr>
      <w:r w:rsidRPr="00CB093C">
        <w:rPr>
          <w:rFonts w:ascii="Arial" w:hAnsi="Arial" w:cs="Arial"/>
          <w:noProof/>
          <w:color w:val="000000" w:themeColor="text1"/>
          <w:szCs w:val="22"/>
          <w:lang w:val="en-US"/>
        </w:rPr>
        <w:drawing>
          <wp:inline distT="0" distB="0" distL="0" distR="0" wp14:anchorId="3E1259A3" wp14:editId="3A79C7FC">
            <wp:extent cx="5692406" cy="7551209"/>
            <wp:effectExtent l="0" t="0" r="3810" b="0"/>
            <wp:docPr id="563" name="Picture 563" descr="Composite figure showing environmental pressures in the Mackay Whitsunday NRM region during 2017–2018 including a map of turbid water exposure across the region, the frequency of exposure to wet season water type at each monitoring site, the average environmental conditions over the long-term and in 2017–18, daily light and the 28-day rolling mean of daily light for all intertidal sites, the number of days intertidal temperatures exceeded 35°C, 38°C, 40°C and 43°C, and deviations from 13-year mean weekly temperature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 name="MW Pressures page-01.png"/>
                    <pic:cNvPicPr/>
                  </pic:nvPicPr>
                  <pic:blipFill>
                    <a:blip r:embed="rId106">
                      <a:extLst>
                        <a:ext uri="{28A0092B-C50C-407E-A947-70E740481C1C}">
                          <a14:useLocalDpi xmlns:a14="http://schemas.microsoft.com/office/drawing/2010/main" val="0"/>
                        </a:ext>
                      </a:extLst>
                    </a:blip>
                    <a:stretch>
                      <a:fillRect/>
                    </a:stretch>
                  </pic:blipFill>
                  <pic:spPr>
                    <a:xfrm>
                      <a:off x="0" y="0"/>
                      <a:ext cx="5692406" cy="7551209"/>
                    </a:xfrm>
                    <a:prstGeom prst="rect">
                      <a:avLst/>
                    </a:prstGeom>
                  </pic:spPr>
                </pic:pic>
              </a:graphicData>
            </a:graphic>
          </wp:inline>
        </w:drawing>
      </w:r>
    </w:p>
    <w:p w14:paraId="5A70335C" w14:textId="09AE1C0F" w:rsidR="001B1A95" w:rsidRPr="00CB093C" w:rsidRDefault="00353458" w:rsidP="001B1A95">
      <w:pPr>
        <w:rPr>
          <w:rFonts w:ascii="Arial" w:hAnsi="Arial" w:cs="Arial"/>
          <w:i/>
          <w:iCs/>
          <w:vanish/>
          <w:szCs w:val="22"/>
          <w:lang w:eastAsia="en-AU"/>
          <w:specVanish/>
        </w:rPr>
      </w:pPr>
      <w:bookmarkStart w:id="406" w:name="_Ref533507597"/>
      <w:bookmarkStart w:id="407" w:name="_Toc6402827"/>
      <w:r w:rsidRPr="00CB093C">
        <w:rPr>
          <w:rFonts w:ascii="Arial" w:hAnsi="Arial" w:cs="Arial"/>
          <w:szCs w:val="22"/>
        </w:rPr>
        <w:t xml:space="preserve">Figure </w:t>
      </w:r>
      <w:r w:rsidR="000E4688" w:rsidRPr="00CB093C">
        <w:rPr>
          <w:rFonts w:ascii="Arial" w:hAnsi="Arial" w:cs="Arial"/>
          <w:noProof/>
          <w:szCs w:val="22"/>
        </w:rPr>
        <w:fldChar w:fldCharType="begin"/>
      </w:r>
      <w:r w:rsidR="000E4688" w:rsidRPr="00CB093C">
        <w:rPr>
          <w:rFonts w:ascii="Arial" w:hAnsi="Arial" w:cs="Arial"/>
          <w:noProof/>
          <w:szCs w:val="22"/>
        </w:rPr>
        <w:instrText xml:space="preserve"> SEQ Figure \* ARABIC </w:instrText>
      </w:r>
      <w:r w:rsidR="000E4688" w:rsidRPr="00CB093C">
        <w:rPr>
          <w:rFonts w:ascii="Arial" w:hAnsi="Arial" w:cs="Arial"/>
          <w:noProof/>
          <w:szCs w:val="22"/>
        </w:rPr>
        <w:fldChar w:fldCharType="separate"/>
      </w:r>
      <w:r w:rsidR="005F00D4">
        <w:rPr>
          <w:rFonts w:ascii="Arial" w:hAnsi="Arial" w:cs="Arial"/>
          <w:noProof/>
          <w:szCs w:val="22"/>
        </w:rPr>
        <w:t>62</w:t>
      </w:r>
      <w:r w:rsidR="000E4688" w:rsidRPr="00CB093C">
        <w:rPr>
          <w:rFonts w:ascii="Arial" w:hAnsi="Arial" w:cs="Arial"/>
          <w:noProof/>
          <w:szCs w:val="22"/>
        </w:rPr>
        <w:fldChar w:fldCharType="end"/>
      </w:r>
      <w:bookmarkEnd w:id="406"/>
      <w:r w:rsidRPr="00CB093C">
        <w:rPr>
          <w:rFonts w:ascii="Arial" w:hAnsi="Arial" w:cs="Arial"/>
          <w:szCs w:val="22"/>
        </w:rPr>
        <w:t xml:space="preserve">. </w:t>
      </w:r>
      <w:r w:rsidRPr="00CB093C">
        <w:rPr>
          <w:rFonts w:ascii="Arial" w:hAnsi="Arial" w:cs="Arial"/>
          <w:i/>
          <w:szCs w:val="22"/>
        </w:rPr>
        <w:t xml:space="preserve">Environmental pressures in the </w:t>
      </w:r>
      <w:r w:rsidR="00637325">
        <w:rPr>
          <w:rFonts w:ascii="Arial" w:hAnsi="Arial" w:cs="Arial"/>
          <w:i/>
          <w:szCs w:val="22"/>
        </w:rPr>
        <w:t>Mackay-Whitsunday</w:t>
      </w:r>
      <w:r w:rsidRPr="00CB093C">
        <w:rPr>
          <w:rFonts w:ascii="Arial" w:hAnsi="Arial" w:cs="Arial"/>
          <w:i/>
          <w:szCs w:val="22"/>
        </w:rPr>
        <w:t xml:space="preserve"> </w:t>
      </w:r>
      <w:r w:rsidR="00DD18B8" w:rsidRPr="00CB093C">
        <w:rPr>
          <w:rFonts w:ascii="Arial" w:hAnsi="Arial" w:cs="Arial"/>
          <w:i/>
          <w:szCs w:val="22"/>
        </w:rPr>
        <w:t xml:space="preserve">NRM </w:t>
      </w:r>
      <w:r w:rsidRPr="00CB093C">
        <w:rPr>
          <w:rFonts w:ascii="Arial" w:hAnsi="Arial" w:cs="Arial"/>
          <w:i/>
          <w:szCs w:val="22"/>
        </w:rPr>
        <w:t>region</w:t>
      </w:r>
      <w:bookmarkEnd w:id="407"/>
    </w:p>
    <w:p w14:paraId="436D7484" w14:textId="53A5111B" w:rsidR="00353458" w:rsidRPr="00CB093C" w:rsidRDefault="001B1A95" w:rsidP="001B1A95">
      <w:pPr>
        <w:pStyle w:val="Caption"/>
        <w:rPr>
          <w:rFonts w:ascii="Arial" w:hAnsi="Arial" w:cs="Arial"/>
          <w:i/>
          <w:color w:val="000000"/>
          <w:szCs w:val="22"/>
        </w:rPr>
      </w:pPr>
      <w:r w:rsidRPr="00CB093C">
        <w:rPr>
          <w:rFonts w:ascii="Arial" w:hAnsi="Arial" w:cs="Arial"/>
          <w:i/>
          <w:szCs w:val="22"/>
          <w:lang w:eastAsia="en-AU"/>
        </w:rPr>
        <w:t xml:space="preserve"> </w:t>
      </w:r>
      <w:r w:rsidR="00353458" w:rsidRPr="00CB093C">
        <w:rPr>
          <w:rFonts w:ascii="Arial" w:hAnsi="Arial" w:cs="Arial"/>
          <w:i/>
          <w:szCs w:val="22"/>
        </w:rPr>
        <w:t>including</w:t>
      </w:r>
      <w:r w:rsidR="00DD18B8" w:rsidRPr="00CB093C">
        <w:rPr>
          <w:rFonts w:ascii="Arial" w:hAnsi="Arial" w:cs="Arial"/>
          <w:i/>
          <w:szCs w:val="22"/>
        </w:rPr>
        <w:t>:</w:t>
      </w:r>
      <w:r w:rsidR="00353458" w:rsidRPr="00CB093C">
        <w:rPr>
          <w:rFonts w:ascii="Arial" w:hAnsi="Arial" w:cs="Arial"/>
          <w:i/>
          <w:szCs w:val="22"/>
        </w:rPr>
        <w:t xml:space="preserve"> a.</w:t>
      </w:r>
      <w:r w:rsidR="00353458" w:rsidRPr="00CB093C">
        <w:rPr>
          <w:rFonts w:ascii="Arial" w:hAnsi="Arial" w:cs="Arial"/>
          <w:szCs w:val="22"/>
        </w:rPr>
        <w:t xml:space="preserve"> </w:t>
      </w:r>
      <w:r w:rsidR="00353458" w:rsidRPr="00CB093C">
        <w:rPr>
          <w:rFonts w:ascii="Arial" w:hAnsi="Arial" w:cs="Arial"/>
          <w:i/>
          <w:szCs w:val="22"/>
        </w:rPr>
        <w:t>frequency of exposure to turbid water (colour classes 1</w:t>
      </w:r>
      <w:r w:rsidR="00A675DA" w:rsidRPr="00CB093C">
        <w:rPr>
          <w:rFonts w:ascii="Arial" w:hAnsi="Arial" w:cs="Arial"/>
          <w:i/>
          <w:szCs w:val="22"/>
        </w:rPr>
        <w:t>–</w:t>
      </w:r>
      <w:r w:rsidR="00353458" w:rsidRPr="00CB093C">
        <w:rPr>
          <w:rFonts w:ascii="Arial" w:hAnsi="Arial" w:cs="Arial"/>
          <w:i/>
          <w:szCs w:val="22"/>
        </w:rPr>
        <w:t xml:space="preserve">5) (from </w:t>
      </w:r>
      <w:hyperlink w:anchor="_ENREF_65" w:tooltip="Gruber, 2019 #11860" w:history="1">
        <w:r w:rsidR="00513C39" w:rsidRPr="00CB093C">
          <w:rPr>
            <w:rFonts w:ascii="Arial" w:hAnsi="Arial" w:cs="Arial"/>
            <w:i/>
            <w:szCs w:val="22"/>
          </w:rPr>
          <w:fldChar w:fldCharType="begin"/>
        </w:r>
        <w:r w:rsidR="00513C39" w:rsidRPr="00CB093C">
          <w:rPr>
            <w:rFonts w:ascii="Arial" w:hAnsi="Arial" w:cs="Arial"/>
            <w:i/>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i/>
            <w:szCs w:val="22"/>
          </w:rPr>
          <w:fldChar w:fldCharType="separate"/>
        </w:r>
        <w:r w:rsidR="00513C39" w:rsidRPr="00CB093C">
          <w:rPr>
            <w:rFonts w:ascii="Arial" w:hAnsi="Arial" w:cs="Arial"/>
            <w:i/>
            <w:noProof/>
            <w:szCs w:val="22"/>
          </w:rPr>
          <w:t>Gruber et al. 2019</w:t>
        </w:r>
        <w:r w:rsidR="00513C39" w:rsidRPr="00CB093C">
          <w:rPr>
            <w:rFonts w:ascii="Arial" w:hAnsi="Arial" w:cs="Arial"/>
            <w:i/>
            <w:szCs w:val="22"/>
          </w:rPr>
          <w:fldChar w:fldCharType="end"/>
        </w:r>
      </w:hyperlink>
      <w:r w:rsidR="00353458" w:rsidRPr="00CB093C">
        <w:rPr>
          <w:rFonts w:ascii="Arial" w:hAnsi="Arial" w:cs="Arial"/>
          <w:i/>
          <w:szCs w:val="22"/>
        </w:rPr>
        <w:t>)</w:t>
      </w:r>
      <w:r w:rsidRPr="00CB093C">
        <w:rPr>
          <w:rFonts w:ascii="Arial" w:hAnsi="Arial" w:cs="Arial"/>
          <w:i/>
          <w:szCs w:val="22"/>
        </w:rPr>
        <w:t>;</w:t>
      </w:r>
      <w:r w:rsidR="00353458" w:rsidRPr="00CB093C">
        <w:rPr>
          <w:rFonts w:ascii="Arial" w:hAnsi="Arial" w:cs="Arial"/>
          <w:i/>
          <w:szCs w:val="22"/>
        </w:rPr>
        <w:t xml:space="preserve"> b. wet season water type at each </w:t>
      </w:r>
      <w:r w:rsidRPr="00CB093C">
        <w:rPr>
          <w:rFonts w:ascii="Arial" w:hAnsi="Arial" w:cs="Arial"/>
          <w:i/>
          <w:szCs w:val="22"/>
        </w:rPr>
        <w:t>site;</w:t>
      </w:r>
      <w:r w:rsidR="00353458" w:rsidRPr="00CB093C">
        <w:rPr>
          <w:rFonts w:ascii="Arial" w:hAnsi="Arial" w:cs="Arial"/>
          <w:i/>
          <w:szCs w:val="22"/>
        </w:rPr>
        <w:t xml:space="preserve"> c. average conditions over the long-term and in </w:t>
      </w:r>
      <w:r w:rsidR="00EB6CC6">
        <w:rPr>
          <w:rFonts w:ascii="Arial" w:hAnsi="Arial" w:cs="Arial"/>
          <w:i/>
          <w:szCs w:val="22"/>
        </w:rPr>
        <w:t>2017–</w:t>
      </w:r>
      <w:r w:rsidR="00455322" w:rsidRPr="00CB093C">
        <w:rPr>
          <w:rFonts w:ascii="Arial" w:hAnsi="Arial" w:cs="Arial"/>
          <w:i/>
          <w:szCs w:val="22"/>
        </w:rPr>
        <w:t>18</w:t>
      </w:r>
      <w:r w:rsidRPr="00CB093C">
        <w:rPr>
          <w:rFonts w:ascii="Arial" w:hAnsi="Arial" w:cs="Arial"/>
          <w:i/>
          <w:szCs w:val="22"/>
        </w:rPr>
        <w:t>;</w:t>
      </w:r>
      <w:r w:rsidR="00353458" w:rsidRPr="00CB093C">
        <w:rPr>
          <w:rFonts w:ascii="Arial" w:hAnsi="Arial" w:cs="Arial"/>
          <w:i/>
          <w:szCs w:val="22"/>
        </w:rPr>
        <w:t xml:space="preserve"> d. daily light and the 28-day rolling mean of daily light for all sites</w:t>
      </w:r>
      <w:r w:rsidRPr="00CB093C">
        <w:rPr>
          <w:rFonts w:ascii="Arial" w:hAnsi="Arial" w:cs="Arial"/>
          <w:i/>
          <w:szCs w:val="22"/>
        </w:rPr>
        <w:t>;</w:t>
      </w:r>
      <w:r w:rsidR="00353458" w:rsidRPr="00CB093C">
        <w:rPr>
          <w:rFonts w:ascii="Arial" w:hAnsi="Arial" w:cs="Arial"/>
          <w:i/>
          <w:szCs w:val="22"/>
        </w:rPr>
        <w:t xml:space="preserve"> e. number of day temperature exceeded 35°C, 38°C, 40°C and 43°C, and</w:t>
      </w:r>
      <w:r w:rsidRPr="00CB093C">
        <w:rPr>
          <w:rFonts w:ascii="Arial" w:hAnsi="Arial" w:cs="Arial"/>
          <w:i/>
          <w:szCs w:val="22"/>
        </w:rPr>
        <w:t>;</w:t>
      </w:r>
      <w:r w:rsidR="00353458" w:rsidRPr="00CB093C">
        <w:rPr>
          <w:rFonts w:ascii="Arial" w:hAnsi="Arial" w:cs="Arial"/>
          <w:i/>
          <w:szCs w:val="22"/>
        </w:rPr>
        <w:t xml:space="preserve"> f. deviations from 13-year </w:t>
      </w:r>
      <w:r w:rsidR="00353458" w:rsidRPr="00CB093C">
        <w:rPr>
          <w:rFonts w:ascii="Arial" w:hAnsi="Arial" w:cs="Arial"/>
          <w:i/>
          <w:color w:val="000000"/>
          <w:szCs w:val="22"/>
        </w:rPr>
        <w:t>mean weekly temperature records.</w:t>
      </w:r>
    </w:p>
    <w:p w14:paraId="4D7787D7" w14:textId="77777777" w:rsidR="00A84969" w:rsidRPr="00CB093C" w:rsidRDefault="00A84969" w:rsidP="00A84969">
      <w:pPr>
        <w:rPr>
          <w:rFonts w:ascii="Arial" w:hAnsi="Arial" w:cs="Arial"/>
          <w:szCs w:val="22"/>
          <w:lang w:val="en-GB"/>
        </w:rPr>
      </w:pPr>
    </w:p>
    <w:p w14:paraId="4456EA4F" w14:textId="77777777" w:rsidR="002F1D37" w:rsidRPr="00CB093C" w:rsidRDefault="002F1D37" w:rsidP="00AD06D4">
      <w:pPr>
        <w:pStyle w:val="Heading3"/>
        <w:numPr>
          <w:ilvl w:val="2"/>
          <w:numId w:val="4"/>
        </w:numPr>
        <w:rPr>
          <w:rFonts w:ascii="Arial" w:hAnsi="Arial" w:cs="Arial"/>
          <w:color w:val="000000"/>
          <w:sz w:val="22"/>
          <w:szCs w:val="22"/>
        </w:rPr>
      </w:pPr>
      <w:bookmarkStart w:id="408" w:name="_Toc11394754"/>
      <w:bookmarkStart w:id="409" w:name="_Toc431493776"/>
      <w:bookmarkEnd w:id="400"/>
      <w:bookmarkEnd w:id="401"/>
      <w:r w:rsidRPr="00CB093C">
        <w:rPr>
          <w:rFonts w:ascii="Arial" w:hAnsi="Arial" w:cs="Arial"/>
          <w:color w:val="000000"/>
          <w:sz w:val="22"/>
          <w:szCs w:val="22"/>
        </w:rPr>
        <w:t>Inshore seagrass and habitat condition</w:t>
      </w:r>
      <w:bookmarkEnd w:id="408"/>
    </w:p>
    <w:p w14:paraId="25A3E5FD" w14:textId="2F911FC8" w:rsidR="00F75525" w:rsidRPr="00CB093C" w:rsidRDefault="00F75525" w:rsidP="00C36ADD">
      <w:pPr>
        <w:rPr>
          <w:rFonts w:ascii="Arial" w:hAnsi="Arial" w:cs="Arial"/>
          <w:szCs w:val="22"/>
          <w:lang w:eastAsia="x-none"/>
        </w:rPr>
      </w:pPr>
      <w:r w:rsidRPr="00CB093C">
        <w:rPr>
          <w:rFonts w:ascii="Arial" w:hAnsi="Arial" w:cs="Arial"/>
          <w:szCs w:val="22"/>
          <w:lang w:eastAsia="x-none"/>
        </w:rPr>
        <w:t xml:space="preserve">Five seagrass habitat types were assessed across the </w:t>
      </w:r>
      <w:r w:rsidR="00637325">
        <w:rPr>
          <w:rFonts w:ascii="Arial" w:hAnsi="Arial" w:cs="Arial"/>
          <w:szCs w:val="22"/>
          <w:lang w:eastAsia="x-none"/>
        </w:rPr>
        <w:t>Mackay-Whitsunday</w:t>
      </w:r>
      <w:r w:rsidRPr="00CB093C">
        <w:rPr>
          <w:rFonts w:ascii="Arial" w:hAnsi="Arial" w:cs="Arial"/>
          <w:szCs w:val="22"/>
          <w:lang w:eastAsia="x-none"/>
        </w:rPr>
        <w:t xml:space="preserve"> region </w:t>
      </w:r>
      <w:r w:rsidR="006C0C8D" w:rsidRPr="00CB093C">
        <w:rPr>
          <w:rFonts w:ascii="Arial" w:hAnsi="Arial" w:cs="Arial"/>
          <w:szCs w:val="22"/>
          <w:lang w:eastAsia="x-none"/>
        </w:rPr>
        <w:t>this year</w:t>
      </w:r>
      <w:r w:rsidRPr="00CB093C">
        <w:rPr>
          <w:rFonts w:ascii="Arial" w:hAnsi="Arial" w:cs="Arial"/>
          <w:szCs w:val="22"/>
          <w:lang w:eastAsia="x-none"/>
        </w:rPr>
        <w:t>, with data from 14 sites (</w:t>
      </w:r>
      <w:r w:rsidRPr="00CB093C">
        <w:rPr>
          <w:rFonts w:ascii="Arial" w:hAnsi="Arial" w:cs="Arial"/>
          <w:szCs w:val="22"/>
          <w:lang w:eastAsia="x-none"/>
        </w:rPr>
        <w:fldChar w:fldCharType="begin"/>
      </w:r>
      <w:r w:rsidRPr="00CB093C">
        <w:rPr>
          <w:rFonts w:ascii="Arial" w:hAnsi="Arial" w:cs="Arial"/>
          <w:szCs w:val="22"/>
          <w:lang w:eastAsia="x-none"/>
        </w:rPr>
        <w:instrText xml:space="preserve"> REF _Ref473898197 \h </w:instrText>
      </w:r>
      <w:r w:rsidR="00580DDA" w:rsidRPr="00CB093C">
        <w:rPr>
          <w:rFonts w:ascii="Arial" w:hAnsi="Arial" w:cs="Arial"/>
          <w:szCs w:val="22"/>
          <w:lang w:eastAsia="x-none"/>
        </w:rPr>
        <w:instrText xml:space="preserve"> \* MERGEFORMAT </w:instrText>
      </w:r>
      <w:r w:rsidRPr="00CB093C">
        <w:rPr>
          <w:rFonts w:ascii="Arial" w:hAnsi="Arial" w:cs="Arial"/>
          <w:szCs w:val="22"/>
          <w:lang w:eastAsia="x-none"/>
        </w:rPr>
      </w:r>
      <w:r w:rsidRPr="00CB093C">
        <w:rPr>
          <w:rFonts w:ascii="Arial" w:hAnsi="Arial" w:cs="Arial"/>
          <w:szCs w:val="22"/>
          <w:lang w:eastAsia="x-none"/>
        </w:rPr>
        <w:fldChar w:fldCharType="separate"/>
      </w:r>
      <w:r w:rsidR="005F00D4" w:rsidRPr="00CB093C">
        <w:rPr>
          <w:rFonts w:ascii="Arial" w:hAnsi="Arial" w:cs="Arial"/>
          <w:szCs w:val="22"/>
        </w:rPr>
        <w:t xml:space="preserve">Table </w:t>
      </w:r>
      <w:r w:rsidR="005F00D4">
        <w:rPr>
          <w:rFonts w:ascii="Arial" w:hAnsi="Arial" w:cs="Arial"/>
          <w:noProof/>
          <w:szCs w:val="22"/>
        </w:rPr>
        <w:t>14</w:t>
      </w:r>
      <w:r w:rsidRPr="00CB093C">
        <w:rPr>
          <w:rFonts w:ascii="Arial" w:hAnsi="Arial" w:cs="Arial"/>
          <w:szCs w:val="22"/>
          <w:lang w:eastAsia="x-none"/>
        </w:rPr>
        <w:fldChar w:fldCharType="end"/>
      </w:r>
      <w:r w:rsidRPr="00CB093C">
        <w:rPr>
          <w:rFonts w:ascii="Arial" w:hAnsi="Arial" w:cs="Arial"/>
          <w:szCs w:val="22"/>
          <w:lang w:eastAsia="x-none"/>
        </w:rPr>
        <w:t>).</w:t>
      </w:r>
    </w:p>
    <w:p w14:paraId="261FFF98" w14:textId="6EC627D0" w:rsidR="00F75525" w:rsidRPr="00CB093C" w:rsidRDefault="00F75525" w:rsidP="00C36ADD">
      <w:pPr>
        <w:rPr>
          <w:rFonts w:ascii="Arial" w:hAnsi="Arial" w:cs="Arial"/>
          <w:i/>
          <w:vanish/>
          <w:szCs w:val="22"/>
          <w:specVanish/>
        </w:rPr>
      </w:pPr>
      <w:bookmarkStart w:id="410" w:name="_Ref473898197"/>
      <w:bookmarkStart w:id="411" w:name="_Toc5616042"/>
      <w:r w:rsidRPr="00CB093C">
        <w:rPr>
          <w:rFonts w:ascii="Arial" w:hAnsi="Arial" w:cs="Arial"/>
          <w:szCs w:val="22"/>
        </w:rPr>
        <w:t xml:space="preserve">Table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Table \* ARABIC </w:instrText>
      </w:r>
      <w:r w:rsidR="00C506C7" w:rsidRPr="00CB093C">
        <w:rPr>
          <w:rFonts w:ascii="Arial" w:hAnsi="Arial" w:cs="Arial"/>
          <w:noProof/>
          <w:szCs w:val="22"/>
        </w:rPr>
        <w:fldChar w:fldCharType="separate"/>
      </w:r>
      <w:r w:rsidR="005F00D4">
        <w:rPr>
          <w:rFonts w:ascii="Arial" w:hAnsi="Arial" w:cs="Arial"/>
          <w:noProof/>
          <w:szCs w:val="22"/>
        </w:rPr>
        <w:t>14</w:t>
      </w:r>
      <w:r w:rsidR="00C506C7" w:rsidRPr="00CB093C">
        <w:rPr>
          <w:rFonts w:ascii="Arial" w:hAnsi="Arial" w:cs="Arial"/>
          <w:noProof/>
          <w:szCs w:val="22"/>
        </w:rPr>
        <w:fldChar w:fldCharType="end"/>
      </w:r>
      <w:bookmarkEnd w:id="410"/>
      <w:r w:rsidRPr="00CB093C">
        <w:rPr>
          <w:rFonts w:ascii="Arial" w:hAnsi="Arial" w:cs="Arial"/>
          <w:szCs w:val="22"/>
        </w:rPr>
        <w:t xml:space="preserve">. </w:t>
      </w:r>
      <w:r w:rsidRPr="00CB093C">
        <w:rPr>
          <w:rFonts w:ascii="Arial" w:hAnsi="Arial" w:cs="Arial"/>
          <w:i/>
          <w:szCs w:val="22"/>
        </w:rPr>
        <w:t xml:space="preserve">List of data sources of seagrass and environmental condition indicators for each seagrass habitat type in the </w:t>
      </w:r>
      <w:r w:rsidR="00637325">
        <w:rPr>
          <w:rFonts w:ascii="Arial" w:hAnsi="Arial" w:cs="Arial"/>
          <w:i/>
          <w:szCs w:val="22"/>
        </w:rPr>
        <w:t>Mackay-Whitsunday</w:t>
      </w:r>
      <w:r w:rsidRPr="00CB093C">
        <w:rPr>
          <w:rFonts w:ascii="Arial" w:hAnsi="Arial" w:cs="Arial"/>
          <w:i/>
          <w:szCs w:val="22"/>
        </w:rPr>
        <w:t xml:space="preserve"> NRM region.</w:t>
      </w:r>
      <w:bookmarkEnd w:id="411"/>
      <w:r w:rsidRPr="00CB093C">
        <w:rPr>
          <w:rFonts w:ascii="Arial" w:hAnsi="Arial" w:cs="Arial"/>
          <w:i/>
          <w:vanish/>
          <w:szCs w:val="22"/>
          <w:specVanish/>
        </w:rPr>
        <w:t xml:space="preserve"> </w:t>
      </w:r>
    </w:p>
    <w:p w14:paraId="198F3260" w14:textId="4B94BB3A" w:rsidR="00F75525" w:rsidRPr="00CB093C" w:rsidRDefault="00F75525" w:rsidP="00C36ADD">
      <w:pPr>
        <w:pStyle w:val="Caption"/>
        <w:rPr>
          <w:rFonts w:ascii="Arial" w:hAnsi="Arial" w:cs="Arial"/>
          <w:i/>
          <w:szCs w:val="22"/>
        </w:rPr>
      </w:pPr>
      <w:r w:rsidRPr="00CB093C">
        <w:rPr>
          <w:rFonts w:ascii="Arial" w:hAnsi="Arial" w:cs="Arial"/>
          <w:i/>
          <w:szCs w:val="22"/>
        </w:rPr>
        <w:t xml:space="preserve"> </w:t>
      </w:r>
      <w:r w:rsidR="00C76C36" w:rsidRPr="00CB093C">
        <w:rPr>
          <w:rFonts w:ascii="Arial" w:hAnsi="Arial" w:cs="Arial"/>
          <w:i/>
          <w:color w:val="000000"/>
          <w:szCs w:val="22"/>
          <w:vertAlign w:val="superscript"/>
        </w:rPr>
        <w:sym w:font="Wingdings 2" w:char="F085"/>
      </w:r>
      <w:r w:rsidR="00C76C36" w:rsidRPr="00CB093C">
        <w:rPr>
          <w:rFonts w:ascii="Arial" w:hAnsi="Arial" w:cs="Arial"/>
          <w:i/>
          <w:color w:val="000000"/>
          <w:szCs w:val="22"/>
        </w:rPr>
        <w:t xml:space="preserve"> drop camera sampling (QPWS), *Seagrass-Watch.</w:t>
      </w:r>
      <w:r w:rsidR="00C76C36" w:rsidRPr="00CB093C">
        <w:rPr>
          <w:rFonts w:ascii="Arial" w:hAnsi="Arial" w:cs="Arial"/>
          <w:i/>
          <w:szCs w:val="22"/>
        </w:rPr>
        <w:t xml:space="preserve"> </w:t>
      </w:r>
      <w:r w:rsidRPr="00CB093C">
        <w:rPr>
          <w:rFonts w:ascii="Arial" w:hAnsi="Arial" w:cs="Arial"/>
          <w:i/>
          <w:szCs w:val="22"/>
        </w:rPr>
        <w:t xml:space="preserve">For site details see </w:t>
      </w:r>
      <w:r w:rsidRPr="00CB093C">
        <w:rPr>
          <w:rFonts w:ascii="Arial" w:hAnsi="Arial" w:cs="Arial"/>
          <w:i/>
          <w:szCs w:val="22"/>
        </w:rPr>
        <w:fldChar w:fldCharType="begin"/>
      </w:r>
      <w:r w:rsidRPr="00CB093C">
        <w:rPr>
          <w:rFonts w:ascii="Arial" w:hAnsi="Arial" w:cs="Arial"/>
          <w:i/>
          <w:szCs w:val="22"/>
        </w:rPr>
        <w:instrText xml:space="preserve"> REF _Ref236539751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color w:val="000000"/>
          <w:szCs w:val="22"/>
        </w:rPr>
        <w:t xml:space="preserve">Table </w:t>
      </w:r>
      <w:r w:rsidR="005F00D4" w:rsidRPr="005F00D4">
        <w:rPr>
          <w:rFonts w:ascii="Arial" w:hAnsi="Arial" w:cs="Arial"/>
          <w:i/>
          <w:noProof/>
          <w:color w:val="000000"/>
          <w:szCs w:val="22"/>
        </w:rPr>
        <w:t>2</w:t>
      </w:r>
      <w:r w:rsidRPr="00CB093C">
        <w:rPr>
          <w:rFonts w:ascii="Arial" w:hAnsi="Arial" w:cs="Arial"/>
          <w:i/>
          <w:szCs w:val="22"/>
        </w:rPr>
        <w:fldChar w:fldCharType="end"/>
      </w:r>
      <w:r w:rsidRPr="00CB093C">
        <w:rPr>
          <w:rFonts w:ascii="Arial" w:hAnsi="Arial" w:cs="Arial"/>
          <w:i/>
          <w:szCs w:val="22"/>
        </w:rPr>
        <w:t xml:space="preserve"> and </w:t>
      </w:r>
      <w:r w:rsidRPr="00CB093C">
        <w:rPr>
          <w:rFonts w:ascii="Arial" w:hAnsi="Arial" w:cs="Arial"/>
          <w:i/>
          <w:szCs w:val="22"/>
        </w:rPr>
        <w:fldChar w:fldCharType="begin"/>
      </w:r>
      <w:r w:rsidRPr="00CB093C">
        <w:rPr>
          <w:rFonts w:ascii="Arial" w:hAnsi="Arial" w:cs="Arial"/>
          <w:i/>
          <w:szCs w:val="22"/>
        </w:rPr>
        <w:instrText xml:space="preserve"> REF _Ref461186562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color w:val="000000"/>
          <w:szCs w:val="22"/>
        </w:rPr>
        <w:t xml:space="preserve">Table </w:t>
      </w:r>
      <w:r w:rsidR="005F00D4" w:rsidRPr="005F00D4">
        <w:rPr>
          <w:rFonts w:ascii="Arial" w:hAnsi="Arial" w:cs="Arial"/>
          <w:i/>
          <w:noProof/>
          <w:color w:val="000000"/>
          <w:szCs w:val="22"/>
        </w:rPr>
        <w:t>3</w:t>
      </w:r>
      <w:r w:rsidRPr="00CB093C">
        <w:rPr>
          <w:rFonts w:ascii="Arial" w:hAnsi="Arial" w:cs="Arial"/>
          <w:i/>
          <w:szCs w:val="22"/>
        </w:rPr>
        <w:fldChar w:fldCharType="end"/>
      </w:r>
      <w:r w:rsidRPr="00CB093C">
        <w:rPr>
          <w:rFonts w:ascii="Arial" w:hAnsi="Arial" w:cs="Arial"/>
          <w:i/>
          <w:szCs w:val="22"/>
        </w:rPr>
        <w:t>.</w:t>
      </w:r>
    </w:p>
    <w:tbl>
      <w:tblPr>
        <w:tblW w:w="81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730"/>
        <w:gridCol w:w="1591"/>
        <w:gridCol w:w="475"/>
        <w:gridCol w:w="475"/>
        <w:gridCol w:w="475"/>
        <w:gridCol w:w="475"/>
        <w:gridCol w:w="475"/>
        <w:gridCol w:w="475"/>
        <w:gridCol w:w="475"/>
        <w:gridCol w:w="475"/>
        <w:gridCol w:w="475"/>
      </w:tblGrid>
      <w:tr w:rsidR="00F75525" w:rsidRPr="00CB093C" w14:paraId="6B5FE3E8" w14:textId="77777777" w:rsidTr="00F75525">
        <w:trPr>
          <w:cantSplit/>
          <w:trHeight w:val="1968"/>
          <w:jc w:val="center"/>
        </w:trPr>
        <w:tc>
          <w:tcPr>
            <w:tcW w:w="1714" w:type="dxa"/>
            <w:shd w:val="clear" w:color="auto" w:fill="BBE0E3"/>
            <w:vAlign w:val="center"/>
          </w:tcPr>
          <w:p w14:paraId="258C4C7E" w14:textId="77777777" w:rsidR="00F75525" w:rsidRPr="00CB093C" w:rsidRDefault="00F75525" w:rsidP="00C36ADD">
            <w:pPr>
              <w:spacing w:before="0" w:after="0"/>
              <w:jc w:val="center"/>
              <w:rPr>
                <w:rFonts w:ascii="Arial" w:hAnsi="Arial" w:cs="Arial"/>
                <w:b/>
                <w:bCs/>
                <w:color w:val="000000"/>
                <w:szCs w:val="22"/>
              </w:rPr>
            </w:pPr>
            <w:r w:rsidRPr="00CB093C">
              <w:rPr>
                <w:rFonts w:ascii="Arial" w:hAnsi="Arial" w:cs="Arial"/>
                <w:b/>
                <w:bCs/>
                <w:color w:val="000000"/>
                <w:szCs w:val="22"/>
              </w:rPr>
              <w:t>Habitat</w:t>
            </w:r>
          </w:p>
        </w:tc>
        <w:tc>
          <w:tcPr>
            <w:tcW w:w="2265" w:type="dxa"/>
            <w:gridSpan w:val="2"/>
            <w:shd w:val="clear" w:color="auto" w:fill="BBE0E3"/>
            <w:noWrap/>
            <w:vAlign w:val="center"/>
          </w:tcPr>
          <w:p w14:paraId="125F396B" w14:textId="77777777" w:rsidR="00F75525" w:rsidRPr="00CB093C" w:rsidRDefault="00F75525" w:rsidP="00C36ADD">
            <w:pPr>
              <w:spacing w:before="0" w:after="0"/>
              <w:jc w:val="center"/>
              <w:rPr>
                <w:rFonts w:ascii="Arial" w:hAnsi="Arial" w:cs="Arial"/>
                <w:b/>
                <w:bCs/>
                <w:color w:val="000000"/>
                <w:szCs w:val="22"/>
              </w:rPr>
            </w:pPr>
            <w:r w:rsidRPr="00CB093C">
              <w:rPr>
                <w:rFonts w:ascii="Arial" w:hAnsi="Arial" w:cs="Arial"/>
                <w:b/>
                <w:bCs/>
                <w:color w:val="000000"/>
                <w:szCs w:val="22"/>
              </w:rPr>
              <w:t>Site</w:t>
            </w:r>
          </w:p>
        </w:tc>
        <w:tc>
          <w:tcPr>
            <w:tcW w:w="467" w:type="dxa"/>
            <w:shd w:val="clear" w:color="auto" w:fill="BBE0E3"/>
            <w:textDirection w:val="btLr"/>
            <w:vAlign w:val="center"/>
          </w:tcPr>
          <w:p w14:paraId="6A2A87D3" w14:textId="77777777" w:rsidR="00F75525" w:rsidRPr="00CB093C" w:rsidRDefault="00F75525" w:rsidP="00C36ADD">
            <w:pPr>
              <w:spacing w:before="0" w:after="0"/>
              <w:ind w:left="113" w:right="113"/>
              <w:rPr>
                <w:rFonts w:ascii="Arial" w:hAnsi="Arial" w:cs="Arial"/>
                <w:b/>
                <w:bCs/>
                <w:color w:val="000000"/>
                <w:szCs w:val="22"/>
              </w:rPr>
            </w:pPr>
            <w:r w:rsidRPr="00CB093C">
              <w:rPr>
                <w:rFonts w:ascii="Arial" w:hAnsi="Arial" w:cs="Arial"/>
                <w:b/>
                <w:bCs/>
                <w:color w:val="000000"/>
                <w:szCs w:val="22"/>
              </w:rPr>
              <w:t>abundance</w:t>
            </w:r>
          </w:p>
        </w:tc>
        <w:tc>
          <w:tcPr>
            <w:tcW w:w="467" w:type="dxa"/>
            <w:shd w:val="clear" w:color="auto" w:fill="BBE0E3"/>
            <w:textDirection w:val="btLr"/>
            <w:vAlign w:val="center"/>
          </w:tcPr>
          <w:p w14:paraId="7CA98E34" w14:textId="77777777" w:rsidR="00F75525" w:rsidRPr="00CB093C" w:rsidRDefault="00F75525" w:rsidP="00C36ADD">
            <w:pPr>
              <w:spacing w:before="0" w:after="0"/>
              <w:ind w:left="113" w:right="113"/>
              <w:rPr>
                <w:rFonts w:ascii="Arial" w:hAnsi="Arial" w:cs="Arial"/>
                <w:b/>
                <w:bCs/>
                <w:color w:val="000000"/>
                <w:szCs w:val="22"/>
              </w:rPr>
            </w:pPr>
            <w:r w:rsidRPr="00CB093C">
              <w:rPr>
                <w:rFonts w:ascii="Arial" w:hAnsi="Arial" w:cs="Arial"/>
                <w:b/>
                <w:bCs/>
                <w:color w:val="000000"/>
                <w:szCs w:val="22"/>
              </w:rPr>
              <w:t xml:space="preserve">composition </w:t>
            </w:r>
          </w:p>
        </w:tc>
        <w:tc>
          <w:tcPr>
            <w:tcW w:w="467" w:type="dxa"/>
            <w:shd w:val="clear" w:color="auto" w:fill="BBE0E3"/>
            <w:textDirection w:val="btLr"/>
            <w:vAlign w:val="center"/>
          </w:tcPr>
          <w:p w14:paraId="0FC157F4" w14:textId="77777777" w:rsidR="00F75525" w:rsidRPr="00CB093C" w:rsidRDefault="00F75525" w:rsidP="00C36ADD">
            <w:pPr>
              <w:spacing w:before="0" w:after="0"/>
              <w:ind w:left="113" w:right="113"/>
              <w:rPr>
                <w:rFonts w:ascii="Arial" w:hAnsi="Arial" w:cs="Arial"/>
                <w:b/>
                <w:bCs/>
                <w:color w:val="000000"/>
                <w:szCs w:val="22"/>
              </w:rPr>
            </w:pPr>
            <w:r w:rsidRPr="00CB093C">
              <w:rPr>
                <w:rFonts w:ascii="Arial" w:hAnsi="Arial" w:cs="Arial"/>
                <w:b/>
                <w:bCs/>
                <w:color w:val="000000"/>
                <w:szCs w:val="22"/>
              </w:rPr>
              <w:t>distribution</w:t>
            </w:r>
          </w:p>
        </w:tc>
        <w:tc>
          <w:tcPr>
            <w:tcW w:w="467" w:type="dxa"/>
            <w:shd w:val="clear" w:color="auto" w:fill="BBE0E3"/>
            <w:textDirection w:val="btLr"/>
            <w:vAlign w:val="center"/>
          </w:tcPr>
          <w:p w14:paraId="0757F73F" w14:textId="77777777" w:rsidR="00F75525" w:rsidRPr="00CB093C" w:rsidRDefault="00F75525" w:rsidP="00C36ADD">
            <w:pPr>
              <w:spacing w:before="0" w:after="0"/>
              <w:ind w:left="113" w:right="113"/>
              <w:rPr>
                <w:rFonts w:ascii="Arial" w:hAnsi="Arial" w:cs="Arial"/>
                <w:b/>
                <w:bCs/>
                <w:color w:val="000000"/>
                <w:szCs w:val="22"/>
              </w:rPr>
            </w:pPr>
            <w:r w:rsidRPr="00CB093C">
              <w:rPr>
                <w:rFonts w:ascii="Arial" w:hAnsi="Arial" w:cs="Arial"/>
                <w:b/>
                <w:bCs/>
                <w:color w:val="000000"/>
                <w:szCs w:val="22"/>
              </w:rPr>
              <w:t>Reproductive effort</w:t>
            </w:r>
          </w:p>
        </w:tc>
        <w:tc>
          <w:tcPr>
            <w:tcW w:w="467" w:type="dxa"/>
            <w:shd w:val="clear" w:color="auto" w:fill="BBE0E3"/>
            <w:textDirection w:val="btLr"/>
            <w:vAlign w:val="center"/>
          </w:tcPr>
          <w:p w14:paraId="54B4E9ED" w14:textId="77777777" w:rsidR="00F75525" w:rsidRPr="00CB093C" w:rsidRDefault="00F75525" w:rsidP="00C36ADD">
            <w:pPr>
              <w:spacing w:before="0" w:after="0"/>
              <w:ind w:left="113" w:right="113"/>
              <w:rPr>
                <w:rFonts w:ascii="Arial" w:hAnsi="Arial" w:cs="Arial"/>
                <w:b/>
                <w:bCs/>
                <w:color w:val="000000"/>
                <w:szCs w:val="22"/>
              </w:rPr>
            </w:pPr>
            <w:r w:rsidRPr="00CB093C">
              <w:rPr>
                <w:rFonts w:ascii="Arial" w:hAnsi="Arial" w:cs="Arial"/>
                <w:b/>
                <w:bCs/>
                <w:color w:val="000000"/>
                <w:szCs w:val="22"/>
              </w:rPr>
              <w:t>seed banks</w:t>
            </w:r>
          </w:p>
        </w:tc>
        <w:tc>
          <w:tcPr>
            <w:tcW w:w="467" w:type="dxa"/>
            <w:shd w:val="clear" w:color="auto" w:fill="BBE0E3"/>
            <w:textDirection w:val="btLr"/>
            <w:vAlign w:val="center"/>
          </w:tcPr>
          <w:p w14:paraId="3B7F1239" w14:textId="77777777" w:rsidR="00F75525" w:rsidRPr="00CB093C" w:rsidRDefault="00F75525" w:rsidP="00C36ADD">
            <w:pPr>
              <w:spacing w:before="0" w:after="0"/>
              <w:ind w:left="113" w:right="113"/>
              <w:rPr>
                <w:rFonts w:ascii="Arial" w:hAnsi="Arial" w:cs="Arial"/>
                <w:b/>
                <w:bCs/>
                <w:color w:val="000000"/>
                <w:szCs w:val="22"/>
              </w:rPr>
            </w:pPr>
            <w:r w:rsidRPr="00CB093C">
              <w:rPr>
                <w:rFonts w:ascii="Arial" w:hAnsi="Arial" w:cs="Arial"/>
                <w:b/>
                <w:bCs/>
                <w:color w:val="000000"/>
                <w:szCs w:val="22"/>
              </w:rPr>
              <w:t>Leaf tissue nutrients</w:t>
            </w:r>
          </w:p>
        </w:tc>
        <w:tc>
          <w:tcPr>
            <w:tcW w:w="467" w:type="dxa"/>
            <w:shd w:val="clear" w:color="auto" w:fill="BBE0E3"/>
            <w:textDirection w:val="btLr"/>
            <w:vAlign w:val="center"/>
          </w:tcPr>
          <w:p w14:paraId="14EAE87B" w14:textId="77777777" w:rsidR="00F75525" w:rsidRPr="00CB093C" w:rsidRDefault="00F75525" w:rsidP="00C36ADD">
            <w:pPr>
              <w:spacing w:before="0" w:after="0"/>
              <w:ind w:left="113" w:right="113"/>
              <w:rPr>
                <w:rFonts w:ascii="Arial" w:hAnsi="Arial" w:cs="Arial"/>
                <w:b/>
                <w:bCs/>
                <w:color w:val="000000"/>
                <w:szCs w:val="22"/>
              </w:rPr>
            </w:pPr>
            <w:r w:rsidRPr="00CB093C">
              <w:rPr>
                <w:rFonts w:ascii="Arial" w:hAnsi="Arial" w:cs="Arial"/>
                <w:b/>
                <w:bCs/>
                <w:color w:val="000000"/>
                <w:szCs w:val="22"/>
              </w:rPr>
              <w:t>Meadow sediments</w:t>
            </w:r>
          </w:p>
        </w:tc>
        <w:tc>
          <w:tcPr>
            <w:tcW w:w="467" w:type="dxa"/>
            <w:shd w:val="clear" w:color="auto" w:fill="BBE0E3"/>
            <w:textDirection w:val="btLr"/>
            <w:vAlign w:val="center"/>
          </w:tcPr>
          <w:p w14:paraId="12E56D02" w14:textId="77777777" w:rsidR="00F75525" w:rsidRPr="00CB093C" w:rsidRDefault="00F75525" w:rsidP="00C36ADD">
            <w:pPr>
              <w:spacing w:before="0" w:after="0"/>
              <w:ind w:left="113" w:right="113"/>
              <w:rPr>
                <w:rFonts w:ascii="Arial" w:hAnsi="Arial" w:cs="Arial"/>
                <w:b/>
                <w:bCs/>
                <w:color w:val="000000"/>
                <w:szCs w:val="22"/>
              </w:rPr>
            </w:pPr>
            <w:r w:rsidRPr="00CB093C">
              <w:rPr>
                <w:rFonts w:ascii="Arial" w:hAnsi="Arial" w:cs="Arial"/>
                <w:b/>
                <w:bCs/>
                <w:color w:val="000000"/>
                <w:szCs w:val="22"/>
              </w:rPr>
              <w:t>Epiphytes</w:t>
            </w:r>
          </w:p>
        </w:tc>
        <w:tc>
          <w:tcPr>
            <w:tcW w:w="467" w:type="dxa"/>
            <w:shd w:val="clear" w:color="auto" w:fill="BBE0E3"/>
            <w:textDirection w:val="btLr"/>
          </w:tcPr>
          <w:p w14:paraId="0693B3A8" w14:textId="77777777" w:rsidR="00F75525" w:rsidRPr="00CB093C" w:rsidRDefault="00F75525" w:rsidP="00C36ADD">
            <w:pPr>
              <w:spacing w:before="0" w:after="0"/>
              <w:ind w:left="113" w:right="113"/>
              <w:rPr>
                <w:rFonts w:ascii="Arial" w:hAnsi="Arial" w:cs="Arial"/>
                <w:b/>
                <w:bCs/>
                <w:color w:val="000000"/>
                <w:szCs w:val="22"/>
              </w:rPr>
            </w:pPr>
            <w:r w:rsidRPr="00CB093C">
              <w:rPr>
                <w:rFonts w:ascii="Arial" w:hAnsi="Arial" w:cs="Arial"/>
                <w:b/>
                <w:bCs/>
                <w:color w:val="000000"/>
                <w:szCs w:val="22"/>
              </w:rPr>
              <w:t>Macroalgae</w:t>
            </w:r>
          </w:p>
        </w:tc>
      </w:tr>
      <w:tr w:rsidR="00F75525" w:rsidRPr="00CB093C" w14:paraId="623D6187" w14:textId="77777777" w:rsidTr="00F75525">
        <w:trPr>
          <w:trHeight w:val="170"/>
          <w:jc w:val="center"/>
        </w:trPr>
        <w:tc>
          <w:tcPr>
            <w:tcW w:w="1714" w:type="dxa"/>
            <w:vMerge w:val="restart"/>
            <w:shd w:val="clear" w:color="auto" w:fill="E7F3F4"/>
            <w:vAlign w:val="center"/>
          </w:tcPr>
          <w:p w14:paraId="58B73E1B"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estuary intertidal</w:t>
            </w:r>
          </w:p>
        </w:tc>
        <w:tc>
          <w:tcPr>
            <w:tcW w:w="674" w:type="dxa"/>
            <w:shd w:val="clear" w:color="auto" w:fill="E7F3F4"/>
            <w:noWrap/>
            <w:vAlign w:val="center"/>
          </w:tcPr>
          <w:p w14:paraId="08D67159"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SI1</w:t>
            </w:r>
          </w:p>
        </w:tc>
        <w:tc>
          <w:tcPr>
            <w:tcW w:w="1591" w:type="dxa"/>
            <w:shd w:val="clear" w:color="auto" w:fill="E7F3F4"/>
            <w:noWrap/>
            <w:vAlign w:val="center"/>
          </w:tcPr>
          <w:p w14:paraId="25C70726"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Sarina Inlet</w:t>
            </w:r>
          </w:p>
        </w:tc>
        <w:tc>
          <w:tcPr>
            <w:tcW w:w="467" w:type="dxa"/>
            <w:shd w:val="clear" w:color="auto" w:fill="E7F3F4"/>
            <w:vAlign w:val="center"/>
          </w:tcPr>
          <w:p w14:paraId="5F6A0FE6"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2F0D542"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C31EB43"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21B6293"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FA18E45"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3DBEA58"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6BA26C8"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E6EA764"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6186DE9"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6DD50BC1" w14:textId="77777777" w:rsidTr="00F75525">
        <w:trPr>
          <w:trHeight w:val="170"/>
          <w:jc w:val="center"/>
        </w:trPr>
        <w:tc>
          <w:tcPr>
            <w:tcW w:w="1714" w:type="dxa"/>
            <w:vMerge/>
            <w:shd w:val="clear" w:color="auto" w:fill="E7F3F4"/>
            <w:vAlign w:val="center"/>
          </w:tcPr>
          <w:p w14:paraId="67D368BC" w14:textId="77777777" w:rsidR="00F75525" w:rsidRPr="00CB093C" w:rsidRDefault="00F75525" w:rsidP="00C36ADD">
            <w:pPr>
              <w:spacing w:before="0" w:after="0"/>
              <w:jc w:val="center"/>
              <w:rPr>
                <w:rFonts w:ascii="Arial" w:hAnsi="Arial" w:cs="Arial"/>
                <w:color w:val="000000"/>
                <w:szCs w:val="22"/>
              </w:rPr>
            </w:pPr>
          </w:p>
        </w:tc>
        <w:tc>
          <w:tcPr>
            <w:tcW w:w="674" w:type="dxa"/>
            <w:shd w:val="clear" w:color="auto" w:fill="E7F3F4"/>
            <w:noWrap/>
            <w:vAlign w:val="center"/>
          </w:tcPr>
          <w:p w14:paraId="3465D554" w14:textId="77777777" w:rsidR="00F75525" w:rsidRPr="00CB093C" w:rsidRDefault="00F75525" w:rsidP="00C36ADD">
            <w:pPr>
              <w:spacing w:before="0" w:after="0"/>
              <w:jc w:val="center"/>
              <w:rPr>
                <w:rFonts w:ascii="Arial" w:hAnsi="Arial" w:cs="Arial"/>
                <w:iCs/>
                <w:color w:val="000000"/>
                <w:szCs w:val="22"/>
              </w:rPr>
            </w:pPr>
            <w:r w:rsidRPr="00CB093C">
              <w:rPr>
                <w:rFonts w:ascii="Arial" w:hAnsi="Arial" w:cs="Arial"/>
                <w:iCs/>
                <w:color w:val="000000"/>
                <w:szCs w:val="22"/>
              </w:rPr>
              <w:t>SI2</w:t>
            </w:r>
          </w:p>
        </w:tc>
        <w:tc>
          <w:tcPr>
            <w:tcW w:w="1591" w:type="dxa"/>
            <w:shd w:val="clear" w:color="auto" w:fill="E7F3F4"/>
            <w:noWrap/>
            <w:vAlign w:val="center"/>
          </w:tcPr>
          <w:p w14:paraId="41B5D9F9"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Sarina Inlet</w:t>
            </w:r>
          </w:p>
        </w:tc>
        <w:tc>
          <w:tcPr>
            <w:tcW w:w="467" w:type="dxa"/>
            <w:shd w:val="clear" w:color="auto" w:fill="E7F3F4"/>
            <w:vAlign w:val="center"/>
          </w:tcPr>
          <w:p w14:paraId="7877F2DB"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CACADC0"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79271B1"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820966D"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537A8A5"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34D7BA2"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E8CF0C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FFF11C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75B1F85"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2830CBEA" w14:textId="77777777" w:rsidTr="00F75525">
        <w:trPr>
          <w:trHeight w:val="170"/>
          <w:jc w:val="center"/>
        </w:trPr>
        <w:tc>
          <w:tcPr>
            <w:tcW w:w="1714" w:type="dxa"/>
            <w:vMerge w:val="restart"/>
            <w:shd w:val="clear" w:color="auto" w:fill="F3F9FA"/>
            <w:vAlign w:val="center"/>
          </w:tcPr>
          <w:p w14:paraId="2130CE2C"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coastal intertidal</w:t>
            </w:r>
          </w:p>
        </w:tc>
        <w:tc>
          <w:tcPr>
            <w:tcW w:w="674" w:type="dxa"/>
            <w:shd w:val="clear" w:color="auto" w:fill="F3F9FA"/>
            <w:noWrap/>
            <w:vAlign w:val="center"/>
          </w:tcPr>
          <w:p w14:paraId="6862268E"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MP2</w:t>
            </w:r>
          </w:p>
        </w:tc>
        <w:tc>
          <w:tcPr>
            <w:tcW w:w="1591" w:type="dxa"/>
            <w:shd w:val="clear" w:color="auto" w:fill="F3F9FA"/>
            <w:noWrap/>
            <w:vAlign w:val="center"/>
          </w:tcPr>
          <w:p w14:paraId="186DF4B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Midge Point</w:t>
            </w:r>
          </w:p>
        </w:tc>
        <w:tc>
          <w:tcPr>
            <w:tcW w:w="467" w:type="dxa"/>
            <w:shd w:val="clear" w:color="auto" w:fill="F3F9FA"/>
            <w:vAlign w:val="center"/>
          </w:tcPr>
          <w:p w14:paraId="4D531116"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6C360B2"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0614F21"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0255CE4"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4693746"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37A44DC"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4B07846"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102F2CA"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92915A9"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18734036" w14:textId="77777777" w:rsidTr="00F75525">
        <w:trPr>
          <w:trHeight w:val="170"/>
          <w:jc w:val="center"/>
        </w:trPr>
        <w:tc>
          <w:tcPr>
            <w:tcW w:w="1714" w:type="dxa"/>
            <w:vMerge/>
            <w:shd w:val="clear" w:color="auto" w:fill="F3F9FA"/>
            <w:vAlign w:val="center"/>
          </w:tcPr>
          <w:p w14:paraId="730B897A" w14:textId="77777777" w:rsidR="00F75525" w:rsidRPr="00CB093C" w:rsidRDefault="00F75525" w:rsidP="00C36ADD">
            <w:pPr>
              <w:spacing w:before="0" w:after="0"/>
              <w:jc w:val="center"/>
              <w:rPr>
                <w:rFonts w:ascii="Arial" w:hAnsi="Arial" w:cs="Arial"/>
                <w:color w:val="000000"/>
                <w:szCs w:val="22"/>
              </w:rPr>
            </w:pPr>
          </w:p>
        </w:tc>
        <w:tc>
          <w:tcPr>
            <w:tcW w:w="674" w:type="dxa"/>
            <w:shd w:val="clear" w:color="auto" w:fill="F3F9FA"/>
            <w:noWrap/>
            <w:vAlign w:val="center"/>
          </w:tcPr>
          <w:p w14:paraId="1CA5F360"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MP3</w:t>
            </w:r>
          </w:p>
        </w:tc>
        <w:tc>
          <w:tcPr>
            <w:tcW w:w="1591" w:type="dxa"/>
            <w:shd w:val="clear" w:color="auto" w:fill="F3F9FA"/>
            <w:noWrap/>
            <w:vAlign w:val="center"/>
          </w:tcPr>
          <w:p w14:paraId="25766CA3" w14:textId="77777777" w:rsidR="00F75525" w:rsidRPr="00CB093C" w:rsidRDefault="00F75525" w:rsidP="00C36ADD">
            <w:pPr>
              <w:spacing w:before="0" w:after="0"/>
              <w:jc w:val="center"/>
              <w:rPr>
                <w:rFonts w:ascii="Arial" w:hAnsi="Arial" w:cs="Arial"/>
                <w:i/>
                <w:color w:val="000000"/>
                <w:szCs w:val="22"/>
              </w:rPr>
            </w:pPr>
            <w:r w:rsidRPr="00CB093C">
              <w:rPr>
                <w:rFonts w:ascii="Arial" w:hAnsi="Arial" w:cs="Arial"/>
                <w:color w:val="000000"/>
                <w:szCs w:val="22"/>
              </w:rPr>
              <w:t>Midge Point</w:t>
            </w:r>
          </w:p>
        </w:tc>
        <w:tc>
          <w:tcPr>
            <w:tcW w:w="467" w:type="dxa"/>
            <w:shd w:val="clear" w:color="auto" w:fill="F3F9FA"/>
            <w:vAlign w:val="center"/>
          </w:tcPr>
          <w:p w14:paraId="4B327CFC"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AF1AC3B"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46947B9"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5F15A73"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727CA3C"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C86658B"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AF2682D"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09368A8"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222B47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78B79F61" w14:textId="77777777" w:rsidTr="00F75525">
        <w:trPr>
          <w:trHeight w:val="170"/>
          <w:jc w:val="center"/>
        </w:trPr>
        <w:tc>
          <w:tcPr>
            <w:tcW w:w="1714" w:type="dxa"/>
            <w:vMerge/>
            <w:shd w:val="clear" w:color="auto" w:fill="F3F9FA"/>
            <w:vAlign w:val="center"/>
          </w:tcPr>
          <w:p w14:paraId="18730374" w14:textId="77777777" w:rsidR="00F75525" w:rsidRPr="00CB093C" w:rsidRDefault="00F75525" w:rsidP="00C36ADD">
            <w:pPr>
              <w:spacing w:before="0" w:after="0"/>
              <w:jc w:val="center"/>
              <w:rPr>
                <w:rFonts w:ascii="Arial" w:hAnsi="Arial" w:cs="Arial"/>
                <w:color w:val="000000"/>
                <w:szCs w:val="22"/>
              </w:rPr>
            </w:pPr>
          </w:p>
        </w:tc>
        <w:tc>
          <w:tcPr>
            <w:tcW w:w="674" w:type="dxa"/>
            <w:shd w:val="clear" w:color="auto" w:fill="F3F9FA"/>
            <w:noWrap/>
            <w:vAlign w:val="center"/>
          </w:tcPr>
          <w:p w14:paraId="0F583696" w14:textId="0E73C98F"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PI2</w:t>
            </w:r>
            <w:r w:rsidR="00C76C36" w:rsidRPr="00CB093C">
              <w:rPr>
                <w:rFonts w:ascii="Arial" w:hAnsi="Arial" w:cs="Arial"/>
                <w:color w:val="000000"/>
                <w:szCs w:val="22"/>
              </w:rPr>
              <w:t>*</w:t>
            </w:r>
          </w:p>
        </w:tc>
        <w:tc>
          <w:tcPr>
            <w:tcW w:w="1591" w:type="dxa"/>
            <w:shd w:val="clear" w:color="auto" w:fill="F3F9FA"/>
            <w:noWrap/>
            <w:vAlign w:val="center"/>
          </w:tcPr>
          <w:p w14:paraId="4632C9D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Pioneer Bay</w:t>
            </w:r>
          </w:p>
        </w:tc>
        <w:tc>
          <w:tcPr>
            <w:tcW w:w="467" w:type="dxa"/>
            <w:shd w:val="clear" w:color="auto" w:fill="F3F9FA"/>
            <w:vAlign w:val="center"/>
          </w:tcPr>
          <w:p w14:paraId="25773E63"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AA135A7"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59431C4"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61460DD5"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578D9838"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E156F23"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475586E7"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725290E"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7A4CF76"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3CFF1E1D" w14:textId="77777777" w:rsidTr="00F75525">
        <w:trPr>
          <w:trHeight w:val="170"/>
          <w:jc w:val="center"/>
        </w:trPr>
        <w:tc>
          <w:tcPr>
            <w:tcW w:w="1714" w:type="dxa"/>
            <w:vMerge/>
            <w:shd w:val="clear" w:color="auto" w:fill="F3F9FA"/>
            <w:vAlign w:val="center"/>
          </w:tcPr>
          <w:p w14:paraId="376A5150" w14:textId="77777777" w:rsidR="00F75525" w:rsidRPr="00CB093C" w:rsidRDefault="00F75525" w:rsidP="00C36ADD">
            <w:pPr>
              <w:spacing w:before="0" w:after="0"/>
              <w:jc w:val="center"/>
              <w:rPr>
                <w:rFonts w:ascii="Arial" w:hAnsi="Arial" w:cs="Arial"/>
                <w:color w:val="000000"/>
                <w:szCs w:val="22"/>
              </w:rPr>
            </w:pPr>
          </w:p>
        </w:tc>
        <w:tc>
          <w:tcPr>
            <w:tcW w:w="674" w:type="dxa"/>
            <w:shd w:val="clear" w:color="auto" w:fill="F3F9FA"/>
            <w:noWrap/>
            <w:vAlign w:val="center"/>
          </w:tcPr>
          <w:p w14:paraId="04BE3452" w14:textId="0B08272E"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PI3</w:t>
            </w:r>
            <w:r w:rsidR="00C76C36" w:rsidRPr="00CB093C">
              <w:rPr>
                <w:rFonts w:ascii="Arial" w:hAnsi="Arial" w:cs="Arial"/>
                <w:color w:val="000000"/>
                <w:szCs w:val="22"/>
              </w:rPr>
              <w:t>*</w:t>
            </w:r>
          </w:p>
        </w:tc>
        <w:tc>
          <w:tcPr>
            <w:tcW w:w="1591" w:type="dxa"/>
            <w:shd w:val="clear" w:color="auto" w:fill="F3F9FA"/>
            <w:noWrap/>
            <w:vAlign w:val="center"/>
          </w:tcPr>
          <w:p w14:paraId="0FE9E17E" w14:textId="77777777" w:rsidR="00F75525" w:rsidRPr="00CB093C" w:rsidRDefault="00F75525" w:rsidP="00C36ADD">
            <w:pPr>
              <w:spacing w:before="0" w:after="0"/>
              <w:jc w:val="center"/>
              <w:rPr>
                <w:rFonts w:ascii="Arial" w:hAnsi="Arial" w:cs="Arial"/>
                <w:i/>
                <w:color w:val="000000"/>
                <w:szCs w:val="22"/>
              </w:rPr>
            </w:pPr>
            <w:r w:rsidRPr="00CB093C">
              <w:rPr>
                <w:rFonts w:ascii="Arial" w:hAnsi="Arial" w:cs="Arial"/>
                <w:color w:val="000000"/>
                <w:szCs w:val="22"/>
              </w:rPr>
              <w:t>Pioneer Bay</w:t>
            </w:r>
          </w:p>
        </w:tc>
        <w:tc>
          <w:tcPr>
            <w:tcW w:w="467" w:type="dxa"/>
            <w:shd w:val="clear" w:color="auto" w:fill="F3F9FA"/>
            <w:vAlign w:val="center"/>
          </w:tcPr>
          <w:p w14:paraId="1A7C5EFD"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054DCF0"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2ACB289"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764A1951"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13BA39AE"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A43886C"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3BD58AA0"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A33EB7A"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4DD6883"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21DC7D74" w14:textId="77777777" w:rsidTr="00F75525">
        <w:trPr>
          <w:trHeight w:val="170"/>
          <w:jc w:val="center"/>
        </w:trPr>
        <w:tc>
          <w:tcPr>
            <w:tcW w:w="1714" w:type="dxa"/>
            <w:vMerge w:val="restart"/>
            <w:shd w:val="clear" w:color="auto" w:fill="E7F3F4"/>
            <w:vAlign w:val="center"/>
          </w:tcPr>
          <w:p w14:paraId="2233250A"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coastal subtidal</w:t>
            </w:r>
          </w:p>
        </w:tc>
        <w:tc>
          <w:tcPr>
            <w:tcW w:w="674" w:type="dxa"/>
            <w:shd w:val="clear" w:color="auto" w:fill="E7F3F4"/>
            <w:noWrap/>
            <w:vAlign w:val="center"/>
          </w:tcPr>
          <w:p w14:paraId="1F20B6B1" w14:textId="4545F98E"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NB1</w:t>
            </w:r>
            <w:r w:rsidR="00C76C36" w:rsidRPr="00CB093C">
              <w:rPr>
                <w:rFonts w:ascii="Arial" w:hAnsi="Arial" w:cs="Arial"/>
                <w:color w:val="000000"/>
                <w:szCs w:val="22"/>
                <w:vertAlign w:val="superscript"/>
              </w:rPr>
              <w:sym w:font="Wingdings 2" w:char="F085"/>
            </w:r>
          </w:p>
        </w:tc>
        <w:tc>
          <w:tcPr>
            <w:tcW w:w="1591" w:type="dxa"/>
            <w:shd w:val="clear" w:color="auto" w:fill="E7F3F4"/>
            <w:noWrap/>
            <w:vAlign w:val="center"/>
          </w:tcPr>
          <w:p w14:paraId="450D77C5"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Newry Bay</w:t>
            </w:r>
          </w:p>
        </w:tc>
        <w:tc>
          <w:tcPr>
            <w:tcW w:w="467" w:type="dxa"/>
            <w:shd w:val="clear" w:color="auto" w:fill="E7F3F4"/>
            <w:vAlign w:val="center"/>
          </w:tcPr>
          <w:p w14:paraId="30B8A7BE"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708026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9523111"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713143B9"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09FFF54A"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3B71CCB5"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17C717C5"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4BE79624"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0E77B80D"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47EA4D72" w14:textId="77777777" w:rsidTr="00F75525">
        <w:trPr>
          <w:trHeight w:val="170"/>
          <w:jc w:val="center"/>
        </w:trPr>
        <w:tc>
          <w:tcPr>
            <w:tcW w:w="1714" w:type="dxa"/>
            <w:vMerge/>
            <w:shd w:val="clear" w:color="auto" w:fill="E7F3F4"/>
            <w:vAlign w:val="center"/>
          </w:tcPr>
          <w:p w14:paraId="22C57D7F" w14:textId="77777777" w:rsidR="00F75525" w:rsidRPr="00CB093C" w:rsidRDefault="00F75525" w:rsidP="00C36ADD">
            <w:pPr>
              <w:spacing w:before="0" w:after="0"/>
              <w:jc w:val="center"/>
              <w:rPr>
                <w:rFonts w:ascii="Arial" w:hAnsi="Arial" w:cs="Arial"/>
                <w:color w:val="000000"/>
                <w:szCs w:val="22"/>
              </w:rPr>
            </w:pPr>
          </w:p>
        </w:tc>
        <w:tc>
          <w:tcPr>
            <w:tcW w:w="674" w:type="dxa"/>
            <w:shd w:val="clear" w:color="auto" w:fill="E7F3F4"/>
            <w:noWrap/>
            <w:vAlign w:val="center"/>
          </w:tcPr>
          <w:p w14:paraId="0D6C2703" w14:textId="77EFEE36"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NB2</w:t>
            </w:r>
            <w:r w:rsidR="00C76C36" w:rsidRPr="00CB093C">
              <w:rPr>
                <w:rFonts w:ascii="Arial" w:hAnsi="Arial" w:cs="Arial"/>
                <w:color w:val="000000"/>
                <w:szCs w:val="22"/>
                <w:vertAlign w:val="superscript"/>
              </w:rPr>
              <w:sym w:font="Wingdings 2" w:char="F085"/>
            </w:r>
          </w:p>
        </w:tc>
        <w:tc>
          <w:tcPr>
            <w:tcW w:w="1591" w:type="dxa"/>
            <w:shd w:val="clear" w:color="auto" w:fill="E7F3F4"/>
            <w:noWrap/>
            <w:vAlign w:val="center"/>
          </w:tcPr>
          <w:p w14:paraId="09216892"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Newry Bay</w:t>
            </w:r>
          </w:p>
        </w:tc>
        <w:tc>
          <w:tcPr>
            <w:tcW w:w="467" w:type="dxa"/>
            <w:shd w:val="clear" w:color="auto" w:fill="E7F3F4"/>
            <w:vAlign w:val="center"/>
          </w:tcPr>
          <w:p w14:paraId="61B571A5"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8D5A129"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69449AF"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01DB835D"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5D4B3085"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28913ED4"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672413B2"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6E1474D8"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E7F3F4"/>
            <w:vAlign w:val="center"/>
          </w:tcPr>
          <w:p w14:paraId="21D372DD"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0146DB7D" w14:textId="77777777" w:rsidTr="00F75525">
        <w:trPr>
          <w:trHeight w:val="170"/>
          <w:jc w:val="center"/>
        </w:trPr>
        <w:tc>
          <w:tcPr>
            <w:tcW w:w="1714" w:type="dxa"/>
            <w:vMerge w:val="restart"/>
            <w:shd w:val="clear" w:color="auto" w:fill="F3F9FA"/>
            <w:vAlign w:val="center"/>
          </w:tcPr>
          <w:p w14:paraId="02A9DAF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reef intertidal</w:t>
            </w:r>
          </w:p>
        </w:tc>
        <w:tc>
          <w:tcPr>
            <w:tcW w:w="674" w:type="dxa"/>
            <w:shd w:val="clear" w:color="auto" w:fill="F3F9FA"/>
            <w:noWrap/>
            <w:vAlign w:val="center"/>
          </w:tcPr>
          <w:p w14:paraId="49430E2D"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HM1</w:t>
            </w:r>
          </w:p>
        </w:tc>
        <w:tc>
          <w:tcPr>
            <w:tcW w:w="1591" w:type="dxa"/>
            <w:shd w:val="clear" w:color="auto" w:fill="F3F9FA"/>
            <w:noWrap/>
            <w:vAlign w:val="center"/>
          </w:tcPr>
          <w:p w14:paraId="2C83AE44"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Hamilton Island</w:t>
            </w:r>
          </w:p>
        </w:tc>
        <w:tc>
          <w:tcPr>
            <w:tcW w:w="467" w:type="dxa"/>
            <w:shd w:val="clear" w:color="auto" w:fill="F3F9FA"/>
            <w:vAlign w:val="center"/>
          </w:tcPr>
          <w:p w14:paraId="52C12FFB"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85AA2B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8226F2D"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C0FD981"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71800A2"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EDD075E"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07063A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2AD15CE"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52A4286"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432139AA" w14:textId="77777777" w:rsidTr="00F75525">
        <w:trPr>
          <w:trHeight w:val="170"/>
          <w:jc w:val="center"/>
        </w:trPr>
        <w:tc>
          <w:tcPr>
            <w:tcW w:w="1714" w:type="dxa"/>
            <w:vMerge/>
            <w:shd w:val="clear" w:color="auto" w:fill="F3F9FA"/>
            <w:vAlign w:val="center"/>
          </w:tcPr>
          <w:p w14:paraId="165EF57F" w14:textId="77777777" w:rsidR="00F75525" w:rsidRPr="00CB093C" w:rsidRDefault="00F75525" w:rsidP="00C36ADD">
            <w:pPr>
              <w:spacing w:before="0" w:after="0"/>
              <w:jc w:val="center"/>
              <w:rPr>
                <w:rFonts w:ascii="Arial" w:hAnsi="Arial" w:cs="Arial"/>
                <w:color w:val="000000"/>
                <w:szCs w:val="22"/>
              </w:rPr>
            </w:pPr>
          </w:p>
        </w:tc>
        <w:tc>
          <w:tcPr>
            <w:tcW w:w="674" w:type="dxa"/>
            <w:shd w:val="clear" w:color="auto" w:fill="F3F9FA"/>
            <w:noWrap/>
            <w:vAlign w:val="center"/>
          </w:tcPr>
          <w:p w14:paraId="53FCCD9F"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HM2</w:t>
            </w:r>
          </w:p>
        </w:tc>
        <w:tc>
          <w:tcPr>
            <w:tcW w:w="1591" w:type="dxa"/>
            <w:shd w:val="clear" w:color="auto" w:fill="F3F9FA"/>
            <w:noWrap/>
            <w:vAlign w:val="center"/>
          </w:tcPr>
          <w:p w14:paraId="246932DB" w14:textId="77777777" w:rsidR="00F75525" w:rsidRPr="00CB093C" w:rsidRDefault="00F75525" w:rsidP="00C36ADD">
            <w:pPr>
              <w:spacing w:before="0" w:after="0"/>
              <w:jc w:val="center"/>
              <w:rPr>
                <w:rFonts w:ascii="Arial" w:hAnsi="Arial" w:cs="Arial"/>
                <w:i/>
                <w:color w:val="000000"/>
                <w:szCs w:val="22"/>
              </w:rPr>
            </w:pPr>
            <w:r w:rsidRPr="00CB093C">
              <w:rPr>
                <w:rFonts w:ascii="Arial" w:hAnsi="Arial" w:cs="Arial"/>
                <w:color w:val="000000"/>
                <w:szCs w:val="22"/>
              </w:rPr>
              <w:t>Hamilton Island</w:t>
            </w:r>
          </w:p>
        </w:tc>
        <w:tc>
          <w:tcPr>
            <w:tcW w:w="467" w:type="dxa"/>
            <w:shd w:val="clear" w:color="auto" w:fill="F3F9FA"/>
            <w:vAlign w:val="center"/>
          </w:tcPr>
          <w:p w14:paraId="72D0AE82"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AC39ED9"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DB1BAC8"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6575D3A"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0A05A5A"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2B71832"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528066A"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B8AD896"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8A3E8A7"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3E6105A1" w14:textId="77777777" w:rsidTr="00F75525">
        <w:trPr>
          <w:trHeight w:val="170"/>
          <w:jc w:val="center"/>
        </w:trPr>
        <w:tc>
          <w:tcPr>
            <w:tcW w:w="1714" w:type="dxa"/>
            <w:vMerge/>
            <w:shd w:val="clear" w:color="auto" w:fill="F3F9FA"/>
            <w:vAlign w:val="center"/>
          </w:tcPr>
          <w:p w14:paraId="6CAE1748" w14:textId="77777777" w:rsidR="00F75525" w:rsidRPr="00CB093C" w:rsidRDefault="00F75525" w:rsidP="00C36ADD">
            <w:pPr>
              <w:spacing w:before="0" w:after="0"/>
              <w:jc w:val="center"/>
              <w:rPr>
                <w:rFonts w:ascii="Arial" w:hAnsi="Arial" w:cs="Arial"/>
                <w:color w:val="000000"/>
                <w:szCs w:val="22"/>
              </w:rPr>
            </w:pPr>
          </w:p>
        </w:tc>
        <w:tc>
          <w:tcPr>
            <w:tcW w:w="674" w:type="dxa"/>
            <w:shd w:val="clear" w:color="auto" w:fill="F3F9FA"/>
            <w:noWrap/>
            <w:vAlign w:val="center"/>
          </w:tcPr>
          <w:p w14:paraId="6DC00DE7" w14:textId="330A4373"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HB1</w:t>
            </w:r>
            <w:r w:rsidR="00C76C36" w:rsidRPr="00CB093C">
              <w:rPr>
                <w:rFonts w:ascii="Arial" w:hAnsi="Arial" w:cs="Arial"/>
                <w:color w:val="000000"/>
                <w:szCs w:val="22"/>
              </w:rPr>
              <w:t>*</w:t>
            </w:r>
          </w:p>
        </w:tc>
        <w:tc>
          <w:tcPr>
            <w:tcW w:w="1591" w:type="dxa"/>
            <w:shd w:val="clear" w:color="auto" w:fill="F3F9FA"/>
            <w:noWrap/>
            <w:vAlign w:val="center"/>
          </w:tcPr>
          <w:p w14:paraId="7BE254B8"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Hydeaway Bay</w:t>
            </w:r>
          </w:p>
        </w:tc>
        <w:tc>
          <w:tcPr>
            <w:tcW w:w="467" w:type="dxa"/>
            <w:shd w:val="clear" w:color="auto" w:fill="F3F9FA"/>
            <w:vAlign w:val="center"/>
          </w:tcPr>
          <w:p w14:paraId="34D91626"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7337AA9"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CF56A7A"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4E02B64B"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59182B45"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F40CF9C"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44694978"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6346A78"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3E54A51"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F75525" w:rsidRPr="00CB093C" w14:paraId="69195C82" w14:textId="77777777" w:rsidTr="00F75525">
        <w:trPr>
          <w:trHeight w:val="170"/>
          <w:jc w:val="center"/>
        </w:trPr>
        <w:tc>
          <w:tcPr>
            <w:tcW w:w="1714" w:type="dxa"/>
            <w:vMerge/>
            <w:shd w:val="clear" w:color="auto" w:fill="F3F9FA"/>
            <w:vAlign w:val="center"/>
          </w:tcPr>
          <w:p w14:paraId="2B21C33D" w14:textId="77777777" w:rsidR="00F75525" w:rsidRPr="00CB093C" w:rsidRDefault="00F75525" w:rsidP="00C36ADD">
            <w:pPr>
              <w:spacing w:before="0" w:after="0"/>
              <w:jc w:val="center"/>
              <w:rPr>
                <w:rFonts w:ascii="Arial" w:hAnsi="Arial" w:cs="Arial"/>
                <w:color w:val="000000"/>
                <w:szCs w:val="22"/>
              </w:rPr>
            </w:pPr>
          </w:p>
        </w:tc>
        <w:tc>
          <w:tcPr>
            <w:tcW w:w="674" w:type="dxa"/>
            <w:shd w:val="clear" w:color="auto" w:fill="F3F9FA"/>
            <w:noWrap/>
            <w:vAlign w:val="center"/>
          </w:tcPr>
          <w:p w14:paraId="494BB528" w14:textId="2BCA643A"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HB2</w:t>
            </w:r>
            <w:r w:rsidR="00C76C36" w:rsidRPr="00CB093C">
              <w:rPr>
                <w:rFonts w:ascii="Arial" w:hAnsi="Arial" w:cs="Arial"/>
                <w:color w:val="000000"/>
                <w:szCs w:val="22"/>
              </w:rPr>
              <w:t>*</w:t>
            </w:r>
          </w:p>
        </w:tc>
        <w:tc>
          <w:tcPr>
            <w:tcW w:w="1591" w:type="dxa"/>
            <w:shd w:val="clear" w:color="auto" w:fill="F3F9FA"/>
            <w:noWrap/>
            <w:vAlign w:val="center"/>
          </w:tcPr>
          <w:p w14:paraId="787189A2"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t>Hydeaway Bay</w:t>
            </w:r>
          </w:p>
        </w:tc>
        <w:tc>
          <w:tcPr>
            <w:tcW w:w="467" w:type="dxa"/>
            <w:shd w:val="clear" w:color="auto" w:fill="F3F9FA"/>
            <w:vAlign w:val="center"/>
          </w:tcPr>
          <w:p w14:paraId="36B9FE58"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85F3E6D"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8EAA7E1"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7D3712C4"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44D7D39A"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6DD9217" w14:textId="77777777" w:rsidR="00F75525" w:rsidRPr="00CB093C" w:rsidRDefault="00F75525" w:rsidP="00C36ADD">
            <w:pPr>
              <w:spacing w:before="0" w:after="0"/>
              <w:jc w:val="center"/>
              <w:rPr>
                <w:rFonts w:ascii="Arial" w:hAnsi="Arial" w:cs="Arial"/>
                <w:color w:val="000000"/>
                <w:szCs w:val="22"/>
              </w:rPr>
            </w:pPr>
          </w:p>
        </w:tc>
        <w:tc>
          <w:tcPr>
            <w:tcW w:w="467" w:type="dxa"/>
            <w:shd w:val="clear" w:color="auto" w:fill="F3F9FA"/>
            <w:vAlign w:val="center"/>
          </w:tcPr>
          <w:p w14:paraId="1D3A3959"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DB6DFA0"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4BADE43A" w14:textId="77777777" w:rsidR="00F75525" w:rsidRPr="00CB093C" w:rsidRDefault="00F7552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D01B5B" w:rsidRPr="00CB093C" w14:paraId="7BD6DD83" w14:textId="77777777" w:rsidTr="00F75525">
        <w:trPr>
          <w:trHeight w:val="170"/>
          <w:jc w:val="center"/>
        </w:trPr>
        <w:tc>
          <w:tcPr>
            <w:tcW w:w="1714" w:type="dxa"/>
            <w:vMerge w:val="restart"/>
            <w:shd w:val="clear" w:color="auto" w:fill="E7F3F4"/>
            <w:vAlign w:val="center"/>
          </w:tcPr>
          <w:p w14:paraId="10C12DF3" w14:textId="7482A43D"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t>reef subtidal</w:t>
            </w:r>
          </w:p>
        </w:tc>
        <w:tc>
          <w:tcPr>
            <w:tcW w:w="674" w:type="dxa"/>
            <w:shd w:val="clear" w:color="auto" w:fill="E7F3F4"/>
            <w:noWrap/>
            <w:vAlign w:val="center"/>
          </w:tcPr>
          <w:p w14:paraId="5E0C89B5" w14:textId="676EC451"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t>LN1</w:t>
            </w:r>
          </w:p>
        </w:tc>
        <w:tc>
          <w:tcPr>
            <w:tcW w:w="1591" w:type="dxa"/>
            <w:shd w:val="clear" w:color="auto" w:fill="E7F3F4"/>
            <w:noWrap/>
            <w:vAlign w:val="center"/>
          </w:tcPr>
          <w:p w14:paraId="220BDB11" w14:textId="02787851"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t>Lindeman Is</w:t>
            </w:r>
          </w:p>
        </w:tc>
        <w:tc>
          <w:tcPr>
            <w:tcW w:w="467" w:type="dxa"/>
            <w:shd w:val="clear" w:color="auto" w:fill="E7F3F4"/>
            <w:vAlign w:val="center"/>
          </w:tcPr>
          <w:p w14:paraId="3BDFEDBF" w14:textId="14AEC4A6"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8B098AC" w14:textId="0FBAD439"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9DDC19F" w14:textId="0D6C3FDD"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B59C102" w14:textId="0CDABAC2"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D4E582C" w14:textId="3E3B642B"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1995FC8" w14:textId="077E883C"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3FC66A7" w14:textId="1C3D2BA2"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4FAFD32" w14:textId="71BFA46A"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BD0298C" w14:textId="60136A0C"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D01B5B" w:rsidRPr="00CB093C" w14:paraId="566E7AED" w14:textId="77777777" w:rsidTr="00F75525">
        <w:trPr>
          <w:trHeight w:val="170"/>
          <w:jc w:val="center"/>
        </w:trPr>
        <w:tc>
          <w:tcPr>
            <w:tcW w:w="1714" w:type="dxa"/>
            <w:vMerge/>
            <w:shd w:val="clear" w:color="auto" w:fill="E7F3F4"/>
            <w:vAlign w:val="center"/>
          </w:tcPr>
          <w:p w14:paraId="7CFCDBF4" w14:textId="5EDA3726" w:rsidR="00D01B5B" w:rsidRPr="00CB093C" w:rsidRDefault="00D01B5B" w:rsidP="00D01B5B">
            <w:pPr>
              <w:spacing w:before="0" w:after="0"/>
              <w:jc w:val="center"/>
              <w:rPr>
                <w:rFonts w:ascii="Arial" w:hAnsi="Arial" w:cs="Arial"/>
                <w:color w:val="000000"/>
                <w:szCs w:val="22"/>
              </w:rPr>
            </w:pPr>
          </w:p>
        </w:tc>
        <w:tc>
          <w:tcPr>
            <w:tcW w:w="674" w:type="dxa"/>
            <w:shd w:val="clear" w:color="auto" w:fill="E7F3F4"/>
            <w:noWrap/>
            <w:vAlign w:val="center"/>
          </w:tcPr>
          <w:p w14:paraId="0B8F191A" w14:textId="1F6E38AF"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t>LN2</w:t>
            </w:r>
          </w:p>
        </w:tc>
        <w:tc>
          <w:tcPr>
            <w:tcW w:w="1591" w:type="dxa"/>
            <w:shd w:val="clear" w:color="auto" w:fill="E7F3F4"/>
            <w:noWrap/>
            <w:vAlign w:val="center"/>
          </w:tcPr>
          <w:p w14:paraId="0BC2BEDC" w14:textId="374F6B02"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t>Lindeman Is</w:t>
            </w:r>
          </w:p>
        </w:tc>
        <w:tc>
          <w:tcPr>
            <w:tcW w:w="467" w:type="dxa"/>
            <w:shd w:val="clear" w:color="auto" w:fill="E7F3F4"/>
            <w:vAlign w:val="center"/>
          </w:tcPr>
          <w:p w14:paraId="4920AB2E" w14:textId="4204E6FE"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553D277" w14:textId="511E757D"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BBDCF08" w14:textId="188E26BC"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BBC61C3" w14:textId="2070CA79"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4FF596B" w14:textId="22144512"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3164713" w14:textId="7EAA9775"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8B15847" w14:textId="71814E20"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694745C" w14:textId="089F0DC0"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840BBB9" w14:textId="58DF366C" w:rsidR="00D01B5B" w:rsidRPr="00CB093C" w:rsidRDefault="00D01B5B" w:rsidP="00D01B5B">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D01B5B" w:rsidRPr="00CB093C" w14:paraId="0A3D4798" w14:textId="77777777" w:rsidTr="00F75525">
        <w:trPr>
          <w:trHeight w:val="170"/>
          <w:jc w:val="center"/>
        </w:trPr>
        <w:tc>
          <w:tcPr>
            <w:tcW w:w="1714" w:type="dxa"/>
            <w:vMerge/>
            <w:shd w:val="clear" w:color="auto" w:fill="E7F3F4"/>
            <w:vAlign w:val="center"/>
          </w:tcPr>
          <w:p w14:paraId="0CFEE675" w14:textId="26F7672E" w:rsidR="00D01B5B" w:rsidRPr="00CB093C" w:rsidRDefault="00D01B5B" w:rsidP="00C36ADD">
            <w:pPr>
              <w:spacing w:before="0" w:after="0"/>
              <w:jc w:val="center"/>
              <w:rPr>
                <w:rFonts w:ascii="Arial" w:hAnsi="Arial" w:cs="Arial"/>
                <w:color w:val="000000"/>
                <w:szCs w:val="22"/>
              </w:rPr>
            </w:pPr>
          </w:p>
        </w:tc>
        <w:tc>
          <w:tcPr>
            <w:tcW w:w="674" w:type="dxa"/>
            <w:shd w:val="clear" w:color="auto" w:fill="E7F3F4"/>
            <w:noWrap/>
            <w:vAlign w:val="center"/>
          </w:tcPr>
          <w:p w14:paraId="29DBDA51" w14:textId="4A92776A"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t>TO1</w:t>
            </w:r>
            <w:r w:rsidRPr="00CB093C">
              <w:rPr>
                <w:rFonts w:ascii="Arial" w:hAnsi="Arial" w:cs="Arial"/>
                <w:color w:val="000000"/>
                <w:szCs w:val="22"/>
                <w:vertAlign w:val="superscript"/>
              </w:rPr>
              <w:sym w:font="Wingdings 2" w:char="F085"/>
            </w:r>
          </w:p>
        </w:tc>
        <w:tc>
          <w:tcPr>
            <w:tcW w:w="1591" w:type="dxa"/>
            <w:shd w:val="clear" w:color="auto" w:fill="E7F3F4"/>
            <w:noWrap/>
            <w:vAlign w:val="center"/>
          </w:tcPr>
          <w:p w14:paraId="725317A9" w14:textId="77777777"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t>Tongue Bay</w:t>
            </w:r>
          </w:p>
        </w:tc>
        <w:tc>
          <w:tcPr>
            <w:tcW w:w="467" w:type="dxa"/>
            <w:shd w:val="clear" w:color="auto" w:fill="E7F3F4"/>
            <w:vAlign w:val="center"/>
          </w:tcPr>
          <w:p w14:paraId="78BF9E1C" w14:textId="77777777"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A2191C7" w14:textId="77777777"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4E27801"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1F2289BE"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0B0B0D87"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42129CCE"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5F165D7B"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780D1EEF"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2A689C34" w14:textId="77777777"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D01B5B" w:rsidRPr="00CB093C" w14:paraId="027A7322" w14:textId="77777777" w:rsidTr="00F75525">
        <w:trPr>
          <w:trHeight w:val="170"/>
          <w:jc w:val="center"/>
        </w:trPr>
        <w:tc>
          <w:tcPr>
            <w:tcW w:w="1714" w:type="dxa"/>
            <w:vMerge/>
            <w:shd w:val="clear" w:color="auto" w:fill="E7F3F4"/>
            <w:vAlign w:val="center"/>
          </w:tcPr>
          <w:p w14:paraId="6BF03761" w14:textId="77777777" w:rsidR="00D01B5B" w:rsidRPr="00CB093C" w:rsidRDefault="00D01B5B" w:rsidP="00C36ADD">
            <w:pPr>
              <w:spacing w:before="0" w:after="0"/>
              <w:jc w:val="center"/>
              <w:rPr>
                <w:rFonts w:ascii="Arial" w:hAnsi="Arial" w:cs="Arial"/>
                <w:color w:val="000000"/>
                <w:szCs w:val="22"/>
              </w:rPr>
            </w:pPr>
          </w:p>
        </w:tc>
        <w:tc>
          <w:tcPr>
            <w:tcW w:w="674" w:type="dxa"/>
            <w:shd w:val="clear" w:color="auto" w:fill="E7F3F4"/>
            <w:noWrap/>
            <w:vAlign w:val="center"/>
          </w:tcPr>
          <w:p w14:paraId="79898809" w14:textId="6FFC09A0"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t>TO2</w:t>
            </w:r>
            <w:r w:rsidRPr="00CB093C">
              <w:rPr>
                <w:rFonts w:ascii="Arial" w:hAnsi="Arial" w:cs="Arial"/>
                <w:color w:val="000000"/>
                <w:szCs w:val="22"/>
                <w:vertAlign w:val="superscript"/>
              </w:rPr>
              <w:sym w:font="Wingdings 2" w:char="F085"/>
            </w:r>
          </w:p>
        </w:tc>
        <w:tc>
          <w:tcPr>
            <w:tcW w:w="1591" w:type="dxa"/>
            <w:shd w:val="clear" w:color="auto" w:fill="E7F3F4"/>
            <w:noWrap/>
            <w:vAlign w:val="center"/>
          </w:tcPr>
          <w:p w14:paraId="2C34AE97" w14:textId="77777777"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t>Tongue Bay</w:t>
            </w:r>
          </w:p>
        </w:tc>
        <w:tc>
          <w:tcPr>
            <w:tcW w:w="467" w:type="dxa"/>
            <w:shd w:val="clear" w:color="auto" w:fill="E7F3F4"/>
            <w:vAlign w:val="center"/>
          </w:tcPr>
          <w:p w14:paraId="7C1AB14A" w14:textId="77777777"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7106D4E" w14:textId="77777777"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C3E01E8"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31DC0071"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6009BCC0"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709AF973"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0460999B"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08F18749" w14:textId="77777777" w:rsidR="00D01B5B" w:rsidRPr="00CB093C" w:rsidRDefault="00D01B5B" w:rsidP="00C36ADD">
            <w:pPr>
              <w:spacing w:before="0" w:after="0"/>
              <w:jc w:val="center"/>
              <w:rPr>
                <w:rFonts w:ascii="Arial" w:hAnsi="Arial" w:cs="Arial"/>
                <w:color w:val="000000"/>
                <w:szCs w:val="22"/>
              </w:rPr>
            </w:pPr>
          </w:p>
        </w:tc>
        <w:tc>
          <w:tcPr>
            <w:tcW w:w="467" w:type="dxa"/>
            <w:shd w:val="clear" w:color="auto" w:fill="E7F3F4"/>
            <w:vAlign w:val="center"/>
          </w:tcPr>
          <w:p w14:paraId="34DFA2EF" w14:textId="77777777" w:rsidR="00D01B5B" w:rsidRPr="00CB093C" w:rsidRDefault="00D01B5B"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bookmarkEnd w:id="409"/>
    </w:tbl>
    <w:p w14:paraId="1172730F" w14:textId="77777777" w:rsidR="002F1D37" w:rsidRPr="00CB093C" w:rsidRDefault="002F1D37" w:rsidP="008730D4">
      <w:pPr>
        <w:rPr>
          <w:rFonts w:ascii="Arial" w:hAnsi="Arial" w:cs="Arial"/>
          <w:szCs w:val="22"/>
        </w:rPr>
      </w:pPr>
    </w:p>
    <w:p w14:paraId="6B283739" w14:textId="2B8A899B" w:rsidR="002F1D37" w:rsidRPr="00CB093C" w:rsidRDefault="002F1D37" w:rsidP="000F3AC4">
      <w:pPr>
        <w:pStyle w:val="Heading3"/>
        <w:numPr>
          <w:ilvl w:val="3"/>
          <w:numId w:val="4"/>
        </w:numPr>
        <w:rPr>
          <w:rFonts w:ascii="Arial" w:hAnsi="Arial" w:cs="Arial"/>
          <w:b w:val="0"/>
          <w:i/>
          <w:color w:val="000000"/>
          <w:sz w:val="22"/>
          <w:szCs w:val="22"/>
        </w:rPr>
      </w:pPr>
      <w:bookmarkStart w:id="412" w:name="_Toc11394755"/>
      <w:r w:rsidRPr="00CB093C">
        <w:rPr>
          <w:rFonts w:ascii="Arial" w:hAnsi="Arial" w:cs="Arial"/>
          <w:b w:val="0"/>
          <w:i/>
          <w:color w:val="000000"/>
          <w:sz w:val="22"/>
          <w:szCs w:val="22"/>
        </w:rPr>
        <w:t>Seagrass index and indicator scores</w:t>
      </w:r>
      <w:bookmarkEnd w:id="412"/>
    </w:p>
    <w:p w14:paraId="760EE680" w14:textId="46E307DA" w:rsidR="000661F3" w:rsidRPr="00CB093C" w:rsidRDefault="00C30BEA" w:rsidP="00C76C36">
      <w:pPr>
        <w:rPr>
          <w:rFonts w:ascii="Arial" w:hAnsi="Arial" w:cs="Arial"/>
          <w:szCs w:val="22"/>
          <w:lang w:val="en-GB"/>
        </w:rPr>
      </w:pPr>
      <w:r w:rsidRPr="00CB093C">
        <w:rPr>
          <w:rFonts w:ascii="Arial" w:hAnsi="Arial" w:cs="Arial"/>
          <w:szCs w:val="22"/>
          <w:lang w:val="en-GB"/>
        </w:rPr>
        <w:t xml:space="preserve">In the </w:t>
      </w:r>
      <w:r w:rsidR="003654C6">
        <w:rPr>
          <w:rFonts w:ascii="Arial" w:hAnsi="Arial" w:cs="Arial"/>
          <w:szCs w:val="22"/>
          <w:lang w:val="en-GB"/>
        </w:rPr>
        <w:t>2017–18</w:t>
      </w:r>
      <w:r w:rsidR="00C81636" w:rsidRPr="00CB093C">
        <w:rPr>
          <w:rFonts w:ascii="Arial" w:hAnsi="Arial" w:cs="Arial"/>
          <w:szCs w:val="22"/>
          <w:lang w:val="en-GB"/>
        </w:rPr>
        <w:t xml:space="preserve"> </w:t>
      </w:r>
      <w:r w:rsidRPr="00CB093C">
        <w:rPr>
          <w:rFonts w:ascii="Arial" w:hAnsi="Arial" w:cs="Arial"/>
          <w:szCs w:val="22"/>
          <w:lang w:val="en-GB"/>
        </w:rPr>
        <w:t xml:space="preserve">monitoring period, the </w:t>
      </w:r>
      <w:r w:rsidR="00637325">
        <w:rPr>
          <w:rFonts w:ascii="Arial" w:hAnsi="Arial" w:cs="Arial"/>
          <w:szCs w:val="22"/>
          <w:lang w:val="en-GB"/>
        </w:rPr>
        <w:t>Mackay-Whitsunday</w:t>
      </w:r>
      <w:r w:rsidRPr="00CB093C">
        <w:rPr>
          <w:rFonts w:ascii="Arial" w:hAnsi="Arial" w:cs="Arial"/>
          <w:szCs w:val="22"/>
          <w:lang w:val="en-GB"/>
        </w:rPr>
        <w:t xml:space="preserve"> region seagrass condition index declined from </w:t>
      </w:r>
      <w:r w:rsidR="000661F3" w:rsidRPr="00CB093C">
        <w:rPr>
          <w:rFonts w:ascii="Arial" w:hAnsi="Arial" w:cs="Arial"/>
          <w:szCs w:val="22"/>
          <w:lang w:val="en-GB"/>
        </w:rPr>
        <w:t>the previous year</w:t>
      </w:r>
      <w:r w:rsidRPr="00CB093C">
        <w:rPr>
          <w:rFonts w:ascii="Arial" w:hAnsi="Arial" w:cs="Arial"/>
          <w:szCs w:val="22"/>
          <w:lang w:val="en-GB"/>
        </w:rPr>
        <w:t xml:space="preserve">, but remained </w:t>
      </w:r>
      <w:r w:rsidR="00E13EA8" w:rsidRPr="00CB093C">
        <w:rPr>
          <w:rFonts w:ascii="Arial" w:hAnsi="Arial" w:cs="Arial"/>
          <w:szCs w:val="22"/>
          <w:lang w:val="en-GB"/>
        </w:rPr>
        <w:t xml:space="preserve">graded as </w:t>
      </w:r>
      <w:r w:rsidRPr="00CB093C">
        <w:rPr>
          <w:rFonts w:ascii="Arial" w:hAnsi="Arial" w:cs="Arial"/>
          <w:b/>
          <w:szCs w:val="22"/>
          <w:lang w:val="en-GB"/>
        </w:rPr>
        <w:t xml:space="preserve">poor </w:t>
      </w:r>
      <w:r w:rsidRPr="00CB093C">
        <w:rPr>
          <w:rFonts w:ascii="Arial" w:hAnsi="Arial" w:cs="Arial"/>
          <w:szCs w:val="22"/>
          <w:lang w:val="en-GB"/>
        </w:rPr>
        <w:t>(</w:t>
      </w:r>
      <w:r w:rsidRPr="00CB093C">
        <w:rPr>
          <w:rFonts w:ascii="Arial" w:hAnsi="Arial" w:cs="Arial"/>
          <w:szCs w:val="22"/>
          <w:lang w:val="en-GB"/>
        </w:rPr>
        <w:fldChar w:fldCharType="begin"/>
      </w:r>
      <w:r w:rsidRPr="00CB093C">
        <w:rPr>
          <w:rFonts w:ascii="Arial" w:hAnsi="Arial" w:cs="Arial"/>
          <w:szCs w:val="22"/>
          <w:lang w:val="en-GB"/>
        </w:rPr>
        <w:instrText xml:space="preserve"> REF _Ref533788417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63</w:t>
      </w:r>
      <w:r w:rsidRPr="00CB093C">
        <w:rPr>
          <w:rFonts w:ascii="Arial" w:hAnsi="Arial" w:cs="Arial"/>
          <w:szCs w:val="22"/>
          <w:lang w:val="en-GB"/>
        </w:rPr>
        <w:fldChar w:fldCharType="end"/>
      </w:r>
      <w:r w:rsidRPr="00CB093C">
        <w:rPr>
          <w:rFonts w:ascii="Arial" w:hAnsi="Arial" w:cs="Arial"/>
          <w:szCs w:val="22"/>
          <w:lang w:val="en-GB"/>
        </w:rPr>
        <w:t xml:space="preserve">). </w:t>
      </w:r>
    </w:p>
    <w:p w14:paraId="3084D7A6" w14:textId="27B516F1" w:rsidR="000661F3" w:rsidRPr="00CB093C" w:rsidRDefault="003129D5" w:rsidP="00C76C36">
      <w:pPr>
        <w:rPr>
          <w:rFonts w:ascii="Arial" w:hAnsi="Arial" w:cs="Arial"/>
          <w:szCs w:val="22"/>
          <w:lang w:val="en-GB"/>
        </w:rPr>
      </w:pPr>
      <w:r w:rsidRPr="00CB093C">
        <w:rPr>
          <w:rFonts w:ascii="Arial" w:hAnsi="Arial" w:cs="Arial"/>
          <w:szCs w:val="22"/>
          <w:lang w:val="en-GB"/>
        </w:rPr>
        <w:t xml:space="preserve">Overall, the </w:t>
      </w:r>
      <w:r w:rsidR="00637325">
        <w:rPr>
          <w:rFonts w:ascii="Arial" w:hAnsi="Arial" w:cs="Arial"/>
          <w:szCs w:val="22"/>
          <w:lang w:val="en-GB"/>
        </w:rPr>
        <w:t>Mackay-Whitsunday</w:t>
      </w:r>
      <w:r w:rsidRPr="00CB093C">
        <w:rPr>
          <w:rFonts w:ascii="Arial" w:hAnsi="Arial" w:cs="Arial"/>
          <w:szCs w:val="22"/>
          <w:lang w:val="en-GB"/>
        </w:rPr>
        <w:t xml:space="preserve"> seagrass index had been improving since 2010</w:t>
      </w:r>
      <w:r w:rsidR="000661F3" w:rsidRPr="00CB093C">
        <w:rPr>
          <w:rFonts w:ascii="Arial" w:hAnsi="Arial" w:cs="Arial"/>
          <w:szCs w:val="22"/>
          <w:lang w:val="en-GB"/>
        </w:rPr>
        <w:t>–</w:t>
      </w:r>
      <w:r w:rsidRPr="00CB093C">
        <w:rPr>
          <w:rFonts w:ascii="Arial" w:hAnsi="Arial" w:cs="Arial"/>
          <w:szCs w:val="22"/>
          <w:lang w:val="en-GB"/>
        </w:rPr>
        <w:t>11, when it reached its lowest level since monitoring commenced</w:t>
      </w:r>
      <w:r w:rsidR="00DA1839" w:rsidRPr="00CB093C">
        <w:rPr>
          <w:rFonts w:ascii="Arial" w:hAnsi="Arial" w:cs="Arial"/>
          <w:szCs w:val="22"/>
          <w:lang w:val="en-GB"/>
        </w:rPr>
        <w:t>. In</w:t>
      </w:r>
      <w:r w:rsidRPr="00CB093C">
        <w:rPr>
          <w:rFonts w:ascii="Arial" w:hAnsi="Arial" w:cs="Arial"/>
          <w:szCs w:val="22"/>
          <w:lang w:val="en-GB"/>
        </w:rPr>
        <w:t xml:space="preserve"> 2016</w:t>
      </w:r>
      <w:r w:rsidR="00A675DA" w:rsidRPr="00CB093C">
        <w:rPr>
          <w:rFonts w:ascii="Arial" w:hAnsi="Arial" w:cs="Arial"/>
          <w:szCs w:val="22"/>
          <w:lang w:val="en-GB"/>
        </w:rPr>
        <w:t>–</w:t>
      </w:r>
      <w:r w:rsidRPr="00CB093C">
        <w:rPr>
          <w:rFonts w:ascii="Arial" w:hAnsi="Arial" w:cs="Arial"/>
          <w:szCs w:val="22"/>
          <w:lang w:val="en-GB"/>
        </w:rPr>
        <w:t xml:space="preserve">17 the </w:t>
      </w:r>
      <w:r w:rsidR="00DA1839" w:rsidRPr="00CB093C">
        <w:rPr>
          <w:rFonts w:ascii="Arial" w:hAnsi="Arial" w:cs="Arial"/>
          <w:szCs w:val="22"/>
          <w:lang w:val="en-GB"/>
        </w:rPr>
        <w:t xml:space="preserve">improving </w:t>
      </w:r>
      <w:r w:rsidRPr="00CB093C">
        <w:rPr>
          <w:rFonts w:ascii="Arial" w:hAnsi="Arial" w:cs="Arial"/>
          <w:szCs w:val="22"/>
          <w:lang w:val="en-GB"/>
        </w:rPr>
        <w:t>trend abated</w:t>
      </w:r>
      <w:r w:rsidR="00DA1839" w:rsidRPr="00CB093C">
        <w:rPr>
          <w:rFonts w:ascii="Arial" w:hAnsi="Arial" w:cs="Arial"/>
          <w:szCs w:val="22"/>
          <w:lang w:val="en-GB"/>
        </w:rPr>
        <w:t xml:space="preserve"> and abundance declined</w:t>
      </w:r>
      <w:r w:rsidR="00C30BEA" w:rsidRPr="00CB093C">
        <w:rPr>
          <w:rFonts w:ascii="Arial" w:hAnsi="Arial" w:cs="Arial"/>
          <w:szCs w:val="22"/>
          <w:lang w:val="en-GB"/>
        </w:rPr>
        <w:t xml:space="preserve"> </w:t>
      </w:r>
      <w:r w:rsidRPr="00CB093C">
        <w:rPr>
          <w:rFonts w:ascii="Arial" w:hAnsi="Arial" w:cs="Arial"/>
          <w:szCs w:val="22"/>
          <w:lang w:val="en-GB"/>
        </w:rPr>
        <w:t xml:space="preserve">as a consequence of </w:t>
      </w:r>
      <w:r w:rsidR="000661F3" w:rsidRPr="00CB093C">
        <w:rPr>
          <w:rFonts w:ascii="Arial" w:hAnsi="Arial" w:cs="Arial"/>
          <w:szCs w:val="22"/>
          <w:lang w:val="en-GB"/>
        </w:rPr>
        <w:t xml:space="preserve">cyclone </w:t>
      </w:r>
      <w:r w:rsidRPr="00CB093C">
        <w:rPr>
          <w:rFonts w:ascii="Arial" w:hAnsi="Arial" w:cs="Arial"/>
          <w:szCs w:val="22"/>
          <w:lang w:val="en-GB"/>
        </w:rPr>
        <w:t>Debbie</w:t>
      </w:r>
      <w:r w:rsidR="00DA1839" w:rsidRPr="00CB093C">
        <w:rPr>
          <w:rFonts w:ascii="Arial" w:hAnsi="Arial" w:cs="Arial"/>
          <w:szCs w:val="22"/>
          <w:lang w:val="en-GB"/>
        </w:rPr>
        <w:t xml:space="preserve">; with the decline </w:t>
      </w:r>
      <w:r w:rsidR="00C30BEA" w:rsidRPr="00CB093C">
        <w:rPr>
          <w:rFonts w:ascii="Arial" w:hAnsi="Arial" w:cs="Arial"/>
          <w:szCs w:val="22"/>
          <w:lang w:val="en-GB"/>
        </w:rPr>
        <w:t>continu</w:t>
      </w:r>
      <w:r w:rsidR="00DA1839" w:rsidRPr="00CB093C">
        <w:rPr>
          <w:rFonts w:ascii="Arial" w:hAnsi="Arial" w:cs="Arial"/>
          <w:szCs w:val="22"/>
          <w:lang w:val="en-GB"/>
        </w:rPr>
        <w:t xml:space="preserve">ing </w:t>
      </w:r>
      <w:r w:rsidR="000661F3" w:rsidRPr="00CB093C">
        <w:rPr>
          <w:rFonts w:ascii="Arial" w:hAnsi="Arial" w:cs="Arial"/>
          <w:szCs w:val="22"/>
          <w:lang w:val="en-GB"/>
        </w:rPr>
        <w:t>this year</w:t>
      </w:r>
      <w:r w:rsidR="00E13EA8" w:rsidRPr="00CB093C">
        <w:rPr>
          <w:rFonts w:ascii="Arial" w:hAnsi="Arial" w:cs="Arial"/>
          <w:szCs w:val="22"/>
          <w:lang w:val="en-GB"/>
        </w:rPr>
        <w:t xml:space="preserve"> (</w:t>
      </w:r>
      <w:r w:rsidR="00E13EA8" w:rsidRPr="00CB093C">
        <w:rPr>
          <w:rFonts w:ascii="Arial" w:hAnsi="Arial" w:cs="Arial"/>
          <w:szCs w:val="22"/>
          <w:lang w:val="en-GB"/>
        </w:rPr>
        <w:fldChar w:fldCharType="begin"/>
      </w:r>
      <w:r w:rsidR="00E13EA8" w:rsidRPr="00CB093C">
        <w:rPr>
          <w:rFonts w:ascii="Arial" w:hAnsi="Arial" w:cs="Arial"/>
          <w:szCs w:val="22"/>
          <w:lang w:val="en-GB"/>
        </w:rPr>
        <w:instrText xml:space="preserve"> REF _Ref533788417 \h </w:instrText>
      </w:r>
      <w:r w:rsidR="00CB093C" w:rsidRPr="00CB093C">
        <w:rPr>
          <w:rFonts w:ascii="Arial" w:hAnsi="Arial" w:cs="Arial"/>
          <w:szCs w:val="22"/>
          <w:lang w:val="en-GB"/>
        </w:rPr>
        <w:instrText xml:space="preserve"> \* MERGEFORMAT </w:instrText>
      </w:r>
      <w:r w:rsidR="00E13EA8" w:rsidRPr="00CB093C">
        <w:rPr>
          <w:rFonts w:ascii="Arial" w:hAnsi="Arial" w:cs="Arial"/>
          <w:szCs w:val="22"/>
          <w:lang w:val="en-GB"/>
        </w:rPr>
      </w:r>
      <w:r w:rsidR="00E13EA8"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63</w:t>
      </w:r>
      <w:r w:rsidR="00E13EA8" w:rsidRPr="00CB093C">
        <w:rPr>
          <w:rFonts w:ascii="Arial" w:hAnsi="Arial" w:cs="Arial"/>
          <w:szCs w:val="22"/>
          <w:lang w:val="en-GB"/>
        </w:rPr>
        <w:fldChar w:fldCharType="end"/>
      </w:r>
      <w:r w:rsidR="00E13EA8" w:rsidRPr="00CB093C">
        <w:rPr>
          <w:rFonts w:ascii="Arial" w:hAnsi="Arial" w:cs="Arial"/>
          <w:szCs w:val="22"/>
          <w:lang w:val="en-GB"/>
        </w:rPr>
        <w:t>)</w:t>
      </w:r>
      <w:r w:rsidR="00C30BEA" w:rsidRPr="00CB093C">
        <w:rPr>
          <w:rFonts w:ascii="Arial" w:hAnsi="Arial" w:cs="Arial"/>
          <w:szCs w:val="22"/>
          <w:lang w:val="en-GB"/>
        </w:rPr>
        <w:t>. However, rather than the decli</w:t>
      </w:r>
      <w:r w:rsidR="00E13EA8" w:rsidRPr="00CB093C">
        <w:rPr>
          <w:rFonts w:ascii="Arial" w:hAnsi="Arial" w:cs="Arial"/>
          <w:szCs w:val="22"/>
          <w:lang w:val="en-GB"/>
        </w:rPr>
        <w:t>ne being offset by other condition indicators (as occurred in 2016</w:t>
      </w:r>
      <w:r w:rsidR="00A675DA" w:rsidRPr="00CB093C">
        <w:rPr>
          <w:rFonts w:ascii="Arial" w:hAnsi="Arial" w:cs="Arial"/>
          <w:szCs w:val="22"/>
          <w:lang w:val="en-GB"/>
        </w:rPr>
        <w:t>–</w:t>
      </w:r>
      <w:r w:rsidR="00E13EA8" w:rsidRPr="00CB093C">
        <w:rPr>
          <w:rFonts w:ascii="Arial" w:hAnsi="Arial" w:cs="Arial"/>
          <w:szCs w:val="22"/>
          <w:lang w:val="en-GB"/>
        </w:rPr>
        <w:t xml:space="preserve">17), in </w:t>
      </w:r>
      <w:r w:rsidR="003654C6">
        <w:rPr>
          <w:rFonts w:ascii="Arial" w:hAnsi="Arial" w:cs="Arial"/>
          <w:szCs w:val="22"/>
          <w:lang w:val="en-GB"/>
        </w:rPr>
        <w:t>2017–18</w:t>
      </w:r>
      <w:r w:rsidR="00E13EA8" w:rsidRPr="00CB093C">
        <w:rPr>
          <w:rFonts w:ascii="Arial" w:hAnsi="Arial" w:cs="Arial"/>
          <w:szCs w:val="22"/>
          <w:lang w:val="en-GB"/>
        </w:rPr>
        <w:t xml:space="preserve"> all</w:t>
      </w:r>
      <w:r w:rsidR="00C30BEA" w:rsidRPr="00CB093C">
        <w:rPr>
          <w:rFonts w:ascii="Arial" w:hAnsi="Arial" w:cs="Arial"/>
          <w:szCs w:val="22"/>
          <w:lang w:val="en-GB"/>
        </w:rPr>
        <w:t xml:space="preserve"> condition indictors </w:t>
      </w:r>
      <w:r w:rsidR="00E13EA8" w:rsidRPr="00CB093C">
        <w:rPr>
          <w:rFonts w:ascii="Arial" w:hAnsi="Arial" w:cs="Arial"/>
          <w:szCs w:val="22"/>
          <w:lang w:val="en-GB"/>
        </w:rPr>
        <w:t xml:space="preserve">declined simultaneously. </w:t>
      </w:r>
    </w:p>
    <w:p w14:paraId="250342C5" w14:textId="34BB00FE" w:rsidR="000661F3" w:rsidRPr="00CB093C" w:rsidRDefault="00E13EA8" w:rsidP="00C76C36">
      <w:pPr>
        <w:rPr>
          <w:rFonts w:ascii="Arial" w:hAnsi="Arial" w:cs="Arial"/>
          <w:szCs w:val="22"/>
          <w:lang w:val="en-GB"/>
        </w:rPr>
      </w:pPr>
      <w:r w:rsidRPr="00CB093C">
        <w:rPr>
          <w:rFonts w:ascii="Arial" w:hAnsi="Arial" w:cs="Arial"/>
          <w:szCs w:val="22"/>
          <w:lang w:val="en-GB"/>
        </w:rPr>
        <w:t xml:space="preserve">Both reproductive effort and tissue nutrients in </w:t>
      </w:r>
      <w:r w:rsidR="00EB6CC6">
        <w:rPr>
          <w:rFonts w:ascii="Arial" w:hAnsi="Arial" w:cs="Arial"/>
          <w:szCs w:val="22"/>
          <w:lang w:val="en-GB"/>
        </w:rPr>
        <w:t>2017–</w:t>
      </w:r>
      <w:r w:rsidR="00455322" w:rsidRPr="00CB093C">
        <w:rPr>
          <w:rFonts w:ascii="Arial" w:hAnsi="Arial" w:cs="Arial"/>
          <w:szCs w:val="22"/>
          <w:lang w:val="en-GB"/>
        </w:rPr>
        <w:t>18</w:t>
      </w:r>
      <w:r w:rsidRPr="00CB093C">
        <w:rPr>
          <w:rFonts w:ascii="Arial" w:hAnsi="Arial" w:cs="Arial"/>
          <w:szCs w:val="22"/>
          <w:lang w:val="en-GB"/>
        </w:rPr>
        <w:t xml:space="preserve"> were the lowest in five years (</w:t>
      </w:r>
      <w:r w:rsidRPr="00CB093C">
        <w:rPr>
          <w:rFonts w:ascii="Arial" w:hAnsi="Arial" w:cs="Arial"/>
          <w:szCs w:val="22"/>
          <w:lang w:val="en-GB"/>
        </w:rPr>
        <w:fldChar w:fldCharType="begin"/>
      </w:r>
      <w:r w:rsidRPr="00CB093C">
        <w:rPr>
          <w:rFonts w:ascii="Arial" w:hAnsi="Arial" w:cs="Arial"/>
          <w:szCs w:val="22"/>
          <w:lang w:val="en-GB"/>
        </w:rPr>
        <w:instrText xml:space="preserve"> REF _Ref533788417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63</w:t>
      </w:r>
      <w:r w:rsidRPr="00CB093C">
        <w:rPr>
          <w:rFonts w:ascii="Arial" w:hAnsi="Arial" w:cs="Arial"/>
          <w:szCs w:val="22"/>
          <w:lang w:val="en-GB"/>
        </w:rPr>
        <w:fldChar w:fldCharType="end"/>
      </w:r>
      <w:r w:rsidRPr="00CB093C">
        <w:rPr>
          <w:rFonts w:ascii="Arial" w:hAnsi="Arial" w:cs="Arial"/>
          <w:szCs w:val="22"/>
          <w:lang w:val="en-GB"/>
        </w:rPr>
        <w:t xml:space="preserve">). </w:t>
      </w:r>
      <w:r w:rsidR="003129D5" w:rsidRPr="00CB093C">
        <w:rPr>
          <w:rFonts w:ascii="Arial" w:hAnsi="Arial" w:cs="Arial"/>
          <w:szCs w:val="22"/>
          <w:lang w:val="en-GB"/>
        </w:rPr>
        <w:t>This</w:t>
      </w:r>
      <w:r w:rsidR="00DA1839" w:rsidRPr="00CB093C">
        <w:rPr>
          <w:rFonts w:ascii="Arial" w:hAnsi="Arial" w:cs="Arial"/>
          <w:szCs w:val="22"/>
          <w:lang w:val="en-GB"/>
        </w:rPr>
        <w:t xml:space="preserve"> similarly</w:t>
      </w:r>
      <w:r w:rsidR="003129D5" w:rsidRPr="00CB093C">
        <w:rPr>
          <w:rFonts w:ascii="Arial" w:hAnsi="Arial" w:cs="Arial"/>
          <w:szCs w:val="22"/>
          <w:lang w:val="en-GB"/>
        </w:rPr>
        <w:t xml:space="preserve"> appears a legacy of losses experienced from the impacts of </w:t>
      </w:r>
      <w:r w:rsidR="003654C6">
        <w:rPr>
          <w:rFonts w:ascii="Arial" w:hAnsi="Arial" w:cs="Arial"/>
          <w:szCs w:val="22"/>
          <w:lang w:val="en-GB"/>
        </w:rPr>
        <w:t>cyclone</w:t>
      </w:r>
      <w:r w:rsidR="003129D5" w:rsidRPr="00CB093C">
        <w:rPr>
          <w:rFonts w:ascii="Arial" w:hAnsi="Arial" w:cs="Arial"/>
          <w:szCs w:val="22"/>
          <w:lang w:val="en-GB"/>
        </w:rPr>
        <w:t xml:space="preserve"> Debbie and associated flooding. </w:t>
      </w:r>
    </w:p>
    <w:p w14:paraId="2F3430FB" w14:textId="09077CC4" w:rsidR="00C76C36" w:rsidRPr="00CB093C" w:rsidRDefault="00C76C36" w:rsidP="00C76C36">
      <w:pPr>
        <w:rPr>
          <w:rFonts w:ascii="Arial" w:hAnsi="Arial" w:cs="Arial"/>
          <w:szCs w:val="22"/>
        </w:rPr>
      </w:pPr>
      <w:r w:rsidRPr="00CB093C">
        <w:rPr>
          <w:rFonts w:ascii="Arial" w:hAnsi="Arial" w:cs="Arial"/>
          <w:szCs w:val="22"/>
        </w:rPr>
        <w:t xml:space="preserve">An examination of the long term trends across the </w:t>
      </w:r>
      <w:r w:rsidR="00637325">
        <w:rPr>
          <w:rFonts w:ascii="Arial" w:hAnsi="Arial" w:cs="Arial"/>
          <w:szCs w:val="22"/>
        </w:rPr>
        <w:t>Mackay-Whitsunday</w:t>
      </w:r>
      <w:r w:rsidRPr="00CB093C">
        <w:rPr>
          <w:rFonts w:ascii="Arial" w:hAnsi="Arial" w:cs="Arial"/>
          <w:szCs w:val="22"/>
        </w:rPr>
        <w:t xml:space="preserve"> NRM region</w:t>
      </w:r>
      <w:r w:rsidR="00640184" w:rsidRPr="00CB093C">
        <w:rPr>
          <w:rFonts w:ascii="Arial" w:hAnsi="Arial" w:cs="Arial"/>
          <w:szCs w:val="22"/>
        </w:rPr>
        <w:t xml:space="preserve"> using </w:t>
      </w:r>
      <w:r w:rsidR="002568CA" w:rsidRPr="00CB093C">
        <w:rPr>
          <w:rFonts w:ascii="Arial" w:hAnsi="Arial" w:cs="Arial"/>
          <w:szCs w:val="22"/>
        </w:rPr>
        <w:t>GAM</w:t>
      </w:r>
      <w:r w:rsidR="00640184" w:rsidRPr="00CB093C">
        <w:rPr>
          <w:rFonts w:ascii="Arial" w:hAnsi="Arial" w:cs="Arial"/>
          <w:szCs w:val="22"/>
        </w:rPr>
        <w:t xml:space="preserve"> plots</w:t>
      </w:r>
      <w:r w:rsidRPr="00CB093C">
        <w:rPr>
          <w:rFonts w:ascii="Arial" w:hAnsi="Arial" w:cs="Arial"/>
          <w:szCs w:val="22"/>
        </w:rPr>
        <w:t xml:space="preserve"> suggests seagrass abundance (</w:t>
      </w:r>
      <w:r w:rsidR="00882B72" w:rsidRPr="00CB093C">
        <w:rPr>
          <w:rFonts w:ascii="Arial" w:hAnsi="Arial" w:cs="Arial"/>
          <w:szCs w:val="22"/>
        </w:rPr>
        <w:t>%</w:t>
      </w:r>
      <w:r w:rsidRPr="00CB093C">
        <w:rPr>
          <w:rFonts w:ascii="Arial" w:hAnsi="Arial" w:cs="Arial"/>
          <w:szCs w:val="22"/>
        </w:rPr>
        <w:t xml:space="preserve"> cover)</w:t>
      </w:r>
      <w:r w:rsidR="003129D5" w:rsidRPr="00CB093C">
        <w:rPr>
          <w:rFonts w:ascii="Arial" w:hAnsi="Arial" w:cs="Arial"/>
          <w:szCs w:val="22"/>
        </w:rPr>
        <w:t xml:space="preserve"> and reproductive effort </w:t>
      </w:r>
      <w:r w:rsidR="00640184" w:rsidRPr="00CB093C">
        <w:rPr>
          <w:rFonts w:ascii="Arial" w:hAnsi="Arial" w:cs="Arial"/>
          <w:szCs w:val="22"/>
        </w:rPr>
        <w:t>ha</w:t>
      </w:r>
      <w:r w:rsidR="003129D5" w:rsidRPr="00CB093C">
        <w:rPr>
          <w:rFonts w:ascii="Arial" w:hAnsi="Arial" w:cs="Arial"/>
          <w:szCs w:val="22"/>
        </w:rPr>
        <w:t>ve been declining since</w:t>
      </w:r>
      <w:r w:rsidR="00DA1839" w:rsidRPr="00CB093C">
        <w:rPr>
          <w:rFonts w:ascii="Arial" w:hAnsi="Arial" w:cs="Arial"/>
          <w:szCs w:val="22"/>
        </w:rPr>
        <w:t xml:space="preserve"> </w:t>
      </w:r>
      <w:r w:rsidR="003129D5" w:rsidRPr="00CB093C">
        <w:rPr>
          <w:rFonts w:ascii="Arial" w:hAnsi="Arial" w:cs="Arial"/>
          <w:szCs w:val="22"/>
        </w:rPr>
        <w:t>2015</w:t>
      </w:r>
      <w:r w:rsidR="00A675DA" w:rsidRPr="00CB093C">
        <w:rPr>
          <w:rFonts w:ascii="Arial" w:hAnsi="Arial" w:cs="Arial"/>
          <w:szCs w:val="22"/>
        </w:rPr>
        <w:t>–</w:t>
      </w:r>
      <w:r w:rsidR="003129D5" w:rsidRPr="00CB093C">
        <w:rPr>
          <w:rFonts w:ascii="Arial" w:hAnsi="Arial" w:cs="Arial"/>
          <w:szCs w:val="22"/>
        </w:rPr>
        <w:t>16</w:t>
      </w:r>
      <w:r w:rsidR="00640184" w:rsidRPr="00CB093C">
        <w:rPr>
          <w:rFonts w:ascii="Arial" w:hAnsi="Arial" w:cs="Arial"/>
          <w:szCs w:val="22"/>
        </w:rPr>
        <w:t xml:space="preserve"> </w:t>
      </w:r>
      <w:r w:rsidR="003129D5" w:rsidRPr="00CB093C">
        <w:rPr>
          <w:rFonts w:ascii="Arial" w:hAnsi="Arial" w:cs="Arial"/>
          <w:szCs w:val="22"/>
          <w:lang w:val="en-GB"/>
        </w:rPr>
        <w:t>(</w:t>
      </w:r>
      <w:r w:rsidR="003129D5" w:rsidRPr="00CB093C">
        <w:rPr>
          <w:rFonts w:ascii="Arial" w:hAnsi="Arial" w:cs="Arial"/>
          <w:szCs w:val="22"/>
          <w:lang w:val="en-GB"/>
        </w:rPr>
        <w:fldChar w:fldCharType="begin"/>
      </w:r>
      <w:r w:rsidR="003129D5" w:rsidRPr="00CB093C">
        <w:rPr>
          <w:rFonts w:ascii="Arial" w:hAnsi="Arial" w:cs="Arial"/>
          <w:szCs w:val="22"/>
          <w:lang w:val="en-GB"/>
        </w:rPr>
        <w:instrText xml:space="preserve"> REF _Ref533788417 \h </w:instrText>
      </w:r>
      <w:r w:rsidR="00CB093C" w:rsidRPr="00CB093C">
        <w:rPr>
          <w:rFonts w:ascii="Arial" w:hAnsi="Arial" w:cs="Arial"/>
          <w:szCs w:val="22"/>
          <w:lang w:val="en-GB"/>
        </w:rPr>
        <w:instrText xml:space="preserve"> \* MERGEFORMAT </w:instrText>
      </w:r>
      <w:r w:rsidR="003129D5" w:rsidRPr="00CB093C">
        <w:rPr>
          <w:rFonts w:ascii="Arial" w:hAnsi="Arial" w:cs="Arial"/>
          <w:szCs w:val="22"/>
          <w:lang w:val="en-GB"/>
        </w:rPr>
      </w:r>
      <w:r w:rsidR="003129D5"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63</w:t>
      </w:r>
      <w:r w:rsidR="003129D5" w:rsidRPr="00CB093C">
        <w:rPr>
          <w:rFonts w:ascii="Arial" w:hAnsi="Arial" w:cs="Arial"/>
          <w:szCs w:val="22"/>
          <w:lang w:val="en-GB"/>
        </w:rPr>
        <w:fldChar w:fldCharType="end"/>
      </w:r>
      <w:r w:rsidR="003129D5" w:rsidRPr="00CB093C">
        <w:rPr>
          <w:rFonts w:ascii="Arial" w:hAnsi="Arial" w:cs="Arial"/>
          <w:szCs w:val="22"/>
          <w:lang w:val="en-GB"/>
        </w:rPr>
        <w:t>)</w:t>
      </w:r>
      <w:r w:rsidR="003129D5" w:rsidRPr="00CB093C">
        <w:rPr>
          <w:rFonts w:ascii="Arial" w:hAnsi="Arial" w:cs="Arial"/>
          <w:szCs w:val="22"/>
        </w:rPr>
        <w:t>.</w:t>
      </w:r>
    </w:p>
    <w:p w14:paraId="67D9F260" w14:textId="77777777" w:rsidR="00C76C36" w:rsidRPr="00CB093C" w:rsidRDefault="00C76C36" w:rsidP="008730D4">
      <w:pPr>
        <w:rPr>
          <w:rFonts w:ascii="Arial" w:hAnsi="Arial" w:cs="Arial"/>
          <w:szCs w:val="22"/>
        </w:rPr>
      </w:pPr>
    </w:p>
    <w:p w14:paraId="62A475DF" w14:textId="77777777" w:rsidR="004A5BCE" w:rsidRPr="00CB093C" w:rsidRDefault="004E43E3" w:rsidP="00630574">
      <w:pPr>
        <w:keepNext/>
        <w:widowControl w:val="0"/>
        <w:spacing w:after="0"/>
        <w:jc w:val="center"/>
        <w:rPr>
          <w:rFonts w:ascii="Arial" w:hAnsi="Arial" w:cs="Arial"/>
          <w:color w:val="000000"/>
          <w:szCs w:val="22"/>
          <w:lang w:val="en-GB"/>
        </w:rPr>
      </w:pPr>
      <w:r w:rsidRPr="00CB093C">
        <w:rPr>
          <w:rFonts w:ascii="Arial" w:hAnsi="Arial" w:cs="Arial"/>
          <w:noProof/>
          <w:color w:val="000000"/>
          <w:szCs w:val="22"/>
          <w:lang w:val="en-US"/>
        </w:rPr>
        <w:drawing>
          <wp:inline distT="0" distB="0" distL="0" distR="0" wp14:anchorId="44359664" wp14:editId="44FDDE71">
            <wp:extent cx="5880838" cy="5479873"/>
            <wp:effectExtent l="0" t="0" r="5715" b="6985"/>
            <wp:docPr id="514" name="Picture 514" descr="Composite figure of four graphs showing temporal trends in the Mackay Whitsunday NRM region seagrass condition index and each of the individual indicators used to calculate the index, represented by GAM plots and coloured lines representing location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MW_SG16.png"/>
                    <pic:cNvPicPr/>
                  </pic:nvPicPr>
                  <pic:blipFill>
                    <a:blip r:embed="rId107">
                      <a:extLst>
                        <a:ext uri="{28A0092B-C50C-407E-A947-70E740481C1C}">
                          <a14:useLocalDpi xmlns:a14="http://schemas.microsoft.com/office/drawing/2010/main" val="0"/>
                        </a:ext>
                      </a:extLst>
                    </a:blip>
                    <a:stretch>
                      <a:fillRect/>
                    </a:stretch>
                  </pic:blipFill>
                  <pic:spPr>
                    <a:xfrm>
                      <a:off x="0" y="0"/>
                      <a:ext cx="5880838" cy="5479873"/>
                    </a:xfrm>
                    <a:prstGeom prst="rect">
                      <a:avLst/>
                    </a:prstGeom>
                  </pic:spPr>
                </pic:pic>
              </a:graphicData>
            </a:graphic>
          </wp:inline>
        </w:drawing>
      </w:r>
    </w:p>
    <w:p w14:paraId="3860C598" w14:textId="5737BC84" w:rsidR="00076C1A" w:rsidRPr="00CB093C" w:rsidRDefault="00CC5737" w:rsidP="00076C1A">
      <w:pPr>
        <w:rPr>
          <w:rFonts w:ascii="Arial" w:hAnsi="Arial" w:cs="Arial"/>
          <w:vanish/>
          <w:color w:val="000000"/>
          <w:szCs w:val="22"/>
          <w:specVanish/>
        </w:rPr>
      </w:pPr>
      <w:bookmarkStart w:id="413" w:name="_Ref533788417"/>
      <w:bookmarkStart w:id="414" w:name="_Toc6402828"/>
      <w:r w:rsidRPr="00CB093C">
        <w:rPr>
          <w:rFonts w:ascii="Arial" w:hAnsi="Arial" w:cs="Arial"/>
          <w:szCs w:val="22"/>
        </w:rPr>
        <w:t xml:space="preserve">Figure </w:t>
      </w:r>
      <w:r w:rsidR="000E4688" w:rsidRPr="00CB093C">
        <w:rPr>
          <w:rFonts w:ascii="Arial" w:hAnsi="Arial" w:cs="Arial"/>
          <w:noProof/>
          <w:szCs w:val="22"/>
        </w:rPr>
        <w:fldChar w:fldCharType="begin"/>
      </w:r>
      <w:r w:rsidR="000E4688" w:rsidRPr="00CB093C">
        <w:rPr>
          <w:rFonts w:ascii="Arial" w:hAnsi="Arial" w:cs="Arial"/>
          <w:noProof/>
          <w:szCs w:val="22"/>
        </w:rPr>
        <w:instrText xml:space="preserve"> SEQ Figure \* ARABIC </w:instrText>
      </w:r>
      <w:r w:rsidR="000E4688" w:rsidRPr="00CB093C">
        <w:rPr>
          <w:rFonts w:ascii="Arial" w:hAnsi="Arial" w:cs="Arial"/>
          <w:noProof/>
          <w:szCs w:val="22"/>
        </w:rPr>
        <w:fldChar w:fldCharType="separate"/>
      </w:r>
      <w:r w:rsidR="005F00D4">
        <w:rPr>
          <w:rFonts w:ascii="Arial" w:hAnsi="Arial" w:cs="Arial"/>
          <w:noProof/>
          <w:szCs w:val="22"/>
        </w:rPr>
        <w:t>63</w:t>
      </w:r>
      <w:r w:rsidR="000E4688" w:rsidRPr="00CB093C">
        <w:rPr>
          <w:rFonts w:ascii="Arial" w:hAnsi="Arial" w:cs="Arial"/>
          <w:noProof/>
          <w:szCs w:val="22"/>
        </w:rPr>
        <w:fldChar w:fldCharType="end"/>
      </w:r>
      <w:bookmarkEnd w:id="413"/>
      <w:r w:rsidRPr="00CB093C">
        <w:rPr>
          <w:rFonts w:ascii="Arial" w:hAnsi="Arial" w:cs="Arial"/>
          <w:szCs w:val="22"/>
        </w:rPr>
        <w:t xml:space="preserve">. </w:t>
      </w:r>
      <w:r w:rsidR="00076C1A" w:rsidRPr="00CB093C">
        <w:rPr>
          <w:rFonts w:ascii="Arial" w:hAnsi="Arial" w:cs="Arial"/>
          <w:i/>
          <w:szCs w:val="22"/>
        </w:rPr>
        <w:t xml:space="preserve">Temporal trends in the </w:t>
      </w:r>
      <w:r w:rsidR="00637325">
        <w:rPr>
          <w:rFonts w:ascii="Arial" w:hAnsi="Arial" w:cs="Arial"/>
          <w:i/>
          <w:szCs w:val="22"/>
        </w:rPr>
        <w:t>Mackay-Whitsunday</w:t>
      </w:r>
      <w:r w:rsidR="00076C1A" w:rsidRPr="00CB093C">
        <w:rPr>
          <w:rFonts w:ascii="Arial" w:hAnsi="Arial" w:cs="Arial"/>
          <w:i/>
          <w:szCs w:val="22"/>
        </w:rPr>
        <w:t xml:space="preserve"> seagrass condition index and the indicators used to calculate the index</w:t>
      </w:r>
      <w:bookmarkEnd w:id="414"/>
    </w:p>
    <w:p w14:paraId="30C3DC05" w14:textId="7025AA04" w:rsidR="00CC5737" w:rsidRPr="00CB093C" w:rsidRDefault="00076C1A" w:rsidP="00076C1A">
      <w:pPr>
        <w:pStyle w:val="Caption"/>
        <w:rPr>
          <w:rFonts w:ascii="Arial" w:hAnsi="Arial" w:cs="Arial"/>
          <w:i/>
          <w:szCs w:val="22"/>
        </w:rPr>
      </w:pPr>
      <w:r w:rsidRPr="00CB093C">
        <w:rPr>
          <w:rFonts w:ascii="Arial" w:hAnsi="Arial" w:cs="Arial"/>
          <w:i/>
          <w:szCs w:val="22"/>
        </w:rPr>
        <w:t>: a. seagrass condition index (circles) and indicator trends (lines); b. GAM plots of seagrass abundance (</w:t>
      </w:r>
      <w:r w:rsidR="00882B72" w:rsidRPr="00CB093C">
        <w:rPr>
          <w:rFonts w:ascii="Arial" w:hAnsi="Arial" w:cs="Arial"/>
          <w:i/>
          <w:szCs w:val="22"/>
        </w:rPr>
        <w:t>%</w:t>
      </w:r>
      <w:r w:rsidRPr="00CB093C">
        <w:rPr>
          <w:rFonts w:ascii="Arial" w:hAnsi="Arial" w:cs="Arial"/>
          <w:i/>
          <w:szCs w:val="22"/>
        </w:rPr>
        <w:t xml:space="preserve"> cover) trends for each location (coloured lines) and the region (black line with grey shaded area defining 95% confidence intervals); c. average number of reproductive structures (±SE) (GAM not possible due to high count of zero values); and d. elemental ratios (atomic) of leaf tissue C:N nutrient content at each site (coloured circles) and regional trend represented by a GAM plot as dark line with shaded areas defining 95% confidence intervals of the trend</w:t>
      </w:r>
    </w:p>
    <w:p w14:paraId="72647BEC" w14:textId="13F31375" w:rsidR="003A07FC" w:rsidRPr="00CB093C" w:rsidRDefault="003A07FC" w:rsidP="003A07FC">
      <w:pPr>
        <w:rPr>
          <w:rFonts w:ascii="Arial" w:hAnsi="Arial" w:cs="Arial"/>
          <w:szCs w:val="22"/>
          <w:lang w:val="en-GB"/>
        </w:rPr>
      </w:pPr>
    </w:p>
    <w:p w14:paraId="56F6067A" w14:textId="234EB6E6" w:rsidR="002F1D37" w:rsidRPr="00CB093C" w:rsidRDefault="002F1D37" w:rsidP="000F3AC4">
      <w:pPr>
        <w:pStyle w:val="Heading3"/>
        <w:numPr>
          <w:ilvl w:val="3"/>
          <w:numId w:val="4"/>
        </w:numPr>
        <w:rPr>
          <w:rFonts w:ascii="Arial" w:hAnsi="Arial" w:cs="Arial"/>
          <w:b w:val="0"/>
          <w:i/>
          <w:color w:val="000000"/>
          <w:sz w:val="22"/>
          <w:szCs w:val="22"/>
        </w:rPr>
      </w:pPr>
      <w:bookmarkStart w:id="415" w:name="_Toc11394756"/>
      <w:r w:rsidRPr="00CB093C">
        <w:rPr>
          <w:rFonts w:ascii="Arial" w:hAnsi="Arial" w:cs="Arial"/>
          <w:b w:val="0"/>
          <w:i/>
          <w:color w:val="000000"/>
          <w:sz w:val="22"/>
          <w:szCs w:val="22"/>
        </w:rPr>
        <w:t>Seagrass abundance, community and extent</w:t>
      </w:r>
      <w:bookmarkEnd w:id="415"/>
    </w:p>
    <w:p w14:paraId="65F51910" w14:textId="0769611C" w:rsidR="000751C8" w:rsidRPr="00CB093C" w:rsidRDefault="000751C8" w:rsidP="009866C3">
      <w:pPr>
        <w:rPr>
          <w:rFonts w:ascii="Arial" w:hAnsi="Arial" w:cs="Arial"/>
          <w:szCs w:val="22"/>
          <w:lang w:val="en-GB"/>
        </w:rPr>
      </w:pPr>
      <w:r w:rsidRPr="00CB093C">
        <w:rPr>
          <w:rFonts w:ascii="Arial" w:hAnsi="Arial" w:cs="Arial"/>
          <w:szCs w:val="22"/>
        </w:rPr>
        <w:t xml:space="preserve">Seagrass abundance declined in </w:t>
      </w:r>
      <w:r w:rsidR="003654C6">
        <w:rPr>
          <w:rFonts w:ascii="Arial" w:hAnsi="Arial" w:cs="Arial"/>
          <w:szCs w:val="22"/>
        </w:rPr>
        <w:t>2017–18</w:t>
      </w:r>
      <w:r w:rsidRPr="00CB093C">
        <w:rPr>
          <w:rFonts w:ascii="Arial" w:hAnsi="Arial" w:cs="Arial"/>
          <w:szCs w:val="22"/>
        </w:rPr>
        <w:t xml:space="preserve"> across all habitats in the region, a legacy of the losses experienced in early 2017 as a consequence of</w:t>
      </w:r>
      <w:r w:rsidRPr="00CB093C">
        <w:rPr>
          <w:rFonts w:ascii="Arial" w:hAnsi="Arial" w:cs="Arial"/>
          <w:szCs w:val="22"/>
          <w:lang w:val="en-GB"/>
        </w:rPr>
        <w:t xml:space="preserve"> the impacts of TC Debbie and associated flooding</w:t>
      </w:r>
      <w:r w:rsidRPr="00CB093C">
        <w:rPr>
          <w:rFonts w:ascii="Arial" w:hAnsi="Arial" w:cs="Arial"/>
          <w:szCs w:val="22"/>
        </w:rPr>
        <w:t xml:space="preserve"> </w:t>
      </w:r>
      <w:r w:rsidRPr="00CB093C">
        <w:rPr>
          <w:rFonts w:ascii="Arial" w:hAnsi="Arial" w:cs="Arial"/>
          <w:szCs w:val="22"/>
          <w:lang w:val="en-GB"/>
        </w:rPr>
        <w:t>(</w:t>
      </w:r>
      <w:r w:rsidRPr="00CB093C">
        <w:rPr>
          <w:rFonts w:ascii="Arial" w:hAnsi="Arial" w:cs="Arial"/>
          <w:szCs w:val="22"/>
          <w:lang w:val="en-GB"/>
        </w:rPr>
        <w:fldChar w:fldCharType="begin"/>
      </w:r>
      <w:r w:rsidRPr="00CB093C">
        <w:rPr>
          <w:rFonts w:ascii="Arial" w:hAnsi="Arial" w:cs="Arial"/>
          <w:szCs w:val="22"/>
          <w:lang w:val="en-GB"/>
        </w:rPr>
        <w:instrText xml:space="preserve"> REF _Ref533789986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64</w:t>
      </w:r>
      <w:r w:rsidRPr="00CB093C">
        <w:rPr>
          <w:rFonts w:ascii="Arial" w:hAnsi="Arial" w:cs="Arial"/>
          <w:szCs w:val="22"/>
          <w:lang w:val="en-GB"/>
        </w:rPr>
        <w:fldChar w:fldCharType="end"/>
      </w:r>
      <w:r w:rsidRPr="00CB093C">
        <w:rPr>
          <w:rFonts w:ascii="Arial" w:hAnsi="Arial" w:cs="Arial"/>
          <w:szCs w:val="22"/>
          <w:lang w:val="en-GB"/>
        </w:rPr>
        <w:t xml:space="preserve">). </w:t>
      </w:r>
    </w:p>
    <w:p w14:paraId="6E7D4FF0" w14:textId="5CEDAF1B" w:rsidR="009866C3" w:rsidRPr="00CB093C" w:rsidRDefault="00B00455" w:rsidP="009866C3">
      <w:pPr>
        <w:rPr>
          <w:rFonts w:ascii="Arial" w:hAnsi="Arial" w:cs="Arial"/>
          <w:szCs w:val="22"/>
          <w:lang w:val="en-GB"/>
        </w:rPr>
      </w:pPr>
      <w:r w:rsidRPr="00CB093C">
        <w:rPr>
          <w:rFonts w:ascii="Arial" w:hAnsi="Arial" w:cs="Arial"/>
          <w:szCs w:val="22"/>
          <w:lang w:val="en-GB"/>
        </w:rPr>
        <w:t>Seagrass abundance (</w:t>
      </w:r>
      <w:r w:rsidR="00882B72" w:rsidRPr="00CB093C">
        <w:rPr>
          <w:rFonts w:ascii="Arial" w:hAnsi="Arial" w:cs="Arial"/>
          <w:szCs w:val="22"/>
          <w:lang w:val="en-GB"/>
        </w:rPr>
        <w:t>%</w:t>
      </w:r>
      <w:r w:rsidRPr="00CB093C">
        <w:rPr>
          <w:rFonts w:ascii="Arial" w:hAnsi="Arial" w:cs="Arial"/>
          <w:szCs w:val="22"/>
          <w:lang w:val="en-GB"/>
        </w:rPr>
        <w:t xml:space="preserve"> cover) i</w:t>
      </w:r>
      <w:r w:rsidR="00CB7184" w:rsidRPr="00CB093C">
        <w:rPr>
          <w:rFonts w:ascii="Arial" w:hAnsi="Arial" w:cs="Arial"/>
          <w:szCs w:val="22"/>
          <w:lang w:val="en-GB"/>
        </w:rPr>
        <w:t xml:space="preserve">n the </w:t>
      </w:r>
      <w:r w:rsidR="00637325">
        <w:rPr>
          <w:rFonts w:ascii="Arial" w:hAnsi="Arial" w:cs="Arial"/>
          <w:szCs w:val="22"/>
          <w:lang w:val="en-GB"/>
        </w:rPr>
        <w:t>Mackay-Whitsunday</w:t>
      </w:r>
      <w:r w:rsidR="00CB7184" w:rsidRPr="00CB093C">
        <w:rPr>
          <w:rFonts w:ascii="Arial" w:hAnsi="Arial" w:cs="Arial"/>
          <w:szCs w:val="22"/>
          <w:lang w:val="en-GB"/>
        </w:rPr>
        <w:t xml:space="preserve"> region wa</w:t>
      </w:r>
      <w:r w:rsidRPr="00CB093C">
        <w:rPr>
          <w:rFonts w:ascii="Arial" w:hAnsi="Arial" w:cs="Arial"/>
          <w:szCs w:val="22"/>
          <w:lang w:val="en-GB"/>
        </w:rPr>
        <w:t xml:space="preserve">s higher in coastal habitats </w:t>
      </w:r>
      <w:r w:rsidR="009866C3" w:rsidRPr="00CB093C">
        <w:rPr>
          <w:rFonts w:ascii="Arial" w:hAnsi="Arial" w:cs="Arial"/>
          <w:szCs w:val="22"/>
          <w:lang w:val="en-GB"/>
        </w:rPr>
        <w:t xml:space="preserve">(intertidal = 19.2 ±1.8%, subtidal = 17.7 ±1.8%) </w:t>
      </w:r>
      <w:r w:rsidRPr="00CB093C">
        <w:rPr>
          <w:rFonts w:ascii="Arial" w:hAnsi="Arial" w:cs="Arial"/>
          <w:szCs w:val="22"/>
          <w:lang w:val="en-GB"/>
        </w:rPr>
        <w:t xml:space="preserve">than estuarine </w:t>
      </w:r>
      <w:r w:rsidR="009866C3" w:rsidRPr="00CB093C">
        <w:rPr>
          <w:rFonts w:ascii="Arial" w:hAnsi="Arial" w:cs="Arial"/>
          <w:szCs w:val="22"/>
          <w:lang w:val="en-GB"/>
        </w:rPr>
        <w:t xml:space="preserve">(8.5 ±1.6%) </w:t>
      </w:r>
      <w:r w:rsidRPr="00CB093C">
        <w:rPr>
          <w:rFonts w:ascii="Arial" w:hAnsi="Arial" w:cs="Arial"/>
          <w:szCs w:val="22"/>
          <w:lang w:val="en-GB"/>
        </w:rPr>
        <w:t xml:space="preserve">or reef habitats </w:t>
      </w:r>
      <w:r w:rsidR="009866C3" w:rsidRPr="00CB093C">
        <w:rPr>
          <w:rFonts w:ascii="Arial" w:hAnsi="Arial" w:cs="Arial"/>
          <w:szCs w:val="22"/>
          <w:lang w:val="en-GB"/>
        </w:rPr>
        <w:t xml:space="preserve">(intertidal = 7.7 ±1.4%, subtidal = 7.7 ±0.7%), </w:t>
      </w:r>
      <w:r w:rsidRPr="00CB093C">
        <w:rPr>
          <w:rFonts w:ascii="Arial" w:hAnsi="Arial" w:cs="Arial"/>
          <w:szCs w:val="22"/>
          <w:lang w:val="en-GB"/>
        </w:rPr>
        <w:t xml:space="preserve">respectively. Abundances </w:t>
      </w:r>
      <w:r w:rsidR="00CB7184" w:rsidRPr="00CB093C">
        <w:rPr>
          <w:rFonts w:ascii="Arial" w:hAnsi="Arial" w:cs="Arial"/>
          <w:szCs w:val="22"/>
          <w:lang w:val="en-GB"/>
        </w:rPr>
        <w:t>we</w:t>
      </w:r>
      <w:r w:rsidRPr="00CB093C">
        <w:rPr>
          <w:rFonts w:ascii="Arial" w:hAnsi="Arial" w:cs="Arial"/>
          <w:szCs w:val="22"/>
          <w:lang w:val="en-GB"/>
        </w:rPr>
        <w:t>re also higher in the dry than the wet season across all habitats</w:t>
      </w:r>
      <w:r w:rsidR="009866C3" w:rsidRPr="00CB093C">
        <w:rPr>
          <w:rFonts w:ascii="Arial" w:hAnsi="Arial" w:cs="Arial"/>
          <w:szCs w:val="22"/>
          <w:lang w:val="en-GB"/>
        </w:rPr>
        <w:t xml:space="preserve"> (e.g. estuarine, dry = 11.3 ±1.8, wet = 5.3 ±1.4).</w:t>
      </w:r>
    </w:p>
    <w:p w14:paraId="2CCEC921" w14:textId="61F8FBC1" w:rsidR="002F5E43" w:rsidRPr="00CB093C" w:rsidRDefault="009866C3" w:rsidP="003129D5">
      <w:pPr>
        <w:rPr>
          <w:rFonts w:ascii="Arial" w:hAnsi="Arial" w:cs="Arial"/>
          <w:szCs w:val="22"/>
          <w:lang w:val="en-GB"/>
        </w:rPr>
      </w:pPr>
      <w:r w:rsidRPr="00CB093C">
        <w:rPr>
          <w:rFonts w:ascii="Arial" w:hAnsi="Arial" w:cs="Arial"/>
          <w:szCs w:val="22"/>
          <w:lang w:val="en-GB"/>
        </w:rPr>
        <w:t xml:space="preserve">Seagrass abundance at estuary and coastal intertidal habitats has fluctuated greatly between and within years over the </w:t>
      </w:r>
      <w:r w:rsidR="00DA1839" w:rsidRPr="00CB093C">
        <w:rPr>
          <w:rFonts w:ascii="Arial" w:hAnsi="Arial" w:cs="Arial"/>
          <w:szCs w:val="22"/>
          <w:lang w:val="en-GB"/>
        </w:rPr>
        <w:t>long-term</w:t>
      </w:r>
      <w:r w:rsidRPr="00CB093C">
        <w:rPr>
          <w:rFonts w:ascii="Arial" w:hAnsi="Arial" w:cs="Arial"/>
          <w:szCs w:val="22"/>
          <w:lang w:val="en-GB"/>
        </w:rPr>
        <w:t>, with some sites experiencing total or near total loss followed by recovery (</w:t>
      </w:r>
      <w:r w:rsidRPr="00CB093C">
        <w:rPr>
          <w:rFonts w:ascii="Arial" w:hAnsi="Arial" w:cs="Arial"/>
          <w:szCs w:val="22"/>
          <w:lang w:val="en-GB"/>
        </w:rPr>
        <w:fldChar w:fldCharType="begin"/>
      </w:r>
      <w:r w:rsidRPr="00CB093C">
        <w:rPr>
          <w:rFonts w:ascii="Arial" w:hAnsi="Arial" w:cs="Arial"/>
          <w:szCs w:val="22"/>
          <w:lang w:val="en-GB"/>
        </w:rPr>
        <w:instrText xml:space="preserve"> REF _Ref533789986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64</w:t>
      </w:r>
      <w:r w:rsidRPr="00CB093C">
        <w:rPr>
          <w:rFonts w:ascii="Arial" w:hAnsi="Arial" w:cs="Arial"/>
          <w:szCs w:val="22"/>
          <w:lang w:val="en-GB"/>
        </w:rPr>
        <w:fldChar w:fldCharType="end"/>
      </w:r>
      <w:r w:rsidRPr="00CB093C">
        <w:rPr>
          <w:rFonts w:ascii="Arial" w:hAnsi="Arial" w:cs="Arial"/>
          <w:szCs w:val="22"/>
          <w:lang w:val="en-GB"/>
        </w:rPr>
        <w:t xml:space="preserve">). </w:t>
      </w:r>
      <w:r w:rsidR="0082383D" w:rsidRPr="00CB093C">
        <w:rPr>
          <w:rFonts w:ascii="Arial" w:hAnsi="Arial" w:cs="Arial"/>
          <w:szCs w:val="22"/>
          <w:lang w:val="en-GB"/>
        </w:rPr>
        <w:t xml:space="preserve">In </w:t>
      </w:r>
      <w:r w:rsidR="003654C6">
        <w:rPr>
          <w:rFonts w:ascii="Arial" w:hAnsi="Arial" w:cs="Arial"/>
          <w:szCs w:val="22"/>
          <w:lang w:val="en-GB"/>
        </w:rPr>
        <w:t>2017–18</w:t>
      </w:r>
      <w:r w:rsidR="0082383D" w:rsidRPr="00CB093C">
        <w:rPr>
          <w:rFonts w:ascii="Arial" w:hAnsi="Arial" w:cs="Arial"/>
          <w:szCs w:val="22"/>
          <w:lang w:val="en-GB"/>
        </w:rPr>
        <w:t xml:space="preserve">, 64% of sites decreased in abundance relative to the previous period. All sites in subtidal (coastal and reef) habitats decreased, however only 25% and 50% of coastal and reef intertidal sites, respectively, decreased in </w:t>
      </w:r>
      <w:r w:rsidR="003654C6">
        <w:rPr>
          <w:rFonts w:ascii="Arial" w:hAnsi="Arial" w:cs="Arial"/>
          <w:szCs w:val="22"/>
          <w:lang w:val="en-GB"/>
        </w:rPr>
        <w:t>2017–18</w:t>
      </w:r>
      <w:r w:rsidR="0082383D" w:rsidRPr="00CB093C">
        <w:rPr>
          <w:rFonts w:ascii="Arial" w:hAnsi="Arial" w:cs="Arial"/>
          <w:szCs w:val="22"/>
          <w:lang w:val="en-GB"/>
        </w:rPr>
        <w:t xml:space="preserve">. There </w:t>
      </w:r>
      <w:r w:rsidRPr="00CB093C">
        <w:rPr>
          <w:rFonts w:ascii="Arial" w:hAnsi="Arial" w:cs="Arial"/>
          <w:szCs w:val="22"/>
          <w:lang w:val="en-GB"/>
        </w:rPr>
        <w:t xml:space="preserve">also </w:t>
      </w:r>
      <w:r w:rsidR="0082383D" w:rsidRPr="00CB093C">
        <w:rPr>
          <w:rFonts w:ascii="Arial" w:hAnsi="Arial" w:cs="Arial"/>
          <w:szCs w:val="22"/>
          <w:lang w:val="en-GB"/>
        </w:rPr>
        <w:t xml:space="preserve">appears no overall spatial pattern (e.g. </w:t>
      </w:r>
      <w:r w:rsidR="0082383D" w:rsidRPr="00CB093C">
        <w:rPr>
          <w:rFonts w:ascii="Arial" w:hAnsi="Arial" w:cs="Arial"/>
          <w:szCs w:val="22"/>
        </w:rPr>
        <w:t>relative to the landfall location of TC  Debbie</w:t>
      </w:r>
      <w:r w:rsidR="00DE5DE0" w:rsidRPr="00CB093C">
        <w:rPr>
          <w:rFonts w:ascii="Arial" w:hAnsi="Arial" w:cs="Arial"/>
          <w:szCs w:val="22"/>
        </w:rPr>
        <w:t xml:space="preserve"> o</w:t>
      </w:r>
      <w:r w:rsidR="0082383D" w:rsidRPr="00CB093C">
        <w:rPr>
          <w:rFonts w:ascii="Arial" w:hAnsi="Arial" w:cs="Arial"/>
          <w:szCs w:val="22"/>
        </w:rPr>
        <w:t xml:space="preserve">n </w:t>
      </w:r>
      <w:r w:rsidR="00DE5DE0" w:rsidRPr="00CB093C">
        <w:rPr>
          <w:rFonts w:ascii="Arial" w:hAnsi="Arial" w:cs="Arial"/>
          <w:szCs w:val="22"/>
        </w:rPr>
        <w:t>28 March 2017</w:t>
      </w:r>
      <w:r w:rsidR="0082383D" w:rsidRPr="00CB093C">
        <w:rPr>
          <w:rFonts w:ascii="Arial" w:hAnsi="Arial" w:cs="Arial"/>
          <w:szCs w:val="22"/>
          <w:lang w:val="en-GB"/>
        </w:rPr>
        <w:t>) to the losses.</w:t>
      </w:r>
      <w:r w:rsidRPr="00CB093C">
        <w:rPr>
          <w:rFonts w:ascii="Arial" w:hAnsi="Arial" w:cs="Arial"/>
          <w:szCs w:val="22"/>
          <w:lang w:val="en-GB"/>
        </w:rPr>
        <w:t xml:space="preserve"> </w:t>
      </w:r>
    </w:p>
    <w:p w14:paraId="015411DD" w14:textId="77777777" w:rsidR="003A07FC" w:rsidRPr="00CB093C" w:rsidRDefault="003A07FC" w:rsidP="003A07FC">
      <w:pPr>
        <w:rPr>
          <w:rFonts w:ascii="Arial" w:hAnsi="Arial" w:cs="Arial"/>
          <w:color w:val="000000" w:themeColor="text1"/>
          <w:szCs w:val="22"/>
        </w:rPr>
      </w:pPr>
    </w:p>
    <w:p w14:paraId="113DFFE3" w14:textId="77777777" w:rsidR="003A07FC" w:rsidRPr="00CB093C" w:rsidRDefault="003A07FC" w:rsidP="003A07FC">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6D567C99" wp14:editId="4A127D69">
            <wp:extent cx="5760000" cy="3066601"/>
            <wp:effectExtent l="0" t="0" r="0" b="635"/>
            <wp:docPr id="546" name="Picture 546" descr="Panel of eight graphs, displayed in two by four matrix, showing seagrass percent cover measures per quadrat (sites pooled) for each habitat monitored from June 2005 to May 2018 in the Mackay Whitsunday NRM region. Top row displays the data as box plots and the bottom row as trends in seagrass abundance represented by a GAM plot and coloured lines representing individual site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B_cvr_GAM_Dec16.png"/>
                    <pic:cNvPicPr/>
                  </pic:nvPicPr>
                  <pic:blipFill>
                    <a:blip r:embed="rId108">
                      <a:extLst>
                        <a:ext uri="{28A0092B-C50C-407E-A947-70E740481C1C}">
                          <a14:useLocalDpi xmlns:a14="http://schemas.microsoft.com/office/drawing/2010/main" val="0"/>
                        </a:ext>
                      </a:extLst>
                    </a:blip>
                    <a:stretch>
                      <a:fillRect/>
                    </a:stretch>
                  </pic:blipFill>
                  <pic:spPr>
                    <a:xfrm>
                      <a:off x="0" y="0"/>
                      <a:ext cx="5760000" cy="3066601"/>
                    </a:xfrm>
                    <a:prstGeom prst="rect">
                      <a:avLst/>
                    </a:prstGeom>
                  </pic:spPr>
                </pic:pic>
              </a:graphicData>
            </a:graphic>
          </wp:inline>
        </w:drawing>
      </w:r>
    </w:p>
    <w:p w14:paraId="50C6E8D5" w14:textId="75B3577B" w:rsidR="00A355AB" w:rsidRPr="00CB093C" w:rsidRDefault="003A07FC" w:rsidP="00A355AB">
      <w:pPr>
        <w:rPr>
          <w:rFonts w:ascii="Arial" w:hAnsi="Arial" w:cs="Arial"/>
          <w:i/>
          <w:vanish/>
          <w:szCs w:val="22"/>
          <w:specVanish/>
        </w:rPr>
      </w:pPr>
      <w:bookmarkStart w:id="416" w:name="_Ref533789986"/>
      <w:bookmarkStart w:id="417" w:name="_Toc6402829"/>
      <w:r w:rsidRPr="00CB093C">
        <w:rPr>
          <w:rFonts w:ascii="Arial" w:hAnsi="Arial" w:cs="Arial"/>
          <w:szCs w:val="22"/>
        </w:rPr>
        <w:t xml:space="preserve">Figure </w:t>
      </w:r>
      <w:r w:rsidRPr="00CB093C">
        <w:rPr>
          <w:rFonts w:ascii="Arial" w:hAnsi="Arial" w:cs="Arial"/>
          <w:noProof/>
          <w:szCs w:val="22"/>
        </w:rPr>
        <w:fldChar w:fldCharType="begin"/>
      </w:r>
      <w:r w:rsidRPr="00CB093C">
        <w:rPr>
          <w:rFonts w:ascii="Arial" w:hAnsi="Arial" w:cs="Arial"/>
          <w:noProof/>
          <w:szCs w:val="22"/>
        </w:rPr>
        <w:instrText xml:space="preserve"> SEQ Figure \* ARABIC </w:instrText>
      </w:r>
      <w:r w:rsidRPr="00CB093C">
        <w:rPr>
          <w:rFonts w:ascii="Arial" w:hAnsi="Arial" w:cs="Arial"/>
          <w:noProof/>
          <w:szCs w:val="22"/>
        </w:rPr>
        <w:fldChar w:fldCharType="separate"/>
      </w:r>
      <w:r w:rsidR="005F00D4">
        <w:rPr>
          <w:rFonts w:ascii="Arial" w:hAnsi="Arial" w:cs="Arial"/>
          <w:noProof/>
          <w:szCs w:val="22"/>
        </w:rPr>
        <w:t>64</w:t>
      </w:r>
      <w:r w:rsidRPr="00CB093C">
        <w:rPr>
          <w:rFonts w:ascii="Arial" w:hAnsi="Arial" w:cs="Arial"/>
          <w:noProof/>
          <w:szCs w:val="22"/>
        </w:rPr>
        <w:fldChar w:fldCharType="end"/>
      </w:r>
      <w:bookmarkEnd w:id="416"/>
      <w:r w:rsidRPr="00CB093C">
        <w:rPr>
          <w:rFonts w:ascii="Arial" w:hAnsi="Arial" w:cs="Arial"/>
          <w:szCs w:val="22"/>
        </w:rPr>
        <w:t xml:space="preserve">. </w:t>
      </w:r>
      <w:r w:rsidR="00A355AB" w:rsidRPr="00CB093C">
        <w:rPr>
          <w:rFonts w:ascii="Arial" w:hAnsi="Arial" w:cs="Arial"/>
          <w:i/>
          <w:szCs w:val="22"/>
        </w:rPr>
        <w:t xml:space="preserve">Seagrass per cent cover measures per quadrat (sites pooled) and long-term trends, for each habitat monitored in the </w:t>
      </w:r>
      <w:r w:rsidR="00637325">
        <w:rPr>
          <w:rFonts w:ascii="Arial" w:hAnsi="Arial" w:cs="Arial"/>
          <w:i/>
          <w:color w:val="000000"/>
          <w:szCs w:val="22"/>
        </w:rPr>
        <w:t>Mackay-Whitsunday</w:t>
      </w:r>
      <w:r w:rsidR="00A355AB" w:rsidRPr="00CB093C">
        <w:rPr>
          <w:rFonts w:ascii="Arial" w:hAnsi="Arial" w:cs="Arial"/>
          <w:i/>
          <w:color w:val="000000"/>
          <w:szCs w:val="22"/>
        </w:rPr>
        <w:t xml:space="preserve"> NRM </w:t>
      </w:r>
      <w:r w:rsidR="00A355AB" w:rsidRPr="00CB093C">
        <w:rPr>
          <w:rFonts w:ascii="Arial" w:hAnsi="Arial" w:cs="Arial"/>
          <w:i/>
          <w:szCs w:val="22"/>
        </w:rPr>
        <w:t>region from 1999 to 2018.</w:t>
      </w:r>
      <w:bookmarkEnd w:id="417"/>
    </w:p>
    <w:p w14:paraId="7D34CAD6" w14:textId="79DF190E" w:rsidR="003A07FC" w:rsidRPr="00CB093C" w:rsidRDefault="00A355AB" w:rsidP="00A355AB">
      <w:pPr>
        <w:rPr>
          <w:rFonts w:ascii="Arial" w:hAnsi="Arial" w:cs="Arial"/>
          <w:i/>
          <w:szCs w:val="22"/>
        </w:rPr>
      </w:pPr>
      <w:r w:rsidRPr="00CB093C">
        <w:rPr>
          <w:rFonts w:ascii="Arial" w:hAnsi="Arial" w:cs="Arial"/>
          <w:i/>
          <w:szCs w:val="22"/>
          <w:lang w:val="en-GB"/>
        </w:rPr>
        <w:t xml:space="preserve"> Whisker plots (top) show th</w:t>
      </w:r>
      <w:r w:rsidRPr="00CB093C">
        <w:rPr>
          <w:rFonts w:ascii="Arial" w:hAnsi="Arial" w:cs="Arial"/>
          <w:i/>
          <w:szCs w:val="22"/>
        </w:rPr>
        <w:t>e box representing the interquartile range of values, where the boundary of the box closest to zero indicates the 25</w:t>
      </w:r>
      <w:r w:rsidRPr="00CB093C">
        <w:rPr>
          <w:rFonts w:ascii="Arial" w:hAnsi="Arial" w:cs="Arial"/>
          <w:i/>
          <w:szCs w:val="22"/>
          <w:vertAlign w:val="superscript"/>
        </w:rPr>
        <w:t>th</w:t>
      </w:r>
      <w:r w:rsidRPr="00CB093C">
        <w:rPr>
          <w:rFonts w:ascii="Arial" w:hAnsi="Arial" w:cs="Arial"/>
          <w:i/>
          <w:szCs w:val="22"/>
        </w:rPr>
        <w:t xml:space="preserve"> percentile, a line within the box marks the median, and the boundary of the box farthest from zero indicates the 75</w:t>
      </w:r>
      <w:r w:rsidRPr="00CB093C">
        <w:rPr>
          <w:rFonts w:ascii="Arial" w:hAnsi="Arial" w:cs="Arial"/>
          <w:i/>
          <w:szCs w:val="22"/>
          <w:vertAlign w:val="superscript"/>
        </w:rPr>
        <w:t>th</w:t>
      </w:r>
      <w:r w:rsidRPr="00CB093C">
        <w:rPr>
          <w:rFonts w:ascii="Arial" w:hAnsi="Arial" w:cs="Arial"/>
          <w:i/>
          <w:szCs w:val="22"/>
        </w:rPr>
        <w:t xml:space="preserve"> percentile. Whiskers (error bars) above and below the box indicate the 90</w:t>
      </w:r>
      <w:r w:rsidRPr="00CB093C">
        <w:rPr>
          <w:rFonts w:ascii="Arial" w:hAnsi="Arial" w:cs="Arial"/>
          <w:i/>
          <w:szCs w:val="22"/>
          <w:vertAlign w:val="superscript"/>
        </w:rPr>
        <w:t>th</w:t>
      </w:r>
      <w:r w:rsidRPr="00CB093C">
        <w:rPr>
          <w:rFonts w:ascii="Arial" w:hAnsi="Arial" w:cs="Arial"/>
          <w:i/>
          <w:szCs w:val="22"/>
        </w:rPr>
        <w:t xml:space="preserve"> and 10</w:t>
      </w:r>
      <w:r w:rsidRPr="00CB093C">
        <w:rPr>
          <w:rFonts w:ascii="Arial" w:hAnsi="Arial" w:cs="Arial"/>
          <w:i/>
          <w:szCs w:val="22"/>
          <w:vertAlign w:val="superscript"/>
        </w:rPr>
        <w:t>th</w:t>
      </w:r>
      <w:r w:rsidRPr="00CB093C">
        <w:rPr>
          <w:rFonts w:ascii="Arial" w:hAnsi="Arial" w:cs="Arial"/>
          <w:i/>
          <w:szCs w:val="22"/>
        </w:rPr>
        <w:t xml:space="preserve"> percentiles, and the dots represent outlying points.</w:t>
      </w:r>
      <w:r w:rsidRPr="00CB093C">
        <w:rPr>
          <w:rFonts w:ascii="Arial" w:hAnsi="Arial" w:cs="Arial"/>
          <w:i/>
          <w:szCs w:val="22"/>
          <w:lang w:val="en-GB"/>
        </w:rPr>
        <w:t xml:space="preserve"> </w:t>
      </w:r>
      <w:r w:rsidRPr="00CB093C">
        <w:rPr>
          <w:rFonts w:ascii="Arial" w:hAnsi="Arial" w:cs="Arial"/>
          <w:i/>
          <w:szCs w:val="22"/>
        </w:rPr>
        <w:t>GAMM plots (bottom), show trends for each habitat and coloured lines represent individual site trends</w:t>
      </w:r>
    </w:p>
    <w:p w14:paraId="6F3E39C1" w14:textId="77777777" w:rsidR="003A07FC" w:rsidRPr="00CB093C" w:rsidRDefault="003A07FC" w:rsidP="003A07FC">
      <w:pPr>
        <w:rPr>
          <w:rFonts w:ascii="Arial" w:hAnsi="Arial" w:cs="Arial"/>
          <w:szCs w:val="22"/>
          <w:lang w:val="en-GB"/>
        </w:rPr>
      </w:pPr>
    </w:p>
    <w:p w14:paraId="454AE1F4" w14:textId="31CB78AD" w:rsidR="009607B0" w:rsidRPr="00CB093C" w:rsidRDefault="00C31BE9" w:rsidP="00C31BE9">
      <w:pPr>
        <w:rPr>
          <w:rFonts w:ascii="Arial" w:hAnsi="Arial" w:cs="Arial"/>
          <w:szCs w:val="22"/>
        </w:rPr>
      </w:pPr>
      <w:r w:rsidRPr="00CB093C">
        <w:rPr>
          <w:rFonts w:ascii="Arial" w:hAnsi="Arial" w:cs="Arial"/>
          <w:szCs w:val="22"/>
        </w:rPr>
        <w:t xml:space="preserve">The most common seagrass species across all habitats in the </w:t>
      </w:r>
      <w:r w:rsidR="00637325">
        <w:rPr>
          <w:rFonts w:ascii="Arial" w:hAnsi="Arial" w:cs="Arial"/>
          <w:szCs w:val="22"/>
        </w:rPr>
        <w:t>Mackay-Whitsunday</w:t>
      </w:r>
      <w:r w:rsidRPr="00CB093C">
        <w:rPr>
          <w:rFonts w:ascii="Arial" w:hAnsi="Arial" w:cs="Arial"/>
          <w:szCs w:val="22"/>
        </w:rPr>
        <w:t xml:space="preserve"> NRM region were </w:t>
      </w:r>
      <w:r w:rsidRPr="00CB093C">
        <w:rPr>
          <w:rFonts w:ascii="Arial" w:hAnsi="Arial" w:cs="Arial"/>
          <w:i/>
          <w:szCs w:val="22"/>
        </w:rPr>
        <w:t>Halodule uninervis</w:t>
      </w:r>
      <w:r w:rsidRPr="00CB093C">
        <w:rPr>
          <w:rFonts w:ascii="Arial" w:hAnsi="Arial" w:cs="Arial"/>
          <w:szCs w:val="22"/>
        </w:rPr>
        <w:t xml:space="preserve"> and </w:t>
      </w:r>
      <w:r w:rsidRPr="00CB093C">
        <w:rPr>
          <w:rFonts w:ascii="Arial" w:hAnsi="Arial" w:cs="Arial"/>
          <w:i/>
          <w:szCs w:val="22"/>
        </w:rPr>
        <w:t>Zostera muelleri</w:t>
      </w:r>
      <w:r w:rsidRPr="00CB093C">
        <w:rPr>
          <w:rFonts w:ascii="Arial" w:hAnsi="Arial" w:cs="Arial"/>
          <w:szCs w:val="22"/>
        </w:rPr>
        <w:t xml:space="preserve">, mixed with the colonising species </w:t>
      </w:r>
      <w:r w:rsidRPr="00CB093C">
        <w:rPr>
          <w:rFonts w:ascii="Arial" w:hAnsi="Arial" w:cs="Arial"/>
          <w:i/>
          <w:szCs w:val="22"/>
        </w:rPr>
        <w:t>Halophila ovalis</w:t>
      </w:r>
      <w:r w:rsidRPr="00CB093C">
        <w:rPr>
          <w:rFonts w:ascii="Arial" w:hAnsi="Arial" w:cs="Arial"/>
          <w:szCs w:val="22"/>
        </w:rPr>
        <w:t xml:space="preserve">. </w:t>
      </w:r>
    </w:p>
    <w:p w14:paraId="3DE9B0C3" w14:textId="32730344" w:rsidR="00C31BE9" w:rsidRPr="00CB093C" w:rsidRDefault="00C31BE9" w:rsidP="00C31BE9">
      <w:pPr>
        <w:rPr>
          <w:rFonts w:ascii="Arial" w:hAnsi="Arial" w:cs="Arial"/>
          <w:szCs w:val="22"/>
          <w:lang w:val="en-GB"/>
        </w:rPr>
      </w:pPr>
      <w:r w:rsidRPr="00CB093C">
        <w:rPr>
          <w:rFonts w:ascii="Arial" w:hAnsi="Arial" w:cs="Arial"/>
          <w:szCs w:val="22"/>
        </w:rPr>
        <w:t xml:space="preserve">Colonising species dominated </w:t>
      </w:r>
      <w:r w:rsidR="00640184" w:rsidRPr="00CB093C">
        <w:rPr>
          <w:rFonts w:ascii="Arial" w:hAnsi="Arial" w:cs="Arial"/>
          <w:szCs w:val="22"/>
        </w:rPr>
        <w:t>intertidal</w:t>
      </w:r>
      <w:r w:rsidRPr="00CB093C">
        <w:rPr>
          <w:rFonts w:ascii="Arial" w:hAnsi="Arial" w:cs="Arial"/>
          <w:szCs w:val="22"/>
        </w:rPr>
        <w:t xml:space="preserve"> meadows across the </w:t>
      </w:r>
      <w:r w:rsidR="00637325">
        <w:rPr>
          <w:rFonts w:ascii="Arial" w:hAnsi="Arial" w:cs="Arial"/>
          <w:szCs w:val="22"/>
        </w:rPr>
        <w:t>Mackay-Whitsunday</w:t>
      </w:r>
      <w:r w:rsidRPr="00CB093C">
        <w:rPr>
          <w:rFonts w:ascii="Arial" w:hAnsi="Arial" w:cs="Arial"/>
          <w:szCs w:val="22"/>
        </w:rPr>
        <w:t xml:space="preserve"> </w:t>
      </w:r>
      <w:r w:rsidR="00DA1839" w:rsidRPr="00CB093C">
        <w:rPr>
          <w:rFonts w:ascii="Arial" w:hAnsi="Arial" w:cs="Arial"/>
          <w:szCs w:val="22"/>
        </w:rPr>
        <w:t>region</w:t>
      </w:r>
      <w:r w:rsidRPr="00CB093C">
        <w:rPr>
          <w:rFonts w:ascii="Arial" w:hAnsi="Arial" w:cs="Arial"/>
          <w:szCs w:val="22"/>
        </w:rPr>
        <w:t xml:space="preserve"> </w:t>
      </w:r>
      <w:r w:rsidR="00B13978" w:rsidRPr="00CB093C">
        <w:rPr>
          <w:rFonts w:ascii="Arial" w:hAnsi="Arial" w:cs="Arial"/>
          <w:szCs w:val="22"/>
        </w:rPr>
        <w:t xml:space="preserve">in the first few years </w:t>
      </w:r>
      <w:r w:rsidRPr="00CB093C">
        <w:rPr>
          <w:rFonts w:ascii="Arial" w:hAnsi="Arial" w:cs="Arial"/>
          <w:szCs w:val="22"/>
        </w:rPr>
        <w:t>followi</w:t>
      </w:r>
      <w:r w:rsidR="00640184" w:rsidRPr="00CB093C">
        <w:rPr>
          <w:rFonts w:ascii="Arial" w:hAnsi="Arial" w:cs="Arial"/>
          <w:szCs w:val="22"/>
        </w:rPr>
        <w:t xml:space="preserve">ng the extreme weather in 2011. In the previous two years, there has been a dramatic reduction in colonising species in estuarine and coastal intertidal habitats. In all habitats except the reef intertidal habitats, </w:t>
      </w:r>
      <w:r w:rsidR="009D01B5" w:rsidRPr="00CB093C">
        <w:rPr>
          <w:rFonts w:ascii="Arial" w:hAnsi="Arial" w:cs="Arial"/>
          <w:szCs w:val="22"/>
        </w:rPr>
        <w:t>opportunistic foundational species (</w:t>
      </w:r>
      <w:r w:rsidRPr="00CB093C">
        <w:rPr>
          <w:rFonts w:ascii="Arial" w:hAnsi="Arial" w:cs="Arial"/>
          <w:i/>
          <w:szCs w:val="22"/>
        </w:rPr>
        <w:t>H. uninervis</w:t>
      </w:r>
      <w:r w:rsidRPr="00CB093C">
        <w:rPr>
          <w:rFonts w:ascii="Arial" w:hAnsi="Arial" w:cs="Arial"/>
          <w:szCs w:val="22"/>
        </w:rPr>
        <w:t xml:space="preserve"> and </w:t>
      </w:r>
      <w:r w:rsidRPr="00CB093C">
        <w:rPr>
          <w:rFonts w:ascii="Arial" w:hAnsi="Arial" w:cs="Arial"/>
          <w:i/>
          <w:szCs w:val="22"/>
        </w:rPr>
        <w:t>Z. muelleri</w:t>
      </w:r>
      <w:r w:rsidR="009D01B5" w:rsidRPr="00CB093C">
        <w:rPr>
          <w:rFonts w:ascii="Arial" w:hAnsi="Arial" w:cs="Arial"/>
          <w:szCs w:val="22"/>
        </w:rPr>
        <w:t>)</w:t>
      </w:r>
      <w:r w:rsidRPr="00CB093C">
        <w:rPr>
          <w:rFonts w:ascii="Arial" w:hAnsi="Arial" w:cs="Arial"/>
          <w:szCs w:val="22"/>
        </w:rPr>
        <w:t xml:space="preserve"> now dominate (</w:t>
      </w:r>
      <w:r w:rsidR="00993358" w:rsidRPr="00CB093C">
        <w:rPr>
          <w:rFonts w:ascii="Arial" w:hAnsi="Arial" w:cs="Arial"/>
          <w:szCs w:val="22"/>
          <w:lang w:val="en-GB"/>
        </w:rPr>
        <w:fldChar w:fldCharType="begin"/>
      </w:r>
      <w:r w:rsidR="00993358" w:rsidRPr="00CB093C">
        <w:rPr>
          <w:rFonts w:ascii="Arial" w:hAnsi="Arial" w:cs="Arial"/>
          <w:szCs w:val="22"/>
          <w:lang w:val="en-GB"/>
        </w:rPr>
        <w:instrText xml:space="preserve"> REF _Ref382206677 \h  \* MERGEFORMAT </w:instrText>
      </w:r>
      <w:r w:rsidR="00993358" w:rsidRPr="00CB093C">
        <w:rPr>
          <w:rFonts w:ascii="Arial" w:hAnsi="Arial" w:cs="Arial"/>
          <w:szCs w:val="22"/>
          <w:lang w:val="en-GB"/>
        </w:rPr>
      </w:r>
      <w:r w:rsidR="00993358"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65</w:t>
      </w:r>
      <w:r w:rsidR="00993358" w:rsidRPr="00CB093C">
        <w:rPr>
          <w:rFonts w:ascii="Arial" w:hAnsi="Arial" w:cs="Arial"/>
          <w:szCs w:val="22"/>
          <w:lang w:val="en-GB"/>
        </w:rPr>
        <w:fldChar w:fldCharType="end"/>
      </w:r>
      <w:r w:rsidRPr="00CB093C">
        <w:rPr>
          <w:rFonts w:ascii="Arial" w:hAnsi="Arial" w:cs="Arial"/>
          <w:szCs w:val="22"/>
        </w:rPr>
        <w:t>)</w:t>
      </w:r>
      <w:r w:rsidR="009D01B5" w:rsidRPr="00CB093C">
        <w:rPr>
          <w:rFonts w:ascii="Arial" w:hAnsi="Arial" w:cs="Arial"/>
          <w:szCs w:val="22"/>
          <w:lang w:val="en-GB"/>
        </w:rPr>
        <w:t xml:space="preserve">, </w:t>
      </w:r>
      <w:r w:rsidR="009D01B5" w:rsidRPr="00CB093C">
        <w:rPr>
          <w:rFonts w:ascii="Arial" w:hAnsi="Arial" w:cs="Arial"/>
          <w:iCs/>
          <w:szCs w:val="22"/>
        </w:rPr>
        <w:t>suggesting meadows may have an improved ecosystem resistance to tolerate disturbances</w:t>
      </w:r>
      <w:r w:rsidR="009D01B5" w:rsidRPr="00CB093C">
        <w:rPr>
          <w:rFonts w:ascii="Arial" w:hAnsi="Arial" w:cs="Arial"/>
          <w:szCs w:val="22"/>
          <w:lang w:val="en-GB"/>
        </w:rPr>
        <w:t xml:space="preserve"> (</w:t>
      </w:r>
      <w:r w:rsidR="009D01B5" w:rsidRPr="00CB093C">
        <w:rPr>
          <w:rFonts w:ascii="Arial" w:hAnsi="Arial" w:cs="Arial"/>
          <w:szCs w:val="22"/>
          <w:lang w:val="en-GB"/>
        </w:rPr>
        <w:fldChar w:fldCharType="begin"/>
      </w:r>
      <w:r w:rsidR="009D01B5" w:rsidRPr="00CB093C">
        <w:rPr>
          <w:rFonts w:ascii="Arial" w:hAnsi="Arial" w:cs="Arial"/>
          <w:szCs w:val="22"/>
          <w:lang w:val="en-GB"/>
        </w:rPr>
        <w:instrText xml:space="preserve"> REF _Ref382206677 \h  \* MERGEFORMAT </w:instrText>
      </w:r>
      <w:r w:rsidR="009D01B5" w:rsidRPr="00CB093C">
        <w:rPr>
          <w:rFonts w:ascii="Arial" w:hAnsi="Arial" w:cs="Arial"/>
          <w:szCs w:val="22"/>
          <w:lang w:val="en-GB"/>
        </w:rPr>
      </w:r>
      <w:r w:rsidR="009D01B5"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65</w:t>
      </w:r>
      <w:r w:rsidR="009D01B5" w:rsidRPr="00CB093C">
        <w:rPr>
          <w:rFonts w:ascii="Arial" w:hAnsi="Arial" w:cs="Arial"/>
          <w:szCs w:val="22"/>
          <w:lang w:val="en-GB"/>
        </w:rPr>
        <w:fldChar w:fldCharType="end"/>
      </w:r>
      <w:r w:rsidR="009D01B5" w:rsidRPr="00CB093C">
        <w:rPr>
          <w:rFonts w:ascii="Arial" w:hAnsi="Arial" w:cs="Arial"/>
          <w:szCs w:val="22"/>
          <w:lang w:val="en-GB"/>
        </w:rPr>
        <w:t xml:space="preserve">). </w:t>
      </w:r>
      <w:r w:rsidRPr="00CB093C">
        <w:rPr>
          <w:rFonts w:ascii="Arial" w:hAnsi="Arial" w:cs="Arial"/>
          <w:szCs w:val="22"/>
        </w:rPr>
        <w:t>In contrast, in reef habitats (</w:t>
      </w:r>
      <w:r w:rsidR="00993358" w:rsidRPr="00CB093C">
        <w:rPr>
          <w:rFonts w:ascii="Arial" w:hAnsi="Arial" w:cs="Arial"/>
          <w:szCs w:val="22"/>
        </w:rPr>
        <w:t>Hamilton Island</w:t>
      </w:r>
      <w:r w:rsidRPr="00CB093C">
        <w:rPr>
          <w:rFonts w:ascii="Arial" w:hAnsi="Arial" w:cs="Arial"/>
          <w:szCs w:val="22"/>
        </w:rPr>
        <w:t xml:space="preserve">), colonising species </w:t>
      </w:r>
      <w:r w:rsidR="00640184" w:rsidRPr="00CB093C">
        <w:rPr>
          <w:rFonts w:ascii="Arial" w:hAnsi="Arial" w:cs="Arial"/>
          <w:szCs w:val="22"/>
        </w:rPr>
        <w:t xml:space="preserve">have </w:t>
      </w:r>
      <w:r w:rsidR="009D01B5" w:rsidRPr="00CB093C">
        <w:rPr>
          <w:rFonts w:ascii="Arial" w:hAnsi="Arial" w:cs="Arial"/>
          <w:szCs w:val="22"/>
        </w:rPr>
        <w:t>been steadily increasing</w:t>
      </w:r>
      <w:r w:rsidR="00640184" w:rsidRPr="00CB093C">
        <w:rPr>
          <w:rFonts w:ascii="Arial" w:hAnsi="Arial" w:cs="Arial"/>
          <w:szCs w:val="22"/>
        </w:rPr>
        <w:t xml:space="preserve"> since 2006</w:t>
      </w:r>
      <w:r w:rsidR="00B13978" w:rsidRPr="00CB093C">
        <w:rPr>
          <w:rFonts w:ascii="Arial" w:hAnsi="Arial" w:cs="Arial"/>
          <w:szCs w:val="22"/>
        </w:rPr>
        <w:t xml:space="preserve"> and remained above the </w:t>
      </w:r>
      <w:r w:rsidR="003158FC" w:rsidRPr="00CB093C">
        <w:rPr>
          <w:rFonts w:ascii="Arial" w:hAnsi="Arial" w:cs="Arial"/>
          <w:szCs w:val="22"/>
        </w:rPr>
        <w:t>Reef</w:t>
      </w:r>
      <w:r w:rsidR="00B13978" w:rsidRPr="00CB093C">
        <w:rPr>
          <w:rFonts w:ascii="Arial" w:hAnsi="Arial" w:cs="Arial"/>
          <w:szCs w:val="22"/>
        </w:rPr>
        <w:t xml:space="preserve"> long-term average over the last few years</w:t>
      </w:r>
      <w:r w:rsidRPr="00CB093C">
        <w:rPr>
          <w:rFonts w:ascii="Arial" w:hAnsi="Arial" w:cs="Arial"/>
          <w:szCs w:val="22"/>
        </w:rPr>
        <w:t>.</w:t>
      </w:r>
      <w:r w:rsidR="009D01B5" w:rsidRPr="00CB093C">
        <w:rPr>
          <w:rFonts w:ascii="Arial" w:hAnsi="Arial" w:cs="Arial"/>
          <w:szCs w:val="22"/>
          <w:lang w:val="en-GB"/>
        </w:rPr>
        <w:t xml:space="preserve"> </w:t>
      </w:r>
      <w:r w:rsidR="00B13978" w:rsidRPr="00CB093C">
        <w:rPr>
          <w:rFonts w:ascii="Arial" w:hAnsi="Arial" w:cs="Arial"/>
          <w:szCs w:val="22"/>
          <w:lang w:val="en-GB"/>
        </w:rPr>
        <w:t xml:space="preserve">In </w:t>
      </w:r>
      <w:r w:rsidR="003654C6">
        <w:rPr>
          <w:rFonts w:ascii="Arial" w:hAnsi="Arial" w:cs="Arial"/>
          <w:szCs w:val="22"/>
          <w:lang w:val="en-GB"/>
        </w:rPr>
        <w:t>2017–18</w:t>
      </w:r>
      <w:r w:rsidR="00B13978" w:rsidRPr="00CB093C">
        <w:rPr>
          <w:rFonts w:ascii="Arial" w:hAnsi="Arial" w:cs="Arial"/>
          <w:szCs w:val="22"/>
          <w:lang w:val="en-GB"/>
        </w:rPr>
        <w:t xml:space="preserve">, the only notable change was an increase of colonising species in </w:t>
      </w:r>
      <w:r w:rsidR="007A70FE" w:rsidRPr="00CB093C">
        <w:rPr>
          <w:rFonts w:ascii="Arial" w:hAnsi="Arial" w:cs="Arial"/>
          <w:szCs w:val="22"/>
          <w:lang w:val="en-GB"/>
        </w:rPr>
        <w:t>estuarine</w:t>
      </w:r>
      <w:r w:rsidR="00B13978" w:rsidRPr="00CB093C">
        <w:rPr>
          <w:rFonts w:ascii="Arial" w:hAnsi="Arial" w:cs="Arial"/>
          <w:szCs w:val="22"/>
          <w:lang w:val="en-GB"/>
        </w:rPr>
        <w:t xml:space="preserve"> meadows, however the composition still remains below the </w:t>
      </w:r>
      <w:r w:rsidR="003158FC" w:rsidRPr="00CB093C">
        <w:rPr>
          <w:rFonts w:ascii="Arial" w:hAnsi="Arial" w:cs="Arial"/>
          <w:szCs w:val="22"/>
        </w:rPr>
        <w:t>Reef</w:t>
      </w:r>
      <w:r w:rsidR="00B13978" w:rsidRPr="00CB093C">
        <w:rPr>
          <w:rFonts w:ascii="Arial" w:hAnsi="Arial" w:cs="Arial"/>
          <w:szCs w:val="22"/>
        </w:rPr>
        <w:t xml:space="preserve"> long-term average.</w:t>
      </w:r>
    </w:p>
    <w:p w14:paraId="492F0334" w14:textId="77777777" w:rsidR="00C31BE9" w:rsidRPr="00CB093C" w:rsidRDefault="004E43E3" w:rsidP="00630574">
      <w:pPr>
        <w:keepNext/>
        <w:widowControl w:val="0"/>
        <w:spacing w:after="0"/>
        <w:jc w:val="center"/>
        <w:rPr>
          <w:rFonts w:ascii="Arial" w:hAnsi="Arial" w:cs="Arial"/>
          <w:szCs w:val="22"/>
        </w:rPr>
      </w:pPr>
      <w:r w:rsidRPr="00CB093C">
        <w:rPr>
          <w:rFonts w:ascii="Arial" w:hAnsi="Arial" w:cs="Arial"/>
          <w:noProof/>
          <w:szCs w:val="22"/>
          <w:lang w:val="en-US"/>
        </w:rPr>
        <w:drawing>
          <wp:inline distT="0" distB="0" distL="0" distR="0" wp14:anchorId="3E8B5195" wp14:editId="477CF25B">
            <wp:extent cx="4320000" cy="2893453"/>
            <wp:effectExtent l="0" t="0" r="4445" b="2540"/>
            <wp:docPr id="516" name="Picture 516" descr="Panel of five graphs, displayed in two by three matrix, showing proportion of total seagrass abundance composed of species displaying colonising traits (e.g. Halophila ovalis) in each inshore seagrass habitat (sites pooled) in the Mackay Whitsunday NRM region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MW_colonising_2016.png"/>
                    <pic:cNvPicPr/>
                  </pic:nvPicPr>
                  <pic:blipFill>
                    <a:blip r:embed="rId109">
                      <a:extLst>
                        <a:ext uri="{28A0092B-C50C-407E-A947-70E740481C1C}">
                          <a14:useLocalDpi xmlns:a14="http://schemas.microsoft.com/office/drawing/2010/main" val="0"/>
                        </a:ext>
                      </a:extLst>
                    </a:blip>
                    <a:stretch>
                      <a:fillRect/>
                    </a:stretch>
                  </pic:blipFill>
                  <pic:spPr>
                    <a:xfrm>
                      <a:off x="0" y="0"/>
                      <a:ext cx="4320000" cy="2893453"/>
                    </a:xfrm>
                    <a:prstGeom prst="rect">
                      <a:avLst/>
                    </a:prstGeom>
                  </pic:spPr>
                </pic:pic>
              </a:graphicData>
            </a:graphic>
          </wp:inline>
        </w:drawing>
      </w:r>
    </w:p>
    <w:p w14:paraId="2B9ABDFB" w14:textId="54E50744" w:rsidR="00C03C5F" w:rsidRPr="00CB093C" w:rsidRDefault="008C4B1E" w:rsidP="00C03C5F">
      <w:pPr>
        <w:rPr>
          <w:rFonts w:ascii="Arial" w:hAnsi="Arial" w:cs="Arial"/>
          <w:vanish/>
          <w:szCs w:val="22"/>
          <w:specVanish/>
        </w:rPr>
      </w:pPr>
      <w:bookmarkStart w:id="418" w:name="_Ref382206677"/>
      <w:bookmarkStart w:id="419" w:name="_Toc431493874"/>
      <w:bookmarkStart w:id="420" w:name="_Toc6402830"/>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65</w:t>
      </w:r>
      <w:r w:rsidR="0073595B" w:rsidRPr="00CB093C">
        <w:rPr>
          <w:rFonts w:ascii="Arial" w:hAnsi="Arial" w:cs="Arial"/>
          <w:szCs w:val="22"/>
        </w:rPr>
        <w:fldChar w:fldCharType="end"/>
      </w:r>
      <w:bookmarkEnd w:id="418"/>
      <w:r w:rsidRPr="00CB093C">
        <w:rPr>
          <w:rFonts w:ascii="Arial" w:hAnsi="Arial" w:cs="Arial"/>
          <w:szCs w:val="22"/>
        </w:rPr>
        <w:t xml:space="preserve">. </w:t>
      </w:r>
      <w:r w:rsidRPr="00CB093C">
        <w:rPr>
          <w:rFonts w:ascii="Arial" w:hAnsi="Arial" w:cs="Arial"/>
          <w:i/>
          <w:szCs w:val="22"/>
        </w:rPr>
        <w:t xml:space="preserve">Proportion of seagrass abundance composed of </w:t>
      </w:r>
      <w:r w:rsidR="00C31BE9" w:rsidRPr="00CB093C">
        <w:rPr>
          <w:rFonts w:ascii="Arial" w:hAnsi="Arial" w:cs="Arial"/>
          <w:i/>
          <w:szCs w:val="22"/>
        </w:rPr>
        <w:t>colonising</w:t>
      </w:r>
      <w:r w:rsidR="00A22D98" w:rsidRPr="00CB093C">
        <w:rPr>
          <w:rFonts w:ascii="Arial" w:hAnsi="Arial" w:cs="Arial"/>
          <w:i/>
          <w:szCs w:val="22"/>
        </w:rPr>
        <w:t xml:space="preserve"> species</w:t>
      </w:r>
      <w:r w:rsidR="006341F9" w:rsidRPr="00CB093C">
        <w:rPr>
          <w:rFonts w:ascii="Arial" w:hAnsi="Arial" w:cs="Arial"/>
          <w:i/>
          <w:szCs w:val="22"/>
        </w:rPr>
        <w:t xml:space="preserve"> at inshore intertidal habitats in the </w:t>
      </w:r>
      <w:r w:rsidR="00637325">
        <w:rPr>
          <w:rFonts w:ascii="Arial" w:hAnsi="Arial" w:cs="Arial"/>
          <w:i/>
          <w:szCs w:val="22"/>
        </w:rPr>
        <w:t>Mackay-Whitsunday</w:t>
      </w:r>
      <w:r w:rsidR="006341F9" w:rsidRPr="00CB093C">
        <w:rPr>
          <w:rFonts w:ascii="Arial" w:hAnsi="Arial" w:cs="Arial"/>
          <w:i/>
          <w:szCs w:val="22"/>
        </w:rPr>
        <w:t xml:space="preserve"> region, 1999</w:t>
      </w:r>
      <w:r w:rsidR="00A675DA" w:rsidRPr="00CB093C">
        <w:rPr>
          <w:rFonts w:ascii="Arial" w:hAnsi="Arial" w:cs="Arial"/>
          <w:i/>
          <w:szCs w:val="22"/>
        </w:rPr>
        <w:t>–</w:t>
      </w:r>
      <w:r w:rsidR="006341F9" w:rsidRPr="00CB093C">
        <w:rPr>
          <w:rFonts w:ascii="Arial" w:hAnsi="Arial" w:cs="Arial"/>
          <w:i/>
          <w:szCs w:val="22"/>
        </w:rPr>
        <w:t>201</w:t>
      </w:r>
      <w:r w:rsidR="003A07FC" w:rsidRPr="00CB093C">
        <w:rPr>
          <w:rFonts w:ascii="Arial" w:hAnsi="Arial" w:cs="Arial"/>
          <w:i/>
          <w:szCs w:val="22"/>
        </w:rPr>
        <w:t>8</w:t>
      </w:r>
      <w:r w:rsidRPr="00CB093C">
        <w:rPr>
          <w:rFonts w:ascii="Arial" w:hAnsi="Arial" w:cs="Arial"/>
          <w:i/>
          <w:szCs w:val="22"/>
        </w:rPr>
        <w:t>.</w:t>
      </w:r>
      <w:bookmarkEnd w:id="419"/>
      <w:bookmarkEnd w:id="420"/>
      <w:r w:rsidR="006341F9" w:rsidRPr="00CB093C">
        <w:rPr>
          <w:rFonts w:ascii="Arial" w:hAnsi="Arial" w:cs="Arial"/>
          <w:vanish/>
          <w:szCs w:val="22"/>
          <w:specVanish/>
        </w:rPr>
        <w:t xml:space="preserve"> </w:t>
      </w:r>
      <w:r w:rsidRPr="00CB093C">
        <w:rPr>
          <w:rFonts w:ascii="Arial" w:hAnsi="Arial" w:cs="Arial"/>
          <w:i/>
          <w:szCs w:val="22"/>
        </w:rPr>
        <w:t xml:space="preserve"> </w:t>
      </w:r>
    </w:p>
    <w:p w14:paraId="6A7702B9" w14:textId="70A13BD3" w:rsidR="00C03C5F" w:rsidRPr="00CB093C" w:rsidRDefault="008C4B1E" w:rsidP="006341F9">
      <w:pPr>
        <w:rPr>
          <w:rFonts w:ascii="Arial" w:hAnsi="Arial" w:cs="Arial"/>
          <w:szCs w:val="22"/>
        </w:rPr>
      </w:pPr>
      <w:r w:rsidRPr="00CB093C">
        <w:rPr>
          <w:rFonts w:ascii="Arial" w:hAnsi="Arial" w:cs="Arial"/>
          <w:i/>
          <w:szCs w:val="22"/>
        </w:rPr>
        <w:t xml:space="preserve">Grey area represents </w:t>
      </w:r>
      <w:r w:rsidR="003158FC" w:rsidRPr="00CB093C">
        <w:rPr>
          <w:rFonts w:ascii="Arial" w:hAnsi="Arial" w:cs="Arial"/>
          <w:i/>
          <w:szCs w:val="22"/>
        </w:rPr>
        <w:t>Reef</w:t>
      </w:r>
      <w:r w:rsidRPr="00CB093C">
        <w:rPr>
          <w:rFonts w:ascii="Arial" w:hAnsi="Arial" w:cs="Arial"/>
          <w:i/>
          <w:szCs w:val="22"/>
        </w:rPr>
        <w:t xml:space="preserve"> long-term average proportion of </w:t>
      </w:r>
      <w:r w:rsidR="00C31BE9" w:rsidRPr="00CB093C">
        <w:rPr>
          <w:rFonts w:ascii="Arial" w:hAnsi="Arial" w:cs="Arial"/>
          <w:i/>
          <w:szCs w:val="22"/>
        </w:rPr>
        <w:t xml:space="preserve">colonising </w:t>
      </w:r>
      <w:r w:rsidR="00A22D98" w:rsidRPr="00CB093C">
        <w:rPr>
          <w:rFonts w:ascii="Arial" w:hAnsi="Arial" w:cs="Arial"/>
          <w:i/>
          <w:szCs w:val="22"/>
        </w:rPr>
        <w:t xml:space="preserve">species </w:t>
      </w:r>
      <w:r w:rsidRPr="00CB093C">
        <w:rPr>
          <w:rFonts w:ascii="Arial" w:hAnsi="Arial" w:cs="Arial"/>
          <w:i/>
          <w:szCs w:val="22"/>
        </w:rPr>
        <w:t>for each habitat type</w:t>
      </w:r>
      <w:r w:rsidRPr="00CB093C">
        <w:rPr>
          <w:rFonts w:ascii="Arial" w:hAnsi="Arial" w:cs="Arial"/>
          <w:szCs w:val="22"/>
        </w:rPr>
        <w:t>.</w:t>
      </w:r>
      <w:r w:rsidR="006341F9" w:rsidRPr="00CB093C">
        <w:rPr>
          <w:rFonts w:ascii="Arial" w:hAnsi="Arial" w:cs="Arial"/>
          <w:szCs w:val="22"/>
        </w:rPr>
        <w:t xml:space="preserve"> </w:t>
      </w:r>
    </w:p>
    <w:p w14:paraId="72B06A6A" w14:textId="647D0067" w:rsidR="009D511F" w:rsidRPr="00CB093C" w:rsidRDefault="00F9462F" w:rsidP="00034AD4">
      <w:pPr>
        <w:spacing w:before="240"/>
        <w:rPr>
          <w:rFonts w:ascii="Arial" w:hAnsi="Arial" w:cs="Arial"/>
          <w:szCs w:val="22"/>
        </w:rPr>
      </w:pPr>
      <w:r w:rsidRPr="00CB093C">
        <w:rPr>
          <w:rFonts w:ascii="Arial" w:hAnsi="Arial" w:cs="Arial"/>
          <w:szCs w:val="22"/>
        </w:rPr>
        <w:t xml:space="preserve">Seagrass meadow </w:t>
      </w:r>
      <w:r w:rsidR="00DD18B8" w:rsidRPr="00CB093C">
        <w:rPr>
          <w:rFonts w:ascii="Arial" w:hAnsi="Arial" w:cs="Arial"/>
          <w:szCs w:val="22"/>
        </w:rPr>
        <w:t>landscape</w:t>
      </w:r>
      <w:r w:rsidRPr="00CB093C">
        <w:rPr>
          <w:rFonts w:ascii="Arial" w:hAnsi="Arial" w:cs="Arial"/>
          <w:szCs w:val="22"/>
        </w:rPr>
        <w:t xml:space="preserve"> mapping was conducted within all </w:t>
      </w:r>
      <w:r w:rsidR="00883F8B" w:rsidRPr="00CB093C">
        <w:rPr>
          <w:rFonts w:ascii="Arial" w:hAnsi="Arial" w:cs="Arial"/>
          <w:szCs w:val="22"/>
        </w:rPr>
        <w:t>monitoring sites in October 201</w:t>
      </w:r>
      <w:r w:rsidR="00D40A36" w:rsidRPr="00CB093C">
        <w:rPr>
          <w:rFonts w:ascii="Arial" w:hAnsi="Arial" w:cs="Arial"/>
          <w:szCs w:val="22"/>
        </w:rPr>
        <w:t>7</w:t>
      </w:r>
      <w:r w:rsidR="00883F8B" w:rsidRPr="00CB093C">
        <w:rPr>
          <w:rFonts w:ascii="Arial" w:hAnsi="Arial" w:cs="Arial"/>
          <w:szCs w:val="22"/>
        </w:rPr>
        <w:t xml:space="preserve"> and April 201</w:t>
      </w:r>
      <w:r w:rsidR="00D40A36" w:rsidRPr="00CB093C">
        <w:rPr>
          <w:rFonts w:ascii="Arial" w:hAnsi="Arial" w:cs="Arial"/>
          <w:szCs w:val="22"/>
        </w:rPr>
        <w:t>8</w:t>
      </w:r>
      <w:r w:rsidRPr="00CB093C">
        <w:rPr>
          <w:rFonts w:ascii="Arial" w:hAnsi="Arial" w:cs="Arial"/>
          <w:szCs w:val="22"/>
        </w:rPr>
        <w:t xml:space="preserve"> to determine if changes in abundance were a consequence of the meadow </w:t>
      </w:r>
      <w:r w:rsidR="00F83491" w:rsidRPr="00CB093C">
        <w:rPr>
          <w:rFonts w:ascii="Arial" w:hAnsi="Arial" w:cs="Arial"/>
          <w:szCs w:val="22"/>
        </w:rPr>
        <w:t>landscape</w:t>
      </w:r>
      <w:r w:rsidRPr="00CB093C">
        <w:rPr>
          <w:rFonts w:ascii="Arial" w:hAnsi="Arial" w:cs="Arial"/>
          <w:szCs w:val="22"/>
        </w:rPr>
        <w:t xml:space="preserve"> changing</w:t>
      </w:r>
      <w:r w:rsidR="00F83491" w:rsidRPr="00CB093C">
        <w:rPr>
          <w:rFonts w:ascii="Arial" w:hAnsi="Arial" w:cs="Arial"/>
          <w:szCs w:val="22"/>
        </w:rPr>
        <w:t xml:space="preserve"> (e.g. </w:t>
      </w:r>
      <w:r w:rsidR="00DD18B8" w:rsidRPr="00CB093C">
        <w:rPr>
          <w:rFonts w:ascii="Arial" w:hAnsi="Arial" w:cs="Arial"/>
          <w:szCs w:val="22"/>
        </w:rPr>
        <w:t>scarring</w:t>
      </w:r>
      <w:r w:rsidR="00F83491" w:rsidRPr="00CB093C">
        <w:rPr>
          <w:rFonts w:ascii="Arial" w:hAnsi="Arial" w:cs="Arial"/>
          <w:szCs w:val="22"/>
        </w:rPr>
        <w:t>,</w:t>
      </w:r>
      <w:r w:rsidR="00DD18B8" w:rsidRPr="00CB093C">
        <w:rPr>
          <w:rFonts w:ascii="Arial" w:hAnsi="Arial" w:cs="Arial"/>
          <w:szCs w:val="22"/>
        </w:rPr>
        <w:t xml:space="preserve"> fragmentation</w:t>
      </w:r>
      <w:r w:rsidR="00F83491" w:rsidRPr="00CB093C">
        <w:rPr>
          <w:rFonts w:ascii="Arial" w:hAnsi="Arial" w:cs="Arial"/>
          <w:szCs w:val="22"/>
        </w:rPr>
        <w:t>, boundary)</w:t>
      </w:r>
      <w:r w:rsidRPr="00CB093C">
        <w:rPr>
          <w:rFonts w:ascii="Arial" w:hAnsi="Arial" w:cs="Arial"/>
          <w:szCs w:val="22"/>
        </w:rPr>
        <w:t xml:space="preserve"> and to indicate if plants were allocating resources to colonisation (asexual reproduction).</w:t>
      </w:r>
      <w:r w:rsidR="005132EF" w:rsidRPr="00CB093C">
        <w:rPr>
          <w:rFonts w:ascii="Arial" w:hAnsi="Arial" w:cs="Arial"/>
          <w:szCs w:val="22"/>
        </w:rPr>
        <w:t xml:space="preserve"> Over the past 12 months, </w:t>
      </w:r>
      <w:r w:rsidR="001E0128" w:rsidRPr="00CB093C">
        <w:rPr>
          <w:rFonts w:ascii="Arial" w:hAnsi="Arial" w:cs="Arial"/>
          <w:szCs w:val="22"/>
        </w:rPr>
        <w:t>spatial</w:t>
      </w:r>
      <w:r w:rsidR="009D01B5" w:rsidRPr="00CB093C">
        <w:rPr>
          <w:rFonts w:ascii="Arial" w:hAnsi="Arial" w:cs="Arial"/>
          <w:szCs w:val="22"/>
        </w:rPr>
        <w:t xml:space="preserve"> </w:t>
      </w:r>
      <w:r w:rsidR="006C492E" w:rsidRPr="00CB093C">
        <w:rPr>
          <w:rFonts w:ascii="Arial" w:hAnsi="Arial" w:cs="Arial"/>
          <w:szCs w:val="22"/>
        </w:rPr>
        <w:t>extent</w:t>
      </w:r>
      <w:r w:rsidR="001E0128" w:rsidRPr="00CB093C">
        <w:rPr>
          <w:rFonts w:ascii="Arial" w:hAnsi="Arial" w:cs="Arial"/>
          <w:szCs w:val="22"/>
        </w:rPr>
        <w:t xml:space="preserve"> </w:t>
      </w:r>
      <w:r w:rsidR="008538C7" w:rsidRPr="00CB093C">
        <w:rPr>
          <w:rFonts w:ascii="Arial" w:hAnsi="Arial" w:cs="Arial"/>
          <w:szCs w:val="22"/>
        </w:rPr>
        <w:t>improved at estuarine meadows following the declines experienced in 2016</w:t>
      </w:r>
      <w:r w:rsidR="00A675DA" w:rsidRPr="00CB093C">
        <w:rPr>
          <w:rFonts w:ascii="Arial" w:hAnsi="Arial" w:cs="Arial"/>
          <w:szCs w:val="22"/>
        </w:rPr>
        <w:t>–</w:t>
      </w:r>
      <w:r w:rsidR="004B316A" w:rsidRPr="00CB093C">
        <w:rPr>
          <w:rFonts w:ascii="Arial" w:hAnsi="Arial" w:cs="Arial"/>
          <w:szCs w:val="22"/>
        </w:rPr>
        <w:t>20</w:t>
      </w:r>
      <w:r w:rsidR="008538C7" w:rsidRPr="00CB093C">
        <w:rPr>
          <w:rFonts w:ascii="Arial" w:hAnsi="Arial" w:cs="Arial"/>
          <w:szCs w:val="22"/>
        </w:rPr>
        <w:t xml:space="preserve">17 as a consequence of the destructive effects of </w:t>
      </w:r>
      <w:r w:rsidR="004B316A" w:rsidRPr="00CB093C">
        <w:rPr>
          <w:rFonts w:ascii="Arial" w:hAnsi="Arial" w:cs="Arial"/>
          <w:szCs w:val="22"/>
        </w:rPr>
        <w:t xml:space="preserve">cyclone </w:t>
      </w:r>
      <w:r w:rsidR="008538C7" w:rsidRPr="00CB093C">
        <w:rPr>
          <w:rFonts w:ascii="Arial" w:hAnsi="Arial" w:cs="Arial"/>
          <w:szCs w:val="22"/>
        </w:rPr>
        <w:t xml:space="preserve">Debbie. At coastal </w:t>
      </w:r>
      <w:r w:rsidR="00F83491" w:rsidRPr="00CB093C">
        <w:rPr>
          <w:rFonts w:ascii="Arial" w:hAnsi="Arial" w:cs="Arial"/>
          <w:szCs w:val="22"/>
        </w:rPr>
        <w:t xml:space="preserve">meadows, extent improved slightly relative to the previous monitoring period, as the level of scarring dissipated and meadow cohesion improved. At </w:t>
      </w:r>
      <w:r w:rsidR="002A4A0D" w:rsidRPr="00CB093C">
        <w:rPr>
          <w:rFonts w:ascii="Arial" w:hAnsi="Arial" w:cs="Arial"/>
          <w:szCs w:val="22"/>
        </w:rPr>
        <w:t xml:space="preserve">reef </w:t>
      </w:r>
      <w:r w:rsidR="008538C7" w:rsidRPr="00CB093C">
        <w:rPr>
          <w:rFonts w:ascii="Arial" w:hAnsi="Arial" w:cs="Arial"/>
          <w:szCs w:val="22"/>
        </w:rPr>
        <w:t xml:space="preserve">meadows, however, extent </w:t>
      </w:r>
      <w:r w:rsidR="009A26B4" w:rsidRPr="00CB093C">
        <w:rPr>
          <w:rFonts w:ascii="Arial" w:hAnsi="Arial" w:cs="Arial"/>
          <w:szCs w:val="22"/>
        </w:rPr>
        <w:t xml:space="preserve">changed little </w:t>
      </w:r>
      <w:r w:rsidR="00F83491" w:rsidRPr="00CB093C">
        <w:rPr>
          <w:rFonts w:ascii="Arial" w:hAnsi="Arial" w:cs="Arial"/>
          <w:szCs w:val="22"/>
        </w:rPr>
        <w:t>due to the high level of fragmentation</w:t>
      </w:r>
      <w:r w:rsidR="009A26B4" w:rsidRPr="00CB093C">
        <w:rPr>
          <w:rFonts w:ascii="Arial" w:hAnsi="Arial" w:cs="Arial"/>
          <w:szCs w:val="22"/>
        </w:rPr>
        <w:t xml:space="preserve"> experienced in the previous period</w:t>
      </w:r>
      <w:r w:rsidR="008538C7" w:rsidRPr="00CB093C">
        <w:rPr>
          <w:rFonts w:ascii="Arial" w:hAnsi="Arial" w:cs="Arial"/>
          <w:szCs w:val="22"/>
        </w:rPr>
        <w:t xml:space="preserve"> (</w:t>
      </w:r>
      <w:r w:rsidR="008538C7" w:rsidRPr="00CB093C">
        <w:rPr>
          <w:rFonts w:ascii="Arial" w:hAnsi="Arial" w:cs="Arial"/>
          <w:szCs w:val="22"/>
        </w:rPr>
        <w:fldChar w:fldCharType="begin"/>
      </w:r>
      <w:r w:rsidR="008538C7" w:rsidRPr="00CB093C">
        <w:rPr>
          <w:rFonts w:ascii="Arial" w:hAnsi="Arial" w:cs="Arial"/>
          <w:szCs w:val="22"/>
        </w:rPr>
        <w:instrText xml:space="preserve"> REF _Ref348961776 \h  \* MERGEFORMAT </w:instrText>
      </w:r>
      <w:r w:rsidR="008538C7" w:rsidRPr="00CB093C">
        <w:rPr>
          <w:rFonts w:ascii="Arial" w:hAnsi="Arial" w:cs="Arial"/>
          <w:szCs w:val="22"/>
        </w:rPr>
      </w:r>
      <w:r w:rsidR="008538C7"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66</w:t>
      </w:r>
      <w:r w:rsidR="008538C7" w:rsidRPr="00CB093C">
        <w:rPr>
          <w:rFonts w:ascii="Arial" w:hAnsi="Arial" w:cs="Arial"/>
          <w:szCs w:val="22"/>
        </w:rPr>
        <w:fldChar w:fldCharType="end"/>
      </w:r>
      <w:r w:rsidR="008538C7" w:rsidRPr="00CB093C">
        <w:rPr>
          <w:rFonts w:ascii="Arial" w:hAnsi="Arial" w:cs="Arial"/>
          <w:szCs w:val="22"/>
        </w:rPr>
        <w:t>).</w:t>
      </w:r>
    </w:p>
    <w:p w14:paraId="74EF6455" w14:textId="77777777" w:rsidR="00C31BE9" w:rsidRPr="00CB093C" w:rsidRDefault="004E43E3" w:rsidP="00C31BE9">
      <w:pPr>
        <w:spacing w:before="240"/>
        <w:jc w:val="center"/>
        <w:rPr>
          <w:rFonts w:ascii="Arial" w:hAnsi="Arial" w:cs="Arial"/>
          <w:szCs w:val="22"/>
        </w:rPr>
      </w:pPr>
      <w:r w:rsidRPr="00CB093C">
        <w:rPr>
          <w:rFonts w:ascii="Arial" w:hAnsi="Arial" w:cs="Arial"/>
          <w:noProof/>
          <w:szCs w:val="22"/>
          <w:lang w:val="en-US"/>
        </w:rPr>
        <w:drawing>
          <wp:inline distT="0" distB="0" distL="0" distR="0" wp14:anchorId="1646DD37" wp14:editId="520655C8">
            <wp:extent cx="4092412" cy="1804256"/>
            <wp:effectExtent l="0" t="0" r="3810" b="5715"/>
            <wp:docPr id="528" name="Picture 528" descr="Line graph showing spatial extent of seagrass meadows within a 100m radius of monitoring sites for each habitat and monitoring period across the Mackay Whitsunda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 name="MW_extent_avg_2016.png"/>
                    <pic:cNvPicPr/>
                  </pic:nvPicPr>
                  <pic:blipFill>
                    <a:blip r:embed="rId110">
                      <a:extLst>
                        <a:ext uri="{28A0092B-C50C-407E-A947-70E740481C1C}">
                          <a14:useLocalDpi xmlns:a14="http://schemas.microsoft.com/office/drawing/2010/main" val="0"/>
                        </a:ext>
                      </a:extLst>
                    </a:blip>
                    <a:stretch>
                      <a:fillRect/>
                    </a:stretch>
                  </pic:blipFill>
                  <pic:spPr>
                    <a:xfrm>
                      <a:off x="0" y="0"/>
                      <a:ext cx="4092412" cy="1804256"/>
                    </a:xfrm>
                    <a:prstGeom prst="rect">
                      <a:avLst/>
                    </a:prstGeom>
                  </pic:spPr>
                </pic:pic>
              </a:graphicData>
            </a:graphic>
          </wp:inline>
        </w:drawing>
      </w:r>
    </w:p>
    <w:p w14:paraId="1EE90C96" w14:textId="33E68860" w:rsidR="008C4B1E" w:rsidRPr="00CB093C" w:rsidRDefault="005132EF" w:rsidP="008C4B1E">
      <w:pPr>
        <w:rPr>
          <w:rFonts w:ascii="Arial" w:hAnsi="Arial" w:cs="Arial"/>
          <w:i/>
          <w:szCs w:val="22"/>
        </w:rPr>
      </w:pPr>
      <w:bookmarkStart w:id="421" w:name="_Ref348961776"/>
      <w:bookmarkStart w:id="422" w:name="_Toc431493875"/>
      <w:bookmarkStart w:id="423" w:name="_Toc6402831"/>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66</w:t>
      </w:r>
      <w:r w:rsidR="0073595B" w:rsidRPr="00CB093C">
        <w:rPr>
          <w:rFonts w:ascii="Arial" w:hAnsi="Arial" w:cs="Arial"/>
          <w:szCs w:val="22"/>
        </w:rPr>
        <w:fldChar w:fldCharType="end"/>
      </w:r>
      <w:bookmarkEnd w:id="421"/>
      <w:r w:rsidRPr="00CB093C">
        <w:rPr>
          <w:rFonts w:ascii="Arial" w:hAnsi="Arial" w:cs="Arial"/>
          <w:szCs w:val="22"/>
        </w:rPr>
        <w:t>.</w:t>
      </w:r>
      <w:r w:rsidRPr="00CB093C">
        <w:rPr>
          <w:rFonts w:ascii="Arial" w:hAnsi="Arial" w:cs="Arial"/>
          <w:i/>
          <w:szCs w:val="22"/>
        </w:rPr>
        <w:t xml:space="preserve"> </w:t>
      </w:r>
      <w:r w:rsidR="008C4B1E" w:rsidRPr="00CB093C">
        <w:rPr>
          <w:rFonts w:ascii="Arial" w:hAnsi="Arial" w:cs="Arial"/>
          <w:i/>
          <w:szCs w:val="22"/>
        </w:rPr>
        <w:t xml:space="preserve">Change in spatial extent of seagrass meadows within monitoring sites for each </w:t>
      </w:r>
      <w:r w:rsidR="006341F9" w:rsidRPr="00CB093C">
        <w:rPr>
          <w:rFonts w:ascii="Arial" w:hAnsi="Arial" w:cs="Arial"/>
          <w:i/>
          <w:szCs w:val="22"/>
        </w:rPr>
        <w:t xml:space="preserve">inshore intertidal </w:t>
      </w:r>
      <w:r w:rsidR="008C4B1E" w:rsidRPr="00CB093C">
        <w:rPr>
          <w:rFonts w:ascii="Arial" w:hAnsi="Arial" w:cs="Arial"/>
          <w:i/>
          <w:szCs w:val="22"/>
        </w:rPr>
        <w:t xml:space="preserve">habitat and monitoring period across the </w:t>
      </w:r>
      <w:r w:rsidR="00637325">
        <w:rPr>
          <w:rFonts w:ascii="Arial" w:hAnsi="Arial" w:cs="Arial"/>
          <w:i/>
          <w:szCs w:val="22"/>
        </w:rPr>
        <w:t>Mackay-Whitsunday</w:t>
      </w:r>
      <w:r w:rsidR="008C4B1E" w:rsidRPr="00CB093C">
        <w:rPr>
          <w:rFonts w:ascii="Arial" w:hAnsi="Arial" w:cs="Arial"/>
          <w:i/>
          <w:szCs w:val="22"/>
        </w:rPr>
        <w:t xml:space="preserve"> NRM region.</w:t>
      </w:r>
      <w:bookmarkEnd w:id="422"/>
      <w:bookmarkEnd w:id="423"/>
    </w:p>
    <w:p w14:paraId="002B0E16" w14:textId="77777777" w:rsidR="004A333E" w:rsidRPr="00CB093C" w:rsidRDefault="004A333E" w:rsidP="005C0B31">
      <w:pPr>
        <w:spacing w:before="240"/>
        <w:rPr>
          <w:rFonts w:ascii="Arial" w:hAnsi="Arial" w:cs="Arial"/>
          <w:szCs w:val="22"/>
        </w:rPr>
      </w:pPr>
    </w:p>
    <w:p w14:paraId="0EC8073C" w14:textId="2B942B11" w:rsidR="005132EF" w:rsidRPr="00CB093C" w:rsidRDefault="005132EF" w:rsidP="000F3AC4">
      <w:pPr>
        <w:pStyle w:val="Heading3"/>
        <w:numPr>
          <w:ilvl w:val="3"/>
          <w:numId w:val="4"/>
        </w:numPr>
        <w:rPr>
          <w:rFonts w:ascii="Arial" w:hAnsi="Arial" w:cs="Arial"/>
          <w:b w:val="0"/>
          <w:i/>
          <w:color w:val="000000"/>
          <w:sz w:val="22"/>
          <w:szCs w:val="22"/>
        </w:rPr>
      </w:pPr>
      <w:bookmarkStart w:id="424" w:name="_Toc184102014"/>
      <w:bookmarkStart w:id="425" w:name="_Toc11394757"/>
      <w:r w:rsidRPr="00CB093C">
        <w:rPr>
          <w:rFonts w:ascii="Arial" w:hAnsi="Arial" w:cs="Arial"/>
          <w:b w:val="0"/>
          <w:i/>
          <w:color w:val="000000"/>
          <w:sz w:val="22"/>
          <w:szCs w:val="22"/>
        </w:rPr>
        <w:t>Seagrass reproductive status</w:t>
      </w:r>
      <w:bookmarkEnd w:id="424"/>
      <w:bookmarkEnd w:id="425"/>
    </w:p>
    <w:p w14:paraId="2ACA46D7" w14:textId="18C0CA0B" w:rsidR="00C31BE9" w:rsidRPr="00CB093C" w:rsidRDefault="00C31BE9" w:rsidP="009D7E19">
      <w:pPr>
        <w:rPr>
          <w:rFonts w:ascii="Arial" w:hAnsi="Arial" w:cs="Arial"/>
          <w:szCs w:val="22"/>
          <w:lang w:val="en-GB"/>
        </w:rPr>
      </w:pPr>
      <w:r w:rsidRPr="00CB093C">
        <w:rPr>
          <w:rFonts w:ascii="Arial" w:hAnsi="Arial" w:cs="Arial"/>
          <w:szCs w:val="22"/>
          <w:lang w:val="en-GB"/>
        </w:rPr>
        <w:t>Reproductive effort was highly variable</w:t>
      </w:r>
      <w:r w:rsidR="00276135" w:rsidRPr="00CB093C">
        <w:rPr>
          <w:rFonts w:ascii="Arial" w:hAnsi="Arial" w:cs="Arial"/>
          <w:szCs w:val="22"/>
          <w:lang w:val="en-GB"/>
        </w:rPr>
        <w:t xml:space="preserve"> and highly seasonal</w:t>
      </w:r>
      <w:r w:rsidRPr="00CB093C">
        <w:rPr>
          <w:rFonts w:ascii="Arial" w:hAnsi="Arial" w:cs="Arial"/>
          <w:szCs w:val="22"/>
          <w:lang w:val="en-GB"/>
        </w:rPr>
        <w:t xml:space="preserve"> in the </w:t>
      </w:r>
      <w:r w:rsidR="00637325">
        <w:rPr>
          <w:rFonts w:ascii="Arial" w:hAnsi="Arial" w:cs="Arial"/>
          <w:szCs w:val="22"/>
          <w:lang w:val="en-GB"/>
        </w:rPr>
        <w:t>Mackay-Whitsunday</w:t>
      </w:r>
      <w:r w:rsidR="00276135" w:rsidRPr="00CB093C">
        <w:rPr>
          <w:rFonts w:ascii="Arial" w:hAnsi="Arial" w:cs="Arial"/>
          <w:szCs w:val="22"/>
          <w:lang w:val="en-GB"/>
        </w:rPr>
        <w:t xml:space="preserve"> region</w:t>
      </w:r>
      <w:r w:rsidR="008F1379" w:rsidRPr="00CB093C">
        <w:rPr>
          <w:rFonts w:ascii="Arial" w:hAnsi="Arial" w:cs="Arial"/>
          <w:szCs w:val="22"/>
          <w:lang w:val="en-GB"/>
        </w:rPr>
        <w:t xml:space="preserve"> (</w:t>
      </w:r>
      <w:r w:rsidR="008F1379" w:rsidRPr="00CB093C">
        <w:rPr>
          <w:rFonts w:ascii="Arial" w:hAnsi="Arial" w:cs="Arial"/>
          <w:szCs w:val="22"/>
          <w:lang w:val="en-GB"/>
        </w:rPr>
        <w:fldChar w:fldCharType="begin"/>
      </w:r>
      <w:r w:rsidR="008F1379" w:rsidRPr="00CB093C">
        <w:rPr>
          <w:rFonts w:ascii="Arial" w:hAnsi="Arial" w:cs="Arial"/>
          <w:szCs w:val="22"/>
          <w:lang w:val="en-GB"/>
        </w:rPr>
        <w:instrText xml:space="preserve"> REF _Ref271532047 \h </w:instrText>
      </w:r>
      <w:r w:rsidR="00580DDA" w:rsidRPr="00CB093C">
        <w:rPr>
          <w:rFonts w:ascii="Arial" w:hAnsi="Arial" w:cs="Arial"/>
          <w:szCs w:val="22"/>
          <w:lang w:val="en-GB"/>
        </w:rPr>
        <w:instrText xml:space="preserve"> \* MERGEFORMAT </w:instrText>
      </w:r>
      <w:r w:rsidR="008F1379" w:rsidRPr="00CB093C">
        <w:rPr>
          <w:rFonts w:ascii="Arial" w:hAnsi="Arial" w:cs="Arial"/>
          <w:szCs w:val="22"/>
          <w:lang w:val="en-GB"/>
        </w:rPr>
      </w:r>
      <w:r w:rsidR="008F1379" w:rsidRPr="00CB093C">
        <w:rPr>
          <w:rFonts w:ascii="Arial" w:hAnsi="Arial" w:cs="Arial"/>
          <w:szCs w:val="22"/>
          <w:lang w:val="en-GB"/>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67</w:t>
      </w:r>
      <w:r w:rsidR="008F1379" w:rsidRPr="00CB093C">
        <w:rPr>
          <w:rFonts w:ascii="Arial" w:hAnsi="Arial" w:cs="Arial"/>
          <w:szCs w:val="22"/>
          <w:lang w:val="en-GB"/>
        </w:rPr>
        <w:fldChar w:fldCharType="end"/>
      </w:r>
      <w:r w:rsidR="008F1379" w:rsidRPr="00CB093C">
        <w:rPr>
          <w:rFonts w:ascii="Arial" w:hAnsi="Arial" w:cs="Arial"/>
          <w:szCs w:val="22"/>
          <w:lang w:val="en-GB"/>
        </w:rPr>
        <w:t>)</w:t>
      </w:r>
      <w:r w:rsidRPr="00CB093C">
        <w:rPr>
          <w:rFonts w:ascii="Arial" w:hAnsi="Arial" w:cs="Arial"/>
          <w:szCs w:val="22"/>
          <w:lang w:val="en-GB"/>
        </w:rPr>
        <w:t xml:space="preserve">. </w:t>
      </w:r>
      <w:r w:rsidR="00FC0DC5" w:rsidRPr="00CB093C">
        <w:rPr>
          <w:rFonts w:ascii="Arial" w:hAnsi="Arial" w:cs="Arial"/>
          <w:szCs w:val="22"/>
          <w:lang w:val="en-GB"/>
        </w:rPr>
        <w:t xml:space="preserve">Reproductive effort remained elevated in coastal habitats, although the density of seeds in the seedbank declined </w:t>
      </w:r>
      <w:r w:rsidR="00C53C48" w:rsidRPr="00CB093C">
        <w:rPr>
          <w:rFonts w:ascii="Arial" w:hAnsi="Arial" w:cs="Arial"/>
          <w:szCs w:val="22"/>
          <w:lang w:val="en-GB"/>
        </w:rPr>
        <w:t xml:space="preserve">slightly in </w:t>
      </w:r>
      <w:r w:rsidR="003654C6">
        <w:rPr>
          <w:rFonts w:ascii="Arial" w:hAnsi="Arial" w:cs="Arial"/>
          <w:szCs w:val="22"/>
          <w:lang w:val="en-GB"/>
        </w:rPr>
        <w:t>2017–18</w:t>
      </w:r>
      <w:r w:rsidR="00FC0DC5" w:rsidRPr="00CB093C">
        <w:rPr>
          <w:rFonts w:ascii="Arial" w:hAnsi="Arial" w:cs="Arial"/>
          <w:szCs w:val="22"/>
          <w:lang w:val="en-GB"/>
        </w:rPr>
        <w:t xml:space="preserve"> after TC Debbie, which may have been due to </w:t>
      </w:r>
      <w:r w:rsidR="00C53C48" w:rsidRPr="00CB093C">
        <w:rPr>
          <w:rFonts w:ascii="Arial" w:hAnsi="Arial" w:cs="Arial"/>
          <w:szCs w:val="22"/>
          <w:lang w:val="en-GB"/>
        </w:rPr>
        <w:t xml:space="preserve">either </w:t>
      </w:r>
      <w:r w:rsidR="00FC0DC5" w:rsidRPr="00CB093C">
        <w:rPr>
          <w:rFonts w:ascii="Arial" w:hAnsi="Arial" w:cs="Arial"/>
          <w:szCs w:val="22"/>
          <w:lang w:val="en-GB"/>
        </w:rPr>
        <w:t>scouring of the seed bank</w:t>
      </w:r>
      <w:r w:rsidR="00C53C48" w:rsidRPr="00CB093C">
        <w:rPr>
          <w:rFonts w:ascii="Arial" w:hAnsi="Arial" w:cs="Arial"/>
          <w:szCs w:val="22"/>
          <w:lang w:val="en-GB"/>
        </w:rPr>
        <w:t xml:space="preserve"> or germination</w:t>
      </w:r>
      <w:r w:rsidR="00FC0DC5" w:rsidRPr="00CB093C">
        <w:rPr>
          <w:rFonts w:ascii="Arial" w:hAnsi="Arial" w:cs="Arial"/>
          <w:szCs w:val="22"/>
          <w:lang w:val="en-GB"/>
        </w:rPr>
        <w:t xml:space="preserve">. At the estuary site (Sarina Inlet), </w:t>
      </w:r>
      <w:r w:rsidR="00C53C48" w:rsidRPr="00CB093C">
        <w:rPr>
          <w:rFonts w:ascii="Arial" w:hAnsi="Arial" w:cs="Arial"/>
          <w:szCs w:val="22"/>
          <w:lang w:val="en-GB"/>
        </w:rPr>
        <w:t>reproductive effort was absent, but seed bank increased slightly relative to the previous year, possibly a legacy of the highest ever recorded reproductive effort in late dry 2016.</w:t>
      </w:r>
      <w:r w:rsidR="00FC0DC5" w:rsidRPr="00CB093C">
        <w:rPr>
          <w:rFonts w:ascii="Arial" w:hAnsi="Arial" w:cs="Arial"/>
          <w:szCs w:val="22"/>
          <w:lang w:val="en-GB"/>
        </w:rPr>
        <w:t xml:space="preserve"> </w:t>
      </w:r>
      <w:r w:rsidR="00CB3F9D" w:rsidRPr="00CB093C">
        <w:rPr>
          <w:rFonts w:ascii="Arial" w:hAnsi="Arial" w:cs="Arial"/>
          <w:szCs w:val="22"/>
          <w:lang w:val="en-GB"/>
        </w:rPr>
        <w:t xml:space="preserve">In contrast, </w:t>
      </w:r>
      <w:r w:rsidR="00276135" w:rsidRPr="00CB093C">
        <w:rPr>
          <w:rFonts w:ascii="Arial" w:hAnsi="Arial" w:cs="Arial"/>
          <w:szCs w:val="22"/>
          <w:lang w:val="en-GB"/>
        </w:rPr>
        <w:t xml:space="preserve">reproductive effort </w:t>
      </w:r>
      <w:r w:rsidR="00CB3F9D" w:rsidRPr="00CB093C">
        <w:rPr>
          <w:rFonts w:ascii="Arial" w:hAnsi="Arial" w:cs="Arial"/>
          <w:szCs w:val="22"/>
          <w:lang w:val="en-GB"/>
        </w:rPr>
        <w:t xml:space="preserve">and the </w:t>
      </w:r>
      <w:r w:rsidR="005B321C" w:rsidRPr="00CB093C">
        <w:rPr>
          <w:rFonts w:ascii="Arial" w:hAnsi="Arial" w:cs="Arial"/>
          <w:szCs w:val="22"/>
          <w:lang w:val="en-GB"/>
        </w:rPr>
        <w:t xml:space="preserve">seeds </w:t>
      </w:r>
      <w:r w:rsidR="00CB3F9D" w:rsidRPr="00CB093C">
        <w:rPr>
          <w:rFonts w:ascii="Arial" w:hAnsi="Arial" w:cs="Arial"/>
          <w:szCs w:val="22"/>
          <w:lang w:val="en-GB"/>
        </w:rPr>
        <w:t xml:space="preserve">density </w:t>
      </w:r>
      <w:r w:rsidR="005B321C" w:rsidRPr="00CB093C">
        <w:rPr>
          <w:rFonts w:ascii="Arial" w:hAnsi="Arial" w:cs="Arial"/>
          <w:szCs w:val="22"/>
          <w:lang w:val="en-GB"/>
        </w:rPr>
        <w:t xml:space="preserve">continued to </w:t>
      </w:r>
      <w:r w:rsidR="00CB3F9D" w:rsidRPr="00CB093C">
        <w:rPr>
          <w:rFonts w:ascii="Arial" w:hAnsi="Arial" w:cs="Arial"/>
          <w:szCs w:val="22"/>
          <w:lang w:val="en-GB"/>
        </w:rPr>
        <w:t xml:space="preserve">remain very low </w:t>
      </w:r>
      <w:r w:rsidR="005B321C" w:rsidRPr="00CB093C">
        <w:rPr>
          <w:rFonts w:ascii="Arial" w:hAnsi="Arial" w:cs="Arial"/>
          <w:szCs w:val="22"/>
          <w:lang w:val="en-GB"/>
        </w:rPr>
        <w:t xml:space="preserve">at reef sites </w:t>
      </w:r>
      <w:r w:rsidR="00CB3F9D" w:rsidRPr="00CB093C">
        <w:rPr>
          <w:rFonts w:ascii="Arial" w:hAnsi="Arial" w:cs="Arial"/>
          <w:szCs w:val="22"/>
          <w:lang w:val="en-GB"/>
        </w:rPr>
        <w:t>i</w:t>
      </w:r>
      <w:r w:rsidR="00276135" w:rsidRPr="00CB093C">
        <w:rPr>
          <w:rFonts w:ascii="Arial" w:hAnsi="Arial" w:cs="Arial"/>
          <w:szCs w:val="22"/>
          <w:lang w:val="en-GB"/>
        </w:rPr>
        <w:t xml:space="preserve">n </w:t>
      </w:r>
      <w:r w:rsidR="003654C6">
        <w:rPr>
          <w:rFonts w:ascii="Arial" w:hAnsi="Arial" w:cs="Arial"/>
          <w:szCs w:val="22"/>
          <w:lang w:val="en-GB"/>
        </w:rPr>
        <w:t>2017–18</w:t>
      </w:r>
      <w:r w:rsidR="00CB3F9D" w:rsidRPr="00CB093C">
        <w:rPr>
          <w:rFonts w:ascii="Arial" w:hAnsi="Arial" w:cs="Arial"/>
          <w:szCs w:val="22"/>
          <w:lang w:val="en-GB"/>
        </w:rPr>
        <w:t xml:space="preserve">, which </w:t>
      </w:r>
      <w:r w:rsidR="005B321C" w:rsidRPr="00CB093C">
        <w:rPr>
          <w:rFonts w:ascii="Arial" w:hAnsi="Arial" w:cs="Arial"/>
          <w:szCs w:val="22"/>
          <w:lang w:val="en-GB"/>
        </w:rPr>
        <w:t>appears</w:t>
      </w:r>
      <w:r w:rsidR="00CB3F9D" w:rsidRPr="00CB093C">
        <w:rPr>
          <w:rFonts w:ascii="Arial" w:hAnsi="Arial" w:cs="Arial"/>
          <w:szCs w:val="22"/>
          <w:lang w:val="en-GB"/>
        </w:rPr>
        <w:t xml:space="preserve"> </w:t>
      </w:r>
      <w:r w:rsidR="005B321C" w:rsidRPr="00CB093C">
        <w:rPr>
          <w:rFonts w:ascii="Arial" w:hAnsi="Arial" w:cs="Arial"/>
          <w:szCs w:val="22"/>
          <w:lang w:val="en-GB"/>
        </w:rPr>
        <w:t xml:space="preserve">usual </w:t>
      </w:r>
      <w:r w:rsidR="00CB3F9D" w:rsidRPr="00CB093C">
        <w:rPr>
          <w:rFonts w:ascii="Arial" w:hAnsi="Arial" w:cs="Arial"/>
          <w:szCs w:val="22"/>
          <w:lang w:val="en-GB"/>
        </w:rPr>
        <w:t xml:space="preserve">for </w:t>
      </w:r>
      <w:r w:rsidRPr="00CB093C">
        <w:rPr>
          <w:rFonts w:ascii="Arial" w:hAnsi="Arial" w:cs="Arial"/>
          <w:szCs w:val="22"/>
          <w:lang w:val="en-GB"/>
        </w:rPr>
        <w:t>reef habitat meadows</w:t>
      </w:r>
      <w:r w:rsidR="008F1379" w:rsidRPr="00CB093C">
        <w:rPr>
          <w:rFonts w:ascii="Arial" w:hAnsi="Arial" w:cs="Arial"/>
          <w:szCs w:val="22"/>
          <w:lang w:val="en-GB"/>
        </w:rPr>
        <w:t xml:space="preserve"> (</w:t>
      </w:r>
      <w:r w:rsidR="008F1379" w:rsidRPr="00CB093C">
        <w:rPr>
          <w:rFonts w:ascii="Arial" w:hAnsi="Arial" w:cs="Arial"/>
          <w:szCs w:val="22"/>
          <w:lang w:val="en-GB"/>
        </w:rPr>
        <w:fldChar w:fldCharType="begin"/>
      </w:r>
      <w:r w:rsidR="008F1379" w:rsidRPr="00CB093C">
        <w:rPr>
          <w:rFonts w:ascii="Arial" w:hAnsi="Arial" w:cs="Arial"/>
          <w:szCs w:val="22"/>
          <w:lang w:val="en-GB"/>
        </w:rPr>
        <w:instrText xml:space="preserve"> REF _Ref271532047 \h </w:instrText>
      </w:r>
      <w:r w:rsidR="00580DDA" w:rsidRPr="00CB093C">
        <w:rPr>
          <w:rFonts w:ascii="Arial" w:hAnsi="Arial" w:cs="Arial"/>
          <w:szCs w:val="22"/>
          <w:lang w:val="en-GB"/>
        </w:rPr>
        <w:instrText xml:space="preserve"> \* MERGEFORMAT </w:instrText>
      </w:r>
      <w:r w:rsidR="008F1379" w:rsidRPr="00CB093C">
        <w:rPr>
          <w:rFonts w:ascii="Arial" w:hAnsi="Arial" w:cs="Arial"/>
          <w:szCs w:val="22"/>
          <w:lang w:val="en-GB"/>
        </w:rPr>
      </w:r>
      <w:r w:rsidR="008F1379" w:rsidRPr="00CB093C">
        <w:rPr>
          <w:rFonts w:ascii="Arial" w:hAnsi="Arial" w:cs="Arial"/>
          <w:szCs w:val="22"/>
          <w:lang w:val="en-GB"/>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67</w:t>
      </w:r>
      <w:r w:rsidR="008F1379" w:rsidRPr="00CB093C">
        <w:rPr>
          <w:rFonts w:ascii="Arial" w:hAnsi="Arial" w:cs="Arial"/>
          <w:szCs w:val="22"/>
          <w:lang w:val="en-GB"/>
        </w:rPr>
        <w:fldChar w:fldCharType="end"/>
      </w:r>
      <w:r w:rsidR="008F1379" w:rsidRPr="00CB093C">
        <w:rPr>
          <w:rFonts w:ascii="Arial" w:hAnsi="Arial" w:cs="Arial"/>
          <w:szCs w:val="22"/>
          <w:lang w:val="en-GB"/>
        </w:rPr>
        <w:t>)</w:t>
      </w:r>
      <w:r w:rsidR="005B321C" w:rsidRPr="00CB093C">
        <w:rPr>
          <w:rFonts w:ascii="Arial" w:hAnsi="Arial" w:cs="Arial"/>
          <w:szCs w:val="22"/>
          <w:lang w:val="en-GB"/>
        </w:rPr>
        <w:t>.</w:t>
      </w:r>
    </w:p>
    <w:p w14:paraId="2D0C773C" w14:textId="77777777" w:rsidR="00C31BE9" w:rsidRPr="00CB093C" w:rsidRDefault="00C31BE9" w:rsidP="009D7E19">
      <w:pPr>
        <w:rPr>
          <w:rFonts w:ascii="Arial" w:hAnsi="Arial" w:cs="Arial"/>
          <w:color w:val="000000"/>
          <w:szCs w:val="22"/>
          <w:lang w:val="en-GB"/>
        </w:rPr>
      </w:pPr>
    </w:p>
    <w:p w14:paraId="52470FA3" w14:textId="77777777" w:rsidR="00C31BE9" w:rsidRPr="00CB093C" w:rsidRDefault="004E43E3" w:rsidP="009D7E19">
      <w:pPr>
        <w:rPr>
          <w:rFonts w:ascii="Arial" w:hAnsi="Arial" w:cs="Arial"/>
          <w:color w:val="000000"/>
          <w:szCs w:val="22"/>
          <w:lang w:val="en-GB"/>
        </w:rPr>
      </w:pPr>
      <w:r w:rsidRPr="00CB093C">
        <w:rPr>
          <w:rFonts w:ascii="Arial" w:hAnsi="Arial" w:cs="Arial"/>
          <w:noProof/>
          <w:color w:val="000000"/>
          <w:szCs w:val="22"/>
          <w:lang w:val="en-US"/>
        </w:rPr>
        <w:drawing>
          <wp:inline distT="0" distB="0" distL="0" distR="0" wp14:anchorId="5D3CFD0E" wp14:editId="3CF08EF4">
            <wp:extent cx="5731818" cy="1400400"/>
            <wp:effectExtent l="0" t="0" r="2540" b="9525"/>
            <wp:docPr id="530" name="Picture 530" descr="Panel of three composite bar and scatter plot graphs showing seed banks (bars) and reproductive effort (dots) at inshore seagrass habitats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 name="MW_repro16.png"/>
                    <pic:cNvPicPr/>
                  </pic:nvPicPr>
                  <pic:blipFill>
                    <a:blip r:embed="rId111">
                      <a:extLst>
                        <a:ext uri="{28A0092B-C50C-407E-A947-70E740481C1C}">
                          <a14:useLocalDpi xmlns:a14="http://schemas.microsoft.com/office/drawing/2010/main" val="0"/>
                        </a:ext>
                      </a:extLst>
                    </a:blip>
                    <a:stretch>
                      <a:fillRect/>
                    </a:stretch>
                  </pic:blipFill>
                  <pic:spPr>
                    <a:xfrm>
                      <a:off x="0" y="0"/>
                      <a:ext cx="5731818" cy="1400400"/>
                    </a:xfrm>
                    <a:prstGeom prst="rect">
                      <a:avLst/>
                    </a:prstGeom>
                  </pic:spPr>
                </pic:pic>
              </a:graphicData>
            </a:graphic>
          </wp:inline>
        </w:drawing>
      </w:r>
    </w:p>
    <w:p w14:paraId="0B2FCE10" w14:textId="1A27CE52" w:rsidR="006341F9" w:rsidRPr="00CB093C" w:rsidRDefault="005132EF" w:rsidP="006341F9">
      <w:pPr>
        <w:rPr>
          <w:rFonts w:ascii="Arial" w:hAnsi="Arial" w:cs="Arial"/>
          <w:i/>
          <w:vanish/>
          <w:szCs w:val="22"/>
          <w:specVanish/>
        </w:rPr>
      </w:pPr>
      <w:bookmarkStart w:id="426" w:name="_Ref271532047"/>
      <w:bookmarkStart w:id="427" w:name="_Toc431493876"/>
      <w:bookmarkStart w:id="428" w:name="_Toc6402832"/>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67</w:t>
      </w:r>
      <w:r w:rsidR="0073595B" w:rsidRPr="00CB093C">
        <w:rPr>
          <w:rFonts w:ascii="Arial" w:hAnsi="Arial" w:cs="Arial"/>
          <w:color w:val="000000"/>
          <w:szCs w:val="22"/>
        </w:rPr>
        <w:fldChar w:fldCharType="end"/>
      </w:r>
      <w:bookmarkEnd w:id="426"/>
      <w:r w:rsidRPr="00CB093C">
        <w:rPr>
          <w:rFonts w:ascii="Arial" w:hAnsi="Arial" w:cs="Arial"/>
          <w:color w:val="000000"/>
          <w:szCs w:val="22"/>
        </w:rPr>
        <w:t xml:space="preserve">. </w:t>
      </w:r>
      <w:r w:rsidR="006341F9" w:rsidRPr="00CB093C">
        <w:rPr>
          <w:rFonts w:ascii="Arial" w:hAnsi="Arial" w:cs="Arial"/>
          <w:i/>
          <w:color w:val="000000"/>
          <w:szCs w:val="22"/>
        </w:rPr>
        <w:t xml:space="preserve">Seed bank and reproductive effort at inshore intertidal coast, estuary, and </w:t>
      </w:r>
      <w:r w:rsidR="006341F9" w:rsidRPr="00CB093C">
        <w:rPr>
          <w:rFonts w:ascii="Arial" w:hAnsi="Arial" w:cs="Arial"/>
          <w:i/>
          <w:szCs w:val="22"/>
        </w:rPr>
        <w:t xml:space="preserve">reef habitats in the </w:t>
      </w:r>
      <w:r w:rsidR="00637325">
        <w:rPr>
          <w:rFonts w:ascii="Arial" w:hAnsi="Arial" w:cs="Arial"/>
          <w:i/>
          <w:szCs w:val="22"/>
        </w:rPr>
        <w:t>Mackay-Whitsunday</w:t>
      </w:r>
      <w:r w:rsidR="00E249FC" w:rsidRPr="00CB093C">
        <w:rPr>
          <w:rFonts w:ascii="Arial" w:hAnsi="Arial" w:cs="Arial"/>
          <w:i/>
          <w:szCs w:val="22"/>
        </w:rPr>
        <w:t xml:space="preserve"> </w:t>
      </w:r>
      <w:r w:rsidR="006341F9" w:rsidRPr="00CB093C">
        <w:rPr>
          <w:rFonts w:ascii="Arial" w:hAnsi="Arial" w:cs="Arial"/>
          <w:i/>
          <w:szCs w:val="22"/>
        </w:rPr>
        <w:t>region, 2001</w:t>
      </w:r>
      <w:r w:rsidR="00A675DA" w:rsidRPr="00CB093C">
        <w:rPr>
          <w:rFonts w:ascii="Arial" w:hAnsi="Arial" w:cs="Arial"/>
          <w:i/>
          <w:szCs w:val="22"/>
        </w:rPr>
        <w:t>–</w:t>
      </w:r>
      <w:r w:rsidR="006341F9" w:rsidRPr="00CB093C">
        <w:rPr>
          <w:rFonts w:ascii="Arial" w:hAnsi="Arial" w:cs="Arial"/>
          <w:i/>
          <w:szCs w:val="22"/>
        </w:rPr>
        <w:t>201</w:t>
      </w:r>
      <w:r w:rsidR="00A47432" w:rsidRPr="00CB093C">
        <w:rPr>
          <w:rFonts w:ascii="Arial" w:hAnsi="Arial" w:cs="Arial"/>
          <w:i/>
          <w:szCs w:val="22"/>
        </w:rPr>
        <w:t>8</w:t>
      </w:r>
      <w:r w:rsidR="00E249FC" w:rsidRPr="00CB093C">
        <w:rPr>
          <w:rFonts w:ascii="Arial" w:hAnsi="Arial" w:cs="Arial"/>
          <w:i/>
          <w:szCs w:val="22"/>
        </w:rPr>
        <w:t>.</w:t>
      </w:r>
      <w:bookmarkEnd w:id="427"/>
      <w:bookmarkEnd w:id="428"/>
      <w:r w:rsidR="00E249FC" w:rsidRPr="00CB093C">
        <w:rPr>
          <w:rFonts w:ascii="Arial" w:hAnsi="Arial" w:cs="Arial"/>
          <w:i/>
          <w:szCs w:val="22"/>
        </w:rPr>
        <w:t xml:space="preserve"> </w:t>
      </w:r>
    </w:p>
    <w:p w14:paraId="748C68AC" w14:textId="3398B62D" w:rsidR="001F05B0" w:rsidRPr="00CB093C" w:rsidRDefault="006341F9" w:rsidP="001F05B0">
      <w:pPr>
        <w:rPr>
          <w:rFonts w:ascii="Arial" w:hAnsi="Arial" w:cs="Arial"/>
          <w:szCs w:val="22"/>
          <w:lang w:val="en-GB"/>
        </w:rPr>
      </w:pPr>
      <w:r w:rsidRPr="00CB093C">
        <w:rPr>
          <w:rFonts w:ascii="Arial" w:hAnsi="Arial" w:cs="Arial"/>
          <w:i/>
          <w:szCs w:val="22"/>
        </w:rPr>
        <w:t xml:space="preserve">Seed bank presented as the total </w:t>
      </w:r>
      <w:r w:rsidRPr="00CB093C">
        <w:rPr>
          <w:rFonts w:ascii="Arial" w:hAnsi="Arial" w:cs="Arial"/>
          <w:i/>
          <w:color w:val="000000"/>
          <w:szCs w:val="22"/>
        </w:rPr>
        <w:t>number of seeds per m</w:t>
      </w:r>
      <w:r w:rsidRPr="00CB093C">
        <w:rPr>
          <w:rFonts w:ascii="Arial" w:hAnsi="Arial" w:cs="Arial"/>
          <w:i/>
          <w:color w:val="000000"/>
          <w:szCs w:val="22"/>
          <w:vertAlign w:val="superscript"/>
        </w:rPr>
        <w:t>2</w:t>
      </w:r>
      <w:r w:rsidRPr="00CB093C">
        <w:rPr>
          <w:rFonts w:ascii="Arial" w:hAnsi="Arial" w:cs="Arial"/>
          <w:i/>
          <w:color w:val="000000"/>
          <w:szCs w:val="22"/>
        </w:rPr>
        <w:t xml:space="preserve"> sediment surface and reproductive effort presented as the average number of reproductive structures per core (species and sites pooled). </w:t>
      </w:r>
      <w:r w:rsidR="00E249FC" w:rsidRPr="00CB093C">
        <w:rPr>
          <w:rFonts w:ascii="Arial" w:hAnsi="Arial" w:cs="Arial"/>
          <w:i/>
          <w:color w:val="000000"/>
          <w:szCs w:val="22"/>
        </w:rPr>
        <w:t>NB: Y-axis scale for seed banks differs between habitats.</w:t>
      </w:r>
      <w:r w:rsidRPr="00CB093C">
        <w:rPr>
          <w:rFonts w:ascii="Arial" w:hAnsi="Arial" w:cs="Arial"/>
          <w:color w:val="000000"/>
          <w:szCs w:val="22"/>
        </w:rPr>
        <w:t xml:space="preserve"> </w:t>
      </w:r>
    </w:p>
    <w:p w14:paraId="6969261F" w14:textId="5CED35CD" w:rsidR="002F1D37" w:rsidRPr="00CB093C" w:rsidRDefault="002F1D37" w:rsidP="000F3AC4">
      <w:pPr>
        <w:pStyle w:val="Heading3"/>
        <w:numPr>
          <w:ilvl w:val="3"/>
          <w:numId w:val="4"/>
        </w:numPr>
        <w:rPr>
          <w:rFonts w:ascii="Arial" w:hAnsi="Arial" w:cs="Arial"/>
          <w:b w:val="0"/>
          <w:i/>
          <w:color w:val="000000"/>
          <w:sz w:val="22"/>
          <w:szCs w:val="22"/>
        </w:rPr>
      </w:pPr>
      <w:bookmarkStart w:id="429" w:name="_Toc11394758"/>
      <w:r w:rsidRPr="00CB093C">
        <w:rPr>
          <w:rFonts w:ascii="Arial" w:hAnsi="Arial" w:cs="Arial"/>
          <w:b w:val="0"/>
          <w:i/>
          <w:color w:val="000000"/>
          <w:sz w:val="22"/>
          <w:szCs w:val="22"/>
        </w:rPr>
        <w:t>Seagrass leaf tissue nutrients</w:t>
      </w:r>
      <w:bookmarkEnd w:id="429"/>
    </w:p>
    <w:p w14:paraId="4B5C23DB" w14:textId="4F7C1CCF" w:rsidR="00C31BE9" w:rsidRPr="00CB093C" w:rsidRDefault="00C31BE9" w:rsidP="00034AD4">
      <w:pPr>
        <w:rPr>
          <w:rFonts w:ascii="Arial" w:hAnsi="Arial" w:cs="Arial"/>
          <w:iCs/>
          <w:szCs w:val="22"/>
        </w:rPr>
      </w:pPr>
      <w:r w:rsidRPr="00CB093C">
        <w:rPr>
          <w:rFonts w:ascii="Arial" w:hAnsi="Arial" w:cs="Arial"/>
          <w:iCs/>
          <w:szCs w:val="22"/>
        </w:rPr>
        <w:t xml:space="preserve">Seagrass leaf molar C:N ratios were </w:t>
      </w:r>
      <w:r w:rsidR="00B746BD" w:rsidRPr="00CB093C">
        <w:rPr>
          <w:rFonts w:ascii="Arial" w:hAnsi="Arial" w:cs="Arial"/>
          <w:iCs/>
          <w:szCs w:val="22"/>
        </w:rPr>
        <w:t>unchanged compared</w:t>
      </w:r>
      <w:r w:rsidRPr="00CB093C">
        <w:rPr>
          <w:rFonts w:ascii="Arial" w:hAnsi="Arial" w:cs="Arial"/>
          <w:iCs/>
          <w:szCs w:val="22"/>
        </w:rPr>
        <w:t xml:space="preserve"> to the previous year</w:t>
      </w:r>
      <w:r w:rsidR="005B321C" w:rsidRPr="00CB093C">
        <w:rPr>
          <w:rFonts w:ascii="Arial" w:hAnsi="Arial" w:cs="Arial"/>
          <w:iCs/>
          <w:szCs w:val="22"/>
        </w:rPr>
        <w:t xml:space="preserve">, </w:t>
      </w:r>
      <w:r w:rsidR="00B746BD" w:rsidRPr="00CB093C">
        <w:rPr>
          <w:rFonts w:ascii="Arial" w:hAnsi="Arial" w:cs="Arial"/>
          <w:iCs/>
          <w:szCs w:val="22"/>
        </w:rPr>
        <w:t>remain</w:t>
      </w:r>
      <w:r w:rsidR="005B321C" w:rsidRPr="00CB093C">
        <w:rPr>
          <w:rFonts w:ascii="Arial" w:hAnsi="Arial" w:cs="Arial"/>
          <w:iCs/>
          <w:szCs w:val="22"/>
        </w:rPr>
        <w:t xml:space="preserve">ing </w:t>
      </w:r>
      <w:r w:rsidRPr="00CB093C">
        <w:rPr>
          <w:rFonts w:ascii="Arial" w:hAnsi="Arial" w:cs="Arial"/>
          <w:iCs/>
          <w:szCs w:val="22"/>
        </w:rPr>
        <w:t>below 20 (</w:t>
      </w:r>
      <w:r w:rsidR="007C6C8F" w:rsidRPr="00CB093C">
        <w:rPr>
          <w:rFonts w:ascii="Arial" w:hAnsi="Arial" w:cs="Arial"/>
          <w:iCs/>
          <w:szCs w:val="22"/>
        </w:rPr>
        <w:fldChar w:fldCharType="begin"/>
      </w:r>
      <w:r w:rsidR="007C6C8F" w:rsidRPr="00CB093C">
        <w:rPr>
          <w:rFonts w:ascii="Arial" w:hAnsi="Arial" w:cs="Arial"/>
          <w:iCs/>
          <w:szCs w:val="22"/>
        </w:rPr>
        <w:instrText xml:space="preserve"> REF _Ref271130459 \h </w:instrText>
      </w:r>
      <w:r w:rsidR="00580DDA" w:rsidRPr="00CB093C">
        <w:rPr>
          <w:rFonts w:ascii="Arial" w:hAnsi="Arial" w:cs="Arial"/>
          <w:iCs/>
          <w:szCs w:val="22"/>
        </w:rPr>
        <w:instrText xml:space="preserve"> \* MERGEFORMAT </w:instrText>
      </w:r>
      <w:r w:rsidR="007C6C8F" w:rsidRPr="00CB093C">
        <w:rPr>
          <w:rFonts w:ascii="Arial" w:hAnsi="Arial" w:cs="Arial"/>
          <w:iCs/>
          <w:szCs w:val="22"/>
        </w:rPr>
      </w:r>
      <w:r w:rsidR="007C6C8F" w:rsidRPr="00CB093C">
        <w:rPr>
          <w:rFonts w:ascii="Arial" w:hAnsi="Arial" w:cs="Arial"/>
          <w:iCs/>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68</w:t>
      </w:r>
      <w:r w:rsidR="007C6C8F" w:rsidRPr="00CB093C">
        <w:rPr>
          <w:rFonts w:ascii="Arial" w:hAnsi="Arial" w:cs="Arial"/>
          <w:iCs/>
          <w:szCs w:val="22"/>
        </w:rPr>
        <w:fldChar w:fldCharType="end"/>
      </w:r>
      <w:r w:rsidRPr="00CB093C">
        <w:rPr>
          <w:rFonts w:ascii="Arial" w:hAnsi="Arial" w:cs="Arial"/>
          <w:iCs/>
          <w:szCs w:val="22"/>
        </w:rPr>
        <w:t>)</w:t>
      </w:r>
      <w:r w:rsidR="005B321C" w:rsidRPr="00CB093C">
        <w:rPr>
          <w:rFonts w:ascii="Arial" w:hAnsi="Arial" w:cs="Arial"/>
          <w:iCs/>
          <w:szCs w:val="22"/>
        </w:rPr>
        <w:t>,</w:t>
      </w:r>
      <w:r w:rsidRPr="00CB093C">
        <w:rPr>
          <w:rFonts w:ascii="Arial" w:hAnsi="Arial" w:cs="Arial"/>
          <w:iCs/>
          <w:szCs w:val="22"/>
        </w:rPr>
        <w:t xml:space="preserve"> </w:t>
      </w:r>
      <w:r w:rsidR="00B746BD" w:rsidRPr="00CB093C">
        <w:rPr>
          <w:rFonts w:ascii="Arial" w:hAnsi="Arial" w:cs="Arial"/>
          <w:iCs/>
          <w:szCs w:val="22"/>
        </w:rPr>
        <w:t>indicating</w:t>
      </w:r>
      <w:r w:rsidRPr="00CB093C">
        <w:rPr>
          <w:rFonts w:ascii="Arial" w:hAnsi="Arial" w:cs="Arial"/>
          <w:iCs/>
          <w:szCs w:val="22"/>
        </w:rPr>
        <w:t xml:space="preserve"> a surplus of N relative to photosynthetic C incorporation. N:P ratios </w:t>
      </w:r>
      <w:r w:rsidR="005B321C" w:rsidRPr="00CB093C">
        <w:rPr>
          <w:rFonts w:ascii="Arial" w:hAnsi="Arial" w:cs="Arial"/>
          <w:iCs/>
          <w:szCs w:val="22"/>
        </w:rPr>
        <w:t xml:space="preserve">continued to </w:t>
      </w:r>
      <w:r w:rsidRPr="00CB093C">
        <w:rPr>
          <w:rFonts w:ascii="Arial" w:hAnsi="Arial" w:cs="Arial"/>
          <w:iCs/>
          <w:szCs w:val="22"/>
        </w:rPr>
        <w:t>increase</w:t>
      </w:r>
      <w:r w:rsidR="005B321C" w:rsidRPr="00CB093C">
        <w:rPr>
          <w:rFonts w:ascii="Arial" w:hAnsi="Arial" w:cs="Arial"/>
          <w:iCs/>
          <w:szCs w:val="22"/>
        </w:rPr>
        <w:t xml:space="preserve"> across all </w:t>
      </w:r>
      <w:r w:rsidR="00B746BD" w:rsidRPr="00CB093C">
        <w:rPr>
          <w:rFonts w:ascii="Arial" w:hAnsi="Arial" w:cs="Arial"/>
          <w:iCs/>
          <w:szCs w:val="22"/>
        </w:rPr>
        <w:t>habitats</w:t>
      </w:r>
      <w:r w:rsidRPr="00CB093C">
        <w:rPr>
          <w:rFonts w:ascii="Arial" w:hAnsi="Arial" w:cs="Arial"/>
          <w:iCs/>
          <w:szCs w:val="22"/>
        </w:rPr>
        <w:t xml:space="preserve">, </w:t>
      </w:r>
      <w:r w:rsidR="005B321C" w:rsidRPr="00CB093C">
        <w:rPr>
          <w:rFonts w:ascii="Arial" w:hAnsi="Arial" w:cs="Arial"/>
          <w:iCs/>
          <w:szCs w:val="22"/>
        </w:rPr>
        <w:t xml:space="preserve">and %N remained above the global median, </w:t>
      </w:r>
      <w:r w:rsidRPr="00CB093C">
        <w:rPr>
          <w:rFonts w:ascii="Arial" w:hAnsi="Arial" w:cs="Arial"/>
          <w:iCs/>
          <w:szCs w:val="22"/>
        </w:rPr>
        <w:t>indicat</w:t>
      </w:r>
      <w:r w:rsidR="005B321C" w:rsidRPr="00CB093C">
        <w:rPr>
          <w:rFonts w:ascii="Arial" w:hAnsi="Arial" w:cs="Arial"/>
          <w:iCs/>
          <w:szCs w:val="22"/>
        </w:rPr>
        <w:t>ing</w:t>
      </w:r>
      <w:r w:rsidRPr="00CB093C">
        <w:rPr>
          <w:rFonts w:ascii="Arial" w:hAnsi="Arial" w:cs="Arial"/>
          <w:iCs/>
          <w:szCs w:val="22"/>
        </w:rPr>
        <w:t xml:space="preserve"> surplus availability of N </w:t>
      </w:r>
      <w:r w:rsidR="005B321C" w:rsidRPr="00CB093C">
        <w:rPr>
          <w:rFonts w:ascii="Arial" w:hAnsi="Arial" w:cs="Arial"/>
          <w:iCs/>
          <w:szCs w:val="22"/>
        </w:rPr>
        <w:t>across the region. T</w:t>
      </w:r>
      <w:r w:rsidR="005B321C" w:rsidRPr="00CB093C">
        <w:rPr>
          <w:rFonts w:ascii="Arial" w:hAnsi="Arial" w:cs="Arial"/>
          <w:iCs/>
          <w:color w:val="000000" w:themeColor="text1"/>
          <w:szCs w:val="22"/>
        </w:rPr>
        <w:t>he moderate and fluctuating δ</w:t>
      </w:r>
      <w:r w:rsidR="005B321C" w:rsidRPr="00CB093C">
        <w:rPr>
          <w:rFonts w:ascii="Arial" w:hAnsi="Arial" w:cs="Arial"/>
          <w:iCs/>
          <w:color w:val="000000" w:themeColor="text1"/>
          <w:szCs w:val="22"/>
          <w:vertAlign w:val="superscript"/>
        </w:rPr>
        <w:t>15</w:t>
      </w:r>
      <w:r w:rsidR="005B321C" w:rsidRPr="00CB093C">
        <w:rPr>
          <w:rFonts w:ascii="Arial" w:hAnsi="Arial" w:cs="Arial"/>
          <w:iCs/>
          <w:color w:val="000000" w:themeColor="text1"/>
          <w:szCs w:val="22"/>
        </w:rPr>
        <w:t>N (e.g. increasing at reef habitats), suggests some influence of</w:t>
      </w:r>
      <w:r w:rsidR="008D2412" w:rsidRPr="00CB093C">
        <w:rPr>
          <w:rFonts w:ascii="Arial" w:hAnsi="Arial" w:cs="Arial"/>
          <w:iCs/>
          <w:color w:val="000000" w:themeColor="text1"/>
          <w:szCs w:val="22"/>
        </w:rPr>
        <w:t xml:space="preserve"> an</w:t>
      </w:r>
      <w:r w:rsidR="005B321C" w:rsidRPr="00CB093C">
        <w:rPr>
          <w:rFonts w:ascii="Arial" w:hAnsi="Arial" w:cs="Arial"/>
          <w:iCs/>
          <w:color w:val="000000" w:themeColor="text1"/>
          <w:szCs w:val="22"/>
        </w:rPr>
        <w:t xml:space="preserve"> anthropogenic source of N</w:t>
      </w:r>
      <w:r w:rsidR="008D2412" w:rsidRPr="00CB093C">
        <w:rPr>
          <w:rFonts w:ascii="Arial" w:hAnsi="Arial" w:cs="Arial"/>
          <w:iCs/>
          <w:color w:val="000000" w:themeColor="text1"/>
          <w:szCs w:val="22"/>
        </w:rPr>
        <w:t xml:space="preserve"> </w:t>
      </w:r>
      <w:r w:rsidR="009E384B" w:rsidRPr="00CB093C">
        <w:rPr>
          <w:rFonts w:ascii="Arial" w:hAnsi="Arial" w:cs="Arial"/>
          <w:iCs/>
          <w:color w:val="000000" w:themeColor="text1"/>
          <w:szCs w:val="22"/>
        </w:rPr>
        <w:t xml:space="preserve">at some sites (e.g., Hamilton Island) </w:t>
      </w:r>
      <w:r w:rsidR="008D2412" w:rsidRPr="00CB093C">
        <w:rPr>
          <w:rFonts w:ascii="Arial" w:hAnsi="Arial" w:cs="Arial"/>
          <w:iCs/>
          <w:szCs w:val="22"/>
        </w:rPr>
        <w:t>(</w:t>
      </w:r>
      <w:r w:rsidR="008D2412" w:rsidRPr="00CB093C">
        <w:rPr>
          <w:rFonts w:ascii="Arial" w:hAnsi="Arial" w:cs="Arial"/>
          <w:iCs/>
          <w:szCs w:val="22"/>
        </w:rPr>
        <w:fldChar w:fldCharType="begin"/>
      </w:r>
      <w:r w:rsidR="008D2412" w:rsidRPr="00CB093C">
        <w:rPr>
          <w:rFonts w:ascii="Arial" w:hAnsi="Arial" w:cs="Arial"/>
          <w:iCs/>
          <w:szCs w:val="22"/>
        </w:rPr>
        <w:instrText xml:space="preserve"> REF _Ref271130459 \h  \* MERGEFORMAT </w:instrText>
      </w:r>
      <w:r w:rsidR="008D2412" w:rsidRPr="00CB093C">
        <w:rPr>
          <w:rFonts w:ascii="Arial" w:hAnsi="Arial" w:cs="Arial"/>
          <w:iCs/>
          <w:szCs w:val="22"/>
        </w:rPr>
      </w:r>
      <w:r w:rsidR="008D2412" w:rsidRPr="00CB093C">
        <w:rPr>
          <w:rFonts w:ascii="Arial" w:hAnsi="Arial" w:cs="Arial"/>
          <w:iCs/>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68</w:t>
      </w:r>
      <w:r w:rsidR="008D2412" w:rsidRPr="00CB093C">
        <w:rPr>
          <w:rFonts w:ascii="Arial" w:hAnsi="Arial" w:cs="Arial"/>
          <w:iCs/>
          <w:szCs w:val="22"/>
        </w:rPr>
        <w:fldChar w:fldCharType="end"/>
      </w:r>
      <w:r w:rsidR="008D2412" w:rsidRPr="00CB093C">
        <w:rPr>
          <w:rFonts w:ascii="Arial" w:hAnsi="Arial" w:cs="Arial"/>
          <w:iCs/>
          <w:szCs w:val="22"/>
        </w:rPr>
        <w:t>)</w:t>
      </w:r>
      <w:r w:rsidR="005B321C" w:rsidRPr="00CB093C">
        <w:rPr>
          <w:rFonts w:ascii="Arial" w:hAnsi="Arial" w:cs="Arial"/>
          <w:szCs w:val="22"/>
          <w:lang w:val="en-GB"/>
        </w:rPr>
        <w:t>.</w:t>
      </w:r>
    </w:p>
    <w:p w14:paraId="10F02CF8" w14:textId="77777777" w:rsidR="00C31BE9" w:rsidRPr="00CB093C" w:rsidRDefault="004E43E3" w:rsidP="0021009B">
      <w:pPr>
        <w:keepNext/>
        <w:widowControl w:val="0"/>
        <w:spacing w:after="0"/>
        <w:rPr>
          <w:rFonts w:ascii="Arial" w:hAnsi="Arial" w:cs="Arial"/>
          <w:color w:val="000000"/>
          <w:szCs w:val="22"/>
        </w:rPr>
      </w:pPr>
      <w:r w:rsidRPr="00CB093C">
        <w:rPr>
          <w:rFonts w:ascii="Arial" w:hAnsi="Arial" w:cs="Arial"/>
          <w:noProof/>
          <w:color w:val="000000"/>
          <w:szCs w:val="22"/>
          <w:lang w:val="en-US"/>
        </w:rPr>
        <w:drawing>
          <wp:inline distT="0" distB="0" distL="0" distR="0" wp14:anchorId="28B13F31" wp14:editId="341E1A10">
            <wp:extent cx="5382683" cy="6982719"/>
            <wp:effectExtent l="0" t="0" r="8890" b="8890"/>
            <wp:docPr id="10144" name="Picture 10144" descr="Set of twenty one scatter plots, displayed in seven by three matrix, with straight lines and markers showing annual elemental ratios (atomic) of seagrass leaf tissue C:N, N:P, C:P, percent Nitrogen, percent Phosphorous, delta 13 Carbon and delta 15 Nitrogen concentrations for the three seagrass habitats in the Mackay Whitsunday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4" name="MW_CN_yr_Dec16.png"/>
                    <pic:cNvPicPr/>
                  </pic:nvPicPr>
                  <pic:blipFill>
                    <a:blip r:embed="rId103"/>
                    <a:stretch>
                      <a:fillRect/>
                    </a:stretch>
                  </pic:blipFill>
                  <pic:spPr>
                    <a:xfrm>
                      <a:off x="0" y="0"/>
                      <a:ext cx="5384714" cy="6985354"/>
                    </a:xfrm>
                    <a:prstGeom prst="rect">
                      <a:avLst/>
                    </a:prstGeom>
                  </pic:spPr>
                </pic:pic>
              </a:graphicData>
            </a:graphic>
          </wp:inline>
        </w:drawing>
      </w:r>
    </w:p>
    <w:p w14:paraId="30AC37DC" w14:textId="56F0F4A7" w:rsidR="004E65AD" w:rsidRPr="00CB093C" w:rsidRDefault="005132EF" w:rsidP="004E65AD">
      <w:pPr>
        <w:pStyle w:val="Caption"/>
        <w:rPr>
          <w:rFonts w:ascii="Arial" w:hAnsi="Arial" w:cs="Arial"/>
          <w:i/>
          <w:vanish/>
          <w:color w:val="000000" w:themeColor="text1"/>
          <w:szCs w:val="22"/>
          <w:specVanish/>
        </w:rPr>
      </w:pPr>
      <w:bookmarkStart w:id="430" w:name="_Ref271130459"/>
      <w:bookmarkStart w:id="431" w:name="_Ref410295244"/>
      <w:bookmarkStart w:id="432" w:name="_Toc431493878"/>
      <w:bookmarkStart w:id="433" w:name="_Toc6402833"/>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68</w:t>
      </w:r>
      <w:r w:rsidR="0073595B" w:rsidRPr="00CB093C">
        <w:rPr>
          <w:rFonts w:ascii="Arial" w:hAnsi="Arial" w:cs="Arial"/>
          <w:color w:val="000000"/>
          <w:szCs w:val="22"/>
        </w:rPr>
        <w:fldChar w:fldCharType="end"/>
      </w:r>
      <w:bookmarkEnd w:id="430"/>
      <w:bookmarkEnd w:id="431"/>
      <w:r w:rsidRPr="00CB093C">
        <w:rPr>
          <w:rFonts w:ascii="Arial" w:hAnsi="Arial" w:cs="Arial"/>
          <w:color w:val="000000"/>
          <w:szCs w:val="22"/>
        </w:rPr>
        <w:t xml:space="preserve">. </w:t>
      </w:r>
      <w:bookmarkEnd w:id="432"/>
      <w:r w:rsidR="004E65AD" w:rsidRPr="00CB093C">
        <w:rPr>
          <w:rFonts w:ascii="Arial" w:hAnsi="Arial" w:cs="Arial"/>
          <w:i/>
          <w:color w:val="000000"/>
          <w:szCs w:val="22"/>
          <w:lang w:eastAsia="en-AU"/>
        </w:rPr>
        <w:t xml:space="preserve">Seagrass leaf tissue nutrient elemental ratios (C:N:P) and </w:t>
      </w:r>
      <w:r w:rsidR="004E65AD" w:rsidRPr="00CB093C">
        <w:rPr>
          <w:rFonts w:ascii="Arial" w:hAnsi="Arial" w:cs="Arial"/>
          <w:i/>
          <w:color w:val="000000"/>
          <w:szCs w:val="22"/>
          <w:lang w:val="en-US"/>
        </w:rPr>
        <w:t>concentrations (</w:t>
      </w:r>
      <w:r w:rsidR="004E65AD" w:rsidRPr="00CB093C">
        <w:rPr>
          <w:rFonts w:ascii="Arial" w:hAnsi="Arial" w:cs="Arial"/>
          <w:i/>
          <w:color w:val="000000"/>
          <w:szCs w:val="22"/>
          <w:lang w:eastAsia="en-AU"/>
        </w:rPr>
        <w:t xml:space="preserve">%N, %P, </w:t>
      </w:r>
      <w:r w:rsidR="004E65AD" w:rsidRPr="00CB093C">
        <w:rPr>
          <w:rFonts w:ascii="Arial" w:hAnsi="Arial" w:cs="Arial"/>
          <w:i/>
          <w:color w:val="000000"/>
          <w:szCs w:val="22"/>
        </w:rPr>
        <w:t>δ</w:t>
      </w:r>
      <w:r w:rsidR="004E65AD" w:rsidRPr="00CB093C">
        <w:rPr>
          <w:rFonts w:ascii="Arial" w:hAnsi="Arial" w:cs="Arial"/>
          <w:i/>
          <w:color w:val="000000"/>
          <w:szCs w:val="22"/>
          <w:vertAlign w:val="superscript"/>
        </w:rPr>
        <w:t>13</w:t>
      </w:r>
      <w:r w:rsidR="004E65AD" w:rsidRPr="00CB093C">
        <w:rPr>
          <w:rFonts w:ascii="Arial" w:hAnsi="Arial" w:cs="Arial"/>
          <w:i/>
          <w:color w:val="000000"/>
          <w:szCs w:val="22"/>
        </w:rPr>
        <w:t>C</w:t>
      </w:r>
      <w:r w:rsidR="004E65AD" w:rsidRPr="00CB093C">
        <w:rPr>
          <w:rFonts w:ascii="Arial" w:hAnsi="Arial" w:cs="Arial"/>
          <w:i/>
          <w:color w:val="000000"/>
          <w:szCs w:val="22"/>
          <w:lang w:val="en-US"/>
        </w:rPr>
        <w:t xml:space="preserve"> and </w:t>
      </w:r>
      <w:r w:rsidR="004E65AD" w:rsidRPr="00CB093C">
        <w:rPr>
          <w:rFonts w:ascii="Arial" w:hAnsi="Arial" w:cs="Arial"/>
          <w:i/>
          <w:color w:val="000000"/>
          <w:szCs w:val="22"/>
        </w:rPr>
        <w:t>δ</w:t>
      </w:r>
      <w:r w:rsidR="004E65AD" w:rsidRPr="00CB093C">
        <w:rPr>
          <w:rFonts w:ascii="Arial" w:hAnsi="Arial" w:cs="Arial"/>
          <w:i/>
          <w:color w:val="000000"/>
          <w:szCs w:val="22"/>
          <w:vertAlign w:val="superscript"/>
        </w:rPr>
        <w:t>15</w:t>
      </w:r>
      <w:r w:rsidR="004E65AD" w:rsidRPr="00CB093C">
        <w:rPr>
          <w:rFonts w:ascii="Arial" w:hAnsi="Arial" w:cs="Arial"/>
          <w:i/>
          <w:color w:val="000000"/>
          <w:szCs w:val="22"/>
        </w:rPr>
        <w:t>N)</w:t>
      </w:r>
      <w:r w:rsidR="004E65AD" w:rsidRPr="00CB093C">
        <w:rPr>
          <w:rFonts w:ascii="Arial" w:hAnsi="Arial" w:cs="Arial"/>
          <w:i/>
          <w:color w:val="000000"/>
          <w:szCs w:val="22"/>
          <w:lang w:val="en-US"/>
        </w:rPr>
        <w:t xml:space="preserve"> </w:t>
      </w:r>
      <w:r w:rsidR="004E65AD" w:rsidRPr="00CB093C">
        <w:rPr>
          <w:rFonts w:ascii="Arial" w:hAnsi="Arial" w:cs="Arial"/>
          <w:i/>
          <w:color w:val="000000"/>
          <w:szCs w:val="22"/>
          <w:lang w:eastAsia="en-AU"/>
        </w:rPr>
        <w:t xml:space="preserve">for each habitat in the </w:t>
      </w:r>
      <w:r w:rsidR="00637325">
        <w:rPr>
          <w:rFonts w:ascii="Arial" w:hAnsi="Arial" w:cs="Arial"/>
          <w:i/>
          <w:color w:val="000000"/>
          <w:szCs w:val="22"/>
          <w:lang w:eastAsia="en-AU"/>
        </w:rPr>
        <w:t>Mackay-Whitsunday</w:t>
      </w:r>
      <w:r w:rsidR="004E65AD" w:rsidRPr="00CB093C">
        <w:rPr>
          <w:rFonts w:ascii="Arial" w:hAnsi="Arial" w:cs="Arial"/>
          <w:i/>
          <w:color w:val="000000"/>
          <w:szCs w:val="22"/>
          <w:lang w:eastAsia="en-AU"/>
        </w:rPr>
        <w:t xml:space="preserve"> region</w:t>
      </w:r>
      <w:bookmarkEnd w:id="433"/>
    </w:p>
    <w:p w14:paraId="573BA3C2" w14:textId="30680CBA" w:rsidR="006341F9" w:rsidRPr="00CB093C" w:rsidRDefault="004E65AD" w:rsidP="004E65AD">
      <w:pPr>
        <w:rPr>
          <w:rFonts w:ascii="Arial" w:hAnsi="Arial" w:cs="Arial"/>
          <w:color w:val="000000"/>
          <w:szCs w:val="22"/>
        </w:rPr>
      </w:pPr>
      <w:r w:rsidRPr="00CB093C">
        <w:rPr>
          <w:rFonts w:ascii="Arial" w:hAnsi="Arial" w:cs="Arial"/>
          <w:i/>
          <w:color w:val="000000"/>
          <w:szCs w:val="22"/>
          <w:lang w:eastAsia="en-AU"/>
        </w:rPr>
        <w:t xml:space="preserve"> (± SE) (foundation species pooled). Horizontal shaded bands or dashed lines represents the accepted seagrass </w:t>
      </w:r>
      <w:r w:rsidRPr="00CB093C">
        <w:rPr>
          <w:rFonts w:ascii="Arial" w:hAnsi="Arial" w:cs="Arial"/>
          <w:i/>
          <w:color w:val="000000"/>
          <w:szCs w:val="22"/>
        </w:rPr>
        <w:t xml:space="preserve">guideline </w:t>
      </w:r>
      <w:r w:rsidRPr="00CB093C">
        <w:rPr>
          <w:rFonts w:ascii="Arial" w:hAnsi="Arial" w:cs="Arial"/>
          <w:i/>
          <w:color w:val="000000"/>
          <w:szCs w:val="22"/>
          <w:lang w:eastAsia="en-AU"/>
        </w:rPr>
        <w:t xml:space="preserve">values, where: C:N ratios within the band may </w:t>
      </w:r>
      <w:r w:rsidRPr="00CB093C">
        <w:rPr>
          <w:rFonts w:ascii="Arial" w:hAnsi="Arial" w:cs="Arial"/>
          <w:i/>
          <w:color w:val="000000"/>
          <w:szCs w:val="22"/>
        </w:rPr>
        <w:t xml:space="preserve">indicate reduced light availability and/or N enrichment; </w:t>
      </w:r>
      <w:r w:rsidRPr="00CB093C">
        <w:rPr>
          <w:rFonts w:ascii="Arial" w:hAnsi="Arial" w:cs="Arial"/>
          <w:i/>
          <w:color w:val="000000"/>
          <w:szCs w:val="22"/>
          <w:lang w:eastAsia="en-AU"/>
        </w:rPr>
        <w:t xml:space="preserve">N:P ratios above the band indicate P limitation, below indicate N limitation and within indicates replete, and; C:P ratios within the band may </w:t>
      </w:r>
      <w:r w:rsidRPr="00CB093C">
        <w:rPr>
          <w:rFonts w:ascii="Arial" w:hAnsi="Arial" w:cs="Arial"/>
          <w:i/>
          <w:color w:val="000000"/>
          <w:szCs w:val="22"/>
        </w:rPr>
        <w:t xml:space="preserve">indicate </w:t>
      </w:r>
      <w:r w:rsidRPr="00CB093C">
        <w:rPr>
          <w:rFonts w:ascii="Arial" w:hAnsi="Arial" w:cs="Arial"/>
          <w:i/>
          <w:color w:val="000000"/>
          <w:szCs w:val="22"/>
          <w:lang w:eastAsia="en-AU"/>
        </w:rPr>
        <w:t>nutrient rich habitats (large P pool).</w:t>
      </w:r>
      <w:r w:rsidRPr="00CB093C">
        <w:rPr>
          <w:rFonts w:ascii="Arial" w:hAnsi="Arial" w:cs="Arial"/>
          <w:color w:val="000000"/>
          <w:szCs w:val="22"/>
          <w:lang w:eastAsia="en-AU"/>
        </w:rPr>
        <w:t xml:space="preserve"> </w:t>
      </w:r>
      <w:r w:rsidRPr="00CB093C">
        <w:rPr>
          <w:rFonts w:ascii="Arial" w:hAnsi="Arial" w:cs="Arial"/>
          <w:i/>
          <w:color w:val="000000"/>
          <w:szCs w:val="22"/>
        </w:rPr>
        <w:t xml:space="preserve">Dashed lines in %N and %P indicate global median values of 1.8 </w:t>
      </w:r>
      <w:r w:rsidR="00882B72" w:rsidRPr="00CB093C">
        <w:rPr>
          <w:rFonts w:ascii="Arial" w:hAnsi="Arial" w:cs="Arial"/>
          <w:i/>
          <w:color w:val="000000"/>
          <w:szCs w:val="22"/>
        </w:rPr>
        <w:t>%</w:t>
      </w:r>
      <w:r w:rsidRPr="00CB093C">
        <w:rPr>
          <w:rFonts w:ascii="Arial" w:hAnsi="Arial" w:cs="Arial"/>
          <w:i/>
          <w:color w:val="000000"/>
          <w:szCs w:val="22"/>
        </w:rPr>
        <w:t xml:space="preserve"> and 0.2 </w:t>
      </w:r>
      <w:r w:rsidR="00882B72" w:rsidRPr="00CB093C">
        <w:rPr>
          <w:rFonts w:ascii="Arial" w:hAnsi="Arial" w:cs="Arial"/>
          <w:i/>
          <w:color w:val="000000"/>
          <w:szCs w:val="22"/>
        </w:rPr>
        <w:t>%</w:t>
      </w:r>
      <w:r w:rsidRPr="00CB093C">
        <w:rPr>
          <w:rFonts w:ascii="Arial" w:hAnsi="Arial" w:cs="Arial"/>
          <w:i/>
          <w:color w:val="000000"/>
          <w:szCs w:val="22"/>
        </w:rPr>
        <w:t xml:space="preserve"> for tissue nitrogen and phosphorus, respectively (</w:t>
      </w:r>
      <w:hyperlink w:anchor="_ENREF_50" w:tooltip="Duarte, 1990 #1954" w:history="1">
        <w:r w:rsidR="00513C39" w:rsidRPr="00CB093C">
          <w:rPr>
            <w:rFonts w:ascii="Arial" w:hAnsi="Arial" w:cs="Arial"/>
            <w:i/>
            <w:color w:val="000000"/>
            <w:szCs w:val="22"/>
          </w:rPr>
          <w:fldChar w:fldCharType="begin"/>
        </w:r>
        <w:r w:rsidR="00513C39" w:rsidRPr="00CB093C">
          <w:rPr>
            <w:rFonts w:ascii="Arial" w:hAnsi="Arial" w:cs="Arial"/>
            <w:i/>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513C39" w:rsidRPr="00CB093C">
          <w:rPr>
            <w:rFonts w:ascii="Arial" w:hAnsi="Arial" w:cs="Arial"/>
            <w:i/>
            <w:color w:val="000000"/>
            <w:szCs w:val="22"/>
          </w:rPr>
          <w:fldChar w:fldCharType="separate"/>
        </w:r>
        <w:r w:rsidR="00513C39" w:rsidRPr="00CB093C">
          <w:rPr>
            <w:rFonts w:ascii="Arial" w:hAnsi="Arial" w:cs="Arial"/>
            <w:i/>
            <w:noProof/>
            <w:color w:val="000000"/>
            <w:szCs w:val="22"/>
          </w:rPr>
          <w:t>Duarte 1990</w:t>
        </w:r>
        <w:r w:rsidR="00513C39" w:rsidRPr="00CB093C">
          <w:rPr>
            <w:rFonts w:ascii="Arial" w:hAnsi="Arial" w:cs="Arial"/>
            <w:i/>
            <w:color w:val="000000"/>
            <w:szCs w:val="22"/>
          </w:rPr>
          <w:fldChar w:fldCharType="end"/>
        </w:r>
      </w:hyperlink>
      <w:r w:rsidRPr="00CB093C">
        <w:rPr>
          <w:rFonts w:ascii="Arial" w:hAnsi="Arial" w:cs="Arial"/>
          <w:i/>
          <w:color w:val="000000"/>
          <w:szCs w:val="22"/>
        </w:rPr>
        <w:t>).</w:t>
      </w:r>
      <w:r w:rsidR="006341F9" w:rsidRPr="00CB093C">
        <w:rPr>
          <w:rFonts w:ascii="Arial" w:hAnsi="Arial" w:cs="Arial"/>
          <w:color w:val="000000"/>
          <w:szCs w:val="22"/>
        </w:rPr>
        <w:t xml:space="preserve"> </w:t>
      </w:r>
    </w:p>
    <w:p w14:paraId="0F466FC6" w14:textId="77777777" w:rsidR="008B0432" w:rsidRPr="00CB093C" w:rsidRDefault="008B0432" w:rsidP="00BC4EC5">
      <w:pPr>
        <w:rPr>
          <w:rFonts w:ascii="Arial" w:hAnsi="Arial" w:cs="Arial"/>
          <w:color w:val="000000" w:themeColor="text1"/>
          <w:szCs w:val="22"/>
          <w:lang w:val="en-GB"/>
        </w:rPr>
      </w:pPr>
      <w:bookmarkStart w:id="434" w:name="_Toc232845926"/>
      <w:bookmarkStart w:id="435" w:name="_Toc184102017"/>
    </w:p>
    <w:p w14:paraId="0FA29936" w14:textId="233B441F" w:rsidR="005132EF" w:rsidRPr="00CB093C" w:rsidRDefault="005132EF" w:rsidP="000F3AC4">
      <w:pPr>
        <w:pStyle w:val="Heading3"/>
        <w:numPr>
          <w:ilvl w:val="3"/>
          <w:numId w:val="4"/>
        </w:numPr>
        <w:rPr>
          <w:rFonts w:ascii="Arial" w:hAnsi="Arial" w:cs="Arial"/>
          <w:b w:val="0"/>
          <w:i/>
          <w:color w:val="000000"/>
          <w:sz w:val="22"/>
          <w:szCs w:val="22"/>
        </w:rPr>
      </w:pPr>
      <w:bookmarkStart w:id="436" w:name="_Toc11394759"/>
      <w:r w:rsidRPr="00CB093C">
        <w:rPr>
          <w:rFonts w:ascii="Arial" w:hAnsi="Arial" w:cs="Arial"/>
          <w:b w:val="0"/>
          <w:i/>
          <w:color w:val="000000"/>
          <w:sz w:val="22"/>
          <w:szCs w:val="22"/>
        </w:rPr>
        <w:t>Epiphytes and macroalgae</w:t>
      </w:r>
      <w:bookmarkEnd w:id="434"/>
      <w:bookmarkEnd w:id="435"/>
      <w:bookmarkEnd w:id="436"/>
    </w:p>
    <w:p w14:paraId="23FEB1FE" w14:textId="0FA38DBD" w:rsidR="009607B0" w:rsidRPr="00CB093C" w:rsidRDefault="004B656A" w:rsidP="004B656A">
      <w:pPr>
        <w:rPr>
          <w:rFonts w:ascii="Arial" w:hAnsi="Arial" w:cs="Arial"/>
          <w:szCs w:val="22"/>
          <w:lang w:val="en-US"/>
        </w:rPr>
      </w:pPr>
      <w:r w:rsidRPr="00CB093C">
        <w:rPr>
          <w:rFonts w:ascii="Arial" w:hAnsi="Arial" w:cs="Arial"/>
          <w:szCs w:val="22"/>
          <w:lang w:val="en-US"/>
        </w:rPr>
        <w:t>Epiphyte</w:t>
      </w:r>
      <w:r w:rsidR="008A1426" w:rsidRPr="00CB093C">
        <w:rPr>
          <w:rFonts w:ascii="Arial" w:hAnsi="Arial" w:cs="Arial"/>
          <w:szCs w:val="22"/>
          <w:lang w:val="en-US"/>
        </w:rPr>
        <w:t xml:space="preserve"> cover on seagrass leaf blades </w:t>
      </w:r>
      <w:r w:rsidR="008D2412" w:rsidRPr="00CB093C">
        <w:rPr>
          <w:rFonts w:ascii="Arial" w:hAnsi="Arial" w:cs="Arial"/>
          <w:szCs w:val="22"/>
          <w:lang w:val="en-US"/>
        </w:rPr>
        <w:t xml:space="preserve">in </w:t>
      </w:r>
      <w:r w:rsidR="003654C6">
        <w:rPr>
          <w:rFonts w:ascii="Arial" w:hAnsi="Arial" w:cs="Arial"/>
          <w:szCs w:val="22"/>
          <w:lang w:val="en-US"/>
        </w:rPr>
        <w:t>2017–18</w:t>
      </w:r>
      <w:r w:rsidR="00C81636" w:rsidRPr="00CB093C">
        <w:rPr>
          <w:rFonts w:ascii="Arial" w:hAnsi="Arial" w:cs="Arial"/>
          <w:szCs w:val="22"/>
          <w:lang w:val="en-US"/>
        </w:rPr>
        <w:t xml:space="preserve"> </w:t>
      </w:r>
      <w:r w:rsidR="008D2412" w:rsidRPr="00CB093C">
        <w:rPr>
          <w:rFonts w:ascii="Arial" w:hAnsi="Arial" w:cs="Arial"/>
          <w:szCs w:val="22"/>
          <w:lang w:val="en-US"/>
        </w:rPr>
        <w:t xml:space="preserve">has remained below the </w:t>
      </w:r>
      <w:r w:rsidR="009607B0" w:rsidRPr="00CB093C">
        <w:rPr>
          <w:rFonts w:ascii="Arial" w:hAnsi="Arial" w:cs="Arial"/>
          <w:szCs w:val="22"/>
          <w:lang w:val="en-US"/>
        </w:rPr>
        <w:t xml:space="preserve">Reef-wide </w:t>
      </w:r>
      <w:r w:rsidR="008D2412" w:rsidRPr="00CB093C">
        <w:rPr>
          <w:rFonts w:ascii="Arial" w:hAnsi="Arial" w:cs="Arial"/>
          <w:szCs w:val="22"/>
          <w:lang w:val="en-US"/>
        </w:rPr>
        <w:t xml:space="preserve">long-term average at estuarine and reef habitats since early 2017, however </w:t>
      </w:r>
      <w:r w:rsidR="0022398D" w:rsidRPr="00CB093C">
        <w:rPr>
          <w:rFonts w:ascii="Arial" w:hAnsi="Arial" w:cs="Arial"/>
          <w:szCs w:val="22"/>
          <w:lang w:val="en-US"/>
        </w:rPr>
        <w:t xml:space="preserve">increased </w:t>
      </w:r>
      <w:r w:rsidR="008D2412" w:rsidRPr="00CB093C">
        <w:rPr>
          <w:rFonts w:ascii="Arial" w:hAnsi="Arial" w:cs="Arial"/>
          <w:szCs w:val="22"/>
          <w:lang w:val="en-US"/>
        </w:rPr>
        <w:t>at</w:t>
      </w:r>
      <w:r w:rsidR="0022398D" w:rsidRPr="00CB093C">
        <w:rPr>
          <w:rFonts w:ascii="Arial" w:hAnsi="Arial" w:cs="Arial"/>
          <w:szCs w:val="22"/>
          <w:lang w:val="en-US"/>
        </w:rPr>
        <w:t xml:space="preserve"> </w:t>
      </w:r>
      <w:r w:rsidR="008D2412" w:rsidRPr="00CB093C">
        <w:rPr>
          <w:rFonts w:ascii="Arial" w:hAnsi="Arial" w:cs="Arial"/>
          <w:szCs w:val="22"/>
          <w:lang w:val="en-US"/>
        </w:rPr>
        <w:t>coastal h</w:t>
      </w:r>
      <w:r w:rsidR="0022398D" w:rsidRPr="00CB093C">
        <w:rPr>
          <w:rFonts w:ascii="Arial" w:hAnsi="Arial" w:cs="Arial"/>
          <w:szCs w:val="22"/>
          <w:lang w:val="en-US"/>
        </w:rPr>
        <w:t>abitat</w:t>
      </w:r>
      <w:r w:rsidR="008D2412" w:rsidRPr="00CB093C">
        <w:rPr>
          <w:rFonts w:ascii="Arial" w:hAnsi="Arial" w:cs="Arial"/>
          <w:szCs w:val="22"/>
          <w:lang w:val="en-US"/>
        </w:rPr>
        <w:t>s</w:t>
      </w:r>
      <w:r w:rsidR="0022398D" w:rsidRPr="00CB093C">
        <w:rPr>
          <w:rFonts w:ascii="Arial" w:hAnsi="Arial" w:cs="Arial"/>
          <w:szCs w:val="22"/>
          <w:lang w:val="en-US"/>
        </w:rPr>
        <w:t xml:space="preserve"> </w:t>
      </w:r>
      <w:r w:rsidR="008D2412" w:rsidRPr="00CB093C">
        <w:rPr>
          <w:rFonts w:ascii="Arial" w:hAnsi="Arial" w:cs="Arial"/>
          <w:szCs w:val="22"/>
          <w:lang w:val="en-US"/>
        </w:rPr>
        <w:t>relative</w:t>
      </w:r>
      <w:r w:rsidR="0022398D" w:rsidRPr="00CB093C">
        <w:rPr>
          <w:rFonts w:ascii="Arial" w:hAnsi="Arial" w:cs="Arial"/>
          <w:szCs w:val="22"/>
          <w:lang w:val="en-US"/>
        </w:rPr>
        <w:t xml:space="preserve"> to the </w:t>
      </w:r>
      <w:r w:rsidR="008D2412" w:rsidRPr="00CB093C">
        <w:rPr>
          <w:rFonts w:ascii="Arial" w:hAnsi="Arial" w:cs="Arial"/>
          <w:szCs w:val="22"/>
          <w:lang w:val="en-US"/>
        </w:rPr>
        <w:t>previous reporting year</w:t>
      </w:r>
      <w:r w:rsidR="0022398D" w:rsidRPr="00CB093C">
        <w:rPr>
          <w:rFonts w:ascii="Arial" w:hAnsi="Arial" w:cs="Arial"/>
          <w:szCs w:val="22"/>
          <w:lang w:val="en-US"/>
        </w:rPr>
        <w:t xml:space="preserve"> </w:t>
      </w:r>
      <w:r w:rsidR="00766670" w:rsidRPr="00CB093C">
        <w:rPr>
          <w:rFonts w:ascii="Arial" w:hAnsi="Arial" w:cs="Arial"/>
          <w:szCs w:val="22"/>
          <w:lang w:val="en-US"/>
        </w:rPr>
        <w:t>(</w:t>
      </w:r>
      <w:r w:rsidR="00766670" w:rsidRPr="00CB093C">
        <w:rPr>
          <w:rFonts w:ascii="Arial" w:hAnsi="Arial" w:cs="Arial"/>
          <w:szCs w:val="22"/>
          <w:lang w:val="en-US"/>
        </w:rPr>
        <w:fldChar w:fldCharType="begin"/>
      </w:r>
      <w:r w:rsidR="00766670" w:rsidRPr="00CB093C">
        <w:rPr>
          <w:rFonts w:ascii="Arial" w:hAnsi="Arial" w:cs="Arial"/>
          <w:szCs w:val="22"/>
          <w:lang w:val="en-US"/>
        </w:rPr>
        <w:instrText xml:space="preserve"> REF _Ref211931338 \h  \* MERGEFORMAT </w:instrText>
      </w:r>
      <w:r w:rsidR="00766670" w:rsidRPr="00CB093C">
        <w:rPr>
          <w:rFonts w:ascii="Arial" w:hAnsi="Arial" w:cs="Arial"/>
          <w:szCs w:val="22"/>
          <w:lang w:val="en-US"/>
        </w:rPr>
      </w:r>
      <w:r w:rsidR="00766670"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69</w:t>
      </w:r>
      <w:r w:rsidR="00766670" w:rsidRPr="00CB093C">
        <w:rPr>
          <w:rFonts w:ascii="Arial" w:hAnsi="Arial" w:cs="Arial"/>
          <w:szCs w:val="22"/>
          <w:lang w:val="en-US"/>
        </w:rPr>
        <w:fldChar w:fldCharType="end"/>
      </w:r>
      <w:r w:rsidR="0022398D" w:rsidRPr="00CB093C">
        <w:rPr>
          <w:rFonts w:ascii="Arial" w:hAnsi="Arial" w:cs="Arial"/>
          <w:szCs w:val="22"/>
          <w:lang w:val="en-US"/>
        </w:rPr>
        <w:t xml:space="preserve">). </w:t>
      </w:r>
    </w:p>
    <w:p w14:paraId="6BDC6A0E" w14:textId="4D388FDD" w:rsidR="008A1426" w:rsidRPr="00CB093C" w:rsidRDefault="004B656A" w:rsidP="004B656A">
      <w:pPr>
        <w:rPr>
          <w:rFonts w:ascii="Arial" w:hAnsi="Arial" w:cs="Arial"/>
          <w:szCs w:val="22"/>
          <w:lang w:val="en-US"/>
        </w:rPr>
      </w:pPr>
      <w:r w:rsidRPr="00CB093C">
        <w:rPr>
          <w:rFonts w:ascii="Arial" w:hAnsi="Arial" w:cs="Arial"/>
          <w:szCs w:val="22"/>
          <w:lang w:val="en-US"/>
        </w:rPr>
        <w:t>Percentage cover of macroalgae remained unchanged</w:t>
      </w:r>
      <w:r w:rsidR="006B4B31" w:rsidRPr="00CB093C">
        <w:rPr>
          <w:rFonts w:ascii="Arial" w:hAnsi="Arial" w:cs="Arial"/>
          <w:szCs w:val="22"/>
          <w:lang w:val="en-US"/>
        </w:rPr>
        <w:t>,</w:t>
      </w:r>
      <w:r w:rsidRPr="00CB093C">
        <w:rPr>
          <w:rFonts w:ascii="Arial" w:hAnsi="Arial" w:cs="Arial"/>
          <w:szCs w:val="22"/>
          <w:lang w:val="en-US"/>
        </w:rPr>
        <w:t xml:space="preserve"> </w:t>
      </w:r>
      <w:r w:rsidR="00CB4773" w:rsidRPr="00CB093C">
        <w:rPr>
          <w:rFonts w:ascii="Arial" w:hAnsi="Arial" w:cs="Arial"/>
          <w:szCs w:val="22"/>
          <w:lang w:val="en-US"/>
        </w:rPr>
        <w:t xml:space="preserve">at or </w:t>
      </w:r>
      <w:r w:rsidRPr="00CB093C">
        <w:rPr>
          <w:rFonts w:ascii="Arial" w:hAnsi="Arial" w:cs="Arial"/>
          <w:szCs w:val="22"/>
          <w:lang w:val="en-US"/>
        </w:rPr>
        <w:t xml:space="preserve">below the </w:t>
      </w:r>
      <w:r w:rsidR="009607B0" w:rsidRPr="00CB093C">
        <w:rPr>
          <w:rFonts w:ascii="Arial" w:hAnsi="Arial" w:cs="Arial"/>
          <w:szCs w:val="22"/>
          <w:lang w:val="en-US"/>
        </w:rPr>
        <w:t xml:space="preserve">Reef-wide </w:t>
      </w:r>
      <w:r w:rsidRPr="00CB093C">
        <w:rPr>
          <w:rFonts w:ascii="Arial" w:hAnsi="Arial" w:cs="Arial"/>
          <w:szCs w:val="22"/>
          <w:lang w:val="en-US"/>
        </w:rPr>
        <w:t xml:space="preserve">long-term average for </w:t>
      </w:r>
      <w:r w:rsidR="00B9236B" w:rsidRPr="00CB093C">
        <w:rPr>
          <w:rFonts w:ascii="Arial" w:hAnsi="Arial" w:cs="Arial"/>
          <w:szCs w:val="22"/>
          <w:lang w:val="en-US"/>
        </w:rPr>
        <w:t xml:space="preserve">all habitats </w:t>
      </w:r>
      <w:r w:rsidRPr="00CB093C">
        <w:rPr>
          <w:rFonts w:ascii="Arial" w:hAnsi="Arial" w:cs="Arial"/>
          <w:szCs w:val="22"/>
          <w:lang w:val="en-US"/>
        </w:rPr>
        <w:t xml:space="preserve">throughout </w:t>
      </w:r>
      <w:r w:rsidR="009607B0" w:rsidRPr="00CB093C">
        <w:rPr>
          <w:rFonts w:ascii="Arial" w:hAnsi="Arial" w:cs="Arial"/>
          <w:szCs w:val="22"/>
          <w:lang w:val="en-US"/>
        </w:rPr>
        <w:t>this year</w:t>
      </w:r>
      <w:r w:rsidRPr="00CB093C">
        <w:rPr>
          <w:rFonts w:ascii="Arial" w:hAnsi="Arial" w:cs="Arial"/>
          <w:szCs w:val="22"/>
          <w:lang w:val="en-US"/>
        </w:rPr>
        <w:t xml:space="preserve"> </w:t>
      </w:r>
      <w:r w:rsidR="006B4B31" w:rsidRPr="00CB093C">
        <w:rPr>
          <w:rFonts w:ascii="Arial" w:hAnsi="Arial" w:cs="Arial"/>
          <w:szCs w:val="22"/>
          <w:lang w:val="en-US"/>
        </w:rPr>
        <w:t>(</w:t>
      </w:r>
      <w:r w:rsidR="006B4B31" w:rsidRPr="00CB093C">
        <w:rPr>
          <w:rFonts w:ascii="Arial" w:hAnsi="Arial" w:cs="Arial"/>
          <w:szCs w:val="22"/>
          <w:lang w:val="en-US"/>
        </w:rPr>
        <w:fldChar w:fldCharType="begin"/>
      </w:r>
      <w:r w:rsidR="006B4B31" w:rsidRPr="00CB093C">
        <w:rPr>
          <w:rFonts w:ascii="Arial" w:hAnsi="Arial" w:cs="Arial"/>
          <w:szCs w:val="22"/>
          <w:lang w:val="en-US"/>
        </w:rPr>
        <w:instrText xml:space="preserve"> REF _Ref211931338 \h  \* MERGEFORMAT </w:instrText>
      </w:r>
      <w:r w:rsidR="006B4B31" w:rsidRPr="00CB093C">
        <w:rPr>
          <w:rFonts w:ascii="Arial" w:hAnsi="Arial" w:cs="Arial"/>
          <w:szCs w:val="22"/>
          <w:lang w:val="en-US"/>
        </w:rPr>
      </w:r>
      <w:r w:rsidR="006B4B31"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69</w:t>
      </w:r>
      <w:r w:rsidR="006B4B31" w:rsidRPr="00CB093C">
        <w:rPr>
          <w:rFonts w:ascii="Arial" w:hAnsi="Arial" w:cs="Arial"/>
          <w:szCs w:val="22"/>
          <w:lang w:val="en-US"/>
        </w:rPr>
        <w:fldChar w:fldCharType="end"/>
      </w:r>
      <w:r w:rsidR="006B4B31" w:rsidRPr="00CB093C">
        <w:rPr>
          <w:rFonts w:ascii="Arial" w:hAnsi="Arial" w:cs="Arial"/>
          <w:szCs w:val="22"/>
          <w:lang w:val="en-US"/>
        </w:rPr>
        <w:t>)</w:t>
      </w:r>
      <w:r w:rsidRPr="00CB093C">
        <w:rPr>
          <w:rFonts w:ascii="Arial" w:hAnsi="Arial" w:cs="Arial"/>
          <w:szCs w:val="22"/>
          <w:lang w:val="en-US"/>
        </w:rPr>
        <w:t xml:space="preserve">. </w:t>
      </w:r>
    </w:p>
    <w:p w14:paraId="01DD9932" w14:textId="77777777" w:rsidR="008A1426" w:rsidRPr="00CB093C" w:rsidRDefault="004E43E3" w:rsidP="00B9236B">
      <w:pPr>
        <w:keepNext/>
        <w:widowControl w:val="0"/>
        <w:spacing w:after="0"/>
        <w:jc w:val="center"/>
        <w:rPr>
          <w:rFonts w:ascii="Arial" w:hAnsi="Arial" w:cs="Arial"/>
          <w:szCs w:val="22"/>
          <w:lang w:val="en-US"/>
        </w:rPr>
      </w:pPr>
      <w:r w:rsidRPr="00CB093C">
        <w:rPr>
          <w:rFonts w:ascii="Arial" w:hAnsi="Arial" w:cs="Arial"/>
          <w:noProof/>
          <w:szCs w:val="22"/>
          <w:lang w:val="en-US"/>
        </w:rPr>
        <w:drawing>
          <wp:inline distT="0" distB="0" distL="0" distR="0" wp14:anchorId="3B5DA405" wp14:editId="43701B88">
            <wp:extent cx="5156263" cy="2899514"/>
            <wp:effectExtent l="0" t="0" r="6350" b="0"/>
            <wp:docPr id="10146" name="Picture 10146" descr="Set of six bar charts showing long-term trend in mean epiphyte and macroalgae abundance (% cover) at each inshore seagrass habitats in the Mackay Whitsunday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6" name="MW_epi_algae_change_2016.png"/>
                    <pic:cNvPicPr/>
                  </pic:nvPicPr>
                  <pic:blipFill>
                    <a:blip r:embed="rId112">
                      <a:extLst>
                        <a:ext uri="{28A0092B-C50C-407E-A947-70E740481C1C}">
                          <a14:useLocalDpi xmlns:a14="http://schemas.microsoft.com/office/drawing/2010/main" val="0"/>
                        </a:ext>
                      </a:extLst>
                    </a:blip>
                    <a:stretch>
                      <a:fillRect/>
                    </a:stretch>
                  </pic:blipFill>
                  <pic:spPr>
                    <a:xfrm>
                      <a:off x="0" y="0"/>
                      <a:ext cx="5156263" cy="2899514"/>
                    </a:xfrm>
                    <a:prstGeom prst="rect">
                      <a:avLst/>
                    </a:prstGeom>
                  </pic:spPr>
                </pic:pic>
              </a:graphicData>
            </a:graphic>
          </wp:inline>
        </w:drawing>
      </w:r>
    </w:p>
    <w:p w14:paraId="2D4ABB41" w14:textId="1582EBD2" w:rsidR="006341F9" w:rsidRPr="00CB093C" w:rsidRDefault="005132EF" w:rsidP="006A6B0C">
      <w:pPr>
        <w:spacing w:before="0"/>
        <w:rPr>
          <w:rFonts w:ascii="Arial" w:hAnsi="Arial" w:cs="Arial"/>
          <w:i/>
          <w:vanish/>
          <w:szCs w:val="22"/>
          <w:specVanish/>
        </w:rPr>
      </w:pPr>
      <w:bookmarkStart w:id="437" w:name="_Ref211931338"/>
      <w:bookmarkStart w:id="438" w:name="_Toc232846003"/>
      <w:bookmarkStart w:id="439" w:name="_Toc431493880"/>
      <w:bookmarkStart w:id="440" w:name="_Toc6402834"/>
      <w:r w:rsidRPr="00CB093C">
        <w:rPr>
          <w:rFonts w:ascii="Arial" w:hAnsi="Arial" w:cs="Arial"/>
          <w:szCs w:val="22"/>
        </w:rPr>
        <w:t xml:space="preserve">Figure </w:t>
      </w:r>
      <w:r w:rsidR="00412A75" w:rsidRPr="00CB093C">
        <w:rPr>
          <w:rFonts w:ascii="Arial" w:hAnsi="Arial" w:cs="Arial"/>
          <w:noProof/>
          <w:szCs w:val="22"/>
        </w:rPr>
        <w:fldChar w:fldCharType="begin"/>
      </w:r>
      <w:r w:rsidR="00412A75" w:rsidRPr="00CB093C">
        <w:rPr>
          <w:rFonts w:ascii="Arial" w:hAnsi="Arial" w:cs="Arial"/>
          <w:noProof/>
          <w:szCs w:val="22"/>
        </w:rPr>
        <w:instrText xml:space="preserve"> SEQ Figure \* ARABIC </w:instrText>
      </w:r>
      <w:r w:rsidR="00412A75" w:rsidRPr="00CB093C">
        <w:rPr>
          <w:rFonts w:ascii="Arial" w:hAnsi="Arial" w:cs="Arial"/>
          <w:noProof/>
          <w:szCs w:val="22"/>
        </w:rPr>
        <w:fldChar w:fldCharType="separate"/>
      </w:r>
      <w:r w:rsidR="005F00D4">
        <w:rPr>
          <w:rFonts w:ascii="Arial" w:hAnsi="Arial" w:cs="Arial"/>
          <w:noProof/>
          <w:szCs w:val="22"/>
        </w:rPr>
        <w:t>69</w:t>
      </w:r>
      <w:r w:rsidR="00412A75" w:rsidRPr="00CB093C">
        <w:rPr>
          <w:rFonts w:ascii="Arial" w:hAnsi="Arial" w:cs="Arial"/>
          <w:noProof/>
          <w:szCs w:val="22"/>
        </w:rPr>
        <w:fldChar w:fldCharType="end"/>
      </w:r>
      <w:bookmarkEnd w:id="437"/>
      <w:r w:rsidRPr="00CB093C">
        <w:rPr>
          <w:rFonts w:ascii="Arial" w:hAnsi="Arial" w:cs="Arial"/>
          <w:szCs w:val="22"/>
        </w:rPr>
        <w:t xml:space="preserve">. </w:t>
      </w:r>
      <w:bookmarkEnd w:id="438"/>
      <w:r w:rsidR="008C4B1E" w:rsidRPr="00CB093C">
        <w:rPr>
          <w:rFonts w:ascii="Arial" w:hAnsi="Arial" w:cs="Arial"/>
          <w:i/>
          <w:szCs w:val="22"/>
        </w:rPr>
        <w:t>Long-term trend in mean epiphyte and macroalgae abundance (</w:t>
      </w:r>
      <w:r w:rsidR="00882B72" w:rsidRPr="00CB093C">
        <w:rPr>
          <w:rFonts w:ascii="Arial" w:hAnsi="Arial" w:cs="Arial"/>
          <w:i/>
          <w:szCs w:val="22"/>
        </w:rPr>
        <w:t>%</w:t>
      </w:r>
      <w:r w:rsidR="008C4B1E" w:rsidRPr="00CB093C">
        <w:rPr>
          <w:rFonts w:ascii="Arial" w:hAnsi="Arial" w:cs="Arial"/>
          <w:i/>
          <w:szCs w:val="22"/>
        </w:rPr>
        <w:t xml:space="preserve"> cover) relative to the long-term average for each </w:t>
      </w:r>
      <w:r w:rsidR="006341F9" w:rsidRPr="00CB093C">
        <w:rPr>
          <w:rFonts w:ascii="Arial" w:hAnsi="Arial" w:cs="Arial"/>
          <w:i/>
          <w:szCs w:val="22"/>
        </w:rPr>
        <w:t xml:space="preserve">inshore intertidal habitat in the </w:t>
      </w:r>
      <w:r w:rsidR="00637325">
        <w:rPr>
          <w:rFonts w:ascii="Arial" w:hAnsi="Arial" w:cs="Arial"/>
          <w:i/>
          <w:szCs w:val="22"/>
        </w:rPr>
        <w:t>Mackay-Whitsunday</w:t>
      </w:r>
      <w:r w:rsidR="006341F9" w:rsidRPr="00CB093C">
        <w:rPr>
          <w:rFonts w:ascii="Arial" w:hAnsi="Arial" w:cs="Arial"/>
          <w:i/>
          <w:szCs w:val="22"/>
        </w:rPr>
        <w:t xml:space="preserve"> region, 1999</w:t>
      </w:r>
      <w:r w:rsidR="00A675DA" w:rsidRPr="00CB093C">
        <w:rPr>
          <w:rFonts w:ascii="Arial" w:hAnsi="Arial" w:cs="Arial"/>
          <w:i/>
          <w:szCs w:val="22"/>
        </w:rPr>
        <w:t>–</w:t>
      </w:r>
      <w:r w:rsidR="006341F9" w:rsidRPr="00CB093C">
        <w:rPr>
          <w:rFonts w:ascii="Arial" w:hAnsi="Arial" w:cs="Arial"/>
          <w:i/>
          <w:szCs w:val="22"/>
        </w:rPr>
        <w:t>201</w:t>
      </w:r>
      <w:r w:rsidR="00D40A36" w:rsidRPr="00CB093C">
        <w:rPr>
          <w:rFonts w:ascii="Arial" w:hAnsi="Arial" w:cs="Arial"/>
          <w:i/>
          <w:szCs w:val="22"/>
        </w:rPr>
        <w:t>8</w:t>
      </w:r>
      <w:bookmarkEnd w:id="439"/>
      <w:bookmarkEnd w:id="440"/>
      <w:r w:rsidR="008C4B1E" w:rsidRPr="00CB093C">
        <w:rPr>
          <w:rFonts w:ascii="Arial" w:hAnsi="Arial" w:cs="Arial"/>
          <w:i/>
          <w:szCs w:val="22"/>
        </w:rPr>
        <w:t xml:space="preserve"> </w:t>
      </w:r>
    </w:p>
    <w:p w14:paraId="26FE66E9" w14:textId="60F38DC6" w:rsidR="00BC6384" w:rsidRPr="00CB093C" w:rsidRDefault="006341F9" w:rsidP="00BC6384">
      <w:pPr>
        <w:rPr>
          <w:rFonts w:ascii="Arial" w:hAnsi="Arial" w:cs="Arial"/>
          <w:i/>
          <w:szCs w:val="22"/>
        </w:rPr>
      </w:pPr>
      <w:r w:rsidRPr="00CB093C">
        <w:rPr>
          <w:rFonts w:ascii="Arial" w:hAnsi="Arial" w:cs="Arial"/>
          <w:i/>
          <w:szCs w:val="22"/>
        </w:rPr>
        <w:t xml:space="preserve"> </w:t>
      </w:r>
      <w:r w:rsidR="008C4B1E" w:rsidRPr="00CB093C">
        <w:rPr>
          <w:rFonts w:ascii="Arial" w:hAnsi="Arial" w:cs="Arial"/>
          <w:i/>
          <w:szCs w:val="22"/>
        </w:rPr>
        <w:t xml:space="preserve">(sites pooled, ±SE). </w:t>
      </w:r>
      <w:r w:rsidR="009607B0" w:rsidRPr="00CB093C">
        <w:rPr>
          <w:rFonts w:ascii="Arial" w:hAnsi="Arial" w:cs="Arial"/>
          <w:i/>
          <w:szCs w:val="22"/>
        </w:rPr>
        <w:t>Red/green text</w:t>
      </w:r>
    </w:p>
    <w:p w14:paraId="3298629F" w14:textId="77777777" w:rsidR="002F1D37" w:rsidRPr="00CB093C" w:rsidRDefault="002F1D37" w:rsidP="00BC6384">
      <w:pPr>
        <w:rPr>
          <w:rFonts w:ascii="Arial" w:hAnsi="Arial" w:cs="Arial"/>
          <w:szCs w:val="22"/>
          <w:lang w:val="en-GB"/>
        </w:rPr>
      </w:pPr>
    </w:p>
    <w:p w14:paraId="565F1368" w14:textId="2E3FA6CE" w:rsidR="00BA409D" w:rsidRPr="00CB093C" w:rsidRDefault="005132EF" w:rsidP="0015509E">
      <w:pPr>
        <w:pStyle w:val="Heading2"/>
      </w:pPr>
      <w:r w:rsidRPr="00CB093C">
        <w:br w:type="page"/>
      </w:r>
      <w:bookmarkStart w:id="441" w:name="_Toc175991085"/>
      <w:bookmarkStart w:id="442" w:name="_Toc232845930"/>
      <w:bookmarkStart w:id="443" w:name="_Toc184102023"/>
      <w:bookmarkStart w:id="444" w:name="_Toc431493778"/>
      <w:bookmarkStart w:id="445" w:name="_Toc11394760"/>
      <w:bookmarkStart w:id="446" w:name="_Toc170191647"/>
      <w:r w:rsidR="00BA409D" w:rsidRPr="00CB093C">
        <w:t>Fitzroy</w:t>
      </w:r>
      <w:bookmarkEnd w:id="441"/>
      <w:bookmarkEnd w:id="442"/>
      <w:bookmarkEnd w:id="443"/>
      <w:bookmarkEnd w:id="444"/>
      <w:bookmarkEnd w:id="445"/>
    </w:p>
    <w:p w14:paraId="187864B6" w14:textId="51AB67D5" w:rsidR="005132EF" w:rsidRPr="00CB093C" w:rsidRDefault="008C0E45" w:rsidP="00AD06D4">
      <w:pPr>
        <w:pStyle w:val="Heading3"/>
        <w:numPr>
          <w:ilvl w:val="2"/>
          <w:numId w:val="4"/>
        </w:numPr>
        <w:rPr>
          <w:rFonts w:ascii="Arial" w:hAnsi="Arial" w:cs="Arial"/>
          <w:color w:val="000000"/>
          <w:sz w:val="22"/>
          <w:szCs w:val="22"/>
        </w:rPr>
      </w:pPr>
      <w:bookmarkStart w:id="447" w:name="_Toc184102024"/>
      <w:bookmarkStart w:id="448" w:name="_Toc431493779"/>
      <w:bookmarkStart w:id="449" w:name="_Toc11394761"/>
      <w:bookmarkEnd w:id="446"/>
      <w:r>
        <w:rPr>
          <w:rFonts w:ascii="Arial" w:hAnsi="Arial" w:cs="Arial"/>
          <w:color w:val="000000"/>
          <w:sz w:val="22"/>
          <w:szCs w:val="22"/>
        </w:rPr>
        <w:t>2017–18</w:t>
      </w:r>
      <w:r w:rsidR="005132EF" w:rsidRPr="00CB093C">
        <w:rPr>
          <w:rFonts w:ascii="Arial" w:hAnsi="Arial" w:cs="Arial"/>
          <w:color w:val="000000"/>
          <w:sz w:val="22"/>
          <w:szCs w:val="22"/>
        </w:rPr>
        <w:t xml:space="preserve"> Summary</w:t>
      </w:r>
      <w:bookmarkEnd w:id="447"/>
      <w:bookmarkEnd w:id="448"/>
      <w:bookmarkEnd w:id="449"/>
    </w:p>
    <w:p w14:paraId="637EFB3D" w14:textId="49AD8FE5" w:rsidR="00DF2BD5" w:rsidRPr="00CB093C" w:rsidRDefault="00DF2BD5" w:rsidP="000374E4">
      <w:pPr>
        <w:rPr>
          <w:rFonts w:ascii="Arial" w:hAnsi="Arial" w:cs="Arial"/>
          <w:szCs w:val="22"/>
          <w:lang w:val="en-GB"/>
        </w:rPr>
      </w:pPr>
      <w:r w:rsidRPr="00CB093C">
        <w:rPr>
          <w:rFonts w:ascii="Arial" w:hAnsi="Arial" w:cs="Arial"/>
          <w:szCs w:val="22"/>
        </w:rPr>
        <w:t xml:space="preserve">Overall, the Fitzroy regional seagrass condition decreased, but remain graded as </w:t>
      </w:r>
      <w:r w:rsidRPr="00CB093C">
        <w:rPr>
          <w:rFonts w:ascii="Arial" w:hAnsi="Arial" w:cs="Arial"/>
          <w:b/>
          <w:szCs w:val="22"/>
        </w:rPr>
        <w:t>poor</w:t>
      </w:r>
      <w:r w:rsidRPr="00CB093C">
        <w:rPr>
          <w:rFonts w:ascii="Arial" w:hAnsi="Arial" w:cs="Arial"/>
          <w:szCs w:val="22"/>
        </w:rPr>
        <w:t xml:space="preserve"> in </w:t>
      </w:r>
      <w:r w:rsidR="003654C6">
        <w:rPr>
          <w:rFonts w:ascii="Arial" w:hAnsi="Arial" w:cs="Arial"/>
          <w:szCs w:val="22"/>
        </w:rPr>
        <w:t>2017–18</w:t>
      </w:r>
      <w:r w:rsidRPr="00CB093C">
        <w:rPr>
          <w:rFonts w:ascii="Arial" w:hAnsi="Arial" w:cs="Arial"/>
          <w:szCs w:val="22"/>
        </w:rPr>
        <w:t xml:space="preserve"> (</w:t>
      </w:r>
      <w:r w:rsidRPr="00CB093C">
        <w:rPr>
          <w:rFonts w:ascii="Arial" w:hAnsi="Arial" w:cs="Arial"/>
          <w:szCs w:val="22"/>
        </w:rPr>
        <w:fldChar w:fldCharType="begin"/>
      </w:r>
      <w:r w:rsidRPr="00CB093C">
        <w:rPr>
          <w:rFonts w:ascii="Arial" w:hAnsi="Arial" w:cs="Arial"/>
          <w:szCs w:val="22"/>
        </w:rPr>
        <w:instrText xml:space="preserve"> REF _Ref442349493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70</w:t>
      </w:r>
      <w:r w:rsidRPr="00CB093C">
        <w:rPr>
          <w:rFonts w:ascii="Arial" w:hAnsi="Arial" w:cs="Arial"/>
          <w:szCs w:val="22"/>
        </w:rPr>
        <w:fldChar w:fldCharType="end"/>
      </w:r>
      <w:r w:rsidRPr="00CB093C">
        <w:rPr>
          <w:rFonts w:ascii="Arial" w:hAnsi="Arial" w:cs="Arial"/>
          <w:szCs w:val="22"/>
        </w:rPr>
        <w:t>).</w:t>
      </w:r>
      <w:r w:rsidR="00A813DF" w:rsidRPr="00CB093C">
        <w:rPr>
          <w:rFonts w:ascii="Arial" w:hAnsi="Arial" w:cs="Arial"/>
          <w:szCs w:val="22"/>
        </w:rPr>
        <w:t xml:space="preserve"> </w:t>
      </w:r>
      <w:r w:rsidRPr="00CB093C">
        <w:rPr>
          <w:rFonts w:ascii="Arial" w:hAnsi="Arial" w:cs="Arial"/>
          <w:szCs w:val="22"/>
          <w:lang w:eastAsia="en-AU"/>
        </w:rPr>
        <w:t>The improvements in the abundance score were offset by decreased or low scores of the remaining indictors</w:t>
      </w:r>
      <w:r w:rsidR="00D630E2" w:rsidRPr="00CB093C">
        <w:rPr>
          <w:rFonts w:ascii="Arial" w:hAnsi="Arial" w:cs="Arial"/>
          <w:szCs w:val="22"/>
          <w:lang w:eastAsia="en-AU"/>
        </w:rPr>
        <w:t>, where</w:t>
      </w:r>
      <w:r w:rsidRPr="00CB093C">
        <w:rPr>
          <w:rFonts w:ascii="Arial" w:hAnsi="Arial" w:cs="Arial"/>
          <w:szCs w:val="22"/>
          <w:lang w:eastAsia="en-AU"/>
        </w:rPr>
        <w:t>:</w:t>
      </w:r>
    </w:p>
    <w:p w14:paraId="1B6C5010" w14:textId="63C1CA91" w:rsidR="00D630E2" w:rsidRPr="00CB093C" w:rsidRDefault="00D630E2" w:rsidP="00D630E2">
      <w:pPr>
        <w:pStyle w:val="ListParagraph"/>
        <w:numPr>
          <w:ilvl w:val="0"/>
          <w:numId w:val="27"/>
        </w:numPr>
        <w:spacing w:after="0"/>
        <w:rPr>
          <w:rFonts w:ascii="Arial" w:hAnsi="Arial" w:cs="Arial"/>
          <w:szCs w:val="22"/>
        </w:rPr>
      </w:pPr>
      <w:r w:rsidRPr="00CB093C">
        <w:rPr>
          <w:rFonts w:ascii="Arial" w:hAnsi="Arial" w:cs="Arial"/>
          <w:szCs w:val="22"/>
        </w:rPr>
        <w:t>abundance score was poor</w:t>
      </w:r>
    </w:p>
    <w:p w14:paraId="25484756" w14:textId="1A32114B" w:rsidR="00D630E2" w:rsidRPr="00CB093C" w:rsidRDefault="00D630E2" w:rsidP="00D630E2">
      <w:pPr>
        <w:pStyle w:val="ListParagraph"/>
        <w:numPr>
          <w:ilvl w:val="0"/>
          <w:numId w:val="27"/>
        </w:numPr>
        <w:spacing w:after="0"/>
        <w:rPr>
          <w:rFonts w:ascii="Arial" w:hAnsi="Arial" w:cs="Arial"/>
          <w:szCs w:val="22"/>
        </w:rPr>
      </w:pPr>
      <w:r w:rsidRPr="00CB093C">
        <w:rPr>
          <w:rFonts w:ascii="Arial" w:hAnsi="Arial" w:cs="Arial"/>
          <w:szCs w:val="22"/>
        </w:rPr>
        <w:t xml:space="preserve">reproductive effort score was very poor </w:t>
      </w:r>
    </w:p>
    <w:p w14:paraId="60E579B1" w14:textId="19A0A09B" w:rsidR="00D630E2" w:rsidRPr="00CB093C" w:rsidRDefault="00D630E2" w:rsidP="00D630E2">
      <w:pPr>
        <w:pStyle w:val="ListParagraph"/>
        <w:numPr>
          <w:ilvl w:val="0"/>
          <w:numId w:val="27"/>
        </w:numPr>
        <w:spacing w:after="0"/>
        <w:rPr>
          <w:rFonts w:ascii="Arial" w:hAnsi="Arial" w:cs="Arial"/>
          <w:szCs w:val="22"/>
        </w:rPr>
      </w:pPr>
      <w:r w:rsidRPr="00CB093C">
        <w:rPr>
          <w:rFonts w:ascii="Arial" w:hAnsi="Arial" w:cs="Arial"/>
          <w:szCs w:val="22"/>
        </w:rPr>
        <w:t>tissue nutrient score was poor.</w:t>
      </w:r>
      <w:r w:rsidRPr="00CB093C">
        <w:rPr>
          <w:rFonts w:ascii="Arial" w:hAnsi="Arial" w:cs="Arial"/>
          <w:color w:val="000000" w:themeColor="text1"/>
          <w:szCs w:val="22"/>
        </w:rPr>
        <w:t xml:space="preserve"> </w:t>
      </w:r>
    </w:p>
    <w:p w14:paraId="092DC32E" w14:textId="78AE3182" w:rsidR="00DF2BD5" w:rsidRPr="00CB093C" w:rsidRDefault="000374E4" w:rsidP="000374E4">
      <w:pPr>
        <w:rPr>
          <w:rFonts w:ascii="Arial" w:hAnsi="Arial" w:cs="Arial"/>
          <w:szCs w:val="22"/>
        </w:rPr>
      </w:pPr>
      <w:r w:rsidRPr="00CB093C">
        <w:rPr>
          <w:rFonts w:ascii="Arial" w:hAnsi="Arial" w:cs="Arial"/>
          <w:szCs w:val="22"/>
          <w:lang w:val="en-GB"/>
        </w:rPr>
        <w:t xml:space="preserve">Approximately 67% of sites improved in abundance </w:t>
      </w:r>
      <w:r w:rsidR="00DF2BD5" w:rsidRPr="00CB093C">
        <w:rPr>
          <w:rFonts w:ascii="Arial" w:hAnsi="Arial" w:cs="Arial"/>
          <w:szCs w:val="22"/>
          <w:lang w:val="en-GB"/>
        </w:rPr>
        <w:t>this year</w:t>
      </w:r>
      <w:r w:rsidRPr="00CB093C">
        <w:rPr>
          <w:rFonts w:ascii="Arial" w:hAnsi="Arial" w:cs="Arial"/>
          <w:szCs w:val="22"/>
          <w:lang w:val="en-GB"/>
        </w:rPr>
        <w:t xml:space="preserve">, however half of the estuary and reef sites decreased relative to the previous period. The improved </w:t>
      </w:r>
      <w:r w:rsidRPr="00CB093C">
        <w:rPr>
          <w:rFonts w:ascii="Arial" w:hAnsi="Arial" w:cs="Arial"/>
          <w:szCs w:val="22"/>
        </w:rPr>
        <w:t xml:space="preserve">abundances appear a consequence of </w:t>
      </w:r>
      <w:r w:rsidRPr="00CB093C">
        <w:rPr>
          <w:rFonts w:ascii="Arial" w:hAnsi="Arial" w:cs="Arial"/>
          <w:color w:val="000000" w:themeColor="text1"/>
          <w:szCs w:val="22"/>
        </w:rPr>
        <w:t xml:space="preserve">a below average wet season, </w:t>
      </w:r>
      <w:r w:rsidRPr="00CB093C">
        <w:rPr>
          <w:rFonts w:ascii="Arial" w:hAnsi="Arial" w:cs="Arial"/>
          <w:szCs w:val="22"/>
        </w:rPr>
        <w:t>buoyed by improved benthic light, r</w:t>
      </w:r>
      <w:r w:rsidRPr="00CB093C">
        <w:rPr>
          <w:rFonts w:ascii="Arial" w:hAnsi="Arial" w:cs="Arial"/>
          <w:szCs w:val="22"/>
          <w:lang w:eastAsia="en-AU"/>
        </w:rPr>
        <w:t>eproductive effort and a persistent seed bank.</w:t>
      </w:r>
      <w:r w:rsidRPr="00CB093C">
        <w:rPr>
          <w:rFonts w:ascii="Arial" w:hAnsi="Arial" w:cs="Arial"/>
          <w:szCs w:val="22"/>
        </w:rPr>
        <w:t xml:space="preserve"> These improvements were despite elevated temperatures for the fifth consecutive year. </w:t>
      </w:r>
    </w:p>
    <w:p w14:paraId="14A28F53" w14:textId="28EC44C3" w:rsidR="00DF2BD5" w:rsidRPr="00CB093C" w:rsidRDefault="00DF2BD5" w:rsidP="000374E4">
      <w:pPr>
        <w:rPr>
          <w:rFonts w:ascii="Arial" w:hAnsi="Arial" w:cs="Arial"/>
          <w:szCs w:val="22"/>
        </w:rPr>
      </w:pPr>
      <w:r w:rsidRPr="00CB093C">
        <w:rPr>
          <w:rFonts w:ascii="Arial" w:hAnsi="Arial" w:cs="Arial"/>
          <w:szCs w:val="22"/>
          <w:lang w:val="en-GB"/>
        </w:rPr>
        <w:t>T</w:t>
      </w:r>
      <w:r w:rsidRPr="00CB093C">
        <w:rPr>
          <w:rFonts w:ascii="Arial" w:hAnsi="Arial" w:cs="Arial"/>
          <w:szCs w:val="22"/>
        </w:rPr>
        <w:t xml:space="preserve">he </w:t>
      </w:r>
      <w:r w:rsidR="000374E4" w:rsidRPr="00CB093C">
        <w:rPr>
          <w:rFonts w:ascii="Arial" w:hAnsi="Arial" w:cs="Arial"/>
          <w:szCs w:val="22"/>
        </w:rPr>
        <w:t>low abundance in estuary meadows appears a legacy of declines in 2016</w:t>
      </w:r>
      <w:r w:rsidR="00A675DA" w:rsidRPr="00CB093C">
        <w:rPr>
          <w:rFonts w:ascii="Arial" w:hAnsi="Arial" w:cs="Arial"/>
          <w:szCs w:val="22"/>
        </w:rPr>
        <w:t>–</w:t>
      </w:r>
      <w:r w:rsidR="0098351A" w:rsidRPr="00CB093C">
        <w:rPr>
          <w:rFonts w:ascii="Arial" w:hAnsi="Arial" w:cs="Arial"/>
          <w:szCs w:val="22"/>
        </w:rPr>
        <w:t>20</w:t>
      </w:r>
      <w:r w:rsidR="000374E4" w:rsidRPr="00CB093C">
        <w:rPr>
          <w:rFonts w:ascii="Arial" w:hAnsi="Arial" w:cs="Arial"/>
          <w:szCs w:val="22"/>
        </w:rPr>
        <w:t xml:space="preserve">17, and the meadows are expected to recove as the mud wave which caused the declines dissipated in </w:t>
      </w:r>
      <w:r w:rsidR="003654C6">
        <w:rPr>
          <w:rFonts w:ascii="Arial" w:hAnsi="Arial" w:cs="Arial"/>
          <w:szCs w:val="22"/>
        </w:rPr>
        <w:t>2017–18</w:t>
      </w:r>
      <w:r w:rsidR="000374E4" w:rsidRPr="00CB093C">
        <w:rPr>
          <w:rFonts w:ascii="Arial" w:hAnsi="Arial" w:cs="Arial"/>
          <w:szCs w:val="22"/>
        </w:rPr>
        <w:t xml:space="preserve"> and meadow integrity has improved. </w:t>
      </w:r>
    </w:p>
    <w:p w14:paraId="72765820" w14:textId="77777777" w:rsidR="00DF2BD5" w:rsidRPr="00CB093C" w:rsidRDefault="000374E4" w:rsidP="000374E4">
      <w:pPr>
        <w:rPr>
          <w:rFonts w:ascii="Arial" w:hAnsi="Arial" w:cs="Arial"/>
          <w:szCs w:val="22"/>
          <w:lang w:eastAsia="en-AU"/>
        </w:rPr>
      </w:pPr>
      <w:r w:rsidRPr="00CB093C">
        <w:rPr>
          <w:rFonts w:ascii="Arial" w:hAnsi="Arial" w:cs="Arial"/>
          <w:szCs w:val="22"/>
        </w:rPr>
        <w:t>However, the deteriorating condition of the reef habitats remains a concern. After the 2016 losses, the reef meadows remain highly fragmented, dominated by colonising species and showing little sign of recovery as r</w:t>
      </w:r>
      <w:r w:rsidRPr="00CB093C">
        <w:rPr>
          <w:rFonts w:ascii="Arial" w:hAnsi="Arial" w:cs="Arial"/>
          <w:szCs w:val="22"/>
          <w:lang w:eastAsia="en-AU"/>
        </w:rPr>
        <w:t xml:space="preserve">eproductive effort remains very low and seed banks absent. </w:t>
      </w:r>
    </w:p>
    <w:p w14:paraId="12536D28" w14:textId="3E8AAD68" w:rsidR="000374E4" w:rsidRPr="00CB093C" w:rsidRDefault="000374E4" w:rsidP="000374E4">
      <w:pPr>
        <w:rPr>
          <w:rFonts w:ascii="Arial" w:hAnsi="Arial" w:cs="Arial"/>
          <w:szCs w:val="22"/>
          <w:lang w:eastAsia="x-none"/>
        </w:rPr>
      </w:pPr>
      <w:r w:rsidRPr="00CB093C">
        <w:rPr>
          <w:rFonts w:ascii="Arial" w:hAnsi="Arial" w:cs="Arial"/>
          <w:szCs w:val="22"/>
          <w:lang w:val="en-GB"/>
        </w:rPr>
        <w:t xml:space="preserve">Examination of the long-term trend in </w:t>
      </w:r>
      <w:r w:rsidRPr="00CB093C">
        <w:rPr>
          <w:rFonts w:ascii="Arial" w:hAnsi="Arial" w:cs="Arial"/>
          <w:szCs w:val="22"/>
          <w:lang w:eastAsia="x-none"/>
        </w:rPr>
        <w:t>seagrass abundance (</w:t>
      </w:r>
      <w:r w:rsidR="00882B72" w:rsidRPr="00CB093C">
        <w:rPr>
          <w:rFonts w:ascii="Arial" w:hAnsi="Arial" w:cs="Arial"/>
          <w:szCs w:val="22"/>
          <w:lang w:eastAsia="x-none"/>
        </w:rPr>
        <w:t>%</w:t>
      </w:r>
      <w:r w:rsidRPr="00CB093C">
        <w:rPr>
          <w:rFonts w:ascii="Arial" w:hAnsi="Arial" w:cs="Arial"/>
          <w:szCs w:val="22"/>
          <w:lang w:eastAsia="x-none"/>
        </w:rPr>
        <w:t xml:space="preserve"> cover) across the region reveals a significant decrease</w:t>
      </w:r>
      <w:r w:rsidRPr="00CB093C">
        <w:rPr>
          <w:rFonts w:ascii="Arial" w:hAnsi="Arial" w:cs="Arial"/>
          <w:szCs w:val="22"/>
          <w:lang w:val="en-GB"/>
        </w:rPr>
        <w:t xml:space="preserve">, </w:t>
      </w:r>
      <w:r w:rsidRPr="00CB093C">
        <w:rPr>
          <w:rFonts w:ascii="Arial" w:hAnsi="Arial" w:cs="Arial"/>
          <w:szCs w:val="22"/>
          <w:lang w:eastAsia="x-none"/>
        </w:rPr>
        <w:t>primarily influenced by significant decreases in estuary and reef habitats.</w:t>
      </w:r>
    </w:p>
    <w:p w14:paraId="258F483D" w14:textId="77777777" w:rsidR="000374E4" w:rsidRPr="00CB093C" w:rsidRDefault="000374E4" w:rsidP="000374E4">
      <w:pPr>
        <w:rPr>
          <w:rFonts w:ascii="Arial" w:hAnsi="Arial" w:cs="Arial"/>
          <w:szCs w:val="22"/>
          <w:lang w:val="en-US"/>
        </w:rPr>
      </w:pPr>
      <w:r w:rsidRPr="00CB093C">
        <w:rPr>
          <w:rFonts w:ascii="Arial" w:hAnsi="Arial" w:cs="Arial"/>
          <w:iCs/>
          <w:szCs w:val="22"/>
        </w:rPr>
        <w:t xml:space="preserve">Seagrass leaf molar C:N ratios continue to indicate a surplus of N relative to photosynthetic C incorporation, however there is no indication of elevated N across the region, despite %N remaining above the global median. This is supported by continuing low </w:t>
      </w:r>
      <w:r w:rsidRPr="00CB093C">
        <w:rPr>
          <w:rFonts w:ascii="Arial" w:hAnsi="Arial" w:cs="Arial"/>
          <w:szCs w:val="22"/>
          <w:lang w:val="en-US"/>
        </w:rPr>
        <w:t>epiphyte and macroalgae cover.</w:t>
      </w:r>
    </w:p>
    <w:p w14:paraId="04D30230" w14:textId="7A5128D5" w:rsidR="000374E4" w:rsidRPr="00CB093C" w:rsidRDefault="008D74B2" w:rsidP="000374E4">
      <w:pPr>
        <w:rPr>
          <w:rFonts w:ascii="Arial" w:hAnsi="Arial" w:cs="Arial"/>
          <w:szCs w:val="22"/>
        </w:rPr>
      </w:pPr>
      <w:r w:rsidRPr="00CB093C">
        <w:rPr>
          <w:rFonts w:ascii="Arial" w:hAnsi="Arial" w:cs="Arial"/>
          <w:szCs w:val="22"/>
        </w:rPr>
        <w:t>Inshore s</w:t>
      </w:r>
      <w:r w:rsidR="000374E4" w:rsidRPr="00CB093C">
        <w:rPr>
          <w:rFonts w:ascii="Arial" w:hAnsi="Arial" w:cs="Arial"/>
          <w:szCs w:val="22"/>
        </w:rPr>
        <w:t xml:space="preserve">eagrass </w:t>
      </w:r>
      <w:r w:rsidRPr="00CB093C">
        <w:rPr>
          <w:rFonts w:ascii="Arial" w:hAnsi="Arial" w:cs="Arial"/>
          <w:szCs w:val="22"/>
        </w:rPr>
        <w:t xml:space="preserve">meadows </w:t>
      </w:r>
      <w:r w:rsidR="000374E4" w:rsidRPr="00CB093C">
        <w:rPr>
          <w:rFonts w:ascii="Arial" w:hAnsi="Arial" w:cs="Arial"/>
          <w:szCs w:val="22"/>
        </w:rPr>
        <w:t xml:space="preserve">across the region remain in the early stages of recovering from </w:t>
      </w:r>
      <w:r w:rsidR="000374E4" w:rsidRPr="00CB093C">
        <w:rPr>
          <w:rFonts w:ascii="Arial" w:hAnsi="Arial" w:cs="Arial"/>
          <w:szCs w:val="22"/>
          <w:lang w:eastAsia="en-AU"/>
        </w:rPr>
        <w:t>multiple years of climate related impacts which</w:t>
      </w:r>
      <w:r w:rsidRPr="00CB093C">
        <w:rPr>
          <w:rFonts w:ascii="Arial" w:hAnsi="Arial" w:cs="Arial"/>
          <w:szCs w:val="22"/>
          <w:lang w:eastAsia="en-AU"/>
        </w:rPr>
        <w:t xml:space="preserve">, similary to </w:t>
      </w:r>
      <w:r w:rsidR="00637325">
        <w:rPr>
          <w:rFonts w:ascii="Arial" w:hAnsi="Arial" w:cs="Arial"/>
          <w:szCs w:val="22"/>
          <w:lang w:eastAsia="en-AU"/>
        </w:rPr>
        <w:t>Mackay-Whitsunday</w:t>
      </w:r>
      <w:r w:rsidRPr="00CB093C">
        <w:rPr>
          <w:rFonts w:ascii="Arial" w:hAnsi="Arial" w:cs="Arial"/>
          <w:szCs w:val="22"/>
          <w:lang w:eastAsia="en-AU"/>
        </w:rPr>
        <w:t>,</w:t>
      </w:r>
      <w:r w:rsidR="000374E4" w:rsidRPr="00CB093C">
        <w:rPr>
          <w:rFonts w:ascii="Arial" w:hAnsi="Arial" w:cs="Arial"/>
          <w:szCs w:val="22"/>
          <w:lang w:eastAsia="en-AU"/>
        </w:rPr>
        <w:t xml:space="preserve"> are more recent than in other regions. The coastal habitats have been improving, while other habitats demonstrate a legacy of reduced resilience. </w:t>
      </w:r>
    </w:p>
    <w:p w14:paraId="6DCCCAF5" w14:textId="77777777" w:rsidR="00F7114B" w:rsidRPr="00CB093C" w:rsidRDefault="004E43E3" w:rsidP="00F7114B">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0EDF1246" wp14:editId="69212F04">
            <wp:extent cx="4114800" cy="2520000"/>
            <wp:effectExtent l="0" t="0" r="0" b="0"/>
            <wp:docPr id="10149" name="Picture 10149" descr="Scatter plot with straight lines and markers showing seagrass condition index (including standard errors), with contributing indicator scores for the Fitzro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9" name="INDEX_F_2016.png"/>
                    <pic:cNvPicPr/>
                  </pic:nvPicPr>
                  <pic:blipFill>
                    <a:blip r:embed="rId113">
                      <a:extLst>
                        <a:ext uri="{28A0092B-C50C-407E-A947-70E740481C1C}">
                          <a14:useLocalDpi xmlns:a14="http://schemas.microsoft.com/office/drawing/2010/main" val="0"/>
                        </a:ext>
                      </a:extLst>
                    </a:blip>
                    <a:stretch>
                      <a:fillRect/>
                    </a:stretch>
                  </pic:blipFill>
                  <pic:spPr>
                    <a:xfrm>
                      <a:off x="0" y="0"/>
                      <a:ext cx="4114800" cy="2520000"/>
                    </a:xfrm>
                    <a:prstGeom prst="rect">
                      <a:avLst/>
                    </a:prstGeom>
                  </pic:spPr>
                </pic:pic>
              </a:graphicData>
            </a:graphic>
          </wp:inline>
        </w:drawing>
      </w:r>
    </w:p>
    <w:p w14:paraId="649316BB" w14:textId="571BE859" w:rsidR="00F7114B" w:rsidRPr="00CB093C" w:rsidRDefault="00F7114B" w:rsidP="008A5BB8">
      <w:pPr>
        <w:spacing w:before="0"/>
        <w:rPr>
          <w:rFonts w:ascii="Arial" w:hAnsi="Arial" w:cs="Arial"/>
          <w:i/>
          <w:vanish/>
          <w:color w:val="000000"/>
          <w:szCs w:val="22"/>
          <w:specVanish/>
        </w:rPr>
      </w:pPr>
      <w:bookmarkStart w:id="450" w:name="_Ref442349493"/>
      <w:bookmarkStart w:id="451" w:name="_Toc431493886"/>
      <w:bookmarkStart w:id="452" w:name="_Toc6402835"/>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70</w:t>
      </w:r>
      <w:r w:rsidRPr="00CB093C">
        <w:rPr>
          <w:rFonts w:ascii="Arial" w:hAnsi="Arial" w:cs="Arial"/>
          <w:color w:val="000000"/>
          <w:szCs w:val="22"/>
        </w:rPr>
        <w:fldChar w:fldCharType="end"/>
      </w:r>
      <w:bookmarkEnd w:id="450"/>
      <w:r w:rsidRPr="00CB093C">
        <w:rPr>
          <w:rFonts w:ascii="Arial" w:hAnsi="Arial" w:cs="Arial"/>
          <w:color w:val="000000"/>
          <w:szCs w:val="22"/>
        </w:rPr>
        <w:t xml:space="preserve">. </w:t>
      </w:r>
      <w:r w:rsidRPr="00CB093C">
        <w:rPr>
          <w:rFonts w:ascii="Arial" w:hAnsi="Arial" w:cs="Arial"/>
          <w:i/>
          <w:color w:val="000000"/>
          <w:szCs w:val="22"/>
        </w:rPr>
        <w:t xml:space="preserve">Report card of seagrass status </w:t>
      </w:r>
      <w:r w:rsidR="008538C7" w:rsidRPr="00CB093C">
        <w:rPr>
          <w:rFonts w:ascii="Arial" w:hAnsi="Arial" w:cs="Arial"/>
          <w:i/>
          <w:color w:val="000000"/>
          <w:szCs w:val="22"/>
        </w:rPr>
        <w:t xml:space="preserve">index and </w:t>
      </w:r>
      <w:r w:rsidRPr="00CB093C">
        <w:rPr>
          <w:rFonts w:ascii="Arial" w:hAnsi="Arial" w:cs="Arial"/>
          <w:i/>
          <w:color w:val="000000"/>
          <w:szCs w:val="22"/>
        </w:rPr>
        <w:t>indicators for the Fitzroy NRM region</w:t>
      </w:r>
      <w:bookmarkEnd w:id="451"/>
      <w:bookmarkEnd w:id="452"/>
    </w:p>
    <w:p w14:paraId="6659E4C1" w14:textId="6A0E0990" w:rsidR="008A59C6" w:rsidRPr="00CB093C" w:rsidRDefault="00F7114B" w:rsidP="008A5BB8">
      <w:pPr>
        <w:spacing w:before="0" w:after="0"/>
        <w:rPr>
          <w:rFonts w:ascii="Arial" w:hAnsi="Arial" w:cs="Arial"/>
          <w:i/>
          <w:color w:val="000000"/>
          <w:szCs w:val="22"/>
        </w:rPr>
      </w:pPr>
      <w:r w:rsidRPr="00CB093C">
        <w:rPr>
          <w:rFonts w:ascii="Arial" w:hAnsi="Arial" w:cs="Arial"/>
          <w:i/>
          <w:color w:val="000000"/>
          <w:szCs w:val="22"/>
        </w:rPr>
        <w:t xml:space="preserve"> (averages across habitats and </w:t>
      </w:r>
      <w:r w:rsidRPr="00CB093C">
        <w:rPr>
          <w:rFonts w:ascii="Arial" w:hAnsi="Arial" w:cs="Arial"/>
          <w:i/>
          <w:szCs w:val="22"/>
        </w:rPr>
        <w:t xml:space="preserve">sites). </w:t>
      </w:r>
      <w:r w:rsidR="0098351A" w:rsidRPr="00CB093C">
        <w:rPr>
          <w:rFonts w:ascii="Arial" w:hAnsi="Arial" w:cs="Arial"/>
          <w:i/>
          <w:szCs w:val="22"/>
        </w:rPr>
        <w:t xml:space="preserve">Values are indexed scores scaled from 0–100 and graded: </w:t>
      </w:r>
      <w:r w:rsidR="0098351A" w:rsidRPr="00CB093C">
        <w:rPr>
          <w:rFonts w:ascii="Arial" w:hAnsi="Arial" w:cs="Arial"/>
          <w:color w:val="008000"/>
          <w:szCs w:val="22"/>
        </w:rPr>
        <w:t>●</w:t>
      </w:r>
      <w:r w:rsidR="0098351A" w:rsidRPr="00CB093C">
        <w:rPr>
          <w:rFonts w:ascii="Arial" w:hAnsi="Arial" w:cs="Arial"/>
          <w:i/>
          <w:szCs w:val="22"/>
        </w:rPr>
        <w:t xml:space="preserve"> = very good (81-100), </w:t>
      </w:r>
      <w:r w:rsidR="0098351A" w:rsidRPr="00CB093C">
        <w:rPr>
          <w:rFonts w:ascii="Arial" w:hAnsi="Arial" w:cs="Arial"/>
          <w:color w:val="92D050"/>
          <w:szCs w:val="22"/>
        </w:rPr>
        <w:t>●</w:t>
      </w:r>
      <w:r w:rsidR="0098351A" w:rsidRPr="00CB093C">
        <w:rPr>
          <w:rFonts w:ascii="Arial" w:hAnsi="Arial" w:cs="Arial"/>
          <w:i/>
          <w:szCs w:val="22"/>
        </w:rPr>
        <w:t xml:space="preserve"> = good (61 - 80), </w:t>
      </w:r>
      <w:r w:rsidR="0098351A" w:rsidRPr="00CB093C">
        <w:rPr>
          <w:rFonts w:ascii="Arial" w:hAnsi="Arial" w:cs="Arial"/>
          <w:color w:val="FFFF00"/>
          <w:szCs w:val="22"/>
        </w:rPr>
        <w:t>●</w:t>
      </w:r>
      <w:r w:rsidR="0098351A" w:rsidRPr="00CB093C">
        <w:rPr>
          <w:rFonts w:ascii="Arial" w:hAnsi="Arial" w:cs="Arial"/>
          <w:i/>
          <w:szCs w:val="22"/>
        </w:rPr>
        <w:t xml:space="preserve"> = moderate (41 - 60), </w:t>
      </w:r>
      <w:r w:rsidR="0098351A" w:rsidRPr="00CB093C">
        <w:rPr>
          <w:rFonts w:ascii="Arial" w:hAnsi="Arial" w:cs="Arial"/>
          <w:i/>
          <w:color w:val="FFC000"/>
          <w:szCs w:val="22"/>
        </w:rPr>
        <w:t>●</w:t>
      </w:r>
      <w:r w:rsidR="0098351A" w:rsidRPr="00CB093C">
        <w:rPr>
          <w:rFonts w:ascii="Arial" w:hAnsi="Arial" w:cs="Arial"/>
          <w:i/>
          <w:szCs w:val="22"/>
        </w:rPr>
        <w:t xml:space="preserve"> = poor (21 - 40), </w:t>
      </w:r>
      <w:r w:rsidR="0098351A" w:rsidRPr="00CB093C">
        <w:rPr>
          <w:rFonts w:ascii="Arial" w:hAnsi="Arial" w:cs="Arial"/>
          <w:i/>
          <w:color w:val="FF0000"/>
          <w:szCs w:val="22"/>
        </w:rPr>
        <w:t>●</w:t>
      </w:r>
      <w:r w:rsidR="0098351A" w:rsidRPr="00CB093C">
        <w:rPr>
          <w:rFonts w:ascii="Arial" w:hAnsi="Arial" w:cs="Arial"/>
          <w:i/>
          <w:szCs w:val="22"/>
        </w:rPr>
        <w:t> = very poor (0 - 20).</w:t>
      </w:r>
      <w:r w:rsidR="0098351A" w:rsidRPr="00CB093C">
        <w:rPr>
          <w:rFonts w:ascii="Arial" w:hAnsi="Arial" w:cs="Arial"/>
          <w:i/>
          <w:color w:val="000000"/>
          <w:szCs w:val="22"/>
        </w:rPr>
        <w:t xml:space="preserve"> NB: Scores</w:t>
      </w:r>
      <w:r w:rsidR="0098351A" w:rsidRPr="00CB093C">
        <w:rPr>
          <w:rFonts w:ascii="Arial" w:hAnsi="Arial" w:cs="Arial"/>
          <w:i/>
          <w:szCs w:val="22"/>
        </w:rPr>
        <w:t xml:space="preserve"> are unitless.</w:t>
      </w:r>
    </w:p>
    <w:p w14:paraId="5228B492" w14:textId="449B43F7" w:rsidR="008A5BB8" w:rsidRPr="00CB093C" w:rsidRDefault="008A5BB8" w:rsidP="00AD06D4">
      <w:pPr>
        <w:pStyle w:val="Heading3"/>
        <w:numPr>
          <w:ilvl w:val="2"/>
          <w:numId w:val="4"/>
        </w:numPr>
        <w:rPr>
          <w:rFonts w:ascii="Arial" w:hAnsi="Arial" w:cs="Arial"/>
          <w:color w:val="000000"/>
          <w:sz w:val="22"/>
          <w:szCs w:val="22"/>
        </w:rPr>
      </w:pPr>
      <w:bookmarkStart w:id="453" w:name="_Toc11394762"/>
      <w:r w:rsidRPr="00CB093C">
        <w:rPr>
          <w:rFonts w:ascii="Arial" w:hAnsi="Arial" w:cs="Arial"/>
          <w:color w:val="000000"/>
          <w:sz w:val="22"/>
          <w:szCs w:val="22"/>
        </w:rPr>
        <w:t>Climate and environmental pressures</w:t>
      </w:r>
      <w:bookmarkEnd w:id="453"/>
    </w:p>
    <w:p w14:paraId="634D5992" w14:textId="7EF42AE1" w:rsidR="00037DE8" w:rsidRPr="00CB093C" w:rsidRDefault="00A23A41" w:rsidP="00A23A41">
      <w:pPr>
        <w:rPr>
          <w:rFonts w:ascii="Arial" w:hAnsi="Arial" w:cs="Arial"/>
          <w:szCs w:val="22"/>
          <w:lang w:val="en-GB"/>
        </w:rPr>
      </w:pPr>
      <w:bookmarkStart w:id="454" w:name="_Toc431493781"/>
      <w:r w:rsidRPr="00CB093C">
        <w:rPr>
          <w:rFonts w:ascii="Arial" w:hAnsi="Arial" w:cs="Arial"/>
          <w:color w:val="000000" w:themeColor="text1"/>
          <w:szCs w:val="22"/>
        </w:rPr>
        <w:t xml:space="preserve">Rainfall and river discharge in </w:t>
      </w:r>
      <w:r w:rsidR="003654C6">
        <w:rPr>
          <w:rFonts w:ascii="Arial" w:hAnsi="Arial" w:cs="Arial"/>
          <w:color w:val="000000" w:themeColor="text1"/>
          <w:szCs w:val="22"/>
        </w:rPr>
        <w:t>2017–18</w:t>
      </w:r>
      <w:r w:rsidRPr="00CB093C">
        <w:rPr>
          <w:rFonts w:ascii="Arial" w:hAnsi="Arial" w:cs="Arial"/>
          <w:color w:val="000000" w:themeColor="text1"/>
          <w:szCs w:val="22"/>
        </w:rPr>
        <w:t xml:space="preserve"> were </w:t>
      </w:r>
      <w:r w:rsidR="00037DE8" w:rsidRPr="00CB093C">
        <w:rPr>
          <w:rFonts w:ascii="Arial" w:hAnsi="Arial" w:cs="Arial"/>
          <w:color w:val="000000" w:themeColor="text1"/>
          <w:szCs w:val="22"/>
        </w:rPr>
        <w:t xml:space="preserve">well </w:t>
      </w:r>
      <w:r w:rsidRPr="00CB093C">
        <w:rPr>
          <w:rFonts w:ascii="Arial" w:hAnsi="Arial" w:cs="Arial"/>
          <w:color w:val="000000" w:themeColor="text1"/>
          <w:szCs w:val="22"/>
        </w:rPr>
        <w:t>below the long-term average for the Fitzroy region (</w:t>
      </w:r>
      <w:r w:rsidR="001927E1" w:rsidRPr="00CB093C">
        <w:rPr>
          <w:rFonts w:ascii="Arial" w:hAnsi="Arial" w:cs="Arial"/>
          <w:color w:val="0000FF"/>
          <w:szCs w:val="22"/>
          <w:lang w:val="en-GB"/>
        </w:rPr>
        <w:fldChar w:fldCharType="begin"/>
      </w:r>
      <w:r w:rsidR="001927E1" w:rsidRPr="00CB093C">
        <w:rPr>
          <w:rFonts w:ascii="Arial" w:hAnsi="Arial" w:cs="Arial"/>
          <w:color w:val="000000" w:themeColor="text1"/>
          <w:szCs w:val="22"/>
        </w:rPr>
        <w:instrText xml:space="preserve"> REF _Ref533507693 \h </w:instrText>
      </w:r>
      <w:r w:rsidR="00CB093C" w:rsidRPr="00CB093C">
        <w:rPr>
          <w:rFonts w:ascii="Arial" w:hAnsi="Arial" w:cs="Arial"/>
          <w:color w:val="0000FF"/>
          <w:szCs w:val="22"/>
          <w:lang w:val="en-GB"/>
        </w:rPr>
        <w:instrText xml:space="preserve"> \* MERGEFORMAT </w:instrText>
      </w:r>
      <w:r w:rsidR="001927E1" w:rsidRPr="00CB093C">
        <w:rPr>
          <w:rFonts w:ascii="Arial" w:hAnsi="Arial" w:cs="Arial"/>
          <w:color w:val="0000FF"/>
          <w:szCs w:val="22"/>
          <w:lang w:val="en-GB"/>
        </w:rPr>
      </w:r>
      <w:r w:rsidR="001927E1" w:rsidRPr="00CB093C">
        <w:rPr>
          <w:rFonts w:ascii="Arial" w:hAnsi="Arial" w:cs="Arial"/>
          <w:color w:val="0000FF"/>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71</w:t>
      </w:r>
      <w:r w:rsidR="001927E1" w:rsidRPr="00CB093C">
        <w:rPr>
          <w:rFonts w:ascii="Arial" w:hAnsi="Arial" w:cs="Arial"/>
          <w:color w:val="0000FF"/>
          <w:szCs w:val="22"/>
          <w:lang w:val="en-GB"/>
        </w:rPr>
        <w:fldChar w:fldCharType="end"/>
      </w:r>
      <w:r w:rsidRPr="00CB093C">
        <w:rPr>
          <w:rFonts w:ascii="Arial" w:hAnsi="Arial" w:cs="Arial"/>
          <w:color w:val="000000" w:themeColor="text1"/>
          <w:szCs w:val="22"/>
        </w:rPr>
        <w:t xml:space="preserve">). </w:t>
      </w:r>
      <w:r w:rsidRPr="00CB093C">
        <w:rPr>
          <w:rFonts w:ascii="Arial" w:hAnsi="Arial" w:cs="Arial"/>
          <w:szCs w:val="22"/>
          <w:lang w:val="en-GB"/>
        </w:rPr>
        <w:t>Exposure of inshore seagrass to turbid waters during the wet season was similar to the long-term average, however annual within-canopy light availability was the highest in seven years</w:t>
      </w:r>
      <w:r w:rsidR="00105E10" w:rsidRPr="00CB093C">
        <w:rPr>
          <w:rFonts w:ascii="Arial" w:hAnsi="Arial" w:cs="Arial"/>
          <w:szCs w:val="22"/>
          <w:lang w:val="en-GB"/>
        </w:rPr>
        <w:t xml:space="preserve"> across all habitats</w:t>
      </w:r>
      <w:r w:rsidR="001927E1" w:rsidRPr="00CB093C">
        <w:rPr>
          <w:rFonts w:ascii="Arial" w:hAnsi="Arial" w:cs="Arial"/>
          <w:szCs w:val="22"/>
          <w:lang w:val="en-GB"/>
        </w:rPr>
        <w:t xml:space="preserve"> </w:t>
      </w:r>
      <w:r w:rsidR="001927E1" w:rsidRPr="00CB093C">
        <w:rPr>
          <w:rFonts w:ascii="Arial" w:hAnsi="Arial" w:cs="Arial"/>
          <w:color w:val="000000" w:themeColor="text1"/>
          <w:szCs w:val="22"/>
        </w:rPr>
        <w:t>(</w:t>
      </w:r>
      <w:r w:rsidR="00105E10" w:rsidRPr="00CB093C">
        <w:rPr>
          <w:rFonts w:ascii="Arial" w:hAnsi="Arial" w:cs="Arial"/>
          <w:color w:val="000000" w:themeColor="text1"/>
          <w:szCs w:val="22"/>
        </w:rPr>
        <w:fldChar w:fldCharType="begin"/>
      </w:r>
      <w:r w:rsidR="00105E10" w:rsidRPr="00CB093C">
        <w:rPr>
          <w:rFonts w:ascii="Arial" w:hAnsi="Arial" w:cs="Arial"/>
          <w:color w:val="000000" w:themeColor="text1"/>
          <w:szCs w:val="22"/>
        </w:rPr>
        <w:instrText xml:space="preserve"> REF _Ref507596879 \h </w:instrText>
      </w:r>
      <w:r w:rsidR="00CB093C" w:rsidRPr="00CB093C">
        <w:rPr>
          <w:rFonts w:ascii="Arial" w:hAnsi="Arial" w:cs="Arial"/>
          <w:color w:val="000000" w:themeColor="text1"/>
          <w:szCs w:val="22"/>
        </w:rPr>
        <w:instrText xml:space="preserve"> \* MERGEFORMAT </w:instrText>
      </w:r>
      <w:r w:rsidR="00105E10" w:rsidRPr="00CB093C">
        <w:rPr>
          <w:rFonts w:ascii="Arial" w:hAnsi="Arial" w:cs="Arial"/>
          <w:color w:val="000000" w:themeColor="text1"/>
          <w:szCs w:val="22"/>
        </w:rPr>
      </w:r>
      <w:r w:rsidR="00105E10"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9</w:t>
      </w:r>
      <w:r w:rsidR="00105E10" w:rsidRPr="00CB093C">
        <w:rPr>
          <w:rFonts w:ascii="Arial" w:hAnsi="Arial" w:cs="Arial"/>
          <w:color w:val="000000" w:themeColor="text1"/>
          <w:szCs w:val="22"/>
        </w:rPr>
        <w:fldChar w:fldCharType="end"/>
      </w:r>
      <w:r w:rsidR="00105E10" w:rsidRPr="00CB093C">
        <w:rPr>
          <w:rFonts w:ascii="Arial" w:hAnsi="Arial" w:cs="Arial"/>
          <w:color w:val="000000" w:themeColor="text1"/>
          <w:szCs w:val="22"/>
        </w:rPr>
        <w:t xml:space="preserve">, </w:t>
      </w:r>
      <w:r w:rsidR="001927E1" w:rsidRPr="00CB093C">
        <w:rPr>
          <w:rFonts w:ascii="Arial" w:hAnsi="Arial" w:cs="Arial"/>
          <w:color w:val="0000FF"/>
          <w:szCs w:val="22"/>
          <w:lang w:val="en-GB"/>
        </w:rPr>
        <w:fldChar w:fldCharType="begin"/>
      </w:r>
      <w:r w:rsidR="001927E1" w:rsidRPr="00CB093C">
        <w:rPr>
          <w:rFonts w:ascii="Arial" w:hAnsi="Arial" w:cs="Arial"/>
          <w:color w:val="000000" w:themeColor="text1"/>
          <w:szCs w:val="22"/>
        </w:rPr>
        <w:instrText xml:space="preserve"> REF _Ref533507693 \h </w:instrText>
      </w:r>
      <w:r w:rsidR="00CB093C" w:rsidRPr="00CB093C">
        <w:rPr>
          <w:rFonts w:ascii="Arial" w:hAnsi="Arial" w:cs="Arial"/>
          <w:color w:val="0000FF"/>
          <w:szCs w:val="22"/>
          <w:lang w:val="en-GB"/>
        </w:rPr>
        <w:instrText xml:space="preserve"> \* MERGEFORMAT </w:instrText>
      </w:r>
      <w:r w:rsidR="001927E1" w:rsidRPr="00CB093C">
        <w:rPr>
          <w:rFonts w:ascii="Arial" w:hAnsi="Arial" w:cs="Arial"/>
          <w:color w:val="0000FF"/>
          <w:szCs w:val="22"/>
          <w:lang w:val="en-GB"/>
        </w:rPr>
      </w:r>
      <w:r w:rsidR="001927E1" w:rsidRPr="00CB093C">
        <w:rPr>
          <w:rFonts w:ascii="Arial" w:hAnsi="Arial" w:cs="Arial"/>
          <w:color w:val="0000FF"/>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71</w:t>
      </w:r>
      <w:r w:rsidR="001927E1" w:rsidRPr="00CB093C">
        <w:rPr>
          <w:rFonts w:ascii="Arial" w:hAnsi="Arial" w:cs="Arial"/>
          <w:color w:val="0000FF"/>
          <w:szCs w:val="22"/>
          <w:lang w:val="en-GB"/>
        </w:rPr>
        <w:fldChar w:fldCharType="end"/>
      </w:r>
      <w:r w:rsidR="001927E1" w:rsidRPr="00CB093C">
        <w:rPr>
          <w:rFonts w:ascii="Arial" w:hAnsi="Arial" w:cs="Arial"/>
          <w:color w:val="000000" w:themeColor="text1"/>
          <w:szCs w:val="22"/>
        </w:rPr>
        <w:t>)</w:t>
      </w:r>
      <w:r w:rsidRPr="00CB093C">
        <w:rPr>
          <w:rFonts w:ascii="Arial" w:hAnsi="Arial" w:cs="Arial"/>
          <w:szCs w:val="22"/>
          <w:lang w:val="en-GB"/>
        </w:rPr>
        <w:t xml:space="preserve">. </w:t>
      </w:r>
    </w:p>
    <w:p w14:paraId="6B151921" w14:textId="5CD6C8FF" w:rsidR="00037DE8" w:rsidRPr="00CB093C" w:rsidRDefault="00A23A41" w:rsidP="00A23A41">
      <w:pPr>
        <w:rPr>
          <w:rFonts w:ascii="Arial" w:hAnsi="Arial" w:cs="Arial"/>
          <w:szCs w:val="22"/>
          <w:lang w:val="en-GB"/>
        </w:rPr>
      </w:pPr>
      <w:r w:rsidRPr="00CB093C">
        <w:rPr>
          <w:rFonts w:ascii="Arial" w:hAnsi="Arial" w:cs="Arial"/>
          <w:szCs w:val="22"/>
          <w:lang w:val="en-GB"/>
        </w:rPr>
        <w:t xml:space="preserve">All coastal and estuarine sites monitored throughout the region were </w:t>
      </w:r>
      <w:r w:rsidR="00037DE8" w:rsidRPr="00CB093C">
        <w:rPr>
          <w:rFonts w:ascii="Arial" w:hAnsi="Arial" w:cs="Arial"/>
          <w:szCs w:val="22"/>
          <w:lang w:val="en-GB"/>
        </w:rPr>
        <w:t xml:space="preserve">exposed </w:t>
      </w:r>
      <w:r w:rsidRPr="00CB093C">
        <w:rPr>
          <w:rFonts w:ascii="Arial" w:hAnsi="Arial" w:cs="Arial"/>
          <w:szCs w:val="22"/>
          <w:lang w:val="en-GB"/>
        </w:rPr>
        <w:t xml:space="preserve">to ‘brown’ or ‘green’ turbid water for the entire wet season (100% frequency of exposure). Coastal sites in Shoalwater Bay (RC1 and WH1) experienced the highest exposure to ‘brown’ turbid, </w:t>
      </w:r>
      <w:r w:rsidRPr="00CB093C">
        <w:rPr>
          <w:rFonts w:ascii="Arial" w:hAnsi="Arial" w:cs="Arial"/>
          <w:szCs w:val="22"/>
        </w:rPr>
        <w:t>sediment laden,</w:t>
      </w:r>
      <w:r w:rsidRPr="00CB093C">
        <w:rPr>
          <w:rFonts w:ascii="Arial" w:hAnsi="Arial" w:cs="Arial"/>
          <w:szCs w:val="22"/>
          <w:lang w:val="en-GB"/>
        </w:rPr>
        <w:t xml:space="preserve"> water (95-100% of wet season weeks). Estuarine sites in outer Gladstone Harbour (GH1 and GH2) were exposed to ‘brown’ turbid waters for 76% of wet season weeks </w:t>
      </w:r>
      <w:r w:rsidR="001927E1" w:rsidRPr="00CB093C">
        <w:rPr>
          <w:rFonts w:ascii="Arial" w:hAnsi="Arial" w:cs="Arial"/>
          <w:color w:val="000000" w:themeColor="text1"/>
          <w:szCs w:val="22"/>
        </w:rPr>
        <w:t>(</w:t>
      </w:r>
      <w:r w:rsidR="001927E1" w:rsidRPr="00CB093C">
        <w:rPr>
          <w:rFonts w:ascii="Arial" w:hAnsi="Arial" w:cs="Arial"/>
          <w:color w:val="0000FF"/>
          <w:szCs w:val="22"/>
          <w:lang w:val="en-GB"/>
        </w:rPr>
        <w:fldChar w:fldCharType="begin"/>
      </w:r>
      <w:r w:rsidR="001927E1" w:rsidRPr="00CB093C">
        <w:rPr>
          <w:rFonts w:ascii="Arial" w:hAnsi="Arial" w:cs="Arial"/>
          <w:color w:val="000000" w:themeColor="text1"/>
          <w:szCs w:val="22"/>
        </w:rPr>
        <w:instrText xml:space="preserve"> REF _Ref533507693 \h </w:instrText>
      </w:r>
      <w:r w:rsidR="00CB093C" w:rsidRPr="00CB093C">
        <w:rPr>
          <w:rFonts w:ascii="Arial" w:hAnsi="Arial" w:cs="Arial"/>
          <w:color w:val="0000FF"/>
          <w:szCs w:val="22"/>
          <w:lang w:val="en-GB"/>
        </w:rPr>
        <w:instrText xml:space="preserve"> \* MERGEFORMAT </w:instrText>
      </w:r>
      <w:r w:rsidR="001927E1" w:rsidRPr="00CB093C">
        <w:rPr>
          <w:rFonts w:ascii="Arial" w:hAnsi="Arial" w:cs="Arial"/>
          <w:color w:val="0000FF"/>
          <w:szCs w:val="22"/>
          <w:lang w:val="en-GB"/>
        </w:rPr>
      </w:r>
      <w:r w:rsidR="001927E1" w:rsidRPr="00CB093C">
        <w:rPr>
          <w:rFonts w:ascii="Arial" w:hAnsi="Arial" w:cs="Arial"/>
          <w:color w:val="0000FF"/>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71</w:t>
      </w:r>
      <w:r w:rsidR="001927E1" w:rsidRPr="00CB093C">
        <w:rPr>
          <w:rFonts w:ascii="Arial" w:hAnsi="Arial" w:cs="Arial"/>
          <w:color w:val="0000FF"/>
          <w:szCs w:val="22"/>
          <w:lang w:val="en-GB"/>
        </w:rPr>
        <w:fldChar w:fldCharType="end"/>
      </w:r>
      <w:r w:rsidR="001927E1" w:rsidRPr="00CB093C">
        <w:rPr>
          <w:rFonts w:ascii="Arial" w:hAnsi="Arial" w:cs="Arial"/>
          <w:color w:val="000000" w:themeColor="text1"/>
          <w:szCs w:val="22"/>
        </w:rPr>
        <w:t>)</w:t>
      </w:r>
      <w:r w:rsidRPr="00CB093C">
        <w:rPr>
          <w:rFonts w:ascii="Arial" w:hAnsi="Arial" w:cs="Arial"/>
          <w:szCs w:val="22"/>
          <w:lang w:val="en-GB"/>
        </w:rPr>
        <w:t xml:space="preserve">. The reef sites at Great Keppel Island (GK1 and GK2) were exposed predominately to ‘green’ water (90% of wet season weeks) </w:t>
      </w:r>
      <w:r w:rsidR="001927E1" w:rsidRPr="00CB093C">
        <w:rPr>
          <w:rFonts w:ascii="Arial" w:hAnsi="Arial" w:cs="Arial"/>
          <w:color w:val="000000" w:themeColor="text1"/>
          <w:szCs w:val="22"/>
        </w:rPr>
        <w:t>(</w:t>
      </w:r>
      <w:r w:rsidR="001927E1" w:rsidRPr="00CB093C">
        <w:rPr>
          <w:rFonts w:ascii="Arial" w:hAnsi="Arial" w:cs="Arial"/>
          <w:color w:val="0000FF"/>
          <w:szCs w:val="22"/>
          <w:lang w:val="en-GB"/>
        </w:rPr>
        <w:fldChar w:fldCharType="begin"/>
      </w:r>
      <w:r w:rsidR="001927E1" w:rsidRPr="00CB093C">
        <w:rPr>
          <w:rFonts w:ascii="Arial" w:hAnsi="Arial" w:cs="Arial"/>
          <w:color w:val="000000" w:themeColor="text1"/>
          <w:szCs w:val="22"/>
        </w:rPr>
        <w:instrText xml:space="preserve"> REF _Ref533507693 \h </w:instrText>
      </w:r>
      <w:r w:rsidR="00CB093C" w:rsidRPr="00CB093C">
        <w:rPr>
          <w:rFonts w:ascii="Arial" w:hAnsi="Arial" w:cs="Arial"/>
          <w:color w:val="0000FF"/>
          <w:szCs w:val="22"/>
          <w:lang w:val="en-GB"/>
        </w:rPr>
        <w:instrText xml:space="preserve"> \* MERGEFORMAT </w:instrText>
      </w:r>
      <w:r w:rsidR="001927E1" w:rsidRPr="00CB093C">
        <w:rPr>
          <w:rFonts w:ascii="Arial" w:hAnsi="Arial" w:cs="Arial"/>
          <w:color w:val="0000FF"/>
          <w:szCs w:val="22"/>
          <w:lang w:val="en-GB"/>
        </w:rPr>
      </w:r>
      <w:r w:rsidR="001927E1" w:rsidRPr="00CB093C">
        <w:rPr>
          <w:rFonts w:ascii="Arial" w:hAnsi="Arial" w:cs="Arial"/>
          <w:color w:val="0000FF"/>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71</w:t>
      </w:r>
      <w:r w:rsidR="001927E1" w:rsidRPr="00CB093C">
        <w:rPr>
          <w:rFonts w:ascii="Arial" w:hAnsi="Arial" w:cs="Arial"/>
          <w:color w:val="0000FF"/>
          <w:szCs w:val="22"/>
          <w:lang w:val="en-GB"/>
        </w:rPr>
        <w:fldChar w:fldCharType="end"/>
      </w:r>
      <w:r w:rsidR="001927E1" w:rsidRPr="00CB093C">
        <w:rPr>
          <w:rFonts w:ascii="Arial" w:hAnsi="Arial" w:cs="Arial"/>
          <w:color w:val="000000" w:themeColor="text1"/>
          <w:szCs w:val="22"/>
        </w:rPr>
        <w:t>)</w:t>
      </w:r>
      <w:r w:rsidRPr="00CB093C">
        <w:rPr>
          <w:rFonts w:ascii="Arial" w:hAnsi="Arial" w:cs="Arial"/>
          <w:szCs w:val="22"/>
          <w:lang w:val="en-GB"/>
        </w:rPr>
        <w:t xml:space="preserve">. </w:t>
      </w:r>
    </w:p>
    <w:p w14:paraId="4242697F" w14:textId="17480CC6" w:rsidR="00A23A41" w:rsidRPr="00CB093C" w:rsidRDefault="00A23A41" w:rsidP="00A23A41">
      <w:pPr>
        <w:rPr>
          <w:rFonts w:ascii="Arial" w:hAnsi="Arial" w:cs="Arial"/>
          <w:szCs w:val="22"/>
          <w:lang w:val="en-GB"/>
        </w:rPr>
      </w:pPr>
      <w:r w:rsidRPr="00CB093C">
        <w:rPr>
          <w:rFonts w:ascii="Arial" w:hAnsi="Arial" w:cs="Arial"/>
          <w:szCs w:val="22"/>
          <w:lang w:val="en-GB"/>
        </w:rPr>
        <w:t xml:space="preserve">The improved light experienced across the Fitzroy region </w:t>
      </w:r>
      <w:r w:rsidR="00895210" w:rsidRPr="00CB093C">
        <w:rPr>
          <w:rFonts w:ascii="Arial" w:hAnsi="Arial" w:cs="Arial"/>
          <w:szCs w:val="22"/>
          <w:lang w:val="en-GB"/>
        </w:rPr>
        <w:t>(</w:t>
      </w:r>
      <w:r w:rsidR="00895210" w:rsidRPr="00CB093C">
        <w:rPr>
          <w:rFonts w:ascii="Arial" w:hAnsi="Arial" w:cs="Arial"/>
          <w:szCs w:val="22"/>
          <w:lang w:val="en-GB"/>
        </w:rPr>
        <w:fldChar w:fldCharType="begin"/>
      </w:r>
      <w:r w:rsidR="00895210" w:rsidRPr="00CB093C">
        <w:rPr>
          <w:rFonts w:ascii="Arial" w:hAnsi="Arial" w:cs="Arial"/>
          <w:szCs w:val="22"/>
          <w:lang w:val="en-GB"/>
        </w:rPr>
        <w:instrText xml:space="preserve"> REF _Ref410307245 \h </w:instrText>
      </w:r>
      <w:r w:rsidR="00CB093C" w:rsidRPr="00CB093C">
        <w:rPr>
          <w:rFonts w:ascii="Arial" w:hAnsi="Arial" w:cs="Arial"/>
          <w:szCs w:val="22"/>
          <w:lang w:val="en-GB"/>
        </w:rPr>
        <w:instrText xml:space="preserve"> \* MERGEFORMAT </w:instrText>
      </w:r>
      <w:r w:rsidR="00895210" w:rsidRPr="00CB093C">
        <w:rPr>
          <w:rFonts w:ascii="Arial" w:hAnsi="Arial" w:cs="Arial"/>
          <w:szCs w:val="22"/>
          <w:lang w:val="en-GB"/>
        </w:rPr>
      </w:r>
      <w:r w:rsidR="00895210" w:rsidRPr="00CB093C">
        <w:rPr>
          <w:rFonts w:ascii="Arial" w:hAnsi="Arial" w:cs="Arial"/>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111</w:t>
      </w:r>
      <w:r w:rsidR="00895210" w:rsidRPr="00CB093C">
        <w:rPr>
          <w:rFonts w:ascii="Arial" w:hAnsi="Arial" w:cs="Arial"/>
          <w:szCs w:val="22"/>
          <w:lang w:val="en-GB"/>
        </w:rPr>
        <w:fldChar w:fldCharType="end"/>
      </w:r>
      <w:r w:rsidR="00895210" w:rsidRPr="00CB093C">
        <w:rPr>
          <w:rFonts w:ascii="Arial" w:hAnsi="Arial" w:cs="Arial"/>
          <w:szCs w:val="22"/>
          <w:lang w:val="en-GB"/>
        </w:rPr>
        <w:t xml:space="preserve">) </w:t>
      </w:r>
      <w:r w:rsidRPr="00CB093C">
        <w:rPr>
          <w:rFonts w:ascii="Arial" w:hAnsi="Arial" w:cs="Arial"/>
          <w:szCs w:val="22"/>
          <w:lang w:val="en-GB"/>
        </w:rPr>
        <w:t>may have also been assisted by lower than average number of days in which wind speeds exceeded 25 km hr</w:t>
      </w:r>
      <w:r w:rsidRPr="00CB093C">
        <w:rPr>
          <w:rFonts w:ascii="Arial" w:hAnsi="Arial" w:cs="Arial"/>
          <w:szCs w:val="22"/>
          <w:vertAlign w:val="superscript"/>
          <w:lang w:val="en-GB"/>
        </w:rPr>
        <w:t>-1</w:t>
      </w:r>
      <w:r w:rsidRPr="00CB093C">
        <w:rPr>
          <w:rFonts w:ascii="Arial" w:hAnsi="Arial" w:cs="Arial"/>
          <w:szCs w:val="22"/>
          <w:lang w:val="en-GB"/>
        </w:rPr>
        <w:t xml:space="preserve"> </w:t>
      </w:r>
      <w:r w:rsidR="00895210" w:rsidRPr="00CB093C">
        <w:rPr>
          <w:rFonts w:ascii="Arial" w:hAnsi="Arial" w:cs="Arial"/>
          <w:szCs w:val="22"/>
          <w:lang w:val="en-GB"/>
        </w:rPr>
        <w:t>(</w:t>
      </w:r>
      <w:r w:rsidR="00895210" w:rsidRPr="00CB093C">
        <w:rPr>
          <w:rFonts w:ascii="Arial" w:hAnsi="Arial" w:cs="Arial"/>
          <w:szCs w:val="22"/>
          <w:lang w:val="en-GB"/>
        </w:rPr>
        <w:fldChar w:fldCharType="begin"/>
      </w:r>
      <w:r w:rsidR="00895210" w:rsidRPr="00CB093C">
        <w:rPr>
          <w:rFonts w:ascii="Arial" w:hAnsi="Arial" w:cs="Arial"/>
          <w:szCs w:val="22"/>
          <w:lang w:val="en-GB"/>
        </w:rPr>
        <w:instrText xml:space="preserve"> REF _Ref534127979 \h </w:instrText>
      </w:r>
      <w:r w:rsidR="00CB093C" w:rsidRPr="00CB093C">
        <w:rPr>
          <w:rFonts w:ascii="Arial" w:hAnsi="Arial" w:cs="Arial"/>
          <w:szCs w:val="22"/>
          <w:lang w:val="en-GB"/>
        </w:rPr>
        <w:instrText xml:space="preserve"> \* MERGEFORMAT </w:instrText>
      </w:r>
      <w:r w:rsidR="00895210" w:rsidRPr="00CB093C">
        <w:rPr>
          <w:rFonts w:ascii="Arial" w:hAnsi="Arial" w:cs="Arial"/>
          <w:szCs w:val="22"/>
          <w:lang w:val="en-GB"/>
        </w:rPr>
      </w:r>
      <w:r w:rsidR="00895210" w:rsidRPr="00CB093C">
        <w:rPr>
          <w:rFonts w:ascii="Arial" w:hAnsi="Arial" w:cs="Arial"/>
          <w:szCs w:val="22"/>
          <w:lang w:val="en-GB"/>
        </w:rPr>
        <w:fldChar w:fldCharType="separate"/>
      </w:r>
      <w:r w:rsidR="005F00D4" w:rsidRPr="00CB093C">
        <w:rPr>
          <w:rFonts w:ascii="Arial" w:hAnsi="Arial" w:cs="Arial"/>
          <w:color w:val="000000"/>
          <w:szCs w:val="22"/>
          <w:lang w:val="en-GB"/>
        </w:rPr>
        <w:t xml:space="preserve">Figure </w:t>
      </w:r>
      <w:r w:rsidR="005F00D4">
        <w:rPr>
          <w:rFonts w:ascii="Arial" w:hAnsi="Arial" w:cs="Arial"/>
          <w:noProof/>
          <w:color w:val="000000"/>
          <w:szCs w:val="22"/>
          <w:lang w:val="en-GB"/>
        </w:rPr>
        <w:t>96</w:t>
      </w:r>
      <w:r w:rsidR="00895210" w:rsidRPr="00CB093C">
        <w:rPr>
          <w:rFonts w:ascii="Arial" w:hAnsi="Arial" w:cs="Arial"/>
          <w:szCs w:val="22"/>
          <w:lang w:val="en-GB"/>
        </w:rPr>
        <w:fldChar w:fldCharType="end"/>
      </w:r>
      <w:r w:rsidR="00895210" w:rsidRPr="00CB093C">
        <w:rPr>
          <w:rFonts w:ascii="Arial" w:hAnsi="Arial" w:cs="Arial"/>
          <w:szCs w:val="22"/>
          <w:lang w:val="en-GB"/>
        </w:rPr>
        <w:t xml:space="preserve">), </w:t>
      </w:r>
      <w:r w:rsidRPr="00CB093C">
        <w:rPr>
          <w:rFonts w:ascii="Arial" w:hAnsi="Arial" w:cs="Arial"/>
          <w:szCs w:val="22"/>
          <w:lang w:val="en-GB"/>
        </w:rPr>
        <w:t xml:space="preserve">reducing suspension of fine sediments into the water column, and a shallowing of waters during daylight hour from lower than average tides. Countering the improved light, </w:t>
      </w:r>
      <w:r w:rsidR="00895210" w:rsidRPr="00CB093C">
        <w:rPr>
          <w:rFonts w:ascii="Arial" w:hAnsi="Arial" w:cs="Arial"/>
          <w:szCs w:val="22"/>
          <w:lang w:val="en-GB"/>
        </w:rPr>
        <w:t xml:space="preserve">coastal </w:t>
      </w:r>
      <w:r w:rsidRPr="00CB093C">
        <w:rPr>
          <w:rFonts w:ascii="Arial" w:hAnsi="Arial" w:cs="Arial"/>
          <w:szCs w:val="22"/>
          <w:lang w:val="en-GB"/>
        </w:rPr>
        <w:t>intertidal meadows throughout the region experienced slightly more hours of carbon limitation due to more hours of daytime tidal exposure than average</w:t>
      </w:r>
      <w:r w:rsidR="00895210" w:rsidRPr="00CB093C">
        <w:rPr>
          <w:rFonts w:ascii="Arial" w:hAnsi="Arial" w:cs="Arial"/>
          <w:szCs w:val="22"/>
          <w:lang w:val="en-GB"/>
        </w:rPr>
        <w:t xml:space="preserve"> (</w:t>
      </w:r>
      <w:r w:rsidR="00895210" w:rsidRPr="00CB093C">
        <w:rPr>
          <w:rFonts w:ascii="Arial" w:hAnsi="Arial" w:cs="Arial"/>
          <w:szCs w:val="22"/>
          <w:lang w:val="en-GB"/>
        </w:rPr>
        <w:fldChar w:fldCharType="begin"/>
      </w:r>
      <w:r w:rsidR="00895210" w:rsidRPr="00CB093C">
        <w:rPr>
          <w:rFonts w:ascii="Arial" w:hAnsi="Arial" w:cs="Arial"/>
          <w:szCs w:val="22"/>
          <w:lang w:val="en-GB"/>
        </w:rPr>
        <w:instrText xml:space="preserve"> REF _Ref410305493 \h </w:instrText>
      </w:r>
      <w:r w:rsidR="00CB093C" w:rsidRPr="00CB093C">
        <w:rPr>
          <w:rFonts w:ascii="Arial" w:hAnsi="Arial" w:cs="Arial"/>
          <w:szCs w:val="22"/>
          <w:lang w:val="en-GB"/>
        </w:rPr>
        <w:instrText xml:space="preserve"> \* MERGEFORMAT </w:instrText>
      </w:r>
      <w:r w:rsidR="00895210" w:rsidRPr="00CB093C">
        <w:rPr>
          <w:rFonts w:ascii="Arial" w:hAnsi="Arial" w:cs="Arial"/>
          <w:szCs w:val="22"/>
          <w:lang w:val="en-GB"/>
        </w:rPr>
      </w:r>
      <w:r w:rsidR="00895210"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104</w:t>
      </w:r>
      <w:r w:rsidR="00895210" w:rsidRPr="00CB093C">
        <w:rPr>
          <w:rFonts w:ascii="Arial" w:hAnsi="Arial" w:cs="Arial"/>
          <w:szCs w:val="22"/>
          <w:lang w:val="en-GB"/>
        </w:rPr>
        <w:fldChar w:fldCharType="end"/>
      </w:r>
      <w:r w:rsidR="00895210" w:rsidRPr="00CB093C">
        <w:rPr>
          <w:rFonts w:ascii="Arial" w:hAnsi="Arial" w:cs="Arial"/>
          <w:szCs w:val="22"/>
          <w:lang w:val="en-GB"/>
        </w:rPr>
        <w:t>)</w:t>
      </w:r>
      <w:r w:rsidRPr="00CB093C">
        <w:rPr>
          <w:rFonts w:ascii="Arial" w:hAnsi="Arial" w:cs="Arial"/>
          <w:szCs w:val="22"/>
          <w:lang w:val="en-GB"/>
        </w:rPr>
        <w:t xml:space="preserve">. </w:t>
      </w:r>
    </w:p>
    <w:p w14:paraId="053CC0DD" w14:textId="2E2D6534" w:rsidR="00A23A41" w:rsidRPr="00CB093C" w:rsidRDefault="00A23A41" w:rsidP="00A23A41">
      <w:pPr>
        <w:rPr>
          <w:rFonts w:ascii="Arial" w:hAnsi="Arial" w:cs="Arial"/>
          <w:szCs w:val="22"/>
        </w:rPr>
      </w:pPr>
      <w:r w:rsidRPr="00CB093C">
        <w:rPr>
          <w:rFonts w:ascii="Arial" w:hAnsi="Arial" w:cs="Arial"/>
          <w:szCs w:val="22"/>
          <w:lang w:val="en-GB"/>
        </w:rPr>
        <w:t>2017-18 was the f</w:t>
      </w:r>
      <w:r w:rsidRPr="00CB093C">
        <w:rPr>
          <w:rFonts w:ascii="Arial" w:hAnsi="Arial" w:cs="Arial"/>
          <w:szCs w:val="22"/>
        </w:rPr>
        <w:t xml:space="preserve">ifth consecutive year intertidal </w:t>
      </w:r>
      <w:r w:rsidRPr="00CB093C">
        <w:rPr>
          <w:rFonts w:ascii="Arial" w:hAnsi="Arial" w:cs="Arial"/>
          <w:szCs w:val="22"/>
          <w:lang w:val="en-GB"/>
        </w:rPr>
        <w:t>within-canopy</w:t>
      </w:r>
      <w:r w:rsidRPr="00CB093C">
        <w:rPr>
          <w:rFonts w:ascii="Arial" w:hAnsi="Arial" w:cs="Arial"/>
          <w:szCs w:val="22"/>
        </w:rPr>
        <w:t xml:space="preserve"> temperatures were above the long-term average and the second highest average annual temperature (24.6</w:t>
      </w:r>
      <w:r w:rsidRPr="00CB093C">
        <w:rPr>
          <w:rFonts w:ascii="Arial" w:hAnsi="Arial" w:cs="Arial"/>
          <w:szCs w:val="22"/>
          <w:lang w:val="en-GB"/>
        </w:rPr>
        <w:t>°C</w:t>
      </w:r>
      <w:r w:rsidRPr="00CB093C">
        <w:rPr>
          <w:rFonts w:ascii="Arial" w:hAnsi="Arial" w:cs="Arial"/>
          <w:szCs w:val="22"/>
        </w:rPr>
        <w:t>) since 2006 (</w:t>
      </w:r>
      <w:r w:rsidRPr="00CB093C">
        <w:rPr>
          <w:rFonts w:ascii="Arial" w:hAnsi="Arial" w:cs="Arial"/>
          <w:szCs w:val="22"/>
        </w:rPr>
        <w:fldChar w:fldCharType="begin"/>
      </w:r>
      <w:r w:rsidRPr="00CB093C">
        <w:rPr>
          <w:rFonts w:ascii="Arial" w:hAnsi="Arial" w:cs="Arial"/>
          <w:szCs w:val="22"/>
        </w:rPr>
        <w:instrText xml:space="preserve"> REF _Ref533507693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71</w:t>
      </w:r>
      <w:r w:rsidRPr="00CB093C">
        <w:rPr>
          <w:rFonts w:ascii="Arial" w:hAnsi="Arial" w:cs="Arial"/>
          <w:szCs w:val="22"/>
        </w:rPr>
        <w:fldChar w:fldCharType="end"/>
      </w:r>
      <w:r w:rsidRPr="00CB093C">
        <w:rPr>
          <w:rFonts w:ascii="Arial" w:hAnsi="Arial" w:cs="Arial"/>
          <w:szCs w:val="22"/>
        </w:rPr>
        <w:t xml:space="preserve">). Maximum intertidal </w:t>
      </w:r>
      <w:r w:rsidRPr="00CB093C">
        <w:rPr>
          <w:rFonts w:ascii="Arial" w:hAnsi="Arial" w:cs="Arial"/>
          <w:szCs w:val="22"/>
          <w:lang w:val="en-GB"/>
        </w:rPr>
        <w:t xml:space="preserve">within-canopy </w:t>
      </w:r>
      <w:r w:rsidRPr="00CB093C">
        <w:rPr>
          <w:rFonts w:ascii="Arial" w:hAnsi="Arial" w:cs="Arial"/>
          <w:szCs w:val="22"/>
        </w:rPr>
        <w:t>temperatures exceeded 35</w:t>
      </w:r>
      <w:r w:rsidRPr="00CB093C">
        <w:rPr>
          <w:rFonts w:ascii="Arial" w:hAnsi="Arial" w:cs="Arial"/>
          <w:szCs w:val="22"/>
          <w:lang w:val="en-GB"/>
        </w:rPr>
        <w:t>°C</w:t>
      </w:r>
      <w:r w:rsidRPr="00CB093C">
        <w:rPr>
          <w:rFonts w:ascii="Arial" w:hAnsi="Arial" w:cs="Arial"/>
          <w:szCs w:val="22"/>
        </w:rPr>
        <w:t xml:space="preserve"> for a total of 45 days during </w:t>
      </w:r>
      <w:r w:rsidR="003654C6">
        <w:rPr>
          <w:rFonts w:ascii="Arial" w:hAnsi="Arial" w:cs="Arial"/>
          <w:szCs w:val="22"/>
        </w:rPr>
        <w:t>2017–18</w:t>
      </w:r>
      <w:r w:rsidRPr="00CB093C">
        <w:rPr>
          <w:rFonts w:ascii="Arial" w:hAnsi="Arial" w:cs="Arial"/>
          <w:szCs w:val="22"/>
        </w:rPr>
        <w:t>, with the highest temperature ever recorded in the region at 41.6</w:t>
      </w:r>
      <w:r w:rsidRPr="00CB093C">
        <w:rPr>
          <w:rFonts w:ascii="Arial" w:hAnsi="Arial" w:cs="Arial"/>
          <w:szCs w:val="22"/>
          <w:lang w:val="en-GB"/>
        </w:rPr>
        <w:t>°C</w:t>
      </w:r>
      <w:r w:rsidRPr="00CB093C">
        <w:rPr>
          <w:rFonts w:ascii="Arial" w:hAnsi="Arial" w:cs="Arial"/>
          <w:szCs w:val="22"/>
        </w:rPr>
        <w:t xml:space="preserve"> (GK1, 1pm 06Oct17).</w:t>
      </w:r>
      <w:r w:rsidR="00895210" w:rsidRPr="00CB093C">
        <w:rPr>
          <w:rFonts w:ascii="Arial" w:hAnsi="Arial" w:cs="Arial"/>
          <w:szCs w:val="22"/>
        </w:rPr>
        <w:t xml:space="preserve"> </w:t>
      </w:r>
    </w:p>
    <w:p w14:paraId="67806DC2" w14:textId="1EA9617A" w:rsidR="00873BF5" w:rsidRPr="00CB093C" w:rsidRDefault="00037DE8" w:rsidP="00873BF5">
      <w:pPr>
        <w:rPr>
          <w:rFonts w:ascii="Arial" w:hAnsi="Arial" w:cs="Arial"/>
          <w:szCs w:val="22"/>
          <w:lang w:val="en-GB"/>
        </w:rPr>
      </w:pPr>
      <w:r w:rsidRPr="00CB093C">
        <w:rPr>
          <w:rFonts w:ascii="Arial" w:hAnsi="Arial" w:cs="Arial"/>
          <w:szCs w:val="22"/>
          <w:lang w:val="en-GB"/>
        </w:rPr>
        <w:t>The</w:t>
      </w:r>
      <w:r w:rsidR="00873BF5" w:rsidRPr="00CB093C">
        <w:rPr>
          <w:rFonts w:ascii="Arial" w:hAnsi="Arial" w:cs="Arial"/>
          <w:szCs w:val="22"/>
          <w:lang w:val="en-GB"/>
        </w:rPr>
        <w:t xml:space="preserve"> proportion of fine grains in meadow sediments decreases with distance from the coast/river mouths. Estuarine sediments were composed primarily of finer sediments, with the mud portion around the </w:t>
      </w:r>
      <w:r w:rsidRPr="00CB093C">
        <w:rPr>
          <w:rFonts w:ascii="Arial" w:hAnsi="Arial" w:cs="Arial"/>
          <w:szCs w:val="22"/>
          <w:lang w:val="en-GB"/>
        </w:rPr>
        <w:t xml:space="preserve">Reef-wide </w:t>
      </w:r>
      <w:r w:rsidR="00873BF5" w:rsidRPr="00CB093C">
        <w:rPr>
          <w:rFonts w:ascii="Arial" w:hAnsi="Arial" w:cs="Arial"/>
          <w:szCs w:val="22"/>
          <w:lang w:val="en-GB"/>
        </w:rPr>
        <w:t xml:space="preserve">long-term average, although one site (GH1) was much muddier </w:t>
      </w:r>
      <w:r w:rsidRPr="00CB093C">
        <w:rPr>
          <w:rFonts w:ascii="Arial" w:hAnsi="Arial" w:cs="Arial"/>
          <w:szCs w:val="22"/>
          <w:lang w:val="en-GB"/>
        </w:rPr>
        <w:t>this year</w:t>
      </w:r>
      <w:r w:rsidR="00873BF5" w:rsidRPr="00CB093C">
        <w:rPr>
          <w:rFonts w:ascii="Arial" w:hAnsi="Arial" w:cs="Arial"/>
          <w:szCs w:val="22"/>
          <w:lang w:val="en-GB"/>
        </w:rPr>
        <w:t xml:space="preserve"> (</w:t>
      </w:r>
      <w:r w:rsidR="00873BF5" w:rsidRPr="00CB093C">
        <w:rPr>
          <w:rFonts w:ascii="Arial" w:hAnsi="Arial" w:cs="Arial"/>
          <w:szCs w:val="22"/>
          <w:lang w:val="en-GB"/>
        </w:rPr>
        <w:fldChar w:fldCharType="begin"/>
      </w:r>
      <w:r w:rsidR="00873BF5" w:rsidRPr="00CB093C">
        <w:rPr>
          <w:rFonts w:ascii="Arial" w:hAnsi="Arial" w:cs="Arial"/>
          <w:szCs w:val="22"/>
          <w:lang w:val="en-GB"/>
        </w:rPr>
        <w:instrText xml:space="preserve"> REF _Ref511131821 \h  \* MERGEFORMAT </w:instrText>
      </w:r>
      <w:r w:rsidR="00873BF5" w:rsidRPr="00CB093C">
        <w:rPr>
          <w:rFonts w:ascii="Arial" w:hAnsi="Arial" w:cs="Arial"/>
          <w:szCs w:val="22"/>
          <w:lang w:val="en-GB"/>
        </w:rPr>
      </w:r>
      <w:r w:rsidR="00873BF5"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124</w:t>
      </w:r>
      <w:r w:rsidR="00873BF5" w:rsidRPr="00CB093C">
        <w:rPr>
          <w:rFonts w:ascii="Arial" w:hAnsi="Arial" w:cs="Arial"/>
          <w:szCs w:val="22"/>
          <w:lang w:val="en-GB"/>
        </w:rPr>
        <w:fldChar w:fldCharType="end"/>
      </w:r>
      <w:r w:rsidR="00873BF5" w:rsidRPr="00CB093C">
        <w:rPr>
          <w:rFonts w:ascii="Arial" w:hAnsi="Arial" w:cs="Arial"/>
          <w:szCs w:val="22"/>
          <w:lang w:val="en-GB"/>
        </w:rPr>
        <w:t xml:space="preserve">). Coastal and reef habitat sediments were dominated by fine sand/sand, but the proportion of mud in coastal habitats increased greatly in </w:t>
      </w:r>
      <w:r w:rsidR="003654C6">
        <w:rPr>
          <w:rFonts w:ascii="Arial" w:hAnsi="Arial" w:cs="Arial"/>
          <w:szCs w:val="22"/>
          <w:lang w:val="en-GB"/>
        </w:rPr>
        <w:t>2017–18</w:t>
      </w:r>
      <w:r w:rsidR="00873BF5" w:rsidRPr="00CB093C">
        <w:rPr>
          <w:rFonts w:ascii="Arial" w:hAnsi="Arial" w:cs="Arial"/>
          <w:szCs w:val="22"/>
          <w:lang w:val="en-GB"/>
        </w:rPr>
        <w:t xml:space="preserve"> to above the </w:t>
      </w:r>
      <w:r w:rsidR="003158FC" w:rsidRPr="00CB093C">
        <w:rPr>
          <w:rFonts w:ascii="Arial" w:hAnsi="Arial" w:cs="Arial"/>
          <w:szCs w:val="22"/>
          <w:lang w:val="en-GB"/>
        </w:rPr>
        <w:t>Reef</w:t>
      </w:r>
      <w:r w:rsidR="00873BF5" w:rsidRPr="00CB093C">
        <w:rPr>
          <w:rFonts w:ascii="Arial" w:hAnsi="Arial" w:cs="Arial"/>
          <w:szCs w:val="22"/>
          <w:lang w:val="en-GB"/>
        </w:rPr>
        <w:t xml:space="preserve"> long-term average and similar to the long-term for the meadows (</w:t>
      </w:r>
      <w:r w:rsidR="00873BF5" w:rsidRPr="00CB093C">
        <w:rPr>
          <w:rFonts w:ascii="Arial" w:hAnsi="Arial" w:cs="Arial"/>
          <w:szCs w:val="22"/>
          <w:lang w:val="en-GB"/>
        </w:rPr>
        <w:fldChar w:fldCharType="begin"/>
      </w:r>
      <w:r w:rsidR="00873BF5" w:rsidRPr="00CB093C">
        <w:rPr>
          <w:rFonts w:ascii="Arial" w:hAnsi="Arial" w:cs="Arial"/>
          <w:szCs w:val="22"/>
          <w:lang w:val="en-GB"/>
        </w:rPr>
        <w:instrText xml:space="preserve"> REF _Ref511131832 \h  \* MERGEFORMAT </w:instrText>
      </w:r>
      <w:r w:rsidR="00873BF5" w:rsidRPr="00CB093C">
        <w:rPr>
          <w:rFonts w:ascii="Arial" w:hAnsi="Arial" w:cs="Arial"/>
          <w:szCs w:val="22"/>
          <w:lang w:val="en-GB"/>
        </w:rPr>
      </w:r>
      <w:r w:rsidR="00873BF5"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125</w:t>
      </w:r>
      <w:r w:rsidR="00873BF5" w:rsidRPr="00CB093C">
        <w:rPr>
          <w:rFonts w:ascii="Arial" w:hAnsi="Arial" w:cs="Arial"/>
          <w:szCs w:val="22"/>
          <w:lang w:val="en-GB"/>
        </w:rPr>
        <w:fldChar w:fldCharType="end"/>
      </w:r>
      <w:r w:rsidR="00873BF5" w:rsidRPr="00CB093C">
        <w:rPr>
          <w:rFonts w:ascii="Arial" w:hAnsi="Arial" w:cs="Arial"/>
          <w:szCs w:val="22"/>
          <w:lang w:val="en-GB"/>
        </w:rPr>
        <w:t xml:space="preserve">, </w:t>
      </w:r>
      <w:r w:rsidR="00873BF5" w:rsidRPr="00CB093C">
        <w:rPr>
          <w:rFonts w:ascii="Arial" w:hAnsi="Arial" w:cs="Arial"/>
          <w:szCs w:val="22"/>
          <w:lang w:val="en-GB"/>
        </w:rPr>
        <w:fldChar w:fldCharType="begin"/>
      </w:r>
      <w:r w:rsidR="00873BF5" w:rsidRPr="00CB093C">
        <w:rPr>
          <w:rFonts w:ascii="Arial" w:hAnsi="Arial" w:cs="Arial"/>
          <w:szCs w:val="22"/>
          <w:lang w:val="en-GB"/>
        </w:rPr>
        <w:instrText xml:space="preserve"> REF _Ref511131835 \h  \* MERGEFORMAT </w:instrText>
      </w:r>
      <w:r w:rsidR="00873BF5" w:rsidRPr="00CB093C">
        <w:rPr>
          <w:rFonts w:ascii="Arial" w:hAnsi="Arial" w:cs="Arial"/>
          <w:szCs w:val="22"/>
          <w:lang w:val="en-GB"/>
        </w:rPr>
      </w:r>
      <w:r w:rsidR="00873BF5"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126</w:t>
      </w:r>
      <w:r w:rsidR="00873BF5" w:rsidRPr="00CB093C">
        <w:rPr>
          <w:rFonts w:ascii="Arial" w:hAnsi="Arial" w:cs="Arial"/>
          <w:szCs w:val="22"/>
          <w:lang w:val="en-GB"/>
        </w:rPr>
        <w:fldChar w:fldCharType="end"/>
      </w:r>
      <w:r w:rsidR="00873BF5" w:rsidRPr="00CB093C">
        <w:rPr>
          <w:rFonts w:ascii="Arial" w:hAnsi="Arial" w:cs="Arial"/>
          <w:szCs w:val="22"/>
          <w:lang w:val="en-GB"/>
        </w:rPr>
        <w:t>).</w:t>
      </w:r>
    </w:p>
    <w:p w14:paraId="1474E13E" w14:textId="77777777" w:rsidR="00873BF5" w:rsidRPr="00CB093C" w:rsidRDefault="00873BF5" w:rsidP="00A23A41">
      <w:pPr>
        <w:rPr>
          <w:rFonts w:ascii="Arial" w:hAnsi="Arial" w:cs="Arial"/>
          <w:szCs w:val="22"/>
        </w:rPr>
      </w:pPr>
    </w:p>
    <w:p w14:paraId="7ED5D3B7" w14:textId="28DCE595" w:rsidR="00204236" w:rsidRPr="00CB093C" w:rsidRDefault="00C21390" w:rsidP="00204236">
      <w:pPr>
        <w:rPr>
          <w:rFonts w:ascii="Arial" w:hAnsi="Arial" w:cs="Arial"/>
          <w:szCs w:val="22"/>
          <w:lang w:val="en-GB"/>
        </w:rPr>
      </w:pPr>
      <w:r w:rsidRPr="00CB093C">
        <w:rPr>
          <w:rFonts w:ascii="Arial" w:hAnsi="Arial" w:cs="Arial"/>
          <w:szCs w:val="22"/>
        </w:rPr>
        <w:t xml:space="preserve"> </w:t>
      </w:r>
      <w:r w:rsidR="00204236" w:rsidRPr="00CB093C">
        <w:rPr>
          <w:rFonts w:ascii="Arial" w:hAnsi="Arial" w:cs="Arial"/>
          <w:color w:val="000000" w:themeColor="text1"/>
          <w:szCs w:val="22"/>
        </w:rPr>
        <w:br w:type="column"/>
      </w:r>
      <w:r w:rsidR="001063D8" w:rsidRPr="00CB093C">
        <w:rPr>
          <w:rFonts w:ascii="Arial" w:hAnsi="Arial" w:cs="Arial"/>
          <w:noProof/>
          <w:szCs w:val="22"/>
          <w:lang w:val="en-US"/>
        </w:rPr>
        <w:drawing>
          <wp:inline distT="0" distB="0" distL="0" distR="0" wp14:anchorId="353EE244" wp14:editId="1460D218">
            <wp:extent cx="5282194" cy="7017435"/>
            <wp:effectExtent l="0" t="0" r="0" b="0"/>
            <wp:docPr id="547" name="Picture 547" descr="Composite figure showing environmental pressures in the Fitzroy NRM region during 2017–2018 including a map of turbid water exposure across the region, the frequency of exposure to wet season water type at each monitoring site, the average environmental conditions over the long-term and in 2017–18, daily light and the 28-day rolling mean of daily light for all intertidal sites, the number of days intertidal temperatures exceeded 35°C, 38°C, 40°C and 43°C, and deviations from 12-year mean weekly temperature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 name="CY Pressures page.png"/>
                    <pic:cNvPicPr/>
                  </pic:nvPicPr>
                  <pic:blipFill>
                    <a:blip r:embed="rId114">
                      <a:extLst>
                        <a:ext uri="{28A0092B-C50C-407E-A947-70E740481C1C}">
                          <a14:useLocalDpi xmlns:a14="http://schemas.microsoft.com/office/drawing/2010/main" val="0"/>
                        </a:ext>
                      </a:extLst>
                    </a:blip>
                    <a:stretch>
                      <a:fillRect/>
                    </a:stretch>
                  </pic:blipFill>
                  <pic:spPr>
                    <a:xfrm>
                      <a:off x="0" y="0"/>
                      <a:ext cx="5282194" cy="7017435"/>
                    </a:xfrm>
                    <a:prstGeom prst="rect">
                      <a:avLst/>
                    </a:prstGeom>
                  </pic:spPr>
                </pic:pic>
              </a:graphicData>
            </a:graphic>
          </wp:inline>
        </w:drawing>
      </w:r>
    </w:p>
    <w:p w14:paraId="17A766ED" w14:textId="2600E7FD" w:rsidR="001B1A95" w:rsidRPr="00CB093C" w:rsidRDefault="00204236" w:rsidP="001B1A95">
      <w:pPr>
        <w:rPr>
          <w:rFonts w:ascii="Arial" w:hAnsi="Arial" w:cs="Arial"/>
          <w:i/>
          <w:iCs/>
          <w:vanish/>
          <w:szCs w:val="22"/>
          <w:lang w:eastAsia="en-AU"/>
          <w:specVanish/>
        </w:rPr>
      </w:pPr>
      <w:bookmarkStart w:id="455" w:name="_Ref533507693"/>
      <w:bookmarkStart w:id="456" w:name="_Toc6402836"/>
      <w:r w:rsidRPr="00CB093C">
        <w:rPr>
          <w:rFonts w:ascii="Arial" w:hAnsi="Arial" w:cs="Arial"/>
          <w:szCs w:val="22"/>
        </w:rPr>
        <w:t xml:space="preserve">Figure </w:t>
      </w:r>
      <w:r w:rsidR="000E4688" w:rsidRPr="00CB093C">
        <w:rPr>
          <w:rFonts w:ascii="Arial" w:hAnsi="Arial" w:cs="Arial"/>
          <w:noProof/>
          <w:szCs w:val="22"/>
        </w:rPr>
        <w:fldChar w:fldCharType="begin"/>
      </w:r>
      <w:r w:rsidR="000E4688" w:rsidRPr="00CB093C">
        <w:rPr>
          <w:rFonts w:ascii="Arial" w:hAnsi="Arial" w:cs="Arial"/>
          <w:noProof/>
          <w:szCs w:val="22"/>
        </w:rPr>
        <w:instrText xml:space="preserve"> SEQ Figure \* ARABIC </w:instrText>
      </w:r>
      <w:r w:rsidR="000E4688" w:rsidRPr="00CB093C">
        <w:rPr>
          <w:rFonts w:ascii="Arial" w:hAnsi="Arial" w:cs="Arial"/>
          <w:noProof/>
          <w:szCs w:val="22"/>
        </w:rPr>
        <w:fldChar w:fldCharType="separate"/>
      </w:r>
      <w:r w:rsidR="005F00D4">
        <w:rPr>
          <w:rFonts w:ascii="Arial" w:hAnsi="Arial" w:cs="Arial"/>
          <w:noProof/>
          <w:szCs w:val="22"/>
        </w:rPr>
        <w:t>71</w:t>
      </w:r>
      <w:r w:rsidR="000E4688" w:rsidRPr="00CB093C">
        <w:rPr>
          <w:rFonts w:ascii="Arial" w:hAnsi="Arial" w:cs="Arial"/>
          <w:noProof/>
          <w:szCs w:val="22"/>
        </w:rPr>
        <w:fldChar w:fldCharType="end"/>
      </w:r>
      <w:bookmarkEnd w:id="455"/>
      <w:r w:rsidRPr="00CB093C">
        <w:rPr>
          <w:rFonts w:ascii="Arial" w:hAnsi="Arial" w:cs="Arial"/>
          <w:szCs w:val="22"/>
        </w:rPr>
        <w:t xml:space="preserve">. </w:t>
      </w:r>
      <w:r w:rsidRPr="00CB093C">
        <w:rPr>
          <w:rFonts w:ascii="Arial" w:hAnsi="Arial" w:cs="Arial"/>
          <w:i/>
          <w:szCs w:val="22"/>
        </w:rPr>
        <w:t>Environmental pressures in the Fitzroy region</w:t>
      </w:r>
      <w:bookmarkEnd w:id="456"/>
    </w:p>
    <w:p w14:paraId="0C13A2AE" w14:textId="0CE7002F" w:rsidR="00204236" w:rsidRPr="00CB093C" w:rsidRDefault="001B1A95" w:rsidP="001B1A95">
      <w:pPr>
        <w:pStyle w:val="Caption"/>
        <w:rPr>
          <w:rFonts w:ascii="Arial" w:hAnsi="Arial" w:cs="Arial"/>
          <w:i/>
          <w:color w:val="000000"/>
          <w:szCs w:val="22"/>
        </w:rPr>
      </w:pPr>
      <w:r w:rsidRPr="00CB093C">
        <w:rPr>
          <w:rFonts w:ascii="Arial" w:hAnsi="Arial" w:cs="Arial"/>
          <w:i/>
          <w:szCs w:val="22"/>
          <w:lang w:eastAsia="en-AU"/>
        </w:rPr>
        <w:t xml:space="preserve"> </w:t>
      </w:r>
      <w:r w:rsidR="00204236" w:rsidRPr="00CB093C">
        <w:rPr>
          <w:rFonts w:ascii="Arial" w:hAnsi="Arial" w:cs="Arial"/>
          <w:i/>
          <w:szCs w:val="22"/>
        </w:rPr>
        <w:t>including</w:t>
      </w:r>
      <w:r w:rsidRPr="00CB093C">
        <w:rPr>
          <w:rFonts w:ascii="Arial" w:hAnsi="Arial" w:cs="Arial"/>
          <w:i/>
          <w:szCs w:val="22"/>
        </w:rPr>
        <w:t>:</w:t>
      </w:r>
      <w:r w:rsidR="00204236" w:rsidRPr="00CB093C">
        <w:rPr>
          <w:rFonts w:ascii="Arial" w:hAnsi="Arial" w:cs="Arial"/>
          <w:i/>
          <w:szCs w:val="22"/>
        </w:rPr>
        <w:t xml:space="preserve"> a.</w:t>
      </w:r>
      <w:r w:rsidR="00204236" w:rsidRPr="00CB093C">
        <w:rPr>
          <w:rFonts w:ascii="Arial" w:hAnsi="Arial" w:cs="Arial"/>
          <w:szCs w:val="22"/>
        </w:rPr>
        <w:t xml:space="preserve"> </w:t>
      </w:r>
      <w:r w:rsidR="00204236" w:rsidRPr="00CB093C">
        <w:rPr>
          <w:rFonts w:ascii="Arial" w:hAnsi="Arial" w:cs="Arial"/>
          <w:i/>
          <w:szCs w:val="22"/>
        </w:rPr>
        <w:t>frequency of exposure to turbid water (colour classes 1</w:t>
      </w:r>
      <w:r w:rsidR="00A675DA" w:rsidRPr="00CB093C">
        <w:rPr>
          <w:rFonts w:ascii="Arial" w:hAnsi="Arial" w:cs="Arial"/>
          <w:i/>
          <w:szCs w:val="22"/>
        </w:rPr>
        <w:t>–</w:t>
      </w:r>
      <w:r w:rsidR="00204236" w:rsidRPr="00CB093C">
        <w:rPr>
          <w:rFonts w:ascii="Arial" w:hAnsi="Arial" w:cs="Arial"/>
          <w:i/>
          <w:szCs w:val="22"/>
        </w:rPr>
        <w:t xml:space="preserve">5) (from </w:t>
      </w:r>
      <w:hyperlink w:anchor="_ENREF_65" w:tooltip="Gruber, 2019 #11860" w:history="1">
        <w:r w:rsidR="00513C39" w:rsidRPr="00CB093C">
          <w:rPr>
            <w:rFonts w:ascii="Arial" w:hAnsi="Arial" w:cs="Arial"/>
            <w:i/>
            <w:szCs w:val="22"/>
          </w:rPr>
          <w:fldChar w:fldCharType="begin"/>
        </w:r>
        <w:r w:rsidR="00513C39" w:rsidRPr="00CB093C">
          <w:rPr>
            <w:rFonts w:ascii="Arial" w:hAnsi="Arial" w:cs="Arial"/>
            <w:i/>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i/>
            <w:szCs w:val="22"/>
          </w:rPr>
          <w:fldChar w:fldCharType="separate"/>
        </w:r>
        <w:r w:rsidR="00513C39" w:rsidRPr="00CB093C">
          <w:rPr>
            <w:rFonts w:ascii="Arial" w:hAnsi="Arial" w:cs="Arial"/>
            <w:i/>
            <w:noProof/>
            <w:szCs w:val="22"/>
          </w:rPr>
          <w:t>Gruber et al. 2019</w:t>
        </w:r>
        <w:r w:rsidR="00513C39" w:rsidRPr="00CB093C">
          <w:rPr>
            <w:rFonts w:ascii="Arial" w:hAnsi="Arial" w:cs="Arial"/>
            <w:i/>
            <w:szCs w:val="22"/>
          </w:rPr>
          <w:fldChar w:fldCharType="end"/>
        </w:r>
      </w:hyperlink>
      <w:r w:rsidR="00204236" w:rsidRPr="00CB093C">
        <w:rPr>
          <w:rFonts w:ascii="Arial" w:hAnsi="Arial" w:cs="Arial"/>
          <w:i/>
          <w:szCs w:val="22"/>
        </w:rPr>
        <w:t>)</w:t>
      </w:r>
      <w:r w:rsidRPr="00CB093C">
        <w:rPr>
          <w:rFonts w:ascii="Arial" w:hAnsi="Arial" w:cs="Arial"/>
          <w:i/>
          <w:szCs w:val="22"/>
        </w:rPr>
        <w:t>;</w:t>
      </w:r>
      <w:r w:rsidR="00204236" w:rsidRPr="00CB093C">
        <w:rPr>
          <w:rFonts w:ascii="Arial" w:hAnsi="Arial" w:cs="Arial"/>
          <w:i/>
          <w:szCs w:val="22"/>
        </w:rPr>
        <w:t xml:space="preserve"> b. wet season water type at each </w:t>
      </w:r>
      <w:r w:rsidRPr="00CB093C">
        <w:rPr>
          <w:rFonts w:ascii="Arial" w:hAnsi="Arial" w:cs="Arial"/>
          <w:i/>
          <w:szCs w:val="22"/>
        </w:rPr>
        <w:t>site;</w:t>
      </w:r>
      <w:r w:rsidR="00204236" w:rsidRPr="00CB093C">
        <w:rPr>
          <w:rFonts w:ascii="Arial" w:hAnsi="Arial" w:cs="Arial"/>
          <w:i/>
          <w:szCs w:val="22"/>
        </w:rPr>
        <w:t xml:space="preserve"> c. average conditions over the long-term and in </w:t>
      </w:r>
      <w:r w:rsidR="003654C6">
        <w:rPr>
          <w:rFonts w:ascii="Arial" w:hAnsi="Arial" w:cs="Arial"/>
          <w:i/>
          <w:szCs w:val="22"/>
        </w:rPr>
        <w:t>2017–18</w:t>
      </w:r>
      <w:r w:rsidRPr="00CB093C">
        <w:rPr>
          <w:rFonts w:ascii="Arial" w:hAnsi="Arial" w:cs="Arial"/>
          <w:i/>
          <w:szCs w:val="22"/>
        </w:rPr>
        <w:t>;</w:t>
      </w:r>
      <w:r w:rsidR="00204236" w:rsidRPr="00CB093C">
        <w:rPr>
          <w:rFonts w:ascii="Arial" w:hAnsi="Arial" w:cs="Arial"/>
          <w:i/>
          <w:szCs w:val="22"/>
        </w:rPr>
        <w:t xml:space="preserve"> d. daily light and the 28-day rolling mean of daily light for all sites</w:t>
      </w:r>
      <w:r w:rsidRPr="00CB093C">
        <w:rPr>
          <w:rFonts w:ascii="Arial" w:hAnsi="Arial" w:cs="Arial"/>
          <w:i/>
          <w:szCs w:val="22"/>
        </w:rPr>
        <w:t>;</w:t>
      </w:r>
      <w:r w:rsidR="00204236" w:rsidRPr="00CB093C">
        <w:rPr>
          <w:rFonts w:ascii="Arial" w:hAnsi="Arial" w:cs="Arial"/>
          <w:i/>
          <w:szCs w:val="22"/>
        </w:rPr>
        <w:t xml:space="preserve"> e. number of day temperature exceeded 35°C, 38°C, 40°C and</w:t>
      </w:r>
      <w:r w:rsidRPr="00CB093C">
        <w:rPr>
          <w:rFonts w:ascii="Arial" w:hAnsi="Arial" w:cs="Arial"/>
          <w:i/>
          <w:szCs w:val="22"/>
        </w:rPr>
        <w:t>;</w:t>
      </w:r>
      <w:r w:rsidR="00204236" w:rsidRPr="00CB093C">
        <w:rPr>
          <w:rFonts w:ascii="Arial" w:hAnsi="Arial" w:cs="Arial"/>
          <w:i/>
          <w:szCs w:val="22"/>
        </w:rPr>
        <w:t xml:space="preserve"> 43°C, and f. deviations from 1</w:t>
      </w:r>
      <w:r w:rsidR="0098351A" w:rsidRPr="00CB093C">
        <w:rPr>
          <w:rFonts w:ascii="Arial" w:hAnsi="Arial" w:cs="Arial"/>
          <w:i/>
          <w:szCs w:val="22"/>
        </w:rPr>
        <w:t>2</w:t>
      </w:r>
      <w:r w:rsidR="00204236" w:rsidRPr="00CB093C">
        <w:rPr>
          <w:rFonts w:ascii="Arial" w:hAnsi="Arial" w:cs="Arial"/>
          <w:i/>
          <w:szCs w:val="22"/>
        </w:rPr>
        <w:t xml:space="preserve">-year </w:t>
      </w:r>
      <w:r w:rsidR="00204236" w:rsidRPr="00CB093C">
        <w:rPr>
          <w:rFonts w:ascii="Arial" w:hAnsi="Arial" w:cs="Arial"/>
          <w:i/>
          <w:color w:val="000000"/>
          <w:szCs w:val="22"/>
        </w:rPr>
        <w:t>mean weekly temperature records.</w:t>
      </w:r>
    </w:p>
    <w:p w14:paraId="43A9C43E" w14:textId="6D98EE7E" w:rsidR="00A23A41" w:rsidRPr="00CB093C" w:rsidRDefault="00A23A41" w:rsidP="00A23A41">
      <w:pPr>
        <w:rPr>
          <w:rFonts w:ascii="Arial" w:hAnsi="Arial" w:cs="Arial"/>
          <w:szCs w:val="22"/>
          <w:lang w:val="en-GB"/>
        </w:rPr>
      </w:pPr>
    </w:p>
    <w:p w14:paraId="1F02586D" w14:textId="77777777" w:rsidR="00A23A41" w:rsidRPr="00CB093C" w:rsidRDefault="00A23A41" w:rsidP="00A23A41">
      <w:pPr>
        <w:rPr>
          <w:rFonts w:ascii="Arial" w:hAnsi="Arial" w:cs="Arial"/>
          <w:szCs w:val="22"/>
          <w:lang w:val="en-GB"/>
        </w:rPr>
      </w:pPr>
    </w:p>
    <w:p w14:paraId="2E971E74" w14:textId="77777777" w:rsidR="00A23A41" w:rsidRPr="00CB093C" w:rsidRDefault="00A23A41" w:rsidP="00AD06D4">
      <w:pPr>
        <w:pStyle w:val="Heading3"/>
        <w:numPr>
          <w:ilvl w:val="2"/>
          <w:numId w:val="4"/>
        </w:numPr>
        <w:rPr>
          <w:rFonts w:ascii="Arial" w:hAnsi="Arial" w:cs="Arial"/>
          <w:color w:val="000000"/>
          <w:sz w:val="22"/>
          <w:szCs w:val="22"/>
        </w:rPr>
      </w:pPr>
      <w:bookmarkStart w:id="457" w:name="_Toc11394763"/>
      <w:r w:rsidRPr="00CB093C">
        <w:rPr>
          <w:rFonts w:ascii="Arial" w:hAnsi="Arial" w:cs="Arial"/>
          <w:color w:val="000000"/>
          <w:sz w:val="22"/>
          <w:szCs w:val="22"/>
        </w:rPr>
        <w:t>Inshore seagrass and habitat condition</w:t>
      </w:r>
      <w:bookmarkEnd w:id="457"/>
    </w:p>
    <w:p w14:paraId="2502FB2A" w14:textId="09D010B2" w:rsidR="00995B85" w:rsidRPr="00CB093C" w:rsidRDefault="00995B85" w:rsidP="00C36ADD">
      <w:pPr>
        <w:rPr>
          <w:rFonts w:ascii="Arial" w:hAnsi="Arial" w:cs="Arial"/>
          <w:szCs w:val="22"/>
          <w:lang w:eastAsia="x-none"/>
        </w:rPr>
      </w:pPr>
      <w:r w:rsidRPr="00CB093C">
        <w:rPr>
          <w:rFonts w:ascii="Arial" w:hAnsi="Arial" w:cs="Arial"/>
          <w:szCs w:val="22"/>
          <w:lang w:eastAsia="x-none"/>
        </w:rPr>
        <w:t xml:space="preserve">Three seagrass habitat types were assessed across the Fitzroy region in </w:t>
      </w:r>
      <w:r w:rsidR="003654C6">
        <w:rPr>
          <w:rFonts w:ascii="Arial" w:hAnsi="Arial" w:cs="Arial"/>
          <w:szCs w:val="22"/>
          <w:lang w:eastAsia="x-none"/>
        </w:rPr>
        <w:t>2017–18</w:t>
      </w:r>
      <w:r w:rsidRPr="00CB093C">
        <w:rPr>
          <w:rFonts w:ascii="Arial" w:hAnsi="Arial" w:cs="Arial"/>
          <w:szCs w:val="22"/>
          <w:lang w:eastAsia="x-none"/>
        </w:rPr>
        <w:t>, with data from 6 sites (</w:t>
      </w:r>
      <w:r w:rsidRPr="00CB093C">
        <w:rPr>
          <w:rFonts w:ascii="Arial" w:hAnsi="Arial" w:cs="Arial"/>
          <w:szCs w:val="22"/>
          <w:lang w:eastAsia="x-none"/>
        </w:rPr>
        <w:fldChar w:fldCharType="begin"/>
      </w:r>
      <w:r w:rsidRPr="00CB093C">
        <w:rPr>
          <w:rFonts w:ascii="Arial" w:hAnsi="Arial" w:cs="Arial"/>
          <w:szCs w:val="22"/>
          <w:lang w:eastAsia="x-none"/>
        </w:rPr>
        <w:instrText xml:space="preserve"> REF _Ref473898487 \h </w:instrText>
      </w:r>
      <w:r w:rsidR="00580DDA" w:rsidRPr="00CB093C">
        <w:rPr>
          <w:rFonts w:ascii="Arial" w:hAnsi="Arial" w:cs="Arial"/>
          <w:szCs w:val="22"/>
          <w:lang w:eastAsia="x-none"/>
        </w:rPr>
        <w:instrText xml:space="preserve"> \* MERGEFORMAT </w:instrText>
      </w:r>
      <w:r w:rsidRPr="00CB093C">
        <w:rPr>
          <w:rFonts w:ascii="Arial" w:hAnsi="Arial" w:cs="Arial"/>
          <w:szCs w:val="22"/>
          <w:lang w:eastAsia="x-none"/>
        </w:rPr>
      </w:r>
      <w:r w:rsidRPr="00CB093C">
        <w:rPr>
          <w:rFonts w:ascii="Arial" w:hAnsi="Arial" w:cs="Arial"/>
          <w:szCs w:val="22"/>
          <w:lang w:eastAsia="x-none"/>
        </w:rPr>
        <w:fldChar w:fldCharType="separate"/>
      </w:r>
      <w:r w:rsidR="005F00D4" w:rsidRPr="00CB093C">
        <w:rPr>
          <w:rFonts w:ascii="Arial" w:hAnsi="Arial" w:cs="Arial"/>
          <w:szCs w:val="22"/>
        </w:rPr>
        <w:t xml:space="preserve">Table </w:t>
      </w:r>
      <w:r w:rsidR="005F00D4">
        <w:rPr>
          <w:rFonts w:ascii="Arial" w:hAnsi="Arial" w:cs="Arial"/>
          <w:noProof/>
          <w:szCs w:val="22"/>
        </w:rPr>
        <w:t>15</w:t>
      </w:r>
      <w:r w:rsidRPr="00CB093C">
        <w:rPr>
          <w:rFonts w:ascii="Arial" w:hAnsi="Arial" w:cs="Arial"/>
          <w:szCs w:val="22"/>
          <w:lang w:eastAsia="x-none"/>
        </w:rPr>
        <w:fldChar w:fldCharType="end"/>
      </w:r>
      <w:r w:rsidRPr="00CB093C">
        <w:rPr>
          <w:rFonts w:ascii="Arial" w:hAnsi="Arial" w:cs="Arial"/>
          <w:szCs w:val="22"/>
          <w:lang w:eastAsia="x-none"/>
        </w:rPr>
        <w:t>).</w:t>
      </w:r>
    </w:p>
    <w:p w14:paraId="37B9537A" w14:textId="053E91BD" w:rsidR="00995B85" w:rsidRPr="00CB093C" w:rsidRDefault="00995B85" w:rsidP="00C36ADD">
      <w:pPr>
        <w:rPr>
          <w:rFonts w:ascii="Arial" w:hAnsi="Arial" w:cs="Arial"/>
          <w:i/>
          <w:vanish/>
          <w:szCs w:val="22"/>
          <w:specVanish/>
        </w:rPr>
      </w:pPr>
      <w:bookmarkStart w:id="458" w:name="_Ref473898487"/>
      <w:bookmarkStart w:id="459" w:name="_Toc5616043"/>
      <w:r w:rsidRPr="00CB093C">
        <w:rPr>
          <w:rFonts w:ascii="Arial" w:hAnsi="Arial" w:cs="Arial"/>
          <w:szCs w:val="22"/>
        </w:rPr>
        <w:t xml:space="preserve">Table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Table \* ARABIC </w:instrText>
      </w:r>
      <w:r w:rsidR="00C506C7" w:rsidRPr="00CB093C">
        <w:rPr>
          <w:rFonts w:ascii="Arial" w:hAnsi="Arial" w:cs="Arial"/>
          <w:noProof/>
          <w:szCs w:val="22"/>
        </w:rPr>
        <w:fldChar w:fldCharType="separate"/>
      </w:r>
      <w:r w:rsidR="005F00D4">
        <w:rPr>
          <w:rFonts w:ascii="Arial" w:hAnsi="Arial" w:cs="Arial"/>
          <w:noProof/>
          <w:szCs w:val="22"/>
        </w:rPr>
        <w:t>15</w:t>
      </w:r>
      <w:r w:rsidR="00C506C7" w:rsidRPr="00CB093C">
        <w:rPr>
          <w:rFonts w:ascii="Arial" w:hAnsi="Arial" w:cs="Arial"/>
          <w:noProof/>
          <w:szCs w:val="22"/>
        </w:rPr>
        <w:fldChar w:fldCharType="end"/>
      </w:r>
      <w:bookmarkEnd w:id="458"/>
      <w:r w:rsidRPr="00CB093C">
        <w:rPr>
          <w:rFonts w:ascii="Arial" w:hAnsi="Arial" w:cs="Arial"/>
          <w:szCs w:val="22"/>
        </w:rPr>
        <w:t xml:space="preserve">. </w:t>
      </w:r>
      <w:r w:rsidRPr="00CB093C">
        <w:rPr>
          <w:rFonts w:ascii="Arial" w:hAnsi="Arial" w:cs="Arial"/>
          <w:i/>
          <w:szCs w:val="22"/>
        </w:rPr>
        <w:t>List of data sources of seagrass and environmental condition indicators for each seagrass habitat type in the Fitzroy NRM region.</w:t>
      </w:r>
      <w:bookmarkEnd w:id="459"/>
    </w:p>
    <w:p w14:paraId="343B3C0B" w14:textId="3DA0AAE9" w:rsidR="00995B85" w:rsidRPr="00CB093C" w:rsidRDefault="00995B85" w:rsidP="00C36ADD">
      <w:pPr>
        <w:pStyle w:val="Caption"/>
        <w:rPr>
          <w:rFonts w:ascii="Arial" w:hAnsi="Arial" w:cs="Arial"/>
          <w:i/>
          <w:color w:val="000000"/>
          <w:szCs w:val="22"/>
        </w:rPr>
      </w:pPr>
      <w:r w:rsidRPr="00CB093C">
        <w:rPr>
          <w:rFonts w:ascii="Arial" w:hAnsi="Arial" w:cs="Arial"/>
          <w:i/>
          <w:szCs w:val="22"/>
        </w:rPr>
        <w:t xml:space="preserve">  For site details see </w:t>
      </w:r>
      <w:r w:rsidRPr="00CB093C">
        <w:rPr>
          <w:rFonts w:ascii="Arial" w:hAnsi="Arial" w:cs="Arial"/>
          <w:i/>
          <w:szCs w:val="22"/>
        </w:rPr>
        <w:fldChar w:fldCharType="begin"/>
      </w:r>
      <w:r w:rsidRPr="00CB093C">
        <w:rPr>
          <w:rFonts w:ascii="Arial" w:hAnsi="Arial" w:cs="Arial"/>
          <w:i/>
          <w:szCs w:val="22"/>
        </w:rPr>
        <w:instrText xml:space="preserve"> REF _Ref236539751 \h </w:instrText>
      </w:r>
      <w:r w:rsidR="00580DDA" w:rsidRPr="00CB093C">
        <w:rPr>
          <w:rFonts w:ascii="Arial" w:hAnsi="Arial" w:cs="Arial"/>
          <w:i/>
          <w:szCs w:val="22"/>
        </w:rPr>
        <w:instrText xml:space="preserve"> \* MERGEFORMAT </w:instrText>
      </w:r>
      <w:r w:rsidRPr="00CB093C">
        <w:rPr>
          <w:rFonts w:ascii="Arial" w:hAnsi="Arial" w:cs="Arial"/>
          <w:i/>
          <w:szCs w:val="22"/>
        </w:rPr>
      </w:r>
      <w:r w:rsidRPr="00CB093C">
        <w:rPr>
          <w:rFonts w:ascii="Arial" w:hAnsi="Arial" w:cs="Arial"/>
          <w:i/>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w:t>
      </w:r>
      <w:r w:rsidRPr="00CB093C">
        <w:rPr>
          <w:rFonts w:ascii="Arial" w:hAnsi="Arial" w:cs="Arial"/>
          <w:i/>
          <w:szCs w:val="22"/>
        </w:rPr>
        <w:fldChar w:fldCharType="end"/>
      </w:r>
      <w:r w:rsidRPr="00CB093C">
        <w:rPr>
          <w:rFonts w:ascii="Arial" w:hAnsi="Arial" w:cs="Arial"/>
          <w:i/>
          <w:szCs w:val="22"/>
        </w:rPr>
        <w:t xml:space="preserve"> and </w:t>
      </w:r>
      <w:r w:rsidRPr="00CB093C">
        <w:rPr>
          <w:rFonts w:ascii="Arial" w:hAnsi="Arial" w:cs="Arial"/>
          <w:i/>
          <w:szCs w:val="22"/>
        </w:rPr>
        <w:fldChar w:fldCharType="begin"/>
      </w:r>
      <w:r w:rsidRPr="00CB093C">
        <w:rPr>
          <w:rFonts w:ascii="Arial" w:hAnsi="Arial" w:cs="Arial"/>
          <w:i/>
          <w:szCs w:val="22"/>
        </w:rPr>
        <w:instrText xml:space="preserve"> REF _Ref461186562 \h </w:instrText>
      </w:r>
      <w:r w:rsidR="00580DDA" w:rsidRPr="00CB093C">
        <w:rPr>
          <w:rFonts w:ascii="Arial" w:hAnsi="Arial" w:cs="Arial"/>
          <w:i/>
          <w:szCs w:val="22"/>
        </w:rPr>
        <w:instrText xml:space="preserve"> \* MERGEFORMAT </w:instrText>
      </w:r>
      <w:r w:rsidRPr="00CB093C">
        <w:rPr>
          <w:rFonts w:ascii="Arial" w:hAnsi="Arial" w:cs="Arial"/>
          <w:i/>
          <w:szCs w:val="22"/>
        </w:rPr>
      </w:r>
      <w:r w:rsidRPr="00CB093C">
        <w:rPr>
          <w:rFonts w:ascii="Arial" w:hAnsi="Arial" w:cs="Arial"/>
          <w:i/>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3</w:t>
      </w:r>
      <w:r w:rsidRPr="00CB093C">
        <w:rPr>
          <w:rFonts w:ascii="Arial" w:hAnsi="Arial" w:cs="Arial"/>
          <w:i/>
          <w:szCs w:val="22"/>
        </w:rPr>
        <w:fldChar w:fldCharType="end"/>
      </w:r>
      <w:r w:rsidRPr="00CB093C">
        <w:rPr>
          <w:rFonts w:ascii="Arial" w:hAnsi="Arial" w:cs="Arial"/>
          <w:i/>
          <w:szCs w:val="22"/>
        </w:rPr>
        <w:t>.</w:t>
      </w:r>
    </w:p>
    <w:tbl>
      <w:tblPr>
        <w:tblW w:w="9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1"/>
        <w:gridCol w:w="705"/>
        <w:gridCol w:w="2804"/>
        <w:gridCol w:w="475"/>
        <w:gridCol w:w="475"/>
        <w:gridCol w:w="475"/>
        <w:gridCol w:w="475"/>
        <w:gridCol w:w="475"/>
        <w:gridCol w:w="475"/>
        <w:gridCol w:w="475"/>
        <w:gridCol w:w="475"/>
        <w:gridCol w:w="475"/>
      </w:tblGrid>
      <w:tr w:rsidR="00995B85" w:rsidRPr="00CB093C" w14:paraId="6023584D" w14:textId="77777777" w:rsidTr="00995B85">
        <w:trPr>
          <w:cantSplit/>
          <w:trHeight w:val="1727"/>
          <w:jc w:val="center"/>
        </w:trPr>
        <w:tc>
          <w:tcPr>
            <w:tcW w:w="1714" w:type="dxa"/>
            <w:shd w:val="clear" w:color="auto" w:fill="BBE0E3"/>
            <w:vAlign w:val="center"/>
          </w:tcPr>
          <w:p w14:paraId="5F7B314F" w14:textId="77777777" w:rsidR="00995B85" w:rsidRPr="00CB093C" w:rsidRDefault="00995B85" w:rsidP="00C36ADD">
            <w:pPr>
              <w:spacing w:before="0" w:after="0"/>
              <w:jc w:val="center"/>
              <w:rPr>
                <w:rFonts w:ascii="Arial" w:hAnsi="Arial" w:cs="Arial"/>
                <w:b/>
                <w:bCs/>
                <w:color w:val="000000"/>
                <w:szCs w:val="22"/>
              </w:rPr>
            </w:pPr>
            <w:r w:rsidRPr="00CB093C">
              <w:rPr>
                <w:rFonts w:ascii="Arial" w:hAnsi="Arial" w:cs="Arial"/>
                <w:b/>
                <w:bCs/>
                <w:color w:val="000000"/>
                <w:szCs w:val="22"/>
              </w:rPr>
              <w:t>Habitat</w:t>
            </w:r>
          </w:p>
        </w:tc>
        <w:tc>
          <w:tcPr>
            <w:tcW w:w="3478" w:type="dxa"/>
            <w:gridSpan w:val="2"/>
            <w:shd w:val="clear" w:color="auto" w:fill="BBE0E3"/>
            <w:noWrap/>
            <w:vAlign w:val="center"/>
          </w:tcPr>
          <w:p w14:paraId="141F9033" w14:textId="77777777" w:rsidR="00995B85" w:rsidRPr="00CB093C" w:rsidRDefault="00995B85" w:rsidP="00C36ADD">
            <w:pPr>
              <w:spacing w:before="0" w:after="0"/>
              <w:jc w:val="center"/>
              <w:rPr>
                <w:rFonts w:ascii="Arial" w:hAnsi="Arial" w:cs="Arial"/>
                <w:b/>
                <w:bCs/>
                <w:color w:val="000000"/>
                <w:szCs w:val="22"/>
              </w:rPr>
            </w:pPr>
            <w:r w:rsidRPr="00CB093C">
              <w:rPr>
                <w:rFonts w:ascii="Arial" w:hAnsi="Arial" w:cs="Arial"/>
                <w:b/>
                <w:bCs/>
                <w:color w:val="000000"/>
                <w:szCs w:val="22"/>
              </w:rPr>
              <w:t>Site</w:t>
            </w:r>
          </w:p>
        </w:tc>
        <w:tc>
          <w:tcPr>
            <w:tcW w:w="467" w:type="dxa"/>
            <w:shd w:val="clear" w:color="auto" w:fill="BBE0E3"/>
            <w:textDirection w:val="btLr"/>
            <w:vAlign w:val="center"/>
          </w:tcPr>
          <w:p w14:paraId="19EBA89B" w14:textId="77777777" w:rsidR="00995B85" w:rsidRPr="00CB093C" w:rsidRDefault="00995B85" w:rsidP="00C36ADD">
            <w:pPr>
              <w:spacing w:before="0" w:after="0"/>
              <w:ind w:left="113" w:right="113"/>
              <w:rPr>
                <w:rFonts w:ascii="Arial" w:hAnsi="Arial" w:cs="Arial"/>
                <w:b/>
                <w:bCs/>
                <w:color w:val="000000"/>
                <w:szCs w:val="22"/>
              </w:rPr>
            </w:pPr>
            <w:r w:rsidRPr="00CB093C">
              <w:rPr>
                <w:rFonts w:ascii="Arial" w:hAnsi="Arial" w:cs="Arial"/>
                <w:b/>
                <w:bCs/>
                <w:color w:val="000000"/>
                <w:szCs w:val="22"/>
              </w:rPr>
              <w:t>abundance</w:t>
            </w:r>
          </w:p>
        </w:tc>
        <w:tc>
          <w:tcPr>
            <w:tcW w:w="467" w:type="dxa"/>
            <w:shd w:val="clear" w:color="auto" w:fill="BBE0E3"/>
            <w:textDirection w:val="btLr"/>
            <w:vAlign w:val="center"/>
          </w:tcPr>
          <w:p w14:paraId="00AFFF01" w14:textId="77777777" w:rsidR="00995B85" w:rsidRPr="00CB093C" w:rsidRDefault="00995B85" w:rsidP="00C36ADD">
            <w:pPr>
              <w:spacing w:before="0" w:after="0"/>
              <w:ind w:left="113" w:right="113"/>
              <w:rPr>
                <w:rFonts w:ascii="Arial" w:hAnsi="Arial" w:cs="Arial"/>
                <w:b/>
                <w:bCs/>
                <w:color w:val="000000"/>
                <w:szCs w:val="22"/>
              </w:rPr>
            </w:pPr>
            <w:r w:rsidRPr="00CB093C">
              <w:rPr>
                <w:rFonts w:ascii="Arial" w:hAnsi="Arial" w:cs="Arial"/>
                <w:b/>
                <w:bCs/>
                <w:color w:val="000000"/>
                <w:szCs w:val="22"/>
              </w:rPr>
              <w:t xml:space="preserve">composition </w:t>
            </w:r>
          </w:p>
        </w:tc>
        <w:tc>
          <w:tcPr>
            <w:tcW w:w="467" w:type="dxa"/>
            <w:shd w:val="clear" w:color="auto" w:fill="BBE0E3"/>
            <w:textDirection w:val="btLr"/>
            <w:vAlign w:val="center"/>
          </w:tcPr>
          <w:p w14:paraId="7AD681C8" w14:textId="77777777" w:rsidR="00995B85" w:rsidRPr="00CB093C" w:rsidRDefault="00995B85" w:rsidP="00C36ADD">
            <w:pPr>
              <w:spacing w:before="0" w:after="0"/>
              <w:ind w:left="113" w:right="113"/>
              <w:rPr>
                <w:rFonts w:ascii="Arial" w:hAnsi="Arial" w:cs="Arial"/>
                <w:b/>
                <w:bCs/>
                <w:color w:val="000000"/>
                <w:szCs w:val="22"/>
              </w:rPr>
            </w:pPr>
            <w:r w:rsidRPr="00CB093C">
              <w:rPr>
                <w:rFonts w:ascii="Arial" w:hAnsi="Arial" w:cs="Arial"/>
                <w:b/>
                <w:bCs/>
                <w:color w:val="000000"/>
                <w:szCs w:val="22"/>
              </w:rPr>
              <w:t>distribution</w:t>
            </w:r>
          </w:p>
        </w:tc>
        <w:tc>
          <w:tcPr>
            <w:tcW w:w="467" w:type="dxa"/>
            <w:shd w:val="clear" w:color="auto" w:fill="BBE0E3"/>
            <w:textDirection w:val="btLr"/>
            <w:vAlign w:val="center"/>
          </w:tcPr>
          <w:p w14:paraId="123DCD3F" w14:textId="77777777" w:rsidR="00995B85" w:rsidRPr="00CB093C" w:rsidRDefault="00995B85" w:rsidP="00C36ADD">
            <w:pPr>
              <w:spacing w:before="0" w:after="0"/>
              <w:ind w:left="113" w:right="113"/>
              <w:rPr>
                <w:rFonts w:ascii="Arial" w:hAnsi="Arial" w:cs="Arial"/>
                <w:b/>
                <w:bCs/>
                <w:color w:val="000000"/>
                <w:szCs w:val="22"/>
              </w:rPr>
            </w:pPr>
            <w:r w:rsidRPr="00CB093C">
              <w:rPr>
                <w:rFonts w:ascii="Arial" w:hAnsi="Arial" w:cs="Arial"/>
                <w:b/>
                <w:bCs/>
                <w:color w:val="000000"/>
                <w:szCs w:val="22"/>
              </w:rPr>
              <w:t>Reproductive effort</w:t>
            </w:r>
          </w:p>
        </w:tc>
        <w:tc>
          <w:tcPr>
            <w:tcW w:w="467" w:type="dxa"/>
            <w:shd w:val="clear" w:color="auto" w:fill="BBE0E3"/>
            <w:textDirection w:val="btLr"/>
            <w:vAlign w:val="center"/>
          </w:tcPr>
          <w:p w14:paraId="67F7A501" w14:textId="77777777" w:rsidR="00995B85" w:rsidRPr="00CB093C" w:rsidRDefault="00995B85" w:rsidP="00C36ADD">
            <w:pPr>
              <w:spacing w:before="0" w:after="0"/>
              <w:ind w:left="113" w:right="113"/>
              <w:rPr>
                <w:rFonts w:ascii="Arial" w:hAnsi="Arial" w:cs="Arial"/>
                <w:b/>
                <w:bCs/>
                <w:color w:val="000000"/>
                <w:szCs w:val="22"/>
              </w:rPr>
            </w:pPr>
            <w:r w:rsidRPr="00CB093C">
              <w:rPr>
                <w:rFonts w:ascii="Arial" w:hAnsi="Arial" w:cs="Arial"/>
                <w:b/>
                <w:bCs/>
                <w:color w:val="000000"/>
                <w:szCs w:val="22"/>
              </w:rPr>
              <w:t>seed banks</w:t>
            </w:r>
          </w:p>
        </w:tc>
        <w:tc>
          <w:tcPr>
            <w:tcW w:w="467" w:type="dxa"/>
            <w:shd w:val="clear" w:color="auto" w:fill="BBE0E3"/>
            <w:textDirection w:val="btLr"/>
            <w:vAlign w:val="center"/>
          </w:tcPr>
          <w:p w14:paraId="2281FD45" w14:textId="77777777" w:rsidR="00995B85" w:rsidRPr="00CB093C" w:rsidRDefault="00995B85" w:rsidP="00C36ADD">
            <w:pPr>
              <w:spacing w:before="0" w:after="0"/>
              <w:ind w:left="113" w:right="113"/>
              <w:rPr>
                <w:rFonts w:ascii="Arial" w:hAnsi="Arial" w:cs="Arial"/>
                <w:b/>
                <w:bCs/>
                <w:color w:val="000000"/>
                <w:szCs w:val="22"/>
              </w:rPr>
            </w:pPr>
            <w:r w:rsidRPr="00CB093C">
              <w:rPr>
                <w:rFonts w:ascii="Arial" w:hAnsi="Arial" w:cs="Arial"/>
                <w:b/>
                <w:bCs/>
                <w:color w:val="000000"/>
                <w:szCs w:val="22"/>
              </w:rPr>
              <w:t>Leaf tissue nutrients</w:t>
            </w:r>
          </w:p>
        </w:tc>
        <w:tc>
          <w:tcPr>
            <w:tcW w:w="467" w:type="dxa"/>
            <w:shd w:val="clear" w:color="auto" w:fill="BBE0E3"/>
            <w:textDirection w:val="btLr"/>
            <w:vAlign w:val="center"/>
          </w:tcPr>
          <w:p w14:paraId="6FDDF4BD" w14:textId="77777777" w:rsidR="00995B85" w:rsidRPr="00CB093C" w:rsidRDefault="00995B85" w:rsidP="00C36ADD">
            <w:pPr>
              <w:spacing w:before="0" w:after="0"/>
              <w:ind w:left="113" w:right="113"/>
              <w:rPr>
                <w:rFonts w:ascii="Arial" w:hAnsi="Arial" w:cs="Arial"/>
                <w:b/>
                <w:bCs/>
                <w:color w:val="000000"/>
                <w:szCs w:val="22"/>
              </w:rPr>
            </w:pPr>
            <w:r w:rsidRPr="00CB093C">
              <w:rPr>
                <w:rFonts w:ascii="Arial" w:hAnsi="Arial" w:cs="Arial"/>
                <w:b/>
                <w:bCs/>
                <w:color w:val="000000"/>
                <w:szCs w:val="22"/>
              </w:rPr>
              <w:t>Meadow sediments</w:t>
            </w:r>
          </w:p>
        </w:tc>
        <w:tc>
          <w:tcPr>
            <w:tcW w:w="467" w:type="dxa"/>
            <w:shd w:val="clear" w:color="auto" w:fill="BBE0E3"/>
            <w:textDirection w:val="btLr"/>
            <w:vAlign w:val="center"/>
          </w:tcPr>
          <w:p w14:paraId="3102EB1A" w14:textId="77777777" w:rsidR="00995B85" w:rsidRPr="00CB093C" w:rsidRDefault="00995B85" w:rsidP="00C36ADD">
            <w:pPr>
              <w:spacing w:before="0" w:after="0"/>
              <w:ind w:left="113" w:right="113"/>
              <w:rPr>
                <w:rFonts w:ascii="Arial" w:hAnsi="Arial" w:cs="Arial"/>
                <w:b/>
                <w:bCs/>
                <w:color w:val="000000"/>
                <w:szCs w:val="22"/>
              </w:rPr>
            </w:pPr>
            <w:r w:rsidRPr="00CB093C">
              <w:rPr>
                <w:rFonts w:ascii="Arial" w:hAnsi="Arial" w:cs="Arial"/>
                <w:b/>
                <w:bCs/>
                <w:color w:val="000000"/>
                <w:szCs w:val="22"/>
              </w:rPr>
              <w:t>Epiphytes</w:t>
            </w:r>
          </w:p>
        </w:tc>
        <w:tc>
          <w:tcPr>
            <w:tcW w:w="467" w:type="dxa"/>
            <w:shd w:val="clear" w:color="auto" w:fill="BBE0E3"/>
            <w:textDirection w:val="btLr"/>
          </w:tcPr>
          <w:p w14:paraId="58020269" w14:textId="77777777" w:rsidR="00995B85" w:rsidRPr="00CB093C" w:rsidRDefault="00995B85" w:rsidP="00C36ADD">
            <w:pPr>
              <w:spacing w:before="0" w:after="0"/>
              <w:ind w:left="113" w:right="113"/>
              <w:rPr>
                <w:rFonts w:ascii="Arial" w:hAnsi="Arial" w:cs="Arial"/>
                <w:b/>
                <w:bCs/>
                <w:color w:val="000000"/>
                <w:szCs w:val="22"/>
              </w:rPr>
            </w:pPr>
            <w:r w:rsidRPr="00CB093C">
              <w:rPr>
                <w:rFonts w:ascii="Arial" w:hAnsi="Arial" w:cs="Arial"/>
                <w:b/>
                <w:bCs/>
                <w:color w:val="000000"/>
                <w:szCs w:val="22"/>
              </w:rPr>
              <w:t>Macroalgae</w:t>
            </w:r>
          </w:p>
        </w:tc>
      </w:tr>
      <w:tr w:rsidR="00995B85" w:rsidRPr="00CB093C" w14:paraId="6E05E2B0" w14:textId="77777777" w:rsidTr="00995B85">
        <w:trPr>
          <w:trHeight w:val="170"/>
          <w:jc w:val="center"/>
        </w:trPr>
        <w:tc>
          <w:tcPr>
            <w:tcW w:w="1714" w:type="dxa"/>
            <w:shd w:val="clear" w:color="auto" w:fill="E7F3F4"/>
            <w:vAlign w:val="center"/>
          </w:tcPr>
          <w:p w14:paraId="46FF59DD"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estuary intertidal</w:t>
            </w:r>
          </w:p>
        </w:tc>
        <w:tc>
          <w:tcPr>
            <w:tcW w:w="674" w:type="dxa"/>
            <w:shd w:val="clear" w:color="auto" w:fill="E7F3F4"/>
            <w:noWrap/>
            <w:vAlign w:val="center"/>
          </w:tcPr>
          <w:p w14:paraId="4D274F99"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GH1</w:t>
            </w:r>
          </w:p>
        </w:tc>
        <w:tc>
          <w:tcPr>
            <w:tcW w:w="2804" w:type="dxa"/>
            <w:shd w:val="clear" w:color="auto" w:fill="E7F3F4"/>
            <w:noWrap/>
            <w:vAlign w:val="center"/>
          </w:tcPr>
          <w:p w14:paraId="78257207"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Gladstone Hbr</w:t>
            </w:r>
          </w:p>
        </w:tc>
        <w:tc>
          <w:tcPr>
            <w:tcW w:w="467" w:type="dxa"/>
            <w:shd w:val="clear" w:color="auto" w:fill="E7F3F4"/>
            <w:vAlign w:val="center"/>
          </w:tcPr>
          <w:p w14:paraId="4F946164"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A691412"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C33A8BD"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4DD4F52"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938F5F3"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9403A1A"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001D494"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1452981"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555F788"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7BD7D1FB" w14:textId="77777777" w:rsidTr="00995B85">
        <w:trPr>
          <w:trHeight w:val="170"/>
          <w:jc w:val="center"/>
        </w:trPr>
        <w:tc>
          <w:tcPr>
            <w:tcW w:w="1714" w:type="dxa"/>
            <w:shd w:val="clear" w:color="auto" w:fill="E7F3F4"/>
            <w:vAlign w:val="center"/>
          </w:tcPr>
          <w:p w14:paraId="72D6624F" w14:textId="77777777" w:rsidR="00995B85" w:rsidRPr="00CB093C" w:rsidRDefault="00995B85" w:rsidP="00C36ADD">
            <w:pPr>
              <w:spacing w:before="0" w:after="0"/>
              <w:jc w:val="center"/>
              <w:rPr>
                <w:rFonts w:ascii="Arial" w:hAnsi="Arial" w:cs="Arial"/>
                <w:color w:val="000000"/>
                <w:szCs w:val="22"/>
              </w:rPr>
            </w:pPr>
          </w:p>
        </w:tc>
        <w:tc>
          <w:tcPr>
            <w:tcW w:w="674" w:type="dxa"/>
            <w:shd w:val="clear" w:color="auto" w:fill="E7F3F4"/>
            <w:noWrap/>
            <w:vAlign w:val="center"/>
          </w:tcPr>
          <w:p w14:paraId="258671F4"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GH2</w:t>
            </w:r>
          </w:p>
        </w:tc>
        <w:tc>
          <w:tcPr>
            <w:tcW w:w="2804" w:type="dxa"/>
            <w:shd w:val="clear" w:color="auto" w:fill="E7F3F4"/>
            <w:noWrap/>
            <w:vAlign w:val="center"/>
          </w:tcPr>
          <w:p w14:paraId="31CE5DDB" w14:textId="77777777" w:rsidR="00995B85" w:rsidRPr="00CB093C" w:rsidRDefault="00995B85" w:rsidP="00C36ADD">
            <w:pPr>
              <w:spacing w:before="0" w:after="0"/>
              <w:jc w:val="center"/>
              <w:rPr>
                <w:rFonts w:ascii="Arial" w:hAnsi="Arial" w:cs="Arial"/>
                <w:i/>
                <w:color w:val="000000"/>
                <w:szCs w:val="22"/>
              </w:rPr>
            </w:pPr>
            <w:r w:rsidRPr="00CB093C">
              <w:rPr>
                <w:rFonts w:ascii="Arial" w:hAnsi="Arial" w:cs="Arial"/>
                <w:color w:val="000000"/>
                <w:szCs w:val="22"/>
              </w:rPr>
              <w:t>Gladstone Hbr</w:t>
            </w:r>
          </w:p>
        </w:tc>
        <w:tc>
          <w:tcPr>
            <w:tcW w:w="467" w:type="dxa"/>
            <w:shd w:val="clear" w:color="auto" w:fill="E7F3F4"/>
            <w:vAlign w:val="center"/>
          </w:tcPr>
          <w:p w14:paraId="54F36795"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8D9B4D8"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2FB83A7"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5F69EEC"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13B83F2"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341CE4D"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E9455AF"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BA80233"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7694062"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23CAB9F3" w14:textId="77777777" w:rsidTr="00995B85">
        <w:trPr>
          <w:trHeight w:val="170"/>
          <w:jc w:val="center"/>
        </w:trPr>
        <w:tc>
          <w:tcPr>
            <w:tcW w:w="1714" w:type="dxa"/>
            <w:shd w:val="clear" w:color="auto" w:fill="F3F9FA"/>
            <w:vAlign w:val="center"/>
          </w:tcPr>
          <w:p w14:paraId="219F76FB"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coastal subtidal</w:t>
            </w:r>
          </w:p>
        </w:tc>
        <w:tc>
          <w:tcPr>
            <w:tcW w:w="674" w:type="dxa"/>
            <w:shd w:val="clear" w:color="auto" w:fill="F3F9FA"/>
            <w:noWrap/>
            <w:vAlign w:val="center"/>
          </w:tcPr>
          <w:p w14:paraId="7DA44B21"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RC1</w:t>
            </w:r>
          </w:p>
        </w:tc>
        <w:tc>
          <w:tcPr>
            <w:tcW w:w="2804" w:type="dxa"/>
            <w:shd w:val="clear" w:color="auto" w:fill="F3F9FA"/>
            <w:noWrap/>
            <w:vAlign w:val="center"/>
          </w:tcPr>
          <w:p w14:paraId="22E329ED"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Ross Creek (Shoalwater Bay)</w:t>
            </w:r>
          </w:p>
        </w:tc>
        <w:tc>
          <w:tcPr>
            <w:tcW w:w="467" w:type="dxa"/>
            <w:shd w:val="clear" w:color="auto" w:fill="F3F9FA"/>
            <w:vAlign w:val="center"/>
          </w:tcPr>
          <w:p w14:paraId="7FCC232A"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56DF9B1"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7710E9D1"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EE6F40E"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D2DA41C"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AFDBD02"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348D2B7"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0BC879EB"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24F9F222"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685ED151" w14:textId="77777777" w:rsidTr="00995B85">
        <w:trPr>
          <w:trHeight w:val="170"/>
          <w:jc w:val="center"/>
        </w:trPr>
        <w:tc>
          <w:tcPr>
            <w:tcW w:w="1714" w:type="dxa"/>
            <w:shd w:val="clear" w:color="auto" w:fill="F3F9FA"/>
            <w:vAlign w:val="center"/>
          </w:tcPr>
          <w:p w14:paraId="334C7093" w14:textId="77777777" w:rsidR="00995B85" w:rsidRPr="00CB093C" w:rsidRDefault="00995B85" w:rsidP="00C36ADD">
            <w:pPr>
              <w:spacing w:before="0" w:after="0"/>
              <w:jc w:val="center"/>
              <w:rPr>
                <w:rFonts w:ascii="Arial" w:hAnsi="Arial" w:cs="Arial"/>
                <w:color w:val="000000"/>
                <w:szCs w:val="22"/>
              </w:rPr>
            </w:pPr>
          </w:p>
        </w:tc>
        <w:tc>
          <w:tcPr>
            <w:tcW w:w="674" w:type="dxa"/>
            <w:shd w:val="clear" w:color="auto" w:fill="F3F9FA"/>
            <w:noWrap/>
            <w:vAlign w:val="center"/>
          </w:tcPr>
          <w:p w14:paraId="16879451"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WH1</w:t>
            </w:r>
          </w:p>
        </w:tc>
        <w:tc>
          <w:tcPr>
            <w:tcW w:w="2804" w:type="dxa"/>
            <w:shd w:val="clear" w:color="auto" w:fill="F3F9FA"/>
            <w:noWrap/>
            <w:vAlign w:val="center"/>
          </w:tcPr>
          <w:p w14:paraId="6A51A3E4"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Wheelans Hut (Shoalwater Bay)</w:t>
            </w:r>
          </w:p>
        </w:tc>
        <w:tc>
          <w:tcPr>
            <w:tcW w:w="467" w:type="dxa"/>
            <w:shd w:val="clear" w:color="auto" w:fill="F3F9FA"/>
            <w:vAlign w:val="center"/>
          </w:tcPr>
          <w:p w14:paraId="59095212"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59E5A20"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36F45272"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560BAA91"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89B5DA3"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B63EB57"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3483A20"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64EACF70"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F3F9FA"/>
            <w:vAlign w:val="center"/>
          </w:tcPr>
          <w:p w14:paraId="1F24F885"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355914AD" w14:textId="77777777" w:rsidTr="00995B85">
        <w:trPr>
          <w:trHeight w:val="170"/>
          <w:jc w:val="center"/>
        </w:trPr>
        <w:tc>
          <w:tcPr>
            <w:tcW w:w="1714" w:type="dxa"/>
            <w:shd w:val="clear" w:color="auto" w:fill="E7F3F4"/>
            <w:vAlign w:val="center"/>
          </w:tcPr>
          <w:p w14:paraId="189109D0"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reef intertidal</w:t>
            </w:r>
          </w:p>
        </w:tc>
        <w:tc>
          <w:tcPr>
            <w:tcW w:w="674" w:type="dxa"/>
            <w:shd w:val="clear" w:color="auto" w:fill="E7F3F4"/>
            <w:noWrap/>
            <w:vAlign w:val="center"/>
          </w:tcPr>
          <w:p w14:paraId="0F322DEF"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GK1</w:t>
            </w:r>
          </w:p>
        </w:tc>
        <w:tc>
          <w:tcPr>
            <w:tcW w:w="2804" w:type="dxa"/>
            <w:shd w:val="clear" w:color="auto" w:fill="E7F3F4"/>
            <w:noWrap/>
            <w:vAlign w:val="bottom"/>
          </w:tcPr>
          <w:p w14:paraId="1318D43D"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Great Keppel Is.</w:t>
            </w:r>
          </w:p>
        </w:tc>
        <w:tc>
          <w:tcPr>
            <w:tcW w:w="467" w:type="dxa"/>
            <w:shd w:val="clear" w:color="auto" w:fill="E7F3F4"/>
            <w:vAlign w:val="center"/>
          </w:tcPr>
          <w:p w14:paraId="3A92D44B"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DE71A90"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5F2CD92"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EC529EA"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0CE5C19D"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65416213"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85C5C08"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A434C50"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72D375BF"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61950E9A" w14:textId="77777777" w:rsidTr="00995B85">
        <w:trPr>
          <w:trHeight w:val="170"/>
          <w:jc w:val="center"/>
        </w:trPr>
        <w:tc>
          <w:tcPr>
            <w:tcW w:w="1714" w:type="dxa"/>
            <w:shd w:val="clear" w:color="auto" w:fill="E7F3F4"/>
            <w:vAlign w:val="center"/>
          </w:tcPr>
          <w:p w14:paraId="357B0717" w14:textId="77777777" w:rsidR="00995B85" w:rsidRPr="00CB093C" w:rsidRDefault="00995B85" w:rsidP="00C36ADD">
            <w:pPr>
              <w:spacing w:before="0" w:after="0"/>
              <w:jc w:val="center"/>
              <w:rPr>
                <w:rFonts w:ascii="Arial" w:hAnsi="Arial" w:cs="Arial"/>
                <w:color w:val="000000"/>
                <w:szCs w:val="22"/>
              </w:rPr>
            </w:pPr>
          </w:p>
        </w:tc>
        <w:tc>
          <w:tcPr>
            <w:tcW w:w="674" w:type="dxa"/>
            <w:shd w:val="clear" w:color="auto" w:fill="E7F3F4"/>
            <w:noWrap/>
            <w:vAlign w:val="center"/>
          </w:tcPr>
          <w:p w14:paraId="4BCBD9D1"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GK2</w:t>
            </w:r>
          </w:p>
        </w:tc>
        <w:tc>
          <w:tcPr>
            <w:tcW w:w="2804" w:type="dxa"/>
            <w:shd w:val="clear" w:color="auto" w:fill="E7F3F4"/>
            <w:noWrap/>
            <w:vAlign w:val="center"/>
          </w:tcPr>
          <w:p w14:paraId="6670064F"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t>Great Keppel Is.</w:t>
            </w:r>
          </w:p>
        </w:tc>
        <w:tc>
          <w:tcPr>
            <w:tcW w:w="467" w:type="dxa"/>
            <w:shd w:val="clear" w:color="auto" w:fill="E7F3F4"/>
            <w:vAlign w:val="center"/>
          </w:tcPr>
          <w:p w14:paraId="72AEE74D"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3AEC76AD"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C918E83"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714EBE5"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18AA5B6E"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A823704"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50858D29"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2E854FA3"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67" w:type="dxa"/>
            <w:shd w:val="clear" w:color="auto" w:fill="E7F3F4"/>
            <w:vAlign w:val="center"/>
          </w:tcPr>
          <w:p w14:paraId="4B4CEFB7" w14:textId="77777777" w:rsidR="00995B85" w:rsidRPr="00CB093C" w:rsidRDefault="00995B85" w:rsidP="00C36ADD">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bookmarkEnd w:id="454"/>
    </w:tbl>
    <w:p w14:paraId="14A9E923" w14:textId="77777777" w:rsidR="001063D8" w:rsidRPr="00CB093C" w:rsidRDefault="001063D8" w:rsidP="00447BD8">
      <w:pPr>
        <w:rPr>
          <w:rFonts w:ascii="Arial" w:hAnsi="Arial" w:cs="Arial"/>
          <w:color w:val="000000" w:themeColor="text1"/>
          <w:szCs w:val="22"/>
        </w:rPr>
      </w:pPr>
    </w:p>
    <w:p w14:paraId="3A8150B7" w14:textId="546954AC" w:rsidR="00A23A41" w:rsidRPr="00CB093C" w:rsidRDefault="00A23A41" w:rsidP="000F3AC4">
      <w:pPr>
        <w:pStyle w:val="Heading3"/>
        <w:numPr>
          <w:ilvl w:val="3"/>
          <w:numId w:val="4"/>
        </w:numPr>
        <w:rPr>
          <w:rFonts w:ascii="Arial" w:hAnsi="Arial" w:cs="Arial"/>
          <w:b w:val="0"/>
          <w:i/>
          <w:color w:val="000000"/>
          <w:sz w:val="22"/>
          <w:szCs w:val="22"/>
        </w:rPr>
      </w:pPr>
      <w:bookmarkStart w:id="460" w:name="_Toc11394764"/>
      <w:r w:rsidRPr="00CB093C">
        <w:rPr>
          <w:rFonts w:ascii="Arial" w:hAnsi="Arial" w:cs="Arial"/>
          <w:b w:val="0"/>
          <w:i/>
          <w:color w:val="000000"/>
          <w:sz w:val="22"/>
          <w:szCs w:val="22"/>
        </w:rPr>
        <w:t>Seagrass index and indicator scores</w:t>
      </w:r>
      <w:bookmarkEnd w:id="460"/>
    </w:p>
    <w:p w14:paraId="20611635" w14:textId="33FC28EE" w:rsidR="00B6321C" w:rsidRPr="00CB093C" w:rsidRDefault="00A23A41" w:rsidP="00BB0047">
      <w:pPr>
        <w:rPr>
          <w:rFonts w:ascii="Arial" w:hAnsi="Arial" w:cs="Arial"/>
          <w:szCs w:val="22"/>
          <w:lang w:val="en-GB"/>
        </w:rPr>
      </w:pPr>
      <w:r w:rsidRPr="00CB093C">
        <w:rPr>
          <w:rFonts w:ascii="Arial" w:hAnsi="Arial" w:cs="Arial"/>
          <w:szCs w:val="22"/>
          <w:lang w:val="en-GB"/>
        </w:rPr>
        <w:t>In the 201</w:t>
      </w:r>
      <w:r w:rsidR="001927E1" w:rsidRPr="00CB093C">
        <w:rPr>
          <w:rFonts w:ascii="Arial" w:hAnsi="Arial" w:cs="Arial"/>
          <w:szCs w:val="22"/>
          <w:lang w:val="en-GB"/>
        </w:rPr>
        <w:t>7-18</w:t>
      </w:r>
      <w:r w:rsidRPr="00CB093C">
        <w:rPr>
          <w:rFonts w:ascii="Arial" w:hAnsi="Arial" w:cs="Arial"/>
          <w:szCs w:val="22"/>
          <w:lang w:val="en-GB"/>
        </w:rPr>
        <w:t xml:space="preserve"> monitori</w:t>
      </w:r>
      <w:r w:rsidR="001927E1" w:rsidRPr="00CB093C">
        <w:rPr>
          <w:rFonts w:ascii="Arial" w:hAnsi="Arial" w:cs="Arial"/>
          <w:szCs w:val="22"/>
          <w:lang w:val="en-GB"/>
        </w:rPr>
        <w:t>ng period, the seagrass condition index marginally de</w:t>
      </w:r>
      <w:r w:rsidRPr="00CB093C">
        <w:rPr>
          <w:rFonts w:ascii="Arial" w:hAnsi="Arial" w:cs="Arial"/>
          <w:szCs w:val="22"/>
          <w:lang w:val="en-GB"/>
        </w:rPr>
        <w:t>creased</w:t>
      </w:r>
      <w:r w:rsidR="001927E1" w:rsidRPr="00CB093C">
        <w:rPr>
          <w:rFonts w:ascii="Arial" w:hAnsi="Arial" w:cs="Arial"/>
          <w:szCs w:val="22"/>
          <w:lang w:val="en-GB"/>
        </w:rPr>
        <w:t>,</w:t>
      </w:r>
      <w:r w:rsidRPr="00CB093C">
        <w:rPr>
          <w:rFonts w:ascii="Arial" w:hAnsi="Arial" w:cs="Arial"/>
          <w:szCs w:val="22"/>
          <w:lang w:val="en-GB"/>
        </w:rPr>
        <w:t xml:space="preserve"> but remained </w:t>
      </w:r>
      <w:r w:rsidR="00334D79" w:rsidRPr="00CB093C">
        <w:rPr>
          <w:rFonts w:ascii="Arial" w:hAnsi="Arial" w:cs="Arial"/>
          <w:szCs w:val="22"/>
          <w:lang w:val="en-GB"/>
        </w:rPr>
        <w:t xml:space="preserve">graded as </w:t>
      </w:r>
      <w:r w:rsidRPr="00CB093C">
        <w:rPr>
          <w:rFonts w:ascii="Arial" w:hAnsi="Arial" w:cs="Arial"/>
          <w:b/>
          <w:szCs w:val="22"/>
          <w:lang w:val="en-GB"/>
        </w:rPr>
        <w:t>poor</w:t>
      </w:r>
      <w:r w:rsidR="002D3041" w:rsidRPr="00CB093C">
        <w:rPr>
          <w:rFonts w:ascii="Arial" w:hAnsi="Arial" w:cs="Arial"/>
          <w:szCs w:val="22"/>
          <w:lang w:val="en-GB"/>
        </w:rPr>
        <w:t xml:space="preserve"> (</w:t>
      </w:r>
      <w:r w:rsidR="002D3041" w:rsidRPr="00CB093C">
        <w:rPr>
          <w:rFonts w:ascii="Arial" w:hAnsi="Arial" w:cs="Arial"/>
          <w:szCs w:val="22"/>
          <w:lang w:val="en-GB"/>
        </w:rPr>
        <w:fldChar w:fldCharType="begin"/>
      </w:r>
      <w:r w:rsidR="002D3041" w:rsidRPr="00CB093C">
        <w:rPr>
          <w:rFonts w:ascii="Arial" w:hAnsi="Arial" w:cs="Arial"/>
          <w:szCs w:val="22"/>
          <w:lang w:val="en-GB"/>
        </w:rPr>
        <w:instrText xml:space="preserve"> REF _Ref533852573 \h </w:instrText>
      </w:r>
      <w:r w:rsidR="00CB093C" w:rsidRPr="00CB093C">
        <w:rPr>
          <w:rFonts w:ascii="Arial" w:hAnsi="Arial" w:cs="Arial"/>
          <w:szCs w:val="22"/>
          <w:lang w:val="en-GB"/>
        </w:rPr>
        <w:instrText xml:space="preserve"> \* MERGEFORMAT </w:instrText>
      </w:r>
      <w:r w:rsidR="002D3041" w:rsidRPr="00CB093C">
        <w:rPr>
          <w:rFonts w:ascii="Arial" w:hAnsi="Arial" w:cs="Arial"/>
          <w:szCs w:val="22"/>
          <w:lang w:val="en-GB"/>
        </w:rPr>
      </w:r>
      <w:r w:rsidR="002D3041"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72</w:t>
      </w:r>
      <w:r w:rsidR="002D3041" w:rsidRPr="00CB093C">
        <w:rPr>
          <w:rFonts w:ascii="Arial" w:hAnsi="Arial" w:cs="Arial"/>
          <w:szCs w:val="22"/>
          <w:lang w:val="en-GB"/>
        </w:rPr>
        <w:fldChar w:fldCharType="end"/>
      </w:r>
      <w:r w:rsidR="002D3041" w:rsidRPr="00CB093C">
        <w:rPr>
          <w:rFonts w:ascii="Arial" w:hAnsi="Arial" w:cs="Arial"/>
          <w:szCs w:val="22"/>
          <w:lang w:val="en-GB"/>
        </w:rPr>
        <w:t>)</w:t>
      </w:r>
      <w:r w:rsidRPr="00CB093C">
        <w:rPr>
          <w:rFonts w:ascii="Arial" w:hAnsi="Arial" w:cs="Arial"/>
          <w:szCs w:val="22"/>
          <w:lang w:val="en-GB"/>
        </w:rPr>
        <w:t xml:space="preserve">. </w:t>
      </w:r>
    </w:p>
    <w:p w14:paraId="0FE82D0E" w14:textId="6BBB130B" w:rsidR="00B6321C" w:rsidRPr="00CB093C" w:rsidRDefault="00A23A41" w:rsidP="00BB0047">
      <w:pPr>
        <w:rPr>
          <w:rFonts w:ascii="Arial" w:hAnsi="Arial" w:cs="Arial"/>
          <w:szCs w:val="22"/>
          <w:lang w:val="en-GB"/>
        </w:rPr>
      </w:pPr>
      <w:r w:rsidRPr="00CB093C">
        <w:rPr>
          <w:rFonts w:ascii="Arial" w:hAnsi="Arial" w:cs="Arial"/>
          <w:szCs w:val="22"/>
          <w:lang w:val="en-GB"/>
        </w:rPr>
        <w:t>Although there were improvements in the abundance score</w:t>
      </w:r>
      <w:r w:rsidR="00B6321C" w:rsidRPr="00CB093C">
        <w:rPr>
          <w:rFonts w:ascii="Arial" w:hAnsi="Arial" w:cs="Arial"/>
          <w:szCs w:val="22"/>
          <w:lang w:val="en-GB"/>
        </w:rPr>
        <w:t xml:space="preserve"> </w:t>
      </w:r>
      <w:r w:rsidR="00DD461A" w:rsidRPr="00CB093C">
        <w:rPr>
          <w:rFonts w:ascii="Arial" w:hAnsi="Arial" w:cs="Arial"/>
          <w:szCs w:val="22"/>
          <w:lang w:val="en-GB"/>
        </w:rPr>
        <w:t>in Shoalwater Bay</w:t>
      </w:r>
      <w:r w:rsidR="00334D79" w:rsidRPr="00CB093C">
        <w:rPr>
          <w:rFonts w:ascii="Arial" w:hAnsi="Arial" w:cs="Arial"/>
          <w:szCs w:val="22"/>
          <w:lang w:val="en-GB"/>
        </w:rPr>
        <w:t xml:space="preserve">, this was offset by a decline in </w:t>
      </w:r>
      <w:r w:rsidR="002D3041" w:rsidRPr="00CB093C">
        <w:rPr>
          <w:rFonts w:ascii="Arial" w:hAnsi="Arial" w:cs="Arial"/>
          <w:szCs w:val="22"/>
          <w:lang w:val="en-GB"/>
        </w:rPr>
        <w:t xml:space="preserve">the </w:t>
      </w:r>
      <w:r w:rsidRPr="00CB093C">
        <w:rPr>
          <w:rFonts w:ascii="Arial" w:hAnsi="Arial" w:cs="Arial"/>
          <w:szCs w:val="22"/>
          <w:lang w:val="en-GB"/>
        </w:rPr>
        <w:t>tissue nutrients score</w:t>
      </w:r>
      <w:r w:rsidR="002D3041" w:rsidRPr="00CB093C">
        <w:rPr>
          <w:rFonts w:ascii="Arial" w:hAnsi="Arial" w:cs="Arial"/>
          <w:szCs w:val="22"/>
          <w:lang w:val="en-GB"/>
        </w:rPr>
        <w:t xml:space="preserve"> and </w:t>
      </w:r>
      <w:r w:rsidRPr="00CB093C">
        <w:rPr>
          <w:rFonts w:ascii="Arial" w:hAnsi="Arial" w:cs="Arial"/>
          <w:szCs w:val="22"/>
          <w:lang w:val="en-GB"/>
        </w:rPr>
        <w:t xml:space="preserve">the reproductive effort score </w:t>
      </w:r>
      <w:r w:rsidR="002D3041" w:rsidRPr="00CB093C">
        <w:rPr>
          <w:rFonts w:ascii="Arial" w:hAnsi="Arial" w:cs="Arial"/>
          <w:szCs w:val="22"/>
          <w:lang w:val="en-GB"/>
        </w:rPr>
        <w:t xml:space="preserve">remaining at </w:t>
      </w:r>
      <w:r w:rsidRPr="00CB093C">
        <w:rPr>
          <w:rFonts w:ascii="Arial" w:hAnsi="Arial" w:cs="Arial"/>
          <w:szCs w:val="22"/>
          <w:lang w:val="en-GB"/>
        </w:rPr>
        <w:t>zero</w:t>
      </w:r>
      <w:r w:rsidR="002D3041" w:rsidRPr="00CB093C">
        <w:rPr>
          <w:rFonts w:ascii="Arial" w:hAnsi="Arial" w:cs="Arial"/>
          <w:szCs w:val="22"/>
          <w:lang w:val="en-GB"/>
        </w:rPr>
        <w:t xml:space="preserve"> (</w:t>
      </w:r>
      <w:r w:rsidR="002D3041" w:rsidRPr="00CB093C">
        <w:rPr>
          <w:rFonts w:ascii="Arial" w:hAnsi="Arial" w:cs="Arial"/>
          <w:szCs w:val="22"/>
          <w:lang w:val="en-GB"/>
        </w:rPr>
        <w:fldChar w:fldCharType="begin"/>
      </w:r>
      <w:r w:rsidR="002D3041" w:rsidRPr="00CB093C">
        <w:rPr>
          <w:rFonts w:ascii="Arial" w:hAnsi="Arial" w:cs="Arial"/>
          <w:szCs w:val="22"/>
          <w:lang w:val="en-GB"/>
        </w:rPr>
        <w:instrText xml:space="preserve"> REF _Ref533852573 \h </w:instrText>
      </w:r>
      <w:r w:rsidR="00CB093C" w:rsidRPr="00CB093C">
        <w:rPr>
          <w:rFonts w:ascii="Arial" w:hAnsi="Arial" w:cs="Arial"/>
          <w:szCs w:val="22"/>
          <w:lang w:val="en-GB"/>
        </w:rPr>
        <w:instrText xml:space="preserve"> \* MERGEFORMAT </w:instrText>
      </w:r>
      <w:r w:rsidR="002D3041" w:rsidRPr="00CB093C">
        <w:rPr>
          <w:rFonts w:ascii="Arial" w:hAnsi="Arial" w:cs="Arial"/>
          <w:szCs w:val="22"/>
          <w:lang w:val="en-GB"/>
        </w:rPr>
      </w:r>
      <w:r w:rsidR="002D3041"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72</w:t>
      </w:r>
      <w:r w:rsidR="002D3041" w:rsidRPr="00CB093C">
        <w:rPr>
          <w:rFonts w:ascii="Arial" w:hAnsi="Arial" w:cs="Arial"/>
          <w:szCs w:val="22"/>
          <w:lang w:val="en-GB"/>
        </w:rPr>
        <w:fldChar w:fldCharType="end"/>
      </w:r>
      <w:r w:rsidR="002D3041" w:rsidRPr="00CB093C">
        <w:rPr>
          <w:rFonts w:ascii="Arial" w:hAnsi="Arial" w:cs="Arial"/>
          <w:szCs w:val="22"/>
          <w:lang w:val="en-GB"/>
        </w:rPr>
        <w:t>).</w:t>
      </w:r>
      <w:r w:rsidR="00BB0047" w:rsidRPr="00CB093C">
        <w:rPr>
          <w:rFonts w:ascii="Arial" w:hAnsi="Arial" w:cs="Arial"/>
          <w:szCs w:val="22"/>
          <w:lang w:val="en-GB"/>
        </w:rPr>
        <w:t xml:space="preserve"> </w:t>
      </w:r>
    </w:p>
    <w:p w14:paraId="1A2F63EB" w14:textId="23789B99" w:rsidR="00B6321C" w:rsidRPr="00CB093C" w:rsidRDefault="00BB0047" w:rsidP="00BB0047">
      <w:pPr>
        <w:rPr>
          <w:rFonts w:ascii="Arial" w:hAnsi="Arial" w:cs="Arial"/>
          <w:szCs w:val="22"/>
          <w:lang w:eastAsia="x-none"/>
        </w:rPr>
      </w:pPr>
      <w:r w:rsidRPr="00CB093C">
        <w:rPr>
          <w:rFonts w:ascii="Arial" w:hAnsi="Arial" w:cs="Arial"/>
          <w:szCs w:val="22"/>
          <w:lang w:val="en-GB"/>
        </w:rPr>
        <w:t>Reproductive effort has remained low since 2011</w:t>
      </w:r>
      <w:r w:rsidR="00B6321C" w:rsidRPr="00CB093C">
        <w:rPr>
          <w:rFonts w:ascii="Arial" w:hAnsi="Arial" w:cs="Arial"/>
          <w:szCs w:val="22"/>
          <w:lang w:val="en-GB"/>
        </w:rPr>
        <w:t>–</w:t>
      </w:r>
      <w:r w:rsidR="0098351A" w:rsidRPr="00CB093C">
        <w:rPr>
          <w:rFonts w:ascii="Arial" w:hAnsi="Arial" w:cs="Arial"/>
          <w:szCs w:val="22"/>
          <w:lang w:val="en-GB"/>
        </w:rPr>
        <w:t>20</w:t>
      </w:r>
      <w:r w:rsidRPr="00CB093C">
        <w:rPr>
          <w:rFonts w:ascii="Arial" w:hAnsi="Arial" w:cs="Arial"/>
          <w:szCs w:val="22"/>
          <w:lang w:val="en-GB"/>
        </w:rPr>
        <w:t>12, and f</w:t>
      </w:r>
      <w:r w:rsidRPr="00CB093C">
        <w:rPr>
          <w:rFonts w:ascii="Arial" w:hAnsi="Arial" w:cs="Arial"/>
          <w:szCs w:val="22"/>
          <w:lang w:eastAsia="x-none"/>
        </w:rPr>
        <w:t xml:space="preserve">luctuations in the seagrass condition index over the last 7 monitoring periods have been primarily driven by fluctuations in abundance and tissue nutrient status. </w:t>
      </w:r>
    </w:p>
    <w:p w14:paraId="3D1DA3DD" w14:textId="76FA487D" w:rsidR="00B6321C" w:rsidRPr="00CB093C" w:rsidRDefault="00036BE4" w:rsidP="00BB0047">
      <w:pPr>
        <w:rPr>
          <w:rFonts w:ascii="Arial" w:hAnsi="Arial" w:cs="Arial"/>
          <w:szCs w:val="22"/>
          <w:lang w:eastAsia="x-none"/>
        </w:rPr>
      </w:pPr>
      <w:r w:rsidRPr="00CB093C">
        <w:rPr>
          <w:rFonts w:ascii="Arial" w:hAnsi="Arial" w:cs="Arial"/>
          <w:szCs w:val="22"/>
          <w:lang w:eastAsia="x-none"/>
        </w:rPr>
        <w:t xml:space="preserve">Of </w:t>
      </w:r>
      <w:r w:rsidR="00B6321C" w:rsidRPr="00CB093C">
        <w:rPr>
          <w:rFonts w:ascii="Arial" w:hAnsi="Arial" w:cs="Arial"/>
          <w:szCs w:val="22"/>
          <w:lang w:eastAsia="x-none"/>
        </w:rPr>
        <w:t xml:space="preserve">particular </w:t>
      </w:r>
      <w:r w:rsidRPr="00CB093C">
        <w:rPr>
          <w:rFonts w:ascii="Arial" w:hAnsi="Arial" w:cs="Arial"/>
          <w:szCs w:val="22"/>
          <w:lang w:eastAsia="x-none"/>
        </w:rPr>
        <w:t>concern is that s</w:t>
      </w:r>
      <w:r w:rsidR="00BB0047" w:rsidRPr="00CB093C">
        <w:rPr>
          <w:rFonts w:ascii="Arial" w:hAnsi="Arial" w:cs="Arial"/>
          <w:szCs w:val="22"/>
          <w:lang w:eastAsia="x-none"/>
        </w:rPr>
        <w:t>eagrass abundance (</w:t>
      </w:r>
      <w:r w:rsidR="00882B72" w:rsidRPr="00CB093C">
        <w:rPr>
          <w:rFonts w:ascii="Arial" w:hAnsi="Arial" w:cs="Arial"/>
          <w:szCs w:val="22"/>
          <w:lang w:eastAsia="x-none"/>
        </w:rPr>
        <w:t>%</w:t>
      </w:r>
      <w:r w:rsidR="00BB0047" w:rsidRPr="00CB093C">
        <w:rPr>
          <w:rFonts w:ascii="Arial" w:hAnsi="Arial" w:cs="Arial"/>
          <w:szCs w:val="22"/>
          <w:lang w:eastAsia="x-none"/>
        </w:rPr>
        <w:t xml:space="preserve"> cover) ha</w:t>
      </w:r>
      <w:r w:rsidRPr="00CB093C">
        <w:rPr>
          <w:rFonts w:ascii="Arial" w:hAnsi="Arial" w:cs="Arial"/>
          <w:szCs w:val="22"/>
          <w:lang w:eastAsia="x-none"/>
        </w:rPr>
        <w:t>s</w:t>
      </w:r>
      <w:r w:rsidR="00BB0047" w:rsidRPr="00CB093C">
        <w:rPr>
          <w:rFonts w:ascii="Arial" w:hAnsi="Arial" w:cs="Arial"/>
          <w:szCs w:val="22"/>
          <w:lang w:eastAsia="x-none"/>
        </w:rPr>
        <w:t xml:space="preserve"> significantly decreased over the long-term </w:t>
      </w:r>
      <w:r w:rsidR="00BB0047" w:rsidRPr="00CB093C">
        <w:rPr>
          <w:rFonts w:ascii="Arial" w:hAnsi="Arial" w:cs="Arial"/>
          <w:szCs w:val="22"/>
          <w:lang w:val="en-GB"/>
        </w:rPr>
        <w:t>(</w:t>
      </w:r>
      <w:r w:rsidR="00BB0047" w:rsidRPr="00CB093C">
        <w:rPr>
          <w:rFonts w:ascii="Arial" w:hAnsi="Arial" w:cs="Arial"/>
          <w:szCs w:val="22"/>
          <w:lang w:val="en-GB"/>
        </w:rPr>
        <w:fldChar w:fldCharType="begin"/>
      </w:r>
      <w:r w:rsidR="00BB0047" w:rsidRPr="00CB093C">
        <w:rPr>
          <w:rFonts w:ascii="Arial" w:hAnsi="Arial" w:cs="Arial"/>
          <w:szCs w:val="22"/>
          <w:lang w:val="en-GB"/>
        </w:rPr>
        <w:instrText xml:space="preserve"> REF _Ref533852573 \h </w:instrText>
      </w:r>
      <w:r w:rsidR="00CB093C" w:rsidRPr="00CB093C">
        <w:rPr>
          <w:rFonts w:ascii="Arial" w:hAnsi="Arial" w:cs="Arial"/>
          <w:szCs w:val="22"/>
          <w:lang w:val="en-GB"/>
        </w:rPr>
        <w:instrText xml:space="preserve"> \* MERGEFORMAT </w:instrText>
      </w:r>
      <w:r w:rsidR="00BB0047" w:rsidRPr="00CB093C">
        <w:rPr>
          <w:rFonts w:ascii="Arial" w:hAnsi="Arial" w:cs="Arial"/>
          <w:szCs w:val="22"/>
          <w:lang w:val="en-GB"/>
        </w:rPr>
      </w:r>
      <w:r w:rsidR="00BB0047"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72</w:t>
      </w:r>
      <w:r w:rsidR="00BB0047" w:rsidRPr="00CB093C">
        <w:rPr>
          <w:rFonts w:ascii="Arial" w:hAnsi="Arial" w:cs="Arial"/>
          <w:szCs w:val="22"/>
          <w:lang w:val="en-GB"/>
        </w:rPr>
        <w:fldChar w:fldCharType="end"/>
      </w:r>
      <w:r w:rsidR="00BB0047" w:rsidRPr="00CB093C">
        <w:rPr>
          <w:rFonts w:ascii="Arial" w:hAnsi="Arial" w:cs="Arial"/>
          <w:szCs w:val="22"/>
          <w:lang w:val="en-GB"/>
        </w:rPr>
        <w:t>,</w:t>
      </w:r>
      <w:r w:rsidR="00BB0047" w:rsidRPr="00CB093C">
        <w:rPr>
          <w:rFonts w:ascii="Arial" w:hAnsi="Arial" w:cs="Arial"/>
          <w:szCs w:val="22"/>
          <w:lang w:eastAsia="x-none"/>
        </w:rPr>
        <w:t xml:space="preserve"> </w:t>
      </w:r>
      <w:r w:rsidR="00BB0047" w:rsidRPr="00CB093C">
        <w:rPr>
          <w:rFonts w:ascii="Arial" w:hAnsi="Arial" w:cs="Arial"/>
          <w:szCs w:val="22"/>
          <w:lang w:eastAsia="x-none"/>
        </w:rPr>
        <w:fldChar w:fldCharType="begin"/>
      </w:r>
      <w:r w:rsidR="00BB0047" w:rsidRPr="00CB093C">
        <w:rPr>
          <w:rFonts w:ascii="Arial" w:hAnsi="Arial" w:cs="Arial"/>
          <w:szCs w:val="22"/>
          <w:lang w:eastAsia="x-none"/>
        </w:rPr>
        <w:instrText xml:space="preserve"> REF _Ref511310045 \h </w:instrText>
      </w:r>
      <w:r w:rsidR="00CB093C" w:rsidRPr="00CB093C">
        <w:rPr>
          <w:rFonts w:ascii="Arial" w:hAnsi="Arial" w:cs="Arial"/>
          <w:szCs w:val="22"/>
          <w:lang w:eastAsia="x-none"/>
        </w:rPr>
        <w:instrText xml:space="preserve"> \* MERGEFORMAT </w:instrText>
      </w:r>
      <w:r w:rsidR="00BB0047" w:rsidRPr="00CB093C">
        <w:rPr>
          <w:rFonts w:ascii="Arial" w:hAnsi="Arial" w:cs="Arial"/>
          <w:szCs w:val="22"/>
          <w:lang w:eastAsia="x-none"/>
        </w:rPr>
      </w:r>
      <w:r w:rsidR="00BB0047" w:rsidRPr="00CB093C">
        <w:rPr>
          <w:rFonts w:ascii="Arial" w:hAnsi="Arial" w:cs="Arial"/>
          <w:szCs w:val="22"/>
          <w:lang w:eastAsia="x-none"/>
        </w:rPr>
        <w:fldChar w:fldCharType="separate"/>
      </w:r>
      <w:r w:rsidR="005F00D4" w:rsidRPr="00CB093C">
        <w:rPr>
          <w:rFonts w:ascii="Arial" w:hAnsi="Arial" w:cs="Arial"/>
          <w:szCs w:val="22"/>
        </w:rPr>
        <w:t xml:space="preserve">Table </w:t>
      </w:r>
      <w:r w:rsidR="005F00D4">
        <w:rPr>
          <w:rFonts w:ascii="Arial" w:hAnsi="Arial" w:cs="Arial"/>
          <w:noProof/>
          <w:szCs w:val="22"/>
        </w:rPr>
        <w:t>23</w:t>
      </w:r>
      <w:r w:rsidR="00BB0047" w:rsidRPr="00CB093C">
        <w:rPr>
          <w:rFonts w:ascii="Arial" w:hAnsi="Arial" w:cs="Arial"/>
          <w:szCs w:val="22"/>
          <w:lang w:eastAsia="x-none"/>
        </w:rPr>
        <w:fldChar w:fldCharType="end"/>
      </w:r>
      <w:r w:rsidR="00BB0047" w:rsidRPr="00CB093C">
        <w:rPr>
          <w:rFonts w:ascii="Arial" w:hAnsi="Arial" w:cs="Arial"/>
          <w:szCs w:val="22"/>
          <w:lang w:eastAsia="x-none"/>
        </w:rPr>
        <w:t>)</w:t>
      </w:r>
      <w:r w:rsidRPr="00CB093C">
        <w:rPr>
          <w:rFonts w:ascii="Arial" w:hAnsi="Arial" w:cs="Arial"/>
          <w:szCs w:val="22"/>
          <w:lang w:eastAsia="x-none"/>
        </w:rPr>
        <w:t xml:space="preserve">. </w:t>
      </w:r>
    </w:p>
    <w:p w14:paraId="6FA91743" w14:textId="7ABBD35A" w:rsidR="00A23A41" w:rsidRPr="00CB093C" w:rsidRDefault="00B6321C" w:rsidP="00BB0047">
      <w:pPr>
        <w:rPr>
          <w:rFonts w:ascii="Arial" w:hAnsi="Arial" w:cs="Arial"/>
          <w:szCs w:val="22"/>
          <w:lang w:eastAsia="x-none"/>
        </w:rPr>
      </w:pPr>
      <w:r w:rsidRPr="00CB093C">
        <w:rPr>
          <w:rFonts w:ascii="Arial" w:hAnsi="Arial" w:cs="Arial"/>
          <w:szCs w:val="22"/>
        </w:rPr>
        <w:t xml:space="preserve">Long </w:t>
      </w:r>
      <w:r w:rsidR="00036BE4" w:rsidRPr="00CB093C">
        <w:rPr>
          <w:rFonts w:ascii="Arial" w:hAnsi="Arial" w:cs="Arial"/>
          <w:szCs w:val="22"/>
        </w:rPr>
        <w:t xml:space="preserve">term trends using GAM plots suggests </w:t>
      </w:r>
      <w:r w:rsidR="00036BE4" w:rsidRPr="00CB093C">
        <w:rPr>
          <w:rFonts w:ascii="Arial" w:hAnsi="Arial" w:cs="Arial"/>
          <w:szCs w:val="22"/>
          <w:lang w:eastAsia="x-none"/>
        </w:rPr>
        <w:t xml:space="preserve">tissue nutrient elemental C:N </w:t>
      </w:r>
      <w:r w:rsidR="00036BE4" w:rsidRPr="00CB093C">
        <w:rPr>
          <w:rFonts w:ascii="Arial" w:hAnsi="Arial" w:cs="Arial"/>
          <w:szCs w:val="22"/>
        </w:rPr>
        <w:t xml:space="preserve">has been declining since 2005 </w:t>
      </w:r>
      <w:r w:rsidRPr="00CB093C">
        <w:rPr>
          <w:rFonts w:ascii="Arial" w:hAnsi="Arial" w:cs="Arial"/>
          <w:szCs w:val="22"/>
        </w:rPr>
        <w:t xml:space="preserve">across the region </w:t>
      </w:r>
      <w:r w:rsidR="00036BE4" w:rsidRPr="00CB093C">
        <w:rPr>
          <w:rFonts w:ascii="Arial" w:hAnsi="Arial" w:cs="Arial"/>
          <w:szCs w:val="22"/>
          <w:lang w:val="en-GB"/>
        </w:rPr>
        <w:t>(</w:t>
      </w:r>
      <w:r w:rsidR="00B06A8D" w:rsidRPr="00CB093C">
        <w:rPr>
          <w:rFonts w:ascii="Arial" w:hAnsi="Arial" w:cs="Arial"/>
          <w:szCs w:val="22"/>
          <w:lang w:val="en-GB"/>
        </w:rPr>
        <w:fldChar w:fldCharType="begin"/>
      </w:r>
      <w:r w:rsidR="00B06A8D" w:rsidRPr="00CB093C">
        <w:rPr>
          <w:rFonts w:ascii="Arial" w:hAnsi="Arial" w:cs="Arial"/>
          <w:szCs w:val="22"/>
          <w:lang w:val="en-GB"/>
        </w:rPr>
        <w:instrText xml:space="preserve"> REF _Ref533852573 \h </w:instrText>
      </w:r>
      <w:r w:rsidR="00CB093C" w:rsidRPr="00CB093C">
        <w:rPr>
          <w:rFonts w:ascii="Arial" w:hAnsi="Arial" w:cs="Arial"/>
          <w:szCs w:val="22"/>
          <w:lang w:val="en-GB"/>
        </w:rPr>
        <w:instrText xml:space="preserve"> \* MERGEFORMAT </w:instrText>
      </w:r>
      <w:r w:rsidR="00B06A8D" w:rsidRPr="00CB093C">
        <w:rPr>
          <w:rFonts w:ascii="Arial" w:hAnsi="Arial" w:cs="Arial"/>
          <w:szCs w:val="22"/>
          <w:lang w:val="en-GB"/>
        </w:rPr>
      </w:r>
      <w:r w:rsidR="00B06A8D"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72</w:t>
      </w:r>
      <w:r w:rsidR="00B06A8D" w:rsidRPr="00CB093C">
        <w:rPr>
          <w:rFonts w:ascii="Arial" w:hAnsi="Arial" w:cs="Arial"/>
          <w:szCs w:val="22"/>
          <w:lang w:val="en-GB"/>
        </w:rPr>
        <w:fldChar w:fldCharType="end"/>
      </w:r>
      <w:r w:rsidR="00036BE4" w:rsidRPr="00CB093C">
        <w:rPr>
          <w:rFonts w:ascii="Arial" w:hAnsi="Arial" w:cs="Arial"/>
          <w:szCs w:val="22"/>
          <w:lang w:val="en-GB"/>
        </w:rPr>
        <w:t>)</w:t>
      </w:r>
      <w:r w:rsidR="00036BE4" w:rsidRPr="00CB093C">
        <w:rPr>
          <w:rFonts w:ascii="Arial" w:hAnsi="Arial" w:cs="Arial"/>
          <w:szCs w:val="22"/>
        </w:rPr>
        <w:t>.</w:t>
      </w:r>
    </w:p>
    <w:p w14:paraId="3041D10D" w14:textId="77777777" w:rsidR="00A23A41" w:rsidRPr="00CB093C" w:rsidRDefault="00A23A41" w:rsidP="00A23A41">
      <w:pPr>
        <w:rPr>
          <w:rFonts w:ascii="Arial" w:hAnsi="Arial" w:cs="Arial"/>
          <w:szCs w:val="22"/>
          <w:lang w:eastAsia="x-none"/>
        </w:rPr>
      </w:pPr>
    </w:p>
    <w:p w14:paraId="5D496AD1" w14:textId="77777777" w:rsidR="001063D8" w:rsidRPr="00CB093C" w:rsidRDefault="001063D8" w:rsidP="001063D8">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15257C3D" wp14:editId="71DD86C0">
            <wp:extent cx="4860000" cy="4590000"/>
            <wp:effectExtent l="0" t="0" r="0" b="1270"/>
            <wp:docPr id="548" name="Picture 548" descr="Composite figure of four graphs showing temporal trends in the Fitzroy NRM region seagrass condition index and each of the individual indicators used to calculate the index, represented by GAM plots and coloured lines representing location trends, with coloured dots representing individu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Y_cvr_GAM_Dec16.png"/>
                    <pic:cNvPicPr/>
                  </pic:nvPicPr>
                  <pic:blipFill>
                    <a:blip r:embed="rId115">
                      <a:extLst>
                        <a:ext uri="{28A0092B-C50C-407E-A947-70E740481C1C}">
                          <a14:useLocalDpi xmlns:a14="http://schemas.microsoft.com/office/drawing/2010/main" val="0"/>
                        </a:ext>
                      </a:extLst>
                    </a:blip>
                    <a:stretch>
                      <a:fillRect/>
                    </a:stretch>
                  </pic:blipFill>
                  <pic:spPr>
                    <a:xfrm>
                      <a:off x="0" y="0"/>
                      <a:ext cx="4860000" cy="4590000"/>
                    </a:xfrm>
                    <a:prstGeom prst="rect">
                      <a:avLst/>
                    </a:prstGeom>
                  </pic:spPr>
                </pic:pic>
              </a:graphicData>
            </a:graphic>
          </wp:inline>
        </w:drawing>
      </w:r>
    </w:p>
    <w:p w14:paraId="26060E59" w14:textId="01A54A8D" w:rsidR="00076C1A" w:rsidRPr="00CB093C" w:rsidRDefault="001063D8" w:rsidP="00076C1A">
      <w:pPr>
        <w:rPr>
          <w:rFonts w:ascii="Arial" w:hAnsi="Arial" w:cs="Arial"/>
          <w:vanish/>
          <w:color w:val="000000"/>
          <w:szCs w:val="22"/>
          <w:specVanish/>
        </w:rPr>
      </w:pPr>
      <w:bookmarkStart w:id="461" w:name="_Ref533852573"/>
      <w:bookmarkStart w:id="462" w:name="_Toc6402837"/>
      <w:r w:rsidRPr="00CB093C">
        <w:rPr>
          <w:rFonts w:ascii="Arial" w:hAnsi="Arial" w:cs="Arial"/>
          <w:szCs w:val="22"/>
        </w:rPr>
        <w:t xml:space="preserve">Figure </w:t>
      </w:r>
      <w:r w:rsidRPr="00CB093C">
        <w:rPr>
          <w:rFonts w:ascii="Arial" w:hAnsi="Arial" w:cs="Arial"/>
          <w:noProof/>
          <w:szCs w:val="22"/>
        </w:rPr>
        <w:fldChar w:fldCharType="begin"/>
      </w:r>
      <w:r w:rsidRPr="00CB093C">
        <w:rPr>
          <w:rFonts w:ascii="Arial" w:hAnsi="Arial" w:cs="Arial"/>
          <w:noProof/>
          <w:szCs w:val="22"/>
        </w:rPr>
        <w:instrText xml:space="preserve"> SEQ Figure \* ARABIC </w:instrText>
      </w:r>
      <w:r w:rsidRPr="00CB093C">
        <w:rPr>
          <w:rFonts w:ascii="Arial" w:hAnsi="Arial" w:cs="Arial"/>
          <w:noProof/>
          <w:szCs w:val="22"/>
        </w:rPr>
        <w:fldChar w:fldCharType="separate"/>
      </w:r>
      <w:r w:rsidR="005F00D4">
        <w:rPr>
          <w:rFonts w:ascii="Arial" w:hAnsi="Arial" w:cs="Arial"/>
          <w:noProof/>
          <w:szCs w:val="22"/>
        </w:rPr>
        <w:t>72</w:t>
      </w:r>
      <w:r w:rsidRPr="00CB093C">
        <w:rPr>
          <w:rFonts w:ascii="Arial" w:hAnsi="Arial" w:cs="Arial"/>
          <w:noProof/>
          <w:szCs w:val="22"/>
        </w:rPr>
        <w:fldChar w:fldCharType="end"/>
      </w:r>
      <w:bookmarkEnd w:id="461"/>
      <w:r w:rsidRPr="00CB093C">
        <w:rPr>
          <w:rFonts w:ascii="Arial" w:hAnsi="Arial" w:cs="Arial"/>
          <w:szCs w:val="22"/>
        </w:rPr>
        <w:t xml:space="preserve">.  </w:t>
      </w:r>
      <w:r w:rsidR="00076C1A" w:rsidRPr="00CB093C">
        <w:rPr>
          <w:rFonts w:ascii="Arial" w:hAnsi="Arial" w:cs="Arial"/>
          <w:i/>
          <w:szCs w:val="22"/>
        </w:rPr>
        <w:t>Temporal trends in the Fitzroy seagrass condition index and the indicators used to calculate the index</w:t>
      </w:r>
      <w:bookmarkEnd w:id="462"/>
    </w:p>
    <w:p w14:paraId="6493C84A" w14:textId="507583F1" w:rsidR="001063D8" w:rsidRPr="00CB093C" w:rsidRDefault="00076C1A" w:rsidP="00076C1A">
      <w:pPr>
        <w:rPr>
          <w:rFonts w:ascii="Arial" w:hAnsi="Arial" w:cs="Arial"/>
          <w:i/>
          <w:szCs w:val="22"/>
          <w:lang w:val="en-GB"/>
        </w:rPr>
      </w:pPr>
      <w:r w:rsidRPr="00CB093C">
        <w:rPr>
          <w:rFonts w:ascii="Arial" w:hAnsi="Arial" w:cs="Arial"/>
          <w:i/>
          <w:szCs w:val="22"/>
        </w:rPr>
        <w:t>: a. seagrass condition index (circles) and indicator trends (lines); b. GAM plots of seagrass abundance (</w:t>
      </w:r>
      <w:r w:rsidR="00882B72" w:rsidRPr="00CB093C">
        <w:rPr>
          <w:rFonts w:ascii="Arial" w:hAnsi="Arial" w:cs="Arial"/>
          <w:i/>
          <w:szCs w:val="22"/>
        </w:rPr>
        <w:t>%</w:t>
      </w:r>
      <w:r w:rsidRPr="00CB093C">
        <w:rPr>
          <w:rFonts w:ascii="Arial" w:hAnsi="Arial" w:cs="Arial"/>
          <w:i/>
          <w:szCs w:val="22"/>
        </w:rPr>
        <w:t xml:space="preserve"> cover) trends for each location (coloured lines) and the region (black line with grey shaded area defining 95% confidence intervals); c. average number of reproductive structures (±SE) (GAM not possible due to high count of zero values); and d. elemental ratios (atomic) of leaf tissue C:N nutrient content at each site (coloured circles) and regional trend represented by a GAM plot as dark line with shaded areas defining 95% confidence intervals of the trend</w:t>
      </w:r>
    </w:p>
    <w:p w14:paraId="0401A616" w14:textId="6172ACF4" w:rsidR="00A23A41" w:rsidRPr="00CB093C" w:rsidRDefault="00A23A41" w:rsidP="000F3AC4">
      <w:pPr>
        <w:pStyle w:val="Heading3"/>
        <w:numPr>
          <w:ilvl w:val="3"/>
          <w:numId w:val="4"/>
        </w:numPr>
        <w:rPr>
          <w:rFonts w:ascii="Arial" w:hAnsi="Arial" w:cs="Arial"/>
          <w:b w:val="0"/>
          <w:i/>
          <w:color w:val="000000"/>
          <w:sz w:val="22"/>
          <w:szCs w:val="22"/>
        </w:rPr>
      </w:pPr>
      <w:bookmarkStart w:id="463" w:name="_Toc11394765"/>
      <w:r w:rsidRPr="00CB093C">
        <w:rPr>
          <w:rFonts w:ascii="Arial" w:hAnsi="Arial" w:cs="Arial"/>
          <w:b w:val="0"/>
          <w:i/>
          <w:color w:val="000000"/>
          <w:sz w:val="22"/>
          <w:szCs w:val="22"/>
        </w:rPr>
        <w:t xml:space="preserve">Seagrass abundance, </w:t>
      </w:r>
      <w:r w:rsidR="002D3041" w:rsidRPr="00CB093C">
        <w:rPr>
          <w:rFonts w:ascii="Arial" w:hAnsi="Arial" w:cs="Arial"/>
          <w:b w:val="0"/>
          <w:i/>
          <w:color w:val="000000"/>
          <w:sz w:val="22"/>
          <w:szCs w:val="22"/>
        </w:rPr>
        <w:t>composition</w:t>
      </w:r>
      <w:r w:rsidRPr="00CB093C">
        <w:rPr>
          <w:rFonts w:ascii="Arial" w:hAnsi="Arial" w:cs="Arial"/>
          <w:b w:val="0"/>
          <w:i/>
          <w:color w:val="000000"/>
          <w:sz w:val="22"/>
          <w:szCs w:val="22"/>
        </w:rPr>
        <w:t xml:space="preserve"> and extent</w:t>
      </w:r>
      <w:bookmarkEnd w:id="463"/>
    </w:p>
    <w:p w14:paraId="6C86191B" w14:textId="12A822DA" w:rsidR="002F7B2F" w:rsidRPr="00CB093C" w:rsidRDefault="0014227E" w:rsidP="0014227E">
      <w:pPr>
        <w:rPr>
          <w:rFonts w:ascii="Arial" w:hAnsi="Arial" w:cs="Arial"/>
          <w:szCs w:val="22"/>
          <w:lang w:val="en-GB"/>
        </w:rPr>
      </w:pPr>
      <w:r w:rsidRPr="00CB093C">
        <w:rPr>
          <w:rFonts w:ascii="Arial" w:hAnsi="Arial" w:cs="Arial"/>
          <w:szCs w:val="22"/>
          <w:lang w:val="en-GB"/>
        </w:rPr>
        <w:t>Seagrass abundance</w:t>
      </w:r>
      <w:r w:rsidR="00D57854" w:rsidRPr="00CB093C">
        <w:rPr>
          <w:rFonts w:ascii="Arial" w:hAnsi="Arial" w:cs="Arial"/>
          <w:szCs w:val="22"/>
          <w:lang w:val="en-GB"/>
        </w:rPr>
        <w:t>s</w:t>
      </w:r>
      <w:r w:rsidRPr="00CB093C">
        <w:rPr>
          <w:rFonts w:ascii="Arial" w:hAnsi="Arial" w:cs="Arial"/>
          <w:szCs w:val="22"/>
          <w:lang w:val="en-GB"/>
        </w:rPr>
        <w:t xml:space="preserve"> (</w:t>
      </w:r>
      <w:r w:rsidR="00882B72" w:rsidRPr="00CB093C">
        <w:rPr>
          <w:rFonts w:ascii="Arial" w:hAnsi="Arial" w:cs="Arial"/>
          <w:szCs w:val="22"/>
          <w:lang w:val="en-GB"/>
        </w:rPr>
        <w:t>%</w:t>
      </w:r>
      <w:r w:rsidRPr="00CB093C">
        <w:rPr>
          <w:rFonts w:ascii="Arial" w:hAnsi="Arial" w:cs="Arial"/>
          <w:szCs w:val="22"/>
          <w:lang w:val="en-GB"/>
        </w:rPr>
        <w:t xml:space="preserve"> cover) in the </w:t>
      </w:r>
      <w:r w:rsidR="00D57854" w:rsidRPr="00CB093C">
        <w:rPr>
          <w:rFonts w:ascii="Arial" w:hAnsi="Arial" w:cs="Arial"/>
          <w:szCs w:val="22"/>
          <w:lang w:val="en-GB"/>
        </w:rPr>
        <w:t>Fitzroy</w:t>
      </w:r>
      <w:r w:rsidRPr="00CB093C">
        <w:rPr>
          <w:rFonts w:ascii="Arial" w:hAnsi="Arial" w:cs="Arial"/>
          <w:szCs w:val="22"/>
          <w:lang w:val="en-GB"/>
        </w:rPr>
        <w:t xml:space="preserve"> region </w:t>
      </w:r>
      <w:r w:rsidR="00CB7184" w:rsidRPr="00CB093C">
        <w:rPr>
          <w:rFonts w:ascii="Arial" w:hAnsi="Arial" w:cs="Arial"/>
          <w:szCs w:val="22"/>
          <w:lang w:val="en-GB"/>
        </w:rPr>
        <w:t>we</w:t>
      </w:r>
      <w:r w:rsidR="00D57854" w:rsidRPr="00CB093C">
        <w:rPr>
          <w:rFonts w:ascii="Arial" w:hAnsi="Arial" w:cs="Arial"/>
          <w:szCs w:val="22"/>
          <w:lang w:val="en-GB"/>
        </w:rPr>
        <w:t>re</w:t>
      </w:r>
      <w:r w:rsidRPr="00CB093C">
        <w:rPr>
          <w:rFonts w:ascii="Arial" w:hAnsi="Arial" w:cs="Arial"/>
          <w:szCs w:val="22"/>
          <w:lang w:val="en-GB"/>
        </w:rPr>
        <w:t xml:space="preserve"> </w:t>
      </w:r>
      <w:r w:rsidR="00D57854" w:rsidRPr="00CB093C">
        <w:rPr>
          <w:rFonts w:ascii="Arial" w:hAnsi="Arial" w:cs="Arial"/>
          <w:szCs w:val="22"/>
          <w:lang w:val="en-GB"/>
        </w:rPr>
        <w:t xml:space="preserve">significantly </w:t>
      </w:r>
      <w:r w:rsidRPr="00CB093C">
        <w:rPr>
          <w:rFonts w:ascii="Arial" w:hAnsi="Arial" w:cs="Arial"/>
          <w:szCs w:val="22"/>
          <w:lang w:val="en-GB"/>
        </w:rPr>
        <w:t>higher in coastal (</w:t>
      </w:r>
      <w:r w:rsidR="00D57854" w:rsidRPr="00CB093C">
        <w:rPr>
          <w:rFonts w:ascii="Arial" w:hAnsi="Arial" w:cs="Arial"/>
          <w:szCs w:val="22"/>
          <w:lang w:val="en-GB"/>
        </w:rPr>
        <w:t>20.2 ±1.5%</w:t>
      </w:r>
      <w:r w:rsidRPr="00CB093C">
        <w:rPr>
          <w:rFonts w:ascii="Arial" w:hAnsi="Arial" w:cs="Arial"/>
          <w:szCs w:val="22"/>
          <w:lang w:val="en-GB"/>
        </w:rPr>
        <w:t xml:space="preserve">) </w:t>
      </w:r>
      <w:r w:rsidR="00D57854" w:rsidRPr="00CB093C">
        <w:rPr>
          <w:rFonts w:ascii="Arial" w:hAnsi="Arial" w:cs="Arial"/>
          <w:szCs w:val="22"/>
          <w:lang w:val="en-GB"/>
        </w:rPr>
        <w:t>and</w:t>
      </w:r>
      <w:r w:rsidRPr="00CB093C">
        <w:rPr>
          <w:rFonts w:ascii="Arial" w:hAnsi="Arial" w:cs="Arial"/>
          <w:szCs w:val="22"/>
          <w:lang w:val="en-GB"/>
        </w:rPr>
        <w:t xml:space="preserve"> estuarine (</w:t>
      </w:r>
      <w:r w:rsidR="00D57854" w:rsidRPr="00CB093C">
        <w:rPr>
          <w:rFonts w:ascii="Arial" w:hAnsi="Arial" w:cs="Arial"/>
          <w:szCs w:val="22"/>
          <w:lang w:val="en-GB"/>
        </w:rPr>
        <w:t>18.3 ±1.5%</w:t>
      </w:r>
      <w:r w:rsidRPr="00CB093C">
        <w:rPr>
          <w:rFonts w:ascii="Arial" w:hAnsi="Arial" w:cs="Arial"/>
          <w:szCs w:val="22"/>
          <w:lang w:val="en-GB"/>
        </w:rPr>
        <w:t>)</w:t>
      </w:r>
      <w:r w:rsidR="00873BF5" w:rsidRPr="00CB093C">
        <w:rPr>
          <w:rFonts w:ascii="Arial" w:hAnsi="Arial" w:cs="Arial"/>
          <w:szCs w:val="22"/>
          <w:lang w:val="en-GB"/>
        </w:rPr>
        <w:t xml:space="preserve"> habitats</w:t>
      </w:r>
      <w:r w:rsidR="00D57854" w:rsidRPr="00CB093C">
        <w:rPr>
          <w:rFonts w:ascii="Arial" w:hAnsi="Arial" w:cs="Arial"/>
          <w:szCs w:val="22"/>
          <w:lang w:val="en-GB"/>
        </w:rPr>
        <w:t>,</w:t>
      </w:r>
      <w:r w:rsidRPr="00CB093C">
        <w:rPr>
          <w:rFonts w:ascii="Arial" w:hAnsi="Arial" w:cs="Arial"/>
          <w:szCs w:val="22"/>
          <w:lang w:val="en-GB"/>
        </w:rPr>
        <w:t xml:space="preserve"> </w:t>
      </w:r>
      <w:r w:rsidR="00D57854" w:rsidRPr="00CB093C">
        <w:rPr>
          <w:rFonts w:ascii="Arial" w:hAnsi="Arial" w:cs="Arial"/>
          <w:szCs w:val="22"/>
          <w:lang w:val="en-GB"/>
        </w:rPr>
        <w:t xml:space="preserve">than reef </w:t>
      </w:r>
      <w:r w:rsidRPr="00CB093C">
        <w:rPr>
          <w:rFonts w:ascii="Arial" w:hAnsi="Arial" w:cs="Arial"/>
          <w:szCs w:val="22"/>
          <w:lang w:val="en-GB"/>
        </w:rPr>
        <w:t>(</w:t>
      </w:r>
      <w:r w:rsidR="00D57854" w:rsidRPr="00CB093C">
        <w:rPr>
          <w:rFonts w:ascii="Arial" w:hAnsi="Arial" w:cs="Arial"/>
          <w:szCs w:val="22"/>
          <w:lang w:val="en-GB"/>
        </w:rPr>
        <w:t>1.7 ±0.6%</w:t>
      </w:r>
      <w:r w:rsidRPr="00CB093C">
        <w:rPr>
          <w:rFonts w:ascii="Arial" w:hAnsi="Arial" w:cs="Arial"/>
          <w:szCs w:val="22"/>
          <w:lang w:val="en-GB"/>
        </w:rPr>
        <w:t>)</w:t>
      </w:r>
      <w:r w:rsidR="00D57854" w:rsidRPr="00CB093C">
        <w:rPr>
          <w:rFonts w:ascii="Arial" w:hAnsi="Arial" w:cs="Arial"/>
          <w:szCs w:val="22"/>
          <w:lang w:val="en-GB"/>
        </w:rPr>
        <w:t xml:space="preserve"> </w:t>
      </w:r>
      <w:r w:rsidR="00873BF5" w:rsidRPr="00CB093C">
        <w:rPr>
          <w:rFonts w:ascii="Arial" w:hAnsi="Arial" w:cs="Arial"/>
          <w:szCs w:val="22"/>
          <w:lang w:val="en-GB"/>
        </w:rPr>
        <w:t>(</w:t>
      </w:r>
      <w:r w:rsidR="00873BF5" w:rsidRPr="00CB093C">
        <w:rPr>
          <w:rFonts w:ascii="Arial" w:hAnsi="Arial" w:cs="Arial"/>
          <w:szCs w:val="22"/>
          <w:lang w:val="en-GB"/>
        </w:rPr>
        <w:fldChar w:fldCharType="begin"/>
      </w:r>
      <w:r w:rsidR="00873BF5" w:rsidRPr="00CB093C">
        <w:rPr>
          <w:rFonts w:ascii="Arial" w:hAnsi="Arial" w:cs="Arial"/>
          <w:szCs w:val="22"/>
          <w:lang w:val="en-GB"/>
        </w:rPr>
        <w:instrText xml:space="preserve"> REF _Ref533856131 \h </w:instrText>
      </w:r>
      <w:r w:rsidR="00CB093C" w:rsidRPr="00CB093C">
        <w:rPr>
          <w:rFonts w:ascii="Arial" w:hAnsi="Arial" w:cs="Arial"/>
          <w:szCs w:val="22"/>
          <w:lang w:val="en-GB"/>
        </w:rPr>
        <w:instrText xml:space="preserve"> \* MERGEFORMAT </w:instrText>
      </w:r>
      <w:r w:rsidR="00873BF5" w:rsidRPr="00CB093C">
        <w:rPr>
          <w:rFonts w:ascii="Arial" w:hAnsi="Arial" w:cs="Arial"/>
          <w:szCs w:val="22"/>
          <w:lang w:val="en-GB"/>
        </w:rPr>
      </w:r>
      <w:r w:rsidR="00873BF5"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73</w:t>
      </w:r>
      <w:r w:rsidR="00873BF5" w:rsidRPr="00CB093C">
        <w:rPr>
          <w:rFonts w:ascii="Arial" w:hAnsi="Arial" w:cs="Arial"/>
          <w:szCs w:val="22"/>
          <w:lang w:val="en-GB"/>
        </w:rPr>
        <w:fldChar w:fldCharType="end"/>
      </w:r>
      <w:r w:rsidR="00873BF5" w:rsidRPr="00CB093C">
        <w:rPr>
          <w:rFonts w:ascii="Arial" w:hAnsi="Arial" w:cs="Arial"/>
          <w:szCs w:val="22"/>
          <w:lang w:val="en-GB"/>
        </w:rPr>
        <w:t>)</w:t>
      </w:r>
      <w:r w:rsidRPr="00CB093C">
        <w:rPr>
          <w:rFonts w:ascii="Arial" w:hAnsi="Arial" w:cs="Arial"/>
          <w:szCs w:val="22"/>
          <w:lang w:val="en-GB"/>
        </w:rPr>
        <w:t xml:space="preserve">. </w:t>
      </w:r>
      <w:r w:rsidR="00D57854" w:rsidRPr="00CB093C">
        <w:rPr>
          <w:rFonts w:ascii="Arial" w:hAnsi="Arial" w:cs="Arial"/>
          <w:szCs w:val="22"/>
          <w:lang w:val="en-GB"/>
        </w:rPr>
        <w:t xml:space="preserve">With the exception of </w:t>
      </w:r>
      <w:r w:rsidR="00CB7184" w:rsidRPr="00CB093C">
        <w:rPr>
          <w:rFonts w:ascii="Arial" w:hAnsi="Arial" w:cs="Arial"/>
          <w:szCs w:val="22"/>
          <w:lang w:val="en-GB"/>
        </w:rPr>
        <w:t>estuarine habitats, there wa</w:t>
      </w:r>
      <w:r w:rsidR="00D57854" w:rsidRPr="00CB093C">
        <w:rPr>
          <w:rFonts w:ascii="Arial" w:hAnsi="Arial" w:cs="Arial"/>
          <w:szCs w:val="22"/>
          <w:lang w:val="en-GB"/>
        </w:rPr>
        <w:t xml:space="preserve">s little difference in seagrass abundance between the wet and dry seasons. In estuarine </w:t>
      </w:r>
      <w:r w:rsidR="00873BF5" w:rsidRPr="00CB093C">
        <w:rPr>
          <w:rFonts w:ascii="Arial" w:hAnsi="Arial" w:cs="Arial"/>
          <w:szCs w:val="22"/>
          <w:lang w:val="en-GB"/>
        </w:rPr>
        <w:t>habitats, a</w:t>
      </w:r>
      <w:r w:rsidR="00CB7184" w:rsidRPr="00CB093C">
        <w:rPr>
          <w:rFonts w:ascii="Arial" w:hAnsi="Arial" w:cs="Arial"/>
          <w:szCs w:val="22"/>
          <w:lang w:val="en-GB"/>
        </w:rPr>
        <w:t>bundances we</w:t>
      </w:r>
      <w:r w:rsidRPr="00CB093C">
        <w:rPr>
          <w:rFonts w:ascii="Arial" w:hAnsi="Arial" w:cs="Arial"/>
          <w:szCs w:val="22"/>
          <w:lang w:val="en-GB"/>
        </w:rPr>
        <w:t>re higher in the dry than the wet season (dry =</w:t>
      </w:r>
      <w:r w:rsidR="00873BF5" w:rsidRPr="00CB093C">
        <w:rPr>
          <w:rFonts w:ascii="Arial" w:hAnsi="Arial" w:cs="Arial"/>
          <w:szCs w:val="22"/>
          <w:lang w:val="en-GB"/>
        </w:rPr>
        <w:t xml:space="preserve"> 22.0 ±1.8%</w:t>
      </w:r>
      <w:r w:rsidRPr="00CB093C">
        <w:rPr>
          <w:rFonts w:ascii="Arial" w:hAnsi="Arial" w:cs="Arial"/>
          <w:szCs w:val="22"/>
          <w:lang w:val="en-GB"/>
        </w:rPr>
        <w:t xml:space="preserve">, wet </w:t>
      </w:r>
      <w:r w:rsidR="00873BF5" w:rsidRPr="00CB093C">
        <w:rPr>
          <w:rFonts w:ascii="Arial" w:hAnsi="Arial" w:cs="Arial"/>
          <w:szCs w:val="22"/>
          <w:lang w:val="en-GB"/>
        </w:rPr>
        <w:t>= 13.4 ±1.2%</w:t>
      </w:r>
      <w:r w:rsidRPr="00CB093C">
        <w:rPr>
          <w:rFonts w:ascii="Arial" w:hAnsi="Arial" w:cs="Arial"/>
          <w:szCs w:val="22"/>
          <w:lang w:val="en-GB"/>
        </w:rPr>
        <w:t>).</w:t>
      </w:r>
      <w:r w:rsidR="00873BF5" w:rsidRPr="00CB093C">
        <w:rPr>
          <w:rFonts w:ascii="Arial" w:hAnsi="Arial" w:cs="Arial"/>
          <w:szCs w:val="22"/>
          <w:lang w:val="en-GB"/>
        </w:rPr>
        <w:t xml:space="preserve"> </w:t>
      </w:r>
    </w:p>
    <w:p w14:paraId="7CC444DA" w14:textId="17DD1799" w:rsidR="002F7B2F" w:rsidRPr="00CB093C" w:rsidRDefault="00873BF5" w:rsidP="0014227E">
      <w:pPr>
        <w:rPr>
          <w:rFonts w:ascii="Arial" w:hAnsi="Arial" w:cs="Arial"/>
          <w:szCs w:val="22"/>
          <w:lang w:val="en-GB"/>
        </w:rPr>
      </w:pPr>
      <w:r w:rsidRPr="00CB093C">
        <w:rPr>
          <w:rFonts w:ascii="Arial" w:hAnsi="Arial" w:cs="Arial"/>
          <w:szCs w:val="22"/>
          <w:lang w:val="en-GB"/>
        </w:rPr>
        <w:t>Seagrass abundance at estuary and coastal intertidal habitats has fluctuated greatly between years over the life of the monitoring, with some sites experiencing total or near total loss followed by recovery (</w:t>
      </w:r>
      <w:r w:rsidRPr="00CB093C">
        <w:rPr>
          <w:rFonts w:ascii="Arial" w:hAnsi="Arial" w:cs="Arial"/>
          <w:szCs w:val="22"/>
          <w:lang w:val="en-GB"/>
        </w:rPr>
        <w:fldChar w:fldCharType="begin"/>
      </w:r>
      <w:r w:rsidRPr="00CB093C">
        <w:rPr>
          <w:rFonts w:ascii="Arial" w:hAnsi="Arial" w:cs="Arial"/>
          <w:szCs w:val="22"/>
          <w:lang w:val="en-GB"/>
        </w:rPr>
        <w:instrText xml:space="preserve"> REF _Ref533856131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73</w:t>
      </w:r>
      <w:r w:rsidRPr="00CB093C">
        <w:rPr>
          <w:rFonts w:ascii="Arial" w:hAnsi="Arial" w:cs="Arial"/>
          <w:szCs w:val="22"/>
          <w:lang w:val="en-GB"/>
        </w:rPr>
        <w:fldChar w:fldCharType="end"/>
      </w:r>
      <w:r w:rsidRPr="00CB093C">
        <w:rPr>
          <w:rFonts w:ascii="Arial" w:hAnsi="Arial" w:cs="Arial"/>
          <w:szCs w:val="22"/>
          <w:lang w:val="en-GB"/>
        </w:rPr>
        <w:t xml:space="preserve">). In </w:t>
      </w:r>
      <w:r w:rsidR="003654C6">
        <w:rPr>
          <w:rFonts w:ascii="Arial" w:hAnsi="Arial" w:cs="Arial"/>
          <w:szCs w:val="22"/>
          <w:lang w:val="en-GB"/>
        </w:rPr>
        <w:t>2017–18</w:t>
      </w:r>
      <w:r w:rsidRPr="00CB093C">
        <w:rPr>
          <w:rFonts w:ascii="Arial" w:hAnsi="Arial" w:cs="Arial"/>
          <w:szCs w:val="22"/>
          <w:lang w:val="en-GB"/>
        </w:rPr>
        <w:t xml:space="preserve">, half of the estuary and reef sites decreased in abundance </w:t>
      </w:r>
      <w:r w:rsidR="0014227E" w:rsidRPr="00CB093C">
        <w:rPr>
          <w:rFonts w:ascii="Arial" w:hAnsi="Arial" w:cs="Arial"/>
          <w:szCs w:val="22"/>
          <w:lang w:val="en-GB"/>
        </w:rPr>
        <w:t>relative to the previous period</w:t>
      </w:r>
      <w:r w:rsidRPr="00CB093C">
        <w:rPr>
          <w:rFonts w:ascii="Arial" w:hAnsi="Arial" w:cs="Arial"/>
          <w:szCs w:val="22"/>
          <w:lang w:val="en-GB"/>
        </w:rPr>
        <w:t>, with all remaining sites, including all coastal sites, increasing (</w:t>
      </w:r>
      <w:r w:rsidRPr="00CB093C">
        <w:rPr>
          <w:rFonts w:ascii="Arial" w:hAnsi="Arial" w:cs="Arial"/>
          <w:szCs w:val="22"/>
          <w:lang w:val="en-GB"/>
        </w:rPr>
        <w:fldChar w:fldCharType="begin"/>
      </w:r>
      <w:r w:rsidRPr="00CB093C">
        <w:rPr>
          <w:rFonts w:ascii="Arial" w:hAnsi="Arial" w:cs="Arial"/>
          <w:szCs w:val="22"/>
          <w:lang w:val="en-GB"/>
        </w:rPr>
        <w:instrText xml:space="preserve"> REF _Ref533856131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73</w:t>
      </w:r>
      <w:r w:rsidRPr="00CB093C">
        <w:rPr>
          <w:rFonts w:ascii="Arial" w:hAnsi="Arial" w:cs="Arial"/>
          <w:szCs w:val="22"/>
          <w:lang w:val="en-GB"/>
        </w:rPr>
        <w:fldChar w:fldCharType="end"/>
      </w:r>
      <w:r w:rsidRPr="00CB093C">
        <w:rPr>
          <w:rFonts w:ascii="Arial" w:hAnsi="Arial" w:cs="Arial"/>
          <w:szCs w:val="22"/>
          <w:lang w:val="en-GB"/>
        </w:rPr>
        <w:t>).</w:t>
      </w:r>
      <w:r w:rsidR="00CB7184" w:rsidRPr="00CB093C">
        <w:rPr>
          <w:rFonts w:ascii="Arial" w:hAnsi="Arial" w:cs="Arial"/>
          <w:szCs w:val="22"/>
          <w:lang w:val="en-GB"/>
        </w:rPr>
        <w:t xml:space="preserve"> </w:t>
      </w:r>
    </w:p>
    <w:p w14:paraId="55389A61" w14:textId="7ABF479C" w:rsidR="00873BF5" w:rsidRPr="00CB093C" w:rsidRDefault="00CB7184" w:rsidP="0014227E">
      <w:pPr>
        <w:rPr>
          <w:rFonts w:ascii="Arial" w:hAnsi="Arial" w:cs="Arial"/>
          <w:szCs w:val="22"/>
          <w:lang w:val="en-GB"/>
        </w:rPr>
      </w:pPr>
      <w:r w:rsidRPr="00CB093C">
        <w:rPr>
          <w:rFonts w:ascii="Arial" w:hAnsi="Arial" w:cs="Arial"/>
          <w:szCs w:val="22"/>
          <w:lang w:val="en-GB"/>
        </w:rPr>
        <w:t xml:space="preserve">Examination of the long-term trend in </w:t>
      </w:r>
      <w:r w:rsidRPr="00CB093C">
        <w:rPr>
          <w:rFonts w:ascii="Arial" w:hAnsi="Arial" w:cs="Arial"/>
          <w:szCs w:val="22"/>
          <w:lang w:eastAsia="x-none"/>
        </w:rPr>
        <w:t>seagrass abundance (</w:t>
      </w:r>
      <w:r w:rsidR="00882B72" w:rsidRPr="00CB093C">
        <w:rPr>
          <w:rFonts w:ascii="Arial" w:hAnsi="Arial" w:cs="Arial"/>
          <w:szCs w:val="22"/>
          <w:lang w:eastAsia="x-none"/>
        </w:rPr>
        <w:t>%</w:t>
      </w:r>
      <w:r w:rsidRPr="00CB093C">
        <w:rPr>
          <w:rFonts w:ascii="Arial" w:hAnsi="Arial" w:cs="Arial"/>
          <w:szCs w:val="22"/>
          <w:lang w:eastAsia="x-none"/>
        </w:rPr>
        <w:t xml:space="preserve"> cover) across the region reveals a significant decrease </w:t>
      </w:r>
      <w:r w:rsidRPr="00CB093C">
        <w:rPr>
          <w:rFonts w:ascii="Arial" w:hAnsi="Arial" w:cs="Arial"/>
          <w:szCs w:val="22"/>
          <w:lang w:val="en-GB"/>
        </w:rPr>
        <w:t>(</w:t>
      </w:r>
      <w:r w:rsidRPr="00CB093C">
        <w:rPr>
          <w:rFonts w:ascii="Arial" w:hAnsi="Arial" w:cs="Arial"/>
          <w:szCs w:val="22"/>
          <w:lang w:val="en-GB"/>
        </w:rPr>
        <w:fldChar w:fldCharType="begin"/>
      </w:r>
      <w:r w:rsidRPr="00CB093C">
        <w:rPr>
          <w:rFonts w:ascii="Arial" w:hAnsi="Arial" w:cs="Arial"/>
          <w:szCs w:val="22"/>
          <w:lang w:val="en-GB"/>
        </w:rPr>
        <w:instrText xml:space="preserve"> REF _Ref533852573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72</w:t>
      </w:r>
      <w:r w:rsidRPr="00CB093C">
        <w:rPr>
          <w:rFonts w:ascii="Arial" w:hAnsi="Arial" w:cs="Arial"/>
          <w:szCs w:val="22"/>
          <w:lang w:val="en-GB"/>
        </w:rPr>
        <w:fldChar w:fldCharType="end"/>
      </w:r>
      <w:r w:rsidRPr="00CB093C">
        <w:rPr>
          <w:rFonts w:ascii="Arial" w:hAnsi="Arial" w:cs="Arial"/>
          <w:szCs w:val="22"/>
          <w:lang w:val="en-GB"/>
        </w:rPr>
        <w:t>,</w:t>
      </w:r>
      <w:r w:rsidRPr="00CB093C">
        <w:rPr>
          <w:rFonts w:ascii="Arial" w:hAnsi="Arial" w:cs="Arial"/>
          <w:szCs w:val="22"/>
          <w:lang w:eastAsia="x-none"/>
        </w:rPr>
        <w:t xml:space="preserve"> </w:t>
      </w:r>
      <w:r w:rsidRPr="00CB093C">
        <w:rPr>
          <w:rFonts w:ascii="Arial" w:hAnsi="Arial" w:cs="Arial"/>
          <w:szCs w:val="22"/>
          <w:lang w:eastAsia="x-none"/>
        </w:rPr>
        <w:fldChar w:fldCharType="begin"/>
      </w:r>
      <w:r w:rsidRPr="00CB093C">
        <w:rPr>
          <w:rFonts w:ascii="Arial" w:hAnsi="Arial" w:cs="Arial"/>
          <w:szCs w:val="22"/>
          <w:lang w:eastAsia="x-none"/>
        </w:rPr>
        <w:instrText xml:space="preserve"> REF _Ref511310045 \h </w:instrText>
      </w:r>
      <w:r w:rsidR="00CB093C" w:rsidRPr="00CB093C">
        <w:rPr>
          <w:rFonts w:ascii="Arial" w:hAnsi="Arial" w:cs="Arial"/>
          <w:szCs w:val="22"/>
          <w:lang w:eastAsia="x-none"/>
        </w:rPr>
        <w:instrText xml:space="preserve"> \* MERGEFORMAT </w:instrText>
      </w:r>
      <w:r w:rsidRPr="00CB093C">
        <w:rPr>
          <w:rFonts w:ascii="Arial" w:hAnsi="Arial" w:cs="Arial"/>
          <w:szCs w:val="22"/>
          <w:lang w:eastAsia="x-none"/>
        </w:rPr>
      </w:r>
      <w:r w:rsidRPr="00CB093C">
        <w:rPr>
          <w:rFonts w:ascii="Arial" w:hAnsi="Arial" w:cs="Arial"/>
          <w:szCs w:val="22"/>
          <w:lang w:eastAsia="x-none"/>
        </w:rPr>
        <w:fldChar w:fldCharType="separate"/>
      </w:r>
      <w:r w:rsidR="005F00D4" w:rsidRPr="00CB093C">
        <w:rPr>
          <w:rFonts w:ascii="Arial" w:hAnsi="Arial" w:cs="Arial"/>
          <w:szCs w:val="22"/>
        </w:rPr>
        <w:t xml:space="preserve">Table </w:t>
      </w:r>
      <w:r w:rsidR="005F00D4">
        <w:rPr>
          <w:rFonts w:ascii="Arial" w:hAnsi="Arial" w:cs="Arial"/>
          <w:noProof/>
          <w:szCs w:val="22"/>
        </w:rPr>
        <w:t>23</w:t>
      </w:r>
      <w:r w:rsidRPr="00CB093C">
        <w:rPr>
          <w:rFonts w:ascii="Arial" w:hAnsi="Arial" w:cs="Arial"/>
          <w:szCs w:val="22"/>
          <w:lang w:eastAsia="x-none"/>
        </w:rPr>
        <w:fldChar w:fldCharType="end"/>
      </w:r>
      <w:r w:rsidRPr="00CB093C">
        <w:rPr>
          <w:rFonts w:ascii="Arial" w:hAnsi="Arial" w:cs="Arial"/>
          <w:szCs w:val="22"/>
          <w:lang w:eastAsia="x-none"/>
        </w:rPr>
        <w:t xml:space="preserve">).These decreases </w:t>
      </w:r>
      <w:r w:rsidR="00713044" w:rsidRPr="00CB093C">
        <w:rPr>
          <w:rFonts w:ascii="Arial" w:hAnsi="Arial" w:cs="Arial"/>
          <w:szCs w:val="22"/>
          <w:lang w:eastAsia="x-none"/>
        </w:rPr>
        <w:t>have</w:t>
      </w:r>
      <w:r w:rsidRPr="00CB093C">
        <w:rPr>
          <w:rFonts w:ascii="Arial" w:hAnsi="Arial" w:cs="Arial"/>
          <w:szCs w:val="22"/>
          <w:lang w:eastAsia="x-none"/>
        </w:rPr>
        <w:t xml:space="preserve"> </w:t>
      </w:r>
      <w:r w:rsidR="007A70FE" w:rsidRPr="00CB093C">
        <w:rPr>
          <w:rFonts w:ascii="Arial" w:hAnsi="Arial" w:cs="Arial"/>
          <w:szCs w:val="22"/>
          <w:lang w:eastAsia="x-none"/>
        </w:rPr>
        <w:t>primarily</w:t>
      </w:r>
      <w:r w:rsidRPr="00CB093C">
        <w:rPr>
          <w:rFonts w:ascii="Arial" w:hAnsi="Arial" w:cs="Arial"/>
          <w:szCs w:val="22"/>
          <w:lang w:eastAsia="x-none"/>
        </w:rPr>
        <w:t xml:space="preserve"> </w:t>
      </w:r>
      <w:r w:rsidR="00713044" w:rsidRPr="00CB093C">
        <w:rPr>
          <w:rFonts w:ascii="Arial" w:hAnsi="Arial" w:cs="Arial"/>
          <w:szCs w:val="22"/>
          <w:lang w:eastAsia="x-none"/>
        </w:rPr>
        <w:t>occurred in the estuary and reef habitats, although two thirds of all monitoring sites in the region (including coastal) show no significant trend (</w:t>
      </w:r>
      <w:r w:rsidR="00713044" w:rsidRPr="00CB093C">
        <w:rPr>
          <w:rFonts w:ascii="Arial" w:hAnsi="Arial" w:cs="Arial"/>
          <w:szCs w:val="22"/>
          <w:lang w:eastAsia="x-none"/>
        </w:rPr>
        <w:fldChar w:fldCharType="begin"/>
      </w:r>
      <w:r w:rsidR="00713044" w:rsidRPr="00CB093C">
        <w:rPr>
          <w:rFonts w:ascii="Arial" w:hAnsi="Arial" w:cs="Arial"/>
          <w:szCs w:val="22"/>
          <w:lang w:eastAsia="x-none"/>
        </w:rPr>
        <w:instrText xml:space="preserve"> REF _Ref511310045 \h </w:instrText>
      </w:r>
      <w:r w:rsidR="00CB093C" w:rsidRPr="00CB093C">
        <w:rPr>
          <w:rFonts w:ascii="Arial" w:hAnsi="Arial" w:cs="Arial"/>
          <w:szCs w:val="22"/>
          <w:lang w:eastAsia="x-none"/>
        </w:rPr>
        <w:instrText xml:space="preserve"> \* MERGEFORMAT </w:instrText>
      </w:r>
      <w:r w:rsidR="00713044" w:rsidRPr="00CB093C">
        <w:rPr>
          <w:rFonts w:ascii="Arial" w:hAnsi="Arial" w:cs="Arial"/>
          <w:szCs w:val="22"/>
          <w:lang w:eastAsia="x-none"/>
        </w:rPr>
      </w:r>
      <w:r w:rsidR="00713044" w:rsidRPr="00CB093C">
        <w:rPr>
          <w:rFonts w:ascii="Arial" w:hAnsi="Arial" w:cs="Arial"/>
          <w:szCs w:val="22"/>
          <w:lang w:eastAsia="x-none"/>
        </w:rPr>
        <w:fldChar w:fldCharType="separate"/>
      </w:r>
      <w:r w:rsidR="005F00D4" w:rsidRPr="00CB093C">
        <w:rPr>
          <w:rFonts w:ascii="Arial" w:hAnsi="Arial" w:cs="Arial"/>
          <w:szCs w:val="22"/>
        </w:rPr>
        <w:t xml:space="preserve">Table </w:t>
      </w:r>
      <w:r w:rsidR="005F00D4">
        <w:rPr>
          <w:rFonts w:ascii="Arial" w:hAnsi="Arial" w:cs="Arial"/>
          <w:noProof/>
          <w:szCs w:val="22"/>
        </w:rPr>
        <w:t>23</w:t>
      </w:r>
      <w:r w:rsidR="00713044" w:rsidRPr="00CB093C">
        <w:rPr>
          <w:rFonts w:ascii="Arial" w:hAnsi="Arial" w:cs="Arial"/>
          <w:szCs w:val="22"/>
          <w:lang w:eastAsia="x-none"/>
        </w:rPr>
        <w:fldChar w:fldCharType="end"/>
      </w:r>
      <w:r w:rsidR="00713044" w:rsidRPr="00CB093C">
        <w:rPr>
          <w:rFonts w:ascii="Arial" w:hAnsi="Arial" w:cs="Arial"/>
          <w:szCs w:val="22"/>
          <w:lang w:eastAsia="x-none"/>
        </w:rPr>
        <w:t xml:space="preserve">). </w:t>
      </w:r>
    </w:p>
    <w:p w14:paraId="037CBD6A" w14:textId="6247684C" w:rsidR="002F7B2F" w:rsidRPr="00CB093C" w:rsidRDefault="00CB7184" w:rsidP="00D56475">
      <w:pPr>
        <w:rPr>
          <w:rFonts w:ascii="Arial" w:hAnsi="Arial" w:cs="Arial"/>
          <w:szCs w:val="22"/>
        </w:rPr>
      </w:pPr>
      <w:r w:rsidRPr="00CB093C">
        <w:rPr>
          <w:rFonts w:ascii="Arial" w:hAnsi="Arial" w:cs="Arial"/>
          <w:szCs w:val="22"/>
        </w:rPr>
        <w:t xml:space="preserve">The </w:t>
      </w:r>
      <w:r w:rsidR="00D56475" w:rsidRPr="00CB093C">
        <w:rPr>
          <w:rFonts w:ascii="Arial" w:hAnsi="Arial" w:cs="Arial"/>
          <w:szCs w:val="22"/>
        </w:rPr>
        <w:t xml:space="preserve">low </w:t>
      </w:r>
      <w:r w:rsidRPr="00CB093C">
        <w:rPr>
          <w:rFonts w:ascii="Arial" w:hAnsi="Arial" w:cs="Arial"/>
          <w:szCs w:val="22"/>
        </w:rPr>
        <w:t>s</w:t>
      </w:r>
      <w:r w:rsidR="00036BE4" w:rsidRPr="00CB093C">
        <w:rPr>
          <w:rFonts w:ascii="Arial" w:hAnsi="Arial" w:cs="Arial"/>
          <w:szCs w:val="22"/>
        </w:rPr>
        <w:t xml:space="preserve">eagrass abundance in </w:t>
      </w:r>
      <w:r w:rsidRPr="00CB093C">
        <w:rPr>
          <w:rFonts w:ascii="Arial" w:hAnsi="Arial" w:cs="Arial"/>
          <w:szCs w:val="22"/>
        </w:rPr>
        <w:t xml:space="preserve">the </w:t>
      </w:r>
      <w:r w:rsidR="00036BE4" w:rsidRPr="00CB093C">
        <w:rPr>
          <w:rFonts w:ascii="Arial" w:hAnsi="Arial" w:cs="Arial"/>
          <w:szCs w:val="22"/>
        </w:rPr>
        <w:t xml:space="preserve">estuarine habitat appears </w:t>
      </w:r>
      <w:r w:rsidR="00D56475" w:rsidRPr="00CB093C">
        <w:rPr>
          <w:rFonts w:ascii="Arial" w:hAnsi="Arial" w:cs="Arial"/>
          <w:szCs w:val="22"/>
        </w:rPr>
        <w:t>a legacy of decline in 2016</w:t>
      </w:r>
      <w:r w:rsidR="00A675DA" w:rsidRPr="00CB093C">
        <w:rPr>
          <w:rFonts w:ascii="Arial" w:hAnsi="Arial" w:cs="Arial"/>
          <w:szCs w:val="22"/>
        </w:rPr>
        <w:t>–</w:t>
      </w:r>
      <w:r w:rsidR="00D56475" w:rsidRPr="00CB093C">
        <w:rPr>
          <w:rFonts w:ascii="Arial" w:hAnsi="Arial" w:cs="Arial"/>
          <w:szCs w:val="22"/>
        </w:rPr>
        <w:t>17, the result of</w:t>
      </w:r>
      <w:r w:rsidR="00036BE4" w:rsidRPr="00CB093C">
        <w:rPr>
          <w:rFonts w:ascii="Arial" w:hAnsi="Arial" w:cs="Arial"/>
          <w:szCs w:val="22"/>
        </w:rPr>
        <w:t xml:space="preserve"> </w:t>
      </w:r>
      <w:r w:rsidR="00D56475" w:rsidRPr="00CB093C">
        <w:rPr>
          <w:rFonts w:ascii="Arial" w:hAnsi="Arial" w:cs="Arial"/>
          <w:szCs w:val="22"/>
        </w:rPr>
        <w:t xml:space="preserve">a </w:t>
      </w:r>
      <w:r w:rsidR="00036BE4" w:rsidRPr="00CB093C">
        <w:rPr>
          <w:rFonts w:ascii="Arial" w:hAnsi="Arial" w:cs="Arial"/>
          <w:szCs w:val="22"/>
        </w:rPr>
        <w:t>mud</w:t>
      </w:r>
      <w:r w:rsidR="00D56475" w:rsidRPr="00CB093C">
        <w:rPr>
          <w:rFonts w:ascii="Arial" w:hAnsi="Arial" w:cs="Arial"/>
          <w:szCs w:val="22"/>
        </w:rPr>
        <w:t xml:space="preserve"> wave</w:t>
      </w:r>
      <w:r w:rsidR="00036BE4" w:rsidRPr="00CB093C">
        <w:rPr>
          <w:rFonts w:ascii="Arial" w:hAnsi="Arial" w:cs="Arial"/>
          <w:szCs w:val="22"/>
        </w:rPr>
        <w:t xml:space="preserve"> </w:t>
      </w:r>
      <w:r w:rsidR="008D74B2" w:rsidRPr="00CB093C">
        <w:rPr>
          <w:rFonts w:ascii="Arial" w:hAnsi="Arial" w:cs="Arial"/>
          <w:szCs w:val="22"/>
        </w:rPr>
        <w:t>traversing</w:t>
      </w:r>
      <w:r w:rsidR="00D56475" w:rsidRPr="00CB093C">
        <w:rPr>
          <w:rFonts w:ascii="Arial" w:hAnsi="Arial" w:cs="Arial"/>
          <w:szCs w:val="22"/>
        </w:rPr>
        <w:t xml:space="preserve"> across the meadow. </w:t>
      </w:r>
      <w:r w:rsidR="00D73BD0" w:rsidRPr="00CB093C">
        <w:rPr>
          <w:rFonts w:ascii="Arial" w:hAnsi="Arial" w:cs="Arial"/>
          <w:szCs w:val="22"/>
        </w:rPr>
        <w:t>As t</w:t>
      </w:r>
      <w:r w:rsidR="00D56475" w:rsidRPr="00CB093C">
        <w:rPr>
          <w:rFonts w:ascii="Arial" w:hAnsi="Arial" w:cs="Arial"/>
          <w:szCs w:val="22"/>
        </w:rPr>
        <w:t xml:space="preserve">he mud wave dissipated in </w:t>
      </w:r>
      <w:r w:rsidR="003654C6">
        <w:rPr>
          <w:rFonts w:ascii="Arial" w:hAnsi="Arial" w:cs="Arial"/>
          <w:szCs w:val="22"/>
        </w:rPr>
        <w:t>2017–18</w:t>
      </w:r>
      <w:r w:rsidR="00D56475" w:rsidRPr="00CB093C">
        <w:rPr>
          <w:rFonts w:ascii="Arial" w:hAnsi="Arial" w:cs="Arial"/>
          <w:szCs w:val="22"/>
        </w:rPr>
        <w:t xml:space="preserve">, meadow integrity </w:t>
      </w:r>
      <w:r w:rsidR="00D73BD0" w:rsidRPr="00CB093C">
        <w:rPr>
          <w:rFonts w:ascii="Arial" w:hAnsi="Arial" w:cs="Arial"/>
          <w:szCs w:val="22"/>
        </w:rPr>
        <w:t xml:space="preserve">(e.g. reduced scarring) </w:t>
      </w:r>
      <w:r w:rsidR="00D56475" w:rsidRPr="00CB093C">
        <w:rPr>
          <w:rFonts w:ascii="Arial" w:hAnsi="Arial" w:cs="Arial"/>
          <w:szCs w:val="22"/>
        </w:rPr>
        <w:t>improved.</w:t>
      </w:r>
      <w:r w:rsidR="00036BE4" w:rsidRPr="00CB093C">
        <w:rPr>
          <w:rFonts w:ascii="Arial" w:hAnsi="Arial" w:cs="Arial"/>
          <w:szCs w:val="22"/>
        </w:rPr>
        <w:t xml:space="preserve"> </w:t>
      </w:r>
    </w:p>
    <w:p w14:paraId="2D744DCB" w14:textId="77777777" w:rsidR="002F7B2F" w:rsidRPr="00CB093C" w:rsidRDefault="00D73BD0" w:rsidP="00D56475">
      <w:pPr>
        <w:rPr>
          <w:rFonts w:ascii="Arial" w:hAnsi="Arial" w:cs="Arial"/>
          <w:szCs w:val="22"/>
        </w:rPr>
      </w:pPr>
      <w:r w:rsidRPr="00CB093C">
        <w:rPr>
          <w:rFonts w:ascii="Arial" w:hAnsi="Arial" w:cs="Arial"/>
          <w:szCs w:val="22"/>
        </w:rPr>
        <w:t xml:space="preserve">In the north of the region, </w:t>
      </w:r>
      <w:r w:rsidR="00713044" w:rsidRPr="00CB093C">
        <w:rPr>
          <w:rFonts w:ascii="Arial" w:hAnsi="Arial" w:cs="Arial"/>
          <w:szCs w:val="22"/>
        </w:rPr>
        <w:t xml:space="preserve">coastal sites </w:t>
      </w:r>
      <w:r w:rsidRPr="00CB093C">
        <w:rPr>
          <w:rFonts w:ascii="Arial" w:hAnsi="Arial" w:cs="Arial"/>
          <w:szCs w:val="22"/>
        </w:rPr>
        <w:t>receive</w:t>
      </w:r>
      <w:r w:rsidR="00713044" w:rsidRPr="00CB093C">
        <w:rPr>
          <w:rFonts w:ascii="Arial" w:hAnsi="Arial" w:cs="Arial"/>
          <w:szCs w:val="22"/>
        </w:rPr>
        <w:t xml:space="preserve"> </w:t>
      </w:r>
      <w:r w:rsidRPr="00CB093C">
        <w:rPr>
          <w:rFonts w:ascii="Arial" w:hAnsi="Arial" w:cs="Arial"/>
          <w:szCs w:val="22"/>
        </w:rPr>
        <w:t xml:space="preserve">low </w:t>
      </w:r>
      <w:r w:rsidR="00713044" w:rsidRPr="00CB093C">
        <w:rPr>
          <w:rFonts w:ascii="Arial" w:hAnsi="Arial" w:cs="Arial"/>
          <w:szCs w:val="22"/>
        </w:rPr>
        <w:t xml:space="preserve">river discharge, however, the meadows </w:t>
      </w:r>
      <w:r w:rsidRPr="00CB093C">
        <w:rPr>
          <w:rFonts w:ascii="Arial" w:hAnsi="Arial" w:cs="Arial"/>
          <w:szCs w:val="22"/>
        </w:rPr>
        <w:t>were</w:t>
      </w:r>
      <w:r w:rsidR="00713044" w:rsidRPr="00CB093C">
        <w:rPr>
          <w:rFonts w:ascii="Arial" w:hAnsi="Arial" w:cs="Arial"/>
          <w:szCs w:val="22"/>
        </w:rPr>
        <w:t xml:space="preserve"> still exposed to turbid ‘brown’ sediment laden waters for much of the year. There turbid waters </w:t>
      </w:r>
      <w:r w:rsidRPr="00CB093C">
        <w:rPr>
          <w:rFonts w:ascii="Arial" w:hAnsi="Arial" w:cs="Arial"/>
          <w:szCs w:val="22"/>
        </w:rPr>
        <w:t xml:space="preserve">could be </w:t>
      </w:r>
      <w:r w:rsidR="00713044" w:rsidRPr="00CB093C">
        <w:rPr>
          <w:rFonts w:ascii="Arial" w:hAnsi="Arial" w:cs="Arial"/>
          <w:szCs w:val="22"/>
        </w:rPr>
        <w:t xml:space="preserve">partly the result of wind driven suspension, but </w:t>
      </w:r>
      <w:r w:rsidRPr="00CB093C">
        <w:rPr>
          <w:rFonts w:ascii="Arial" w:hAnsi="Arial" w:cs="Arial"/>
          <w:szCs w:val="22"/>
        </w:rPr>
        <w:t xml:space="preserve">appear </w:t>
      </w:r>
      <w:r w:rsidR="00713044" w:rsidRPr="00CB093C">
        <w:rPr>
          <w:rFonts w:ascii="Arial" w:hAnsi="Arial" w:cs="Arial"/>
          <w:szCs w:val="22"/>
        </w:rPr>
        <w:t xml:space="preserve">mainly the consequence of the extreme tidal movement in Shoalwater Bay (some of the highest along the Queensland coast). </w:t>
      </w:r>
    </w:p>
    <w:p w14:paraId="56717DEA" w14:textId="50884BA1" w:rsidR="002F7B2F" w:rsidRPr="00CB093C" w:rsidRDefault="00713044" w:rsidP="00D56475">
      <w:pPr>
        <w:rPr>
          <w:rFonts w:ascii="Arial" w:hAnsi="Arial" w:cs="Arial"/>
          <w:szCs w:val="22"/>
        </w:rPr>
      </w:pPr>
      <w:r w:rsidRPr="00CB093C">
        <w:rPr>
          <w:rFonts w:ascii="Arial" w:hAnsi="Arial" w:cs="Arial"/>
          <w:szCs w:val="22"/>
        </w:rPr>
        <w:t xml:space="preserve">Seagrasses in Shoalwater Bay are able to persist on the large intertidal banks, where periods of shallowing water provide some respite from the highly turbid waters. However, these periods of shallowing water and </w:t>
      </w:r>
      <w:r w:rsidR="00AC4C70" w:rsidRPr="00CB093C">
        <w:rPr>
          <w:rFonts w:ascii="Arial" w:hAnsi="Arial" w:cs="Arial"/>
          <w:szCs w:val="22"/>
        </w:rPr>
        <w:t xml:space="preserve">carbon limitation (when </w:t>
      </w:r>
      <w:r w:rsidRPr="00CB093C">
        <w:rPr>
          <w:rFonts w:ascii="Arial" w:hAnsi="Arial" w:cs="Arial"/>
          <w:szCs w:val="22"/>
        </w:rPr>
        <w:t>exposure to air</w:t>
      </w:r>
      <w:r w:rsidR="00AC4C70" w:rsidRPr="00CB093C">
        <w:rPr>
          <w:rFonts w:ascii="Arial" w:hAnsi="Arial" w:cs="Arial"/>
          <w:szCs w:val="22"/>
        </w:rPr>
        <w:t xml:space="preserve"> </w:t>
      </w:r>
      <w:r w:rsidR="002F7B2F" w:rsidRPr="00CB093C">
        <w:rPr>
          <w:rFonts w:ascii="Arial" w:hAnsi="Arial" w:cs="Arial"/>
          <w:szCs w:val="22"/>
        </w:rPr>
        <w:t xml:space="preserve">coincides with </w:t>
      </w:r>
      <w:r w:rsidR="00AC4C70" w:rsidRPr="00CB093C">
        <w:rPr>
          <w:rFonts w:ascii="Arial" w:hAnsi="Arial" w:cs="Arial"/>
          <w:szCs w:val="22"/>
        </w:rPr>
        <w:t xml:space="preserve">low spring tides) not only stress plants with </w:t>
      </w:r>
      <w:r w:rsidR="007A70FE" w:rsidRPr="00CB093C">
        <w:rPr>
          <w:rFonts w:ascii="Arial" w:hAnsi="Arial" w:cs="Arial"/>
          <w:szCs w:val="22"/>
        </w:rPr>
        <w:t>desiccation</w:t>
      </w:r>
      <w:r w:rsidR="00AC4C70" w:rsidRPr="00CB093C">
        <w:rPr>
          <w:rFonts w:ascii="Arial" w:hAnsi="Arial" w:cs="Arial"/>
          <w:szCs w:val="22"/>
        </w:rPr>
        <w:t xml:space="preserve">, but also fluctuating water temperatures. </w:t>
      </w:r>
    </w:p>
    <w:p w14:paraId="52A2EB0B" w14:textId="09CF508B" w:rsidR="00036BE4" w:rsidRPr="00CB093C" w:rsidRDefault="00D34DC4" w:rsidP="00D56475">
      <w:pPr>
        <w:rPr>
          <w:rFonts w:ascii="Arial" w:hAnsi="Arial" w:cs="Arial"/>
          <w:szCs w:val="22"/>
        </w:rPr>
      </w:pPr>
      <w:r w:rsidRPr="00CB093C">
        <w:rPr>
          <w:rFonts w:ascii="Arial" w:hAnsi="Arial" w:cs="Arial"/>
          <w:szCs w:val="22"/>
        </w:rPr>
        <w:t xml:space="preserve">Maximum </w:t>
      </w:r>
      <w:r w:rsidR="00E864EE" w:rsidRPr="00CB093C">
        <w:rPr>
          <w:rFonts w:ascii="Arial" w:hAnsi="Arial" w:cs="Arial"/>
          <w:szCs w:val="22"/>
        </w:rPr>
        <w:t xml:space="preserve">water </w:t>
      </w:r>
      <w:r w:rsidRPr="00CB093C">
        <w:rPr>
          <w:rFonts w:ascii="Arial" w:hAnsi="Arial" w:cs="Arial"/>
          <w:szCs w:val="22"/>
        </w:rPr>
        <w:t>temperatures exceeded 35</w:t>
      </w:r>
      <w:r w:rsidRPr="00CB093C">
        <w:rPr>
          <w:rFonts w:ascii="Arial" w:hAnsi="Arial" w:cs="Arial"/>
          <w:szCs w:val="22"/>
          <w:lang w:val="en-GB"/>
        </w:rPr>
        <w:t>°C</w:t>
      </w:r>
      <w:r w:rsidRPr="00CB093C">
        <w:rPr>
          <w:rFonts w:ascii="Arial" w:hAnsi="Arial" w:cs="Arial"/>
          <w:szCs w:val="22"/>
        </w:rPr>
        <w:t xml:space="preserve"> for a total of </w:t>
      </w:r>
      <w:r w:rsidR="00E864EE" w:rsidRPr="00CB093C">
        <w:rPr>
          <w:rFonts w:ascii="Arial" w:hAnsi="Arial" w:cs="Arial"/>
          <w:szCs w:val="22"/>
        </w:rPr>
        <w:t>3</w:t>
      </w:r>
      <w:r w:rsidRPr="00CB093C">
        <w:rPr>
          <w:rFonts w:ascii="Arial" w:hAnsi="Arial" w:cs="Arial"/>
          <w:szCs w:val="22"/>
        </w:rPr>
        <w:t xml:space="preserve">5 days </w:t>
      </w:r>
      <w:r w:rsidR="00E864EE" w:rsidRPr="00CB093C">
        <w:rPr>
          <w:rFonts w:ascii="Arial" w:hAnsi="Arial" w:cs="Arial"/>
          <w:szCs w:val="22"/>
        </w:rPr>
        <w:t xml:space="preserve">in Shoalwater Bay </w:t>
      </w:r>
      <w:r w:rsidRPr="00CB093C">
        <w:rPr>
          <w:rFonts w:ascii="Arial" w:hAnsi="Arial" w:cs="Arial"/>
          <w:szCs w:val="22"/>
        </w:rPr>
        <w:t xml:space="preserve">during </w:t>
      </w:r>
      <w:r w:rsidR="003654C6">
        <w:rPr>
          <w:rFonts w:ascii="Arial" w:hAnsi="Arial" w:cs="Arial"/>
          <w:szCs w:val="22"/>
        </w:rPr>
        <w:t>2017–18</w:t>
      </w:r>
      <w:r w:rsidRPr="00CB093C">
        <w:rPr>
          <w:rFonts w:ascii="Arial" w:hAnsi="Arial" w:cs="Arial"/>
          <w:szCs w:val="22"/>
        </w:rPr>
        <w:t xml:space="preserve">, with </w:t>
      </w:r>
      <w:r w:rsidR="00E864EE" w:rsidRPr="00CB093C">
        <w:rPr>
          <w:rFonts w:ascii="Arial" w:hAnsi="Arial" w:cs="Arial"/>
          <w:szCs w:val="22"/>
        </w:rPr>
        <w:t>a</w:t>
      </w:r>
      <w:r w:rsidRPr="00CB093C">
        <w:rPr>
          <w:rFonts w:ascii="Arial" w:hAnsi="Arial" w:cs="Arial"/>
          <w:szCs w:val="22"/>
        </w:rPr>
        <w:t xml:space="preserve"> highest temperature </w:t>
      </w:r>
      <w:r w:rsidR="00E864EE" w:rsidRPr="00CB093C">
        <w:rPr>
          <w:rFonts w:ascii="Arial" w:hAnsi="Arial" w:cs="Arial"/>
          <w:szCs w:val="22"/>
        </w:rPr>
        <w:t>of</w:t>
      </w:r>
      <w:r w:rsidRPr="00CB093C">
        <w:rPr>
          <w:rFonts w:ascii="Arial" w:hAnsi="Arial" w:cs="Arial"/>
          <w:szCs w:val="22"/>
        </w:rPr>
        <w:t xml:space="preserve"> </w:t>
      </w:r>
      <w:r w:rsidR="00E864EE" w:rsidRPr="00CB093C">
        <w:rPr>
          <w:rFonts w:ascii="Arial" w:hAnsi="Arial" w:cs="Arial"/>
          <w:szCs w:val="22"/>
        </w:rPr>
        <w:t>39.5</w:t>
      </w:r>
      <w:r w:rsidRPr="00CB093C">
        <w:rPr>
          <w:rFonts w:ascii="Arial" w:hAnsi="Arial" w:cs="Arial"/>
          <w:szCs w:val="22"/>
          <w:lang w:val="en-GB"/>
        </w:rPr>
        <w:t>°C</w:t>
      </w:r>
      <w:r w:rsidRPr="00CB093C">
        <w:rPr>
          <w:rFonts w:ascii="Arial" w:hAnsi="Arial" w:cs="Arial"/>
          <w:szCs w:val="22"/>
        </w:rPr>
        <w:t>.</w:t>
      </w:r>
      <w:r w:rsidR="00E864EE" w:rsidRPr="00CB093C">
        <w:rPr>
          <w:rFonts w:ascii="Arial" w:hAnsi="Arial" w:cs="Arial"/>
          <w:szCs w:val="22"/>
        </w:rPr>
        <w:t xml:space="preserve"> </w:t>
      </w:r>
      <w:r w:rsidR="00036BE4" w:rsidRPr="00CB093C">
        <w:rPr>
          <w:rFonts w:ascii="Arial" w:hAnsi="Arial" w:cs="Arial"/>
          <w:szCs w:val="22"/>
        </w:rPr>
        <w:t xml:space="preserve">The high temperatures are particularly stressful for </w:t>
      </w:r>
      <w:r w:rsidR="00036BE4" w:rsidRPr="00CB093C">
        <w:rPr>
          <w:rFonts w:ascii="Arial" w:hAnsi="Arial" w:cs="Arial"/>
          <w:i/>
          <w:szCs w:val="22"/>
        </w:rPr>
        <w:t>Z. muelleri</w:t>
      </w:r>
      <w:r w:rsidR="00036BE4" w:rsidRPr="00CB093C">
        <w:rPr>
          <w:rFonts w:ascii="Arial" w:hAnsi="Arial" w:cs="Arial"/>
          <w:szCs w:val="22"/>
        </w:rPr>
        <w:t xml:space="preserve"> communities </w:t>
      </w:r>
      <w:r w:rsidR="00AC4C70" w:rsidRPr="00CB093C">
        <w:rPr>
          <w:rFonts w:ascii="Arial" w:hAnsi="Arial" w:cs="Arial"/>
          <w:szCs w:val="22"/>
        </w:rPr>
        <w:t xml:space="preserve">which dominate the coastal habitats </w:t>
      </w:r>
      <w:r w:rsidR="00036BE4" w:rsidRPr="00CB093C">
        <w:rPr>
          <w:rFonts w:ascii="Arial" w:hAnsi="Arial" w:cs="Arial"/>
          <w:szCs w:val="22"/>
        </w:rPr>
        <w:t>as it has a thermal optima for overall net primary productivity of 24°C and above 35°C net productivity goes into deficit</w:t>
      </w:r>
      <w:r w:rsidRPr="00CB093C">
        <w:rPr>
          <w:rFonts w:ascii="Arial" w:hAnsi="Arial" w:cs="Arial"/>
          <w:szCs w:val="22"/>
        </w:rPr>
        <w:t>,</w:t>
      </w:r>
      <w:r w:rsidR="00036BE4" w:rsidRPr="00CB093C">
        <w:rPr>
          <w:rFonts w:ascii="Arial" w:hAnsi="Arial" w:cs="Arial"/>
          <w:szCs w:val="22"/>
        </w:rPr>
        <w:t xml:space="preserve"> i.e. it loses energy (Collier </w:t>
      </w:r>
      <w:r w:rsidR="00036BE4" w:rsidRPr="00CB093C">
        <w:rPr>
          <w:rFonts w:ascii="Arial" w:hAnsi="Arial" w:cs="Arial"/>
          <w:i/>
          <w:szCs w:val="22"/>
        </w:rPr>
        <w:t>et al</w:t>
      </w:r>
      <w:r w:rsidR="004E7359" w:rsidRPr="00CB093C">
        <w:rPr>
          <w:rFonts w:ascii="Arial" w:hAnsi="Arial" w:cs="Arial"/>
          <w:i/>
          <w:szCs w:val="22"/>
        </w:rPr>
        <w:t>.</w:t>
      </w:r>
      <w:r w:rsidR="00036BE4" w:rsidRPr="00CB093C">
        <w:rPr>
          <w:rFonts w:ascii="Arial" w:hAnsi="Arial" w:cs="Arial"/>
          <w:szCs w:val="22"/>
        </w:rPr>
        <w:t xml:space="preserve"> 2017). This is in stark contrast to other tropical species (</w:t>
      </w:r>
      <w:r w:rsidR="00036BE4" w:rsidRPr="00CB093C">
        <w:rPr>
          <w:rFonts w:ascii="Arial" w:hAnsi="Arial" w:cs="Arial"/>
          <w:i/>
          <w:szCs w:val="22"/>
        </w:rPr>
        <w:t>H. uninervis</w:t>
      </w:r>
      <w:r w:rsidR="00036BE4" w:rsidRPr="00CB093C">
        <w:rPr>
          <w:rFonts w:ascii="Arial" w:hAnsi="Arial" w:cs="Arial"/>
          <w:szCs w:val="22"/>
        </w:rPr>
        <w:t xml:space="preserve"> and </w:t>
      </w:r>
      <w:r w:rsidR="00036BE4" w:rsidRPr="00CB093C">
        <w:rPr>
          <w:rFonts w:ascii="Arial" w:hAnsi="Arial" w:cs="Arial"/>
          <w:i/>
          <w:szCs w:val="22"/>
        </w:rPr>
        <w:t>C. serrulata</w:t>
      </w:r>
      <w:r w:rsidR="00036BE4" w:rsidRPr="00CB093C">
        <w:rPr>
          <w:rFonts w:ascii="Arial" w:hAnsi="Arial" w:cs="Arial"/>
          <w:szCs w:val="22"/>
        </w:rPr>
        <w:t xml:space="preserve">), which must exceed 40°C for respiration rates and photoinhibition to cause the plants to lose energy for pulsed exposure (Collier </w:t>
      </w:r>
      <w:r w:rsidR="00036BE4" w:rsidRPr="00CB093C">
        <w:rPr>
          <w:rFonts w:ascii="Arial" w:hAnsi="Arial" w:cs="Arial"/>
          <w:i/>
          <w:szCs w:val="22"/>
        </w:rPr>
        <w:t>et al</w:t>
      </w:r>
      <w:r w:rsidR="004E7359" w:rsidRPr="00CB093C">
        <w:rPr>
          <w:rFonts w:ascii="Arial" w:hAnsi="Arial" w:cs="Arial"/>
          <w:i/>
          <w:szCs w:val="22"/>
        </w:rPr>
        <w:t>.</w:t>
      </w:r>
      <w:r w:rsidR="00036BE4" w:rsidRPr="00CB093C">
        <w:rPr>
          <w:rFonts w:ascii="Arial" w:hAnsi="Arial" w:cs="Arial"/>
          <w:szCs w:val="22"/>
        </w:rPr>
        <w:t xml:space="preserve"> 2017). </w:t>
      </w:r>
      <w:r w:rsidR="00E864EE" w:rsidRPr="00CB093C">
        <w:rPr>
          <w:rFonts w:ascii="Arial" w:hAnsi="Arial" w:cs="Arial"/>
          <w:szCs w:val="22"/>
        </w:rPr>
        <w:t>Similarly</w:t>
      </w:r>
      <w:r w:rsidR="00036BE4" w:rsidRPr="00CB093C">
        <w:rPr>
          <w:rFonts w:ascii="Arial" w:hAnsi="Arial" w:cs="Arial"/>
          <w:szCs w:val="22"/>
        </w:rPr>
        <w:t xml:space="preserve"> water temperature exceeded 35°C </w:t>
      </w:r>
      <w:r w:rsidR="00D73BD0" w:rsidRPr="00CB093C">
        <w:rPr>
          <w:rFonts w:ascii="Arial" w:hAnsi="Arial" w:cs="Arial"/>
          <w:szCs w:val="22"/>
        </w:rPr>
        <w:t xml:space="preserve">(max 37.5) </w:t>
      </w:r>
      <w:r w:rsidR="00036BE4" w:rsidRPr="00CB093C">
        <w:rPr>
          <w:rFonts w:ascii="Arial" w:hAnsi="Arial" w:cs="Arial"/>
          <w:szCs w:val="22"/>
        </w:rPr>
        <w:t xml:space="preserve">on </w:t>
      </w:r>
      <w:r w:rsidR="00E864EE" w:rsidRPr="00CB093C">
        <w:rPr>
          <w:rFonts w:ascii="Arial" w:hAnsi="Arial" w:cs="Arial"/>
          <w:szCs w:val="22"/>
        </w:rPr>
        <w:t>18</w:t>
      </w:r>
      <w:r w:rsidR="00036BE4" w:rsidRPr="00CB093C">
        <w:rPr>
          <w:rFonts w:ascii="Arial" w:hAnsi="Arial" w:cs="Arial"/>
          <w:szCs w:val="22"/>
        </w:rPr>
        <w:t xml:space="preserve"> days </w:t>
      </w:r>
      <w:r w:rsidR="00E864EE" w:rsidRPr="00CB093C">
        <w:rPr>
          <w:rFonts w:ascii="Arial" w:hAnsi="Arial" w:cs="Arial"/>
          <w:szCs w:val="22"/>
        </w:rPr>
        <w:t xml:space="preserve">at Pelican banks in Gladstone Harbour </w:t>
      </w:r>
      <w:r w:rsidR="00036BE4" w:rsidRPr="00CB093C">
        <w:rPr>
          <w:rFonts w:ascii="Arial" w:hAnsi="Arial" w:cs="Arial"/>
          <w:szCs w:val="22"/>
        </w:rPr>
        <w:t xml:space="preserve">and </w:t>
      </w:r>
      <w:r w:rsidR="00E864EE" w:rsidRPr="00CB093C">
        <w:rPr>
          <w:rFonts w:ascii="Arial" w:hAnsi="Arial" w:cs="Arial"/>
          <w:szCs w:val="22"/>
        </w:rPr>
        <w:t>this wa</w:t>
      </w:r>
      <w:r w:rsidR="00036BE4" w:rsidRPr="00CB093C">
        <w:rPr>
          <w:rFonts w:ascii="Arial" w:hAnsi="Arial" w:cs="Arial"/>
          <w:szCs w:val="22"/>
        </w:rPr>
        <w:t xml:space="preserve">s likely to have placed a substantial stress on these </w:t>
      </w:r>
      <w:r w:rsidR="00036BE4" w:rsidRPr="00CB093C">
        <w:rPr>
          <w:rFonts w:ascii="Arial" w:hAnsi="Arial" w:cs="Arial"/>
          <w:i/>
          <w:szCs w:val="22"/>
        </w:rPr>
        <w:t>Z. muelleri</w:t>
      </w:r>
      <w:r w:rsidR="00036BE4" w:rsidRPr="00CB093C">
        <w:rPr>
          <w:rFonts w:ascii="Arial" w:hAnsi="Arial" w:cs="Arial"/>
          <w:szCs w:val="22"/>
        </w:rPr>
        <w:t xml:space="preserve"> dominated communities. </w:t>
      </w:r>
    </w:p>
    <w:p w14:paraId="7E977AD6" w14:textId="77777777" w:rsidR="00202B9D" w:rsidRPr="00CB093C" w:rsidRDefault="00202B9D" w:rsidP="001063D8">
      <w:pPr>
        <w:spacing w:before="0" w:after="0"/>
        <w:rPr>
          <w:rFonts w:ascii="Arial" w:hAnsi="Arial" w:cs="Arial"/>
          <w:szCs w:val="22"/>
        </w:rPr>
      </w:pPr>
    </w:p>
    <w:p w14:paraId="4CB8D856" w14:textId="77777777" w:rsidR="001063D8" w:rsidRPr="00CB093C" w:rsidRDefault="001063D8" w:rsidP="001063D8">
      <w:pPr>
        <w:spacing w:before="0" w:after="0"/>
        <w:rPr>
          <w:rFonts w:ascii="Arial" w:hAnsi="Arial" w:cs="Arial"/>
          <w:szCs w:val="22"/>
        </w:rPr>
      </w:pPr>
      <w:r w:rsidRPr="00CB093C">
        <w:rPr>
          <w:rFonts w:ascii="Arial" w:hAnsi="Arial" w:cs="Arial"/>
          <w:noProof/>
          <w:szCs w:val="22"/>
          <w:lang w:val="en-US"/>
        </w:rPr>
        <w:drawing>
          <wp:inline distT="0" distB="0" distL="0" distR="0" wp14:anchorId="7E684E4F" wp14:editId="15E46FD6">
            <wp:extent cx="5727700" cy="3406760"/>
            <wp:effectExtent l="0" t="0" r="6350" b="3810"/>
            <wp:docPr id="550" name="Picture 550" descr="Panel of eight graphs, displayed in two by four matrix, showing seagrass percent cover measures per quadrat (sites pooled) for each habitat monitored from 2002 to 2018 in the Fitzroy NRM region. Top row displays the data as box plots and the bottom row as trends in seagrass abundance represented by a GAM plot and coloured lines representing individual site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er MMP_period boxplot_CY_perHab_newformat-01.png"/>
                    <pic:cNvPicPr/>
                  </pic:nvPicPr>
                  <pic:blipFill>
                    <a:blip r:embed="rId116">
                      <a:extLst>
                        <a:ext uri="{28A0092B-C50C-407E-A947-70E740481C1C}">
                          <a14:useLocalDpi xmlns:a14="http://schemas.microsoft.com/office/drawing/2010/main" val="0"/>
                        </a:ext>
                      </a:extLst>
                    </a:blip>
                    <a:stretch>
                      <a:fillRect/>
                    </a:stretch>
                  </pic:blipFill>
                  <pic:spPr>
                    <a:xfrm>
                      <a:off x="0" y="0"/>
                      <a:ext cx="5727700" cy="3406760"/>
                    </a:xfrm>
                    <a:prstGeom prst="rect">
                      <a:avLst/>
                    </a:prstGeom>
                  </pic:spPr>
                </pic:pic>
              </a:graphicData>
            </a:graphic>
          </wp:inline>
        </w:drawing>
      </w:r>
    </w:p>
    <w:p w14:paraId="00BC9FEB" w14:textId="17DA656D" w:rsidR="00A355AB" w:rsidRPr="00CB093C" w:rsidRDefault="001063D8" w:rsidP="00A355AB">
      <w:pPr>
        <w:rPr>
          <w:rFonts w:ascii="Arial" w:hAnsi="Arial" w:cs="Arial"/>
          <w:i/>
          <w:vanish/>
          <w:szCs w:val="22"/>
          <w:specVanish/>
        </w:rPr>
      </w:pPr>
      <w:bookmarkStart w:id="464" w:name="_Ref533856131"/>
      <w:bookmarkStart w:id="465" w:name="_Toc6402838"/>
      <w:r w:rsidRPr="00CB093C">
        <w:rPr>
          <w:rFonts w:ascii="Arial" w:hAnsi="Arial" w:cs="Arial"/>
          <w:szCs w:val="22"/>
        </w:rPr>
        <w:t xml:space="preserve">Figure </w:t>
      </w:r>
      <w:r w:rsidR="00DC649E" w:rsidRPr="00CB093C">
        <w:rPr>
          <w:rFonts w:ascii="Arial" w:hAnsi="Arial" w:cs="Arial"/>
          <w:noProof/>
          <w:szCs w:val="22"/>
        </w:rPr>
        <w:fldChar w:fldCharType="begin"/>
      </w:r>
      <w:r w:rsidR="00DC649E" w:rsidRPr="00CB093C">
        <w:rPr>
          <w:rFonts w:ascii="Arial" w:hAnsi="Arial" w:cs="Arial"/>
          <w:noProof/>
          <w:szCs w:val="22"/>
        </w:rPr>
        <w:instrText xml:space="preserve"> SEQ Figure \* ARABIC </w:instrText>
      </w:r>
      <w:r w:rsidR="00DC649E" w:rsidRPr="00CB093C">
        <w:rPr>
          <w:rFonts w:ascii="Arial" w:hAnsi="Arial" w:cs="Arial"/>
          <w:noProof/>
          <w:szCs w:val="22"/>
        </w:rPr>
        <w:fldChar w:fldCharType="separate"/>
      </w:r>
      <w:r w:rsidR="005F00D4">
        <w:rPr>
          <w:rFonts w:ascii="Arial" w:hAnsi="Arial" w:cs="Arial"/>
          <w:noProof/>
          <w:szCs w:val="22"/>
        </w:rPr>
        <w:t>73</w:t>
      </w:r>
      <w:r w:rsidR="00DC649E" w:rsidRPr="00CB093C">
        <w:rPr>
          <w:rFonts w:ascii="Arial" w:hAnsi="Arial" w:cs="Arial"/>
          <w:noProof/>
          <w:szCs w:val="22"/>
        </w:rPr>
        <w:fldChar w:fldCharType="end"/>
      </w:r>
      <w:bookmarkEnd w:id="464"/>
      <w:r w:rsidRPr="00CB093C">
        <w:rPr>
          <w:rFonts w:ascii="Arial" w:hAnsi="Arial" w:cs="Arial"/>
          <w:szCs w:val="22"/>
        </w:rPr>
        <w:t xml:space="preserve">. </w:t>
      </w:r>
      <w:r w:rsidR="00A355AB" w:rsidRPr="00CB093C">
        <w:rPr>
          <w:rFonts w:ascii="Arial" w:hAnsi="Arial" w:cs="Arial"/>
          <w:i/>
          <w:szCs w:val="22"/>
        </w:rPr>
        <w:t xml:space="preserve">Seagrass per cent cover measures per quadrat (sites pooled) and long-term trends, for each habitat monitored in the </w:t>
      </w:r>
      <w:r w:rsidR="00A355AB" w:rsidRPr="00CB093C">
        <w:rPr>
          <w:rFonts w:ascii="Arial" w:hAnsi="Arial" w:cs="Arial"/>
          <w:i/>
          <w:color w:val="000000"/>
          <w:szCs w:val="22"/>
        </w:rPr>
        <w:t xml:space="preserve">Fitzroy NRM </w:t>
      </w:r>
      <w:r w:rsidR="00A355AB" w:rsidRPr="00CB093C">
        <w:rPr>
          <w:rFonts w:ascii="Arial" w:hAnsi="Arial" w:cs="Arial"/>
          <w:i/>
          <w:szCs w:val="22"/>
        </w:rPr>
        <w:t>region from 2002 to 2018.</w:t>
      </w:r>
      <w:bookmarkEnd w:id="465"/>
    </w:p>
    <w:p w14:paraId="24F3F711" w14:textId="5F4F9D10" w:rsidR="001063D8" w:rsidRPr="00CB093C" w:rsidRDefault="00A355AB" w:rsidP="00A355AB">
      <w:pPr>
        <w:rPr>
          <w:rFonts w:ascii="Arial" w:hAnsi="Arial" w:cs="Arial"/>
          <w:szCs w:val="22"/>
          <w:lang w:val="en-GB"/>
        </w:rPr>
      </w:pPr>
      <w:r w:rsidRPr="00CB093C">
        <w:rPr>
          <w:rFonts w:ascii="Arial" w:hAnsi="Arial" w:cs="Arial"/>
          <w:i/>
          <w:szCs w:val="22"/>
          <w:lang w:val="en-GB"/>
        </w:rPr>
        <w:t xml:space="preserve"> Whisker plots (top) show th</w:t>
      </w:r>
      <w:r w:rsidRPr="00CB093C">
        <w:rPr>
          <w:rFonts w:ascii="Arial" w:hAnsi="Arial" w:cs="Arial"/>
          <w:i/>
          <w:szCs w:val="22"/>
        </w:rPr>
        <w:t>e box representing the interquartile range of values, where the boundary of the box closest to zero indicates the 25</w:t>
      </w:r>
      <w:r w:rsidRPr="00CB093C">
        <w:rPr>
          <w:rFonts w:ascii="Arial" w:hAnsi="Arial" w:cs="Arial"/>
          <w:i/>
          <w:szCs w:val="22"/>
          <w:vertAlign w:val="superscript"/>
        </w:rPr>
        <w:t>th</w:t>
      </w:r>
      <w:r w:rsidRPr="00CB093C">
        <w:rPr>
          <w:rFonts w:ascii="Arial" w:hAnsi="Arial" w:cs="Arial"/>
          <w:i/>
          <w:szCs w:val="22"/>
        </w:rPr>
        <w:t xml:space="preserve"> percentile, a line within the box marks the median, and the boundary of the box farthest from zero indicates the 75</w:t>
      </w:r>
      <w:r w:rsidRPr="00CB093C">
        <w:rPr>
          <w:rFonts w:ascii="Arial" w:hAnsi="Arial" w:cs="Arial"/>
          <w:i/>
          <w:szCs w:val="22"/>
          <w:vertAlign w:val="superscript"/>
        </w:rPr>
        <w:t>th</w:t>
      </w:r>
      <w:r w:rsidRPr="00CB093C">
        <w:rPr>
          <w:rFonts w:ascii="Arial" w:hAnsi="Arial" w:cs="Arial"/>
          <w:i/>
          <w:szCs w:val="22"/>
        </w:rPr>
        <w:t xml:space="preserve"> percentile. Whiskers (error bars) above and below the box indicate the 90</w:t>
      </w:r>
      <w:r w:rsidRPr="00CB093C">
        <w:rPr>
          <w:rFonts w:ascii="Arial" w:hAnsi="Arial" w:cs="Arial"/>
          <w:i/>
          <w:szCs w:val="22"/>
          <w:vertAlign w:val="superscript"/>
        </w:rPr>
        <w:t>th</w:t>
      </w:r>
      <w:r w:rsidRPr="00CB093C">
        <w:rPr>
          <w:rFonts w:ascii="Arial" w:hAnsi="Arial" w:cs="Arial"/>
          <w:i/>
          <w:szCs w:val="22"/>
        </w:rPr>
        <w:t xml:space="preserve"> and 10</w:t>
      </w:r>
      <w:r w:rsidRPr="00CB093C">
        <w:rPr>
          <w:rFonts w:ascii="Arial" w:hAnsi="Arial" w:cs="Arial"/>
          <w:i/>
          <w:szCs w:val="22"/>
          <w:vertAlign w:val="superscript"/>
        </w:rPr>
        <w:t>th</w:t>
      </w:r>
      <w:r w:rsidRPr="00CB093C">
        <w:rPr>
          <w:rFonts w:ascii="Arial" w:hAnsi="Arial" w:cs="Arial"/>
          <w:i/>
          <w:szCs w:val="22"/>
        </w:rPr>
        <w:t xml:space="preserve"> percentiles, and the dots represent outlying points.</w:t>
      </w:r>
      <w:r w:rsidRPr="00CB093C">
        <w:rPr>
          <w:rFonts w:ascii="Arial" w:hAnsi="Arial" w:cs="Arial"/>
          <w:i/>
          <w:szCs w:val="22"/>
          <w:lang w:val="en-GB"/>
        </w:rPr>
        <w:t xml:space="preserve"> </w:t>
      </w:r>
      <w:r w:rsidRPr="00CB093C">
        <w:rPr>
          <w:rFonts w:ascii="Arial" w:hAnsi="Arial" w:cs="Arial"/>
          <w:i/>
          <w:szCs w:val="22"/>
        </w:rPr>
        <w:t>GAMM plots (bottom), show trends for each habitat and coloured lines represent individual site trends</w:t>
      </w:r>
      <w:r w:rsidR="0091038E" w:rsidRPr="00CB093C">
        <w:rPr>
          <w:rFonts w:ascii="Arial" w:hAnsi="Arial" w:cs="Arial"/>
          <w:i/>
          <w:szCs w:val="22"/>
        </w:rPr>
        <w:t>.</w:t>
      </w:r>
    </w:p>
    <w:p w14:paraId="1FD497BA" w14:textId="77777777" w:rsidR="001063D8" w:rsidRPr="00CB093C" w:rsidRDefault="001063D8" w:rsidP="00447BD8">
      <w:pPr>
        <w:rPr>
          <w:rFonts w:ascii="Arial" w:hAnsi="Arial" w:cs="Arial"/>
          <w:color w:val="000000" w:themeColor="text1"/>
          <w:szCs w:val="22"/>
        </w:rPr>
      </w:pPr>
    </w:p>
    <w:p w14:paraId="1D7384A5" w14:textId="616866D4" w:rsidR="004C1F3E" w:rsidRPr="00CB093C" w:rsidRDefault="007E1DF9" w:rsidP="00034AD4">
      <w:pPr>
        <w:rPr>
          <w:rFonts w:ascii="Arial" w:hAnsi="Arial" w:cs="Arial"/>
          <w:szCs w:val="22"/>
        </w:rPr>
      </w:pPr>
      <w:r w:rsidRPr="00CB093C">
        <w:rPr>
          <w:rFonts w:ascii="Arial" w:hAnsi="Arial" w:cs="Arial"/>
          <w:szCs w:val="22"/>
        </w:rPr>
        <w:t>Coastal meadows in Shoalwater Bay (Ross Creek and Wheelans Hut) had an increased proportion of colonising species (</w:t>
      </w:r>
      <w:r w:rsidRPr="00CB093C">
        <w:rPr>
          <w:rFonts w:ascii="Arial" w:hAnsi="Arial" w:cs="Arial"/>
          <w:i/>
          <w:szCs w:val="22"/>
        </w:rPr>
        <w:t>H. ovalis</w:t>
      </w:r>
      <w:r w:rsidRPr="00CB093C">
        <w:rPr>
          <w:rFonts w:ascii="Arial" w:hAnsi="Arial" w:cs="Arial"/>
          <w:szCs w:val="22"/>
        </w:rPr>
        <w:t xml:space="preserve">) after 2011 but remained dominated (&gt;0.5) by the opportunistic species </w:t>
      </w:r>
      <w:r w:rsidRPr="00CB093C">
        <w:rPr>
          <w:rFonts w:ascii="Arial" w:hAnsi="Arial" w:cs="Arial"/>
          <w:i/>
          <w:szCs w:val="22"/>
        </w:rPr>
        <w:t>Z. muelleri</w:t>
      </w:r>
      <w:r w:rsidRPr="00CB093C">
        <w:rPr>
          <w:rFonts w:ascii="Arial" w:hAnsi="Arial" w:cs="Arial"/>
          <w:szCs w:val="22"/>
        </w:rPr>
        <w:t xml:space="preserve"> and </w:t>
      </w:r>
      <w:r w:rsidRPr="00CB093C">
        <w:rPr>
          <w:rFonts w:ascii="Arial" w:hAnsi="Arial" w:cs="Arial"/>
          <w:i/>
          <w:szCs w:val="22"/>
        </w:rPr>
        <w:t>H. uninervis</w:t>
      </w:r>
      <w:r w:rsidR="00433675" w:rsidRPr="00CB093C">
        <w:rPr>
          <w:rFonts w:ascii="Arial" w:hAnsi="Arial" w:cs="Arial"/>
          <w:i/>
          <w:szCs w:val="22"/>
        </w:rPr>
        <w:t xml:space="preserve"> </w:t>
      </w:r>
      <w:r w:rsidR="00433675" w:rsidRPr="00CB093C">
        <w:rPr>
          <w:rFonts w:ascii="Arial" w:hAnsi="Arial" w:cs="Arial"/>
          <w:szCs w:val="22"/>
        </w:rPr>
        <w:t>(</w:t>
      </w:r>
      <w:r w:rsidR="00433675" w:rsidRPr="00CB093C">
        <w:rPr>
          <w:rFonts w:ascii="Arial" w:hAnsi="Arial" w:cs="Arial"/>
          <w:szCs w:val="22"/>
        </w:rPr>
        <w:fldChar w:fldCharType="begin"/>
      </w:r>
      <w:r w:rsidR="00433675" w:rsidRPr="00CB093C">
        <w:rPr>
          <w:rFonts w:ascii="Arial" w:hAnsi="Arial" w:cs="Arial"/>
          <w:szCs w:val="22"/>
        </w:rPr>
        <w:instrText xml:space="preserve"> REF _Ref382209569 \h </w:instrText>
      </w:r>
      <w:r w:rsidR="00580DDA" w:rsidRPr="00CB093C">
        <w:rPr>
          <w:rFonts w:ascii="Arial" w:hAnsi="Arial" w:cs="Arial"/>
          <w:szCs w:val="22"/>
        </w:rPr>
        <w:instrText xml:space="preserve"> \* MERGEFORMAT </w:instrText>
      </w:r>
      <w:r w:rsidR="00433675" w:rsidRPr="00CB093C">
        <w:rPr>
          <w:rFonts w:ascii="Arial" w:hAnsi="Arial" w:cs="Arial"/>
          <w:szCs w:val="22"/>
        </w:rPr>
      </w:r>
      <w:r w:rsidR="00433675" w:rsidRPr="00CB093C">
        <w:rPr>
          <w:rFonts w:ascii="Arial" w:hAnsi="Arial" w:cs="Arial"/>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74</w:t>
      </w:r>
      <w:r w:rsidR="00433675" w:rsidRPr="00CB093C">
        <w:rPr>
          <w:rFonts w:ascii="Arial" w:hAnsi="Arial" w:cs="Arial"/>
          <w:szCs w:val="22"/>
        </w:rPr>
        <w:fldChar w:fldCharType="end"/>
      </w:r>
      <w:r w:rsidR="00433675" w:rsidRPr="00CB093C">
        <w:rPr>
          <w:rFonts w:ascii="Arial" w:hAnsi="Arial" w:cs="Arial"/>
          <w:szCs w:val="22"/>
        </w:rPr>
        <w:t>)</w:t>
      </w:r>
      <w:r w:rsidR="00BF7E27" w:rsidRPr="00CB093C">
        <w:rPr>
          <w:rFonts w:ascii="Arial" w:hAnsi="Arial" w:cs="Arial"/>
          <w:szCs w:val="22"/>
        </w:rPr>
        <w:t xml:space="preserve">. In </w:t>
      </w:r>
      <w:r w:rsidR="003654C6">
        <w:rPr>
          <w:rFonts w:ascii="Arial" w:hAnsi="Arial" w:cs="Arial"/>
          <w:szCs w:val="22"/>
        </w:rPr>
        <w:t>2017–18</w:t>
      </w:r>
      <w:r w:rsidRPr="00CB093C">
        <w:rPr>
          <w:rFonts w:ascii="Arial" w:hAnsi="Arial" w:cs="Arial"/>
          <w:szCs w:val="22"/>
        </w:rPr>
        <w:t xml:space="preserve">, the proportion of these opportunistic species </w:t>
      </w:r>
      <w:r w:rsidR="008D74B2" w:rsidRPr="00CB093C">
        <w:rPr>
          <w:rFonts w:ascii="Arial" w:hAnsi="Arial" w:cs="Arial"/>
          <w:szCs w:val="22"/>
        </w:rPr>
        <w:t>in</w:t>
      </w:r>
      <w:r w:rsidR="004C1F3E" w:rsidRPr="00CB093C">
        <w:rPr>
          <w:rFonts w:ascii="Arial" w:hAnsi="Arial" w:cs="Arial"/>
          <w:szCs w:val="22"/>
        </w:rPr>
        <w:t>creased at both the coastal and estuarine sites (</w:t>
      </w:r>
      <w:r w:rsidR="000F727B" w:rsidRPr="00CB093C">
        <w:rPr>
          <w:rFonts w:ascii="Arial" w:hAnsi="Arial" w:cs="Arial"/>
          <w:szCs w:val="22"/>
        </w:rPr>
        <w:fldChar w:fldCharType="begin"/>
      </w:r>
      <w:r w:rsidR="000F727B" w:rsidRPr="00CB093C">
        <w:rPr>
          <w:rFonts w:ascii="Arial" w:hAnsi="Arial" w:cs="Arial"/>
          <w:szCs w:val="22"/>
        </w:rPr>
        <w:instrText xml:space="preserve"> REF _Ref382209569 \h </w:instrText>
      </w:r>
      <w:r w:rsidR="00CB093C" w:rsidRPr="00CB093C">
        <w:rPr>
          <w:rFonts w:ascii="Arial" w:hAnsi="Arial" w:cs="Arial"/>
          <w:szCs w:val="22"/>
        </w:rPr>
        <w:instrText xml:space="preserve"> \* MERGEFORMAT </w:instrText>
      </w:r>
      <w:r w:rsidR="000F727B" w:rsidRPr="00CB093C">
        <w:rPr>
          <w:rFonts w:ascii="Arial" w:hAnsi="Arial" w:cs="Arial"/>
          <w:szCs w:val="22"/>
        </w:rPr>
      </w:r>
      <w:r w:rsidR="000F727B"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74</w:t>
      </w:r>
      <w:r w:rsidR="000F727B" w:rsidRPr="00CB093C">
        <w:rPr>
          <w:rFonts w:ascii="Arial" w:hAnsi="Arial" w:cs="Arial"/>
          <w:szCs w:val="22"/>
        </w:rPr>
        <w:fldChar w:fldCharType="end"/>
      </w:r>
      <w:r w:rsidR="004C1F3E" w:rsidRPr="00CB093C">
        <w:rPr>
          <w:rFonts w:ascii="Arial" w:hAnsi="Arial" w:cs="Arial"/>
          <w:szCs w:val="22"/>
        </w:rPr>
        <w:t xml:space="preserve">) which continued to be dominated by </w:t>
      </w:r>
      <w:r w:rsidR="004C1F3E" w:rsidRPr="00CB093C">
        <w:rPr>
          <w:rFonts w:ascii="Arial" w:hAnsi="Arial" w:cs="Arial"/>
          <w:i/>
          <w:szCs w:val="22"/>
        </w:rPr>
        <w:t>Zostera muelleri</w:t>
      </w:r>
      <w:r w:rsidR="004C1F3E" w:rsidRPr="00CB093C">
        <w:rPr>
          <w:rFonts w:ascii="Arial" w:hAnsi="Arial" w:cs="Arial"/>
          <w:szCs w:val="22"/>
        </w:rPr>
        <w:t>. Colonising species, however, continued to dominate the reef habitat sites</w:t>
      </w:r>
      <w:r w:rsidR="000F727B" w:rsidRPr="00CB093C">
        <w:rPr>
          <w:rFonts w:ascii="Arial" w:hAnsi="Arial" w:cs="Arial"/>
          <w:szCs w:val="22"/>
        </w:rPr>
        <w:t xml:space="preserve"> (well above the </w:t>
      </w:r>
      <w:r w:rsidR="002F7B2F" w:rsidRPr="00CB093C">
        <w:rPr>
          <w:rFonts w:ascii="Arial" w:hAnsi="Arial" w:cs="Arial"/>
          <w:szCs w:val="22"/>
        </w:rPr>
        <w:t xml:space="preserve">Reef-wide </w:t>
      </w:r>
      <w:r w:rsidR="000F727B" w:rsidRPr="00CB093C">
        <w:rPr>
          <w:rFonts w:ascii="Arial" w:hAnsi="Arial" w:cs="Arial"/>
          <w:szCs w:val="22"/>
        </w:rPr>
        <w:t>long-term average)</w:t>
      </w:r>
      <w:r w:rsidR="004C1F3E" w:rsidRPr="00CB093C">
        <w:rPr>
          <w:rFonts w:ascii="Arial" w:hAnsi="Arial" w:cs="Arial"/>
          <w:szCs w:val="22"/>
        </w:rPr>
        <w:t xml:space="preserve">, </w:t>
      </w:r>
      <w:r w:rsidR="000F727B" w:rsidRPr="00CB093C">
        <w:rPr>
          <w:rFonts w:ascii="Arial" w:hAnsi="Arial" w:cs="Arial"/>
          <w:szCs w:val="22"/>
        </w:rPr>
        <w:t>which appears a direct relationship with decreased</w:t>
      </w:r>
      <w:r w:rsidR="004C1F3E" w:rsidRPr="00CB093C">
        <w:rPr>
          <w:rFonts w:ascii="Arial" w:hAnsi="Arial" w:cs="Arial"/>
          <w:szCs w:val="22"/>
        </w:rPr>
        <w:t xml:space="preserve"> abundance</w:t>
      </w:r>
      <w:r w:rsidR="000F727B" w:rsidRPr="00CB093C">
        <w:rPr>
          <w:rFonts w:ascii="Arial" w:hAnsi="Arial" w:cs="Arial"/>
          <w:szCs w:val="22"/>
        </w:rPr>
        <w:t>s over the last few years (</w:t>
      </w:r>
      <w:r w:rsidR="000F727B" w:rsidRPr="00CB093C">
        <w:rPr>
          <w:rFonts w:ascii="Arial" w:hAnsi="Arial" w:cs="Arial"/>
          <w:szCs w:val="22"/>
        </w:rPr>
        <w:fldChar w:fldCharType="begin"/>
      </w:r>
      <w:r w:rsidR="000F727B" w:rsidRPr="00CB093C">
        <w:rPr>
          <w:rFonts w:ascii="Arial" w:hAnsi="Arial" w:cs="Arial"/>
          <w:szCs w:val="22"/>
        </w:rPr>
        <w:instrText xml:space="preserve"> REF _Ref382209569 \h </w:instrText>
      </w:r>
      <w:r w:rsidR="00CB093C" w:rsidRPr="00CB093C">
        <w:rPr>
          <w:rFonts w:ascii="Arial" w:hAnsi="Arial" w:cs="Arial"/>
          <w:szCs w:val="22"/>
        </w:rPr>
        <w:instrText xml:space="preserve"> \* MERGEFORMAT </w:instrText>
      </w:r>
      <w:r w:rsidR="000F727B" w:rsidRPr="00CB093C">
        <w:rPr>
          <w:rFonts w:ascii="Arial" w:hAnsi="Arial" w:cs="Arial"/>
          <w:szCs w:val="22"/>
        </w:rPr>
      </w:r>
      <w:r w:rsidR="000F727B" w:rsidRPr="00CB093C">
        <w:rPr>
          <w:rFonts w:ascii="Arial" w:hAnsi="Arial" w:cs="Arial"/>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74</w:t>
      </w:r>
      <w:r w:rsidR="000F727B" w:rsidRPr="00CB093C">
        <w:rPr>
          <w:rFonts w:ascii="Arial" w:hAnsi="Arial" w:cs="Arial"/>
          <w:szCs w:val="22"/>
        </w:rPr>
        <w:fldChar w:fldCharType="end"/>
      </w:r>
      <w:r w:rsidR="000F727B" w:rsidRPr="00CB093C">
        <w:rPr>
          <w:rFonts w:ascii="Arial" w:hAnsi="Arial" w:cs="Arial"/>
          <w:szCs w:val="22"/>
        </w:rPr>
        <w:t>)</w:t>
      </w:r>
      <w:r w:rsidR="004C1F3E" w:rsidRPr="00CB093C">
        <w:rPr>
          <w:rFonts w:ascii="Arial" w:hAnsi="Arial" w:cs="Arial"/>
          <w:szCs w:val="22"/>
        </w:rPr>
        <w:t>.</w:t>
      </w:r>
    </w:p>
    <w:p w14:paraId="066D3805" w14:textId="77777777" w:rsidR="0018374A" w:rsidRPr="00CB093C" w:rsidRDefault="0018374A" w:rsidP="00034AD4">
      <w:pPr>
        <w:rPr>
          <w:rFonts w:ascii="Arial" w:hAnsi="Arial" w:cs="Arial"/>
          <w:szCs w:val="22"/>
        </w:rPr>
      </w:pPr>
    </w:p>
    <w:p w14:paraId="3F275588" w14:textId="77777777" w:rsidR="007E1DF9" w:rsidRPr="00CB093C" w:rsidRDefault="00EB62A9" w:rsidP="00C91494">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617968CA" wp14:editId="114B15D2">
            <wp:extent cx="5760000" cy="1400085"/>
            <wp:effectExtent l="0" t="0" r="0" b="0"/>
            <wp:docPr id="10156" name="Picture 10156" descr="Panel of three graphs showing proportion of total seagrass abundance composed of species displaying colonising traits (e.g. Halophila ovalis) in each inshore intertidal habitat (sites pooled) in the Fitzroy NRM region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6" name="F_colonising_2016.png"/>
                    <pic:cNvPicPr/>
                  </pic:nvPicPr>
                  <pic:blipFill>
                    <a:blip r:embed="rId117">
                      <a:extLst>
                        <a:ext uri="{28A0092B-C50C-407E-A947-70E740481C1C}">
                          <a14:useLocalDpi xmlns:a14="http://schemas.microsoft.com/office/drawing/2010/main" val="0"/>
                        </a:ext>
                      </a:extLst>
                    </a:blip>
                    <a:stretch>
                      <a:fillRect/>
                    </a:stretch>
                  </pic:blipFill>
                  <pic:spPr>
                    <a:xfrm>
                      <a:off x="0" y="0"/>
                      <a:ext cx="5760000" cy="1400085"/>
                    </a:xfrm>
                    <a:prstGeom prst="rect">
                      <a:avLst/>
                    </a:prstGeom>
                  </pic:spPr>
                </pic:pic>
              </a:graphicData>
            </a:graphic>
          </wp:inline>
        </w:drawing>
      </w:r>
    </w:p>
    <w:p w14:paraId="6309253C" w14:textId="0AFBE884" w:rsidR="00244FEE" w:rsidRPr="00CB093C" w:rsidRDefault="008C4B1E" w:rsidP="00244FEE">
      <w:pPr>
        <w:rPr>
          <w:rFonts w:ascii="Arial" w:hAnsi="Arial" w:cs="Arial"/>
          <w:i/>
          <w:vanish/>
          <w:szCs w:val="22"/>
          <w:specVanish/>
        </w:rPr>
      </w:pPr>
      <w:bookmarkStart w:id="466" w:name="_Ref382209569"/>
      <w:bookmarkStart w:id="467" w:name="_Toc431493888"/>
      <w:bookmarkStart w:id="468" w:name="_Toc6402839"/>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74</w:t>
      </w:r>
      <w:r w:rsidR="0073595B" w:rsidRPr="00CB093C">
        <w:rPr>
          <w:rFonts w:ascii="Arial" w:hAnsi="Arial" w:cs="Arial"/>
          <w:color w:val="000000"/>
          <w:szCs w:val="22"/>
        </w:rPr>
        <w:fldChar w:fldCharType="end"/>
      </w:r>
      <w:bookmarkEnd w:id="466"/>
      <w:r w:rsidRPr="00CB093C">
        <w:rPr>
          <w:rFonts w:ascii="Arial" w:hAnsi="Arial" w:cs="Arial"/>
          <w:color w:val="000000"/>
          <w:szCs w:val="22"/>
        </w:rPr>
        <w:t xml:space="preserve">. </w:t>
      </w:r>
      <w:r w:rsidRPr="00CB093C">
        <w:rPr>
          <w:rFonts w:ascii="Arial" w:hAnsi="Arial" w:cs="Arial"/>
          <w:i/>
          <w:color w:val="000000"/>
          <w:szCs w:val="22"/>
        </w:rPr>
        <w:t xml:space="preserve">Proportion of seagrass abundance composed of </w:t>
      </w:r>
      <w:r w:rsidR="007E1DF9" w:rsidRPr="00CB093C">
        <w:rPr>
          <w:rFonts w:ascii="Arial" w:hAnsi="Arial" w:cs="Arial"/>
          <w:i/>
          <w:color w:val="000000"/>
          <w:szCs w:val="22"/>
        </w:rPr>
        <w:t>colonising</w:t>
      </w:r>
      <w:r w:rsidRPr="00CB093C">
        <w:rPr>
          <w:rFonts w:ascii="Arial" w:hAnsi="Arial" w:cs="Arial"/>
          <w:i/>
          <w:color w:val="000000"/>
          <w:szCs w:val="22"/>
        </w:rPr>
        <w:t xml:space="preserve"> species</w:t>
      </w:r>
      <w:r w:rsidR="00244FEE" w:rsidRPr="00CB093C">
        <w:rPr>
          <w:rFonts w:ascii="Arial" w:hAnsi="Arial" w:cs="Arial"/>
          <w:i/>
          <w:color w:val="000000"/>
          <w:szCs w:val="22"/>
        </w:rPr>
        <w:t xml:space="preserve"> in inshore intertidal </w:t>
      </w:r>
      <w:r w:rsidR="00244FEE" w:rsidRPr="00CB093C">
        <w:rPr>
          <w:rFonts w:ascii="Arial" w:hAnsi="Arial" w:cs="Arial"/>
          <w:i/>
          <w:szCs w:val="22"/>
        </w:rPr>
        <w:t>habitats of the Fitzroy region, 2001</w:t>
      </w:r>
      <w:r w:rsidR="00A675DA" w:rsidRPr="00CB093C">
        <w:rPr>
          <w:rFonts w:ascii="Arial" w:hAnsi="Arial" w:cs="Arial"/>
          <w:i/>
          <w:szCs w:val="22"/>
        </w:rPr>
        <w:t>–</w:t>
      </w:r>
      <w:r w:rsidR="00244FEE" w:rsidRPr="00CB093C">
        <w:rPr>
          <w:rFonts w:ascii="Arial" w:hAnsi="Arial" w:cs="Arial"/>
          <w:i/>
          <w:szCs w:val="22"/>
        </w:rPr>
        <w:t>201</w:t>
      </w:r>
      <w:r w:rsidR="00202B9D" w:rsidRPr="00CB093C">
        <w:rPr>
          <w:rFonts w:ascii="Arial" w:hAnsi="Arial" w:cs="Arial"/>
          <w:i/>
          <w:szCs w:val="22"/>
        </w:rPr>
        <w:t>8</w:t>
      </w:r>
      <w:r w:rsidRPr="00CB093C">
        <w:rPr>
          <w:rFonts w:ascii="Arial" w:hAnsi="Arial" w:cs="Arial"/>
          <w:i/>
          <w:szCs w:val="22"/>
        </w:rPr>
        <w:t>.</w:t>
      </w:r>
      <w:bookmarkEnd w:id="467"/>
      <w:bookmarkEnd w:id="468"/>
      <w:r w:rsidRPr="00CB093C">
        <w:rPr>
          <w:rFonts w:ascii="Arial" w:hAnsi="Arial" w:cs="Arial"/>
          <w:i/>
          <w:szCs w:val="22"/>
        </w:rPr>
        <w:t xml:space="preserve"> </w:t>
      </w:r>
    </w:p>
    <w:p w14:paraId="70E65F09" w14:textId="784126E2" w:rsidR="00244FEE" w:rsidRPr="00CB093C" w:rsidRDefault="008C4B1E" w:rsidP="00244FEE">
      <w:pPr>
        <w:rPr>
          <w:rFonts w:ascii="Arial" w:hAnsi="Arial" w:cs="Arial"/>
          <w:color w:val="000000"/>
          <w:szCs w:val="22"/>
        </w:rPr>
      </w:pPr>
      <w:r w:rsidRPr="00CB093C">
        <w:rPr>
          <w:rFonts w:ascii="Arial" w:hAnsi="Arial" w:cs="Arial"/>
          <w:i/>
          <w:szCs w:val="22"/>
        </w:rPr>
        <w:t xml:space="preserve">Grey area represents </w:t>
      </w:r>
      <w:r w:rsidR="003158FC" w:rsidRPr="00CB093C">
        <w:rPr>
          <w:rFonts w:ascii="Arial" w:hAnsi="Arial" w:cs="Arial"/>
          <w:i/>
          <w:szCs w:val="22"/>
        </w:rPr>
        <w:t>Reef</w:t>
      </w:r>
      <w:r w:rsidRPr="00CB093C">
        <w:rPr>
          <w:rFonts w:ascii="Arial" w:hAnsi="Arial" w:cs="Arial"/>
          <w:i/>
          <w:szCs w:val="22"/>
        </w:rPr>
        <w:t xml:space="preserve"> long-term average proportion </w:t>
      </w:r>
      <w:r w:rsidRPr="00CB093C">
        <w:rPr>
          <w:rFonts w:ascii="Arial" w:hAnsi="Arial" w:cs="Arial"/>
          <w:i/>
          <w:color w:val="000000"/>
          <w:szCs w:val="22"/>
        </w:rPr>
        <w:t xml:space="preserve">of </w:t>
      </w:r>
      <w:r w:rsidR="007E1DF9" w:rsidRPr="00CB093C">
        <w:rPr>
          <w:rFonts w:ascii="Arial" w:hAnsi="Arial" w:cs="Arial"/>
          <w:i/>
          <w:color w:val="000000"/>
          <w:szCs w:val="22"/>
        </w:rPr>
        <w:t xml:space="preserve">colonising </w:t>
      </w:r>
      <w:r w:rsidRPr="00CB093C">
        <w:rPr>
          <w:rFonts w:ascii="Arial" w:hAnsi="Arial" w:cs="Arial"/>
          <w:i/>
          <w:color w:val="000000"/>
          <w:szCs w:val="22"/>
        </w:rPr>
        <w:t>species for each habitat type.</w:t>
      </w:r>
      <w:r w:rsidR="00244FEE" w:rsidRPr="00CB093C">
        <w:rPr>
          <w:rFonts w:ascii="Arial" w:hAnsi="Arial" w:cs="Arial"/>
          <w:color w:val="000000"/>
          <w:szCs w:val="22"/>
        </w:rPr>
        <w:t xml:space="preserve"> </w:t>
      </w:r>
    </w:p>
    <w:p w14:paraId="52DD4C5F" w14:textId="391E1F66" w:rsidR="000F727B" w:rsidRPr="00CB093C" w:rsidRDefault="005132EF" w:rsidP="00034AD4">
      <w:pPr>
        <w:rPr>
          <w:rFonts w:ascii="Arial" w:hAnsi="Arial" w:cs="Arial"/>
          <w:szCs w:val="22"/>
        </w:rPr>
      </w:pPr>
      <w:bookmarkStart w:id="469" w:name="_Toc176158946"/>
      <w:bookmarkStart w:id="470" w:name="_Ref211934301"/>
      <w:r w:rsidRPr="00CB093C">
        <w:rPr>
          <w:rFonts w:ascii="Arial" w:hAnsi="Arial" w:cs="Arial"/>
          <w:szCs w:val="22"/>
        </w:rPr>
        <w:t xml:space="preserve">The </w:t>
      </w:r>
      <w:r w:rsidR="00C91494" w:rsidRPr="00CB093C">
        <w:rPr>
          <w:rFonts w:ascii="Arial" w:hAnsi="Arial" w:cs="Arial"/>
          <w:szCs w:val="22"/>
        </w:rPr>
        <w:t xml:space="preserve">extent of the </w:t>
      </w:r>
      <w:r w:rsidRPr="00CB093C">
        <w:rPr>
          <w:rFonts w:ascii="Arial" w:hAnsi="Arial" w:cs="Arial"/>
          <w:szCs w:val="22"/>
        </w:rPr>
        <w:t xml:space="preserve">coastal meadows </w:t>
      </w:r>
      <w:r w:rsidR="00C91494" w:rsidRPr="00CB093C">
        <w:rPr>
          <w:rFonts w:ascii="Arial" w:hAnsi="Arial" w:cs="Arial"/>
          <w:szCs w:val="22"/>
        </w:rPr>
        <w:t xml:space="preserve">within monitoring sites </w:t>
      </w:r>
      <w:r w:rsidRPr="00CB093C">
        <w:rPr>
          <w:rFonts w:ascii="Arial" w:hAnsi="Arial" w:cs="Arial"/>
          <w:szCs w:val="22"/>
        </w:rPr>
        <w:t>in Shoalwater Bay ha</w:t>
      </w:r>
      <w:r w:rsidR="00C91494" w:rsidRPr="00CB093C">
        <w:rPr>
          <w:rFonts w:ascii="Arial" w:hAnsi="Arial" w:cs="Arial"/>
          <w:szCs w:val="22"/>
        </w:rPr>
        <w:t>s</w:t>
      </w:r>
      <w:r w:rsidRPr="00CB093C">
        <w:rPr>
          <w:rFonts w:ascii="Arial" w:hAnsi="Arial" w:cs="Arial"/>
          <w:szCs w:val="22"/>
        </w:rPr>
        <w:t xml:space="preserve"> remained stable </w:t>
      </w:r>
      <w:r w:rsidR="00D56284" w:rsidRPr="00CB093C">
        <w:rPr>
          <w:rFonts w:ascii="Arial" w:hAnsi="Arial" w:cs="Arial"/>
          <w:szCs w:val="22"/>
        </w:rPr>
        <w:t xml:space="preserve">at </w:t>
      </w:r>
      <w:r w:rsidR="00C91494" w:rsidRPr="00CB093C">
        <w:rPr>
          <w:rFonts w:ascii="Arial" w:hAnsi="Arial" w:cs="Arial"/>
          <w:szCs w:val="22"/>
        </w:rPr>
        <w:t xml:space="preserve">the </w:t>
      </w:r>
      <w:r w:rsidR="00D56284" w:rsidRPr="00CB093C">
        <w:rPr>
          <w:rFonts w:ascii="Arial" w:hAnsi="Arial" w:cs="Arial"/>
          <w:szCs w:val="22"/>
        </w:rPr>
        <w:t>maximum</w:t>
      </w:r>
      <w:r w:rsidRPr="00CB093C">
        <w:rPr>
          <w:rFonts w:ascii="Arial" w:hAnsi="Arial" w:cs="Arial"/>
          <w:szCs w:val="22"/>
        </w:rPr>
        <w:t xml:space="preserve"> since monitoring </w:t>
      </w:r>
      <w:r w:rsidR="00C91494" w:rsidRPr="00CB093C">
        <w:rPr>
          <w:rFonts w:ascii="Arial" w:hAnsi="Arial" w:cs="Arial"/>
          <w:szCs w:val="22"/>
        </w:rPr>
        <w:t>commenced in 2005</w:t>
      </w:r>
      <w:r w:rsidR="00212E8E" w:rsidRPr="00CB093C">
        <w:rPr>
          <w:rFonts w:ascii="Arial" w:hAnsi="Arial" w:cs="Arial"/>
          <w:szCs w:val="22"/>
        </w:rPr>
        <w:t xml:space="preserve">. The </w:t>
      </w:r>
      <w:r w:rsidR="00C91494" w:rsidRPr="00CB093C">
        <w:rPr>
          <w:rFonts w:ascii="Arial" w:hAnsi="Arial" w:cs="Arial"/>
          <w:szCs w:val="22"/>
        </w:rPr>
        <w:t xml:space="preserve">extent of the </w:t>
      </w:r>
      <w:r w:rsidR="00212E8E" w:rsidRPr="00CB093C">
        <w:rPr>
          <w:rFonts w:ascii="Arial" w:hAnsi="Arial" w:cs="Arial"/>
          <w:szCs w:val="22"/>
        </w:rPr>
        <w:t>estuarine meadows ha</w:t>
      </w:r>
      <w:r w:rsidR="00C91494" w:rsidRPr="00CB093C">
        <w:rPr>
          <w:rFonts w:ascii="Arial" w:hAnsi="Arial" w:cs="Arial"/>
          <w:szCs w:val="22"/>
        </w:rPr>
        <w:t>s</w:t>
      </w:r>
      <w:r w:rsidR="00212E8E" w:rsidRPr="00CB093C">
        <w:rPr>
          <w:rFonts w:ascii="Arial" w:hAnsi="Arial" w:cs="Arial"/>
          <w:szCs w:val="22"/>
        </w:rPr>
        <w:t xml:space="preserve"> </w:t>
      </w:r>
      <w:r w:rsidR="000F727B" w:rsidRPr="00CB093C">
        <w:rPr>
          <w:rFonts w:ascii="Arial" w:hAnsi="Arial" w:cs="Arial"/>
          <w:szCs w:val="22"/>
        </w:rPr>
        <w:t>fluctuated</w:t>
      </w:r>
      <w:r w:rsidR="00212E8E" w:rsidRPr="00CB093C">
        <w:rPr>
          <w:rFonts w:ascii="Arial" w:hAnsi="Arial" w:cs="Arial"/>
          <w:szCs w:val="22"/>
        </w:rPr>
        <w:t xml:space="preserve"> </w:t>
      </w:r>
      <w:r w:rsidR="000F727B" w:rsidRPr="00CB093C">
        <w:rPr>
          <w:rFonts w:ascii="Arial" w:hAnsi="Arial" w:cs="Arial"/>
          <w:szCs w:val="22"/>
        </w:rPr>
        <w:t>since</w:t>
      </w:r>
      <w:r w:rsidR="00792C0E" w:rsidRPr="00CB093C">
        <w:rPr>
          <w:rFonts w:ascii="Arial" w:hAnsi="Arial" w:cs="Arial"/>
          <w:szCs w:val="22"/>
        </w:rPr>
        <w:t xml:space="preserve"> 2016 when there was a large reduction in one of the sites</w:t>
      </w:r>
      <w:r w:rsidR="000F727B" w:rsidRPr="00CB093C">
        <w:rPr>
          <w:rFonts w:ascii="Arial" w:hAnsi="Arial" w:cs="Arial"/>
          <w:szCs w:val="22"/>
        </w:rPr>
        <w:t xml:space="preserve"> due to extensive scarring and sediment deposition</w:t>
      </w:r>
      <w:r w:rsidR="00C91494" w:rsidRPr="00CB093C">
        <w:rPr>
          <w:rFonts w:ascii="Arial" w:hAnsi="Arial" w:cs="Arial"/>
          <w:szCs w:val="22"/>
        </w:rPr>
        <w:t xml:space="preserve">. </w:t>
      </w:r>
      <w:r w:rsidR="002F7B2F" w:rsidRPr="00CB093C">
        <w:rPr>
          <w:rFonts w:ascii="Arial" w:hAnsi="Arial" w:cs="Arial"/>
          <w:szCs w:val="22"/>
        </w:rPr>
        <w:t>This year</w:t>
      </w:r>
      <w:r w:rsidR="000F727B" w:rsidRPr="00CB093C">
        <w:rPr>
          <w:rFonts w:ascii="Arial" w:hAnsi="Arial" w:cs="Arial"/>
          <w:szCs w:val="22"/>
        </w:rPr>
        <w:t xml:space="preserve"> the scarring had abated and the meadow was showing signs of recovering, </w:t>
      </w:r>
      <w:r w:rsidR="004765F2" w:rsidRPr="00CB093C">
        <w:rPr>
          <w:rFonts w:ascii="Arial" w:hAnsi="Arial" w:cs="Arial"/>
          <w:szCs w:val="22"/>
        </w:rPr>
        <w:t>e.g.</w:t>
      </w:r>
      <w:r w:rsidR="000F727B" w:rsidRPr="00CB093C">
        <w:rPr>
          <w:rFonts w:ascii="Arial" w:hAnsi="Arial" w:cs="Arial"/>
          <w:szCs w:val="22"/>
        </w:rPr>
        <w:t xml:space="preserve"> shoot extension and </w:t>
      </w:r>
      <w:r w:rsidR="004765F2" w:rsidRPr="00CB093C">
        <w:rPr>
          <w:rFonts w:ascii="Arial" w:hAnsi="Arial" w:cs="Arial"/>
          <w:szCs w:val="22"/>
        </w:rPr>
        <w:t xml:space="preserve">improved </w:t>
      </w:r>
      <w:r w:rsidR="000F727B" w:rsidRPr="00CB093C">
        <w:rPr>
          <w:rFonts w:ascii="Arial" w:hAnsi="Arial" w:cs="Arial"/>
          <w:szCs w:val="22"/>
        </w:rPr>
        <w:t xml:space="preserve">meadow </w:t>
      </w:r>
      <w:r w:rsidR="008D74B2" w:rsidRPr="00CB093C">
        <w:rPr>
          <w:rFonts w:ascii="Arial" w:hAnsi="Arial" w:cs="Arial"/>
          <w:szCs w:val="22"/>
        </w:rPr>
        <w:t>cohesion</w:t>
      </w:r>
      <w:r w:rsidR="000F727B" w:rsidRPr="00CB093C">
        <w:rPr>
          <w:rFonts w:ascii="Arial" w:hAnsi="Arial" w:cs="Arial"/>
          <w:szCs w:val="22"/>
        </w:rPr>
        <w:t>. Conversely, meadows on the reef flat at Great Keppel Island remained highly fragmented after the 2016 losses an</w:t>
      </w:r>
      <w:r w:rsidR="004765F2" w:rsidRPr="00CB093C">
        <w:rPr>
          <w:rFonts w:ascii="Arial" w:hAnsi="Arial" w:cs="Arial"/>
          <w:szCs w:val="22"/>
        </w:rPr>
        <w:t>d show little sign of recovery, e.g. unstable sediments.</w:t>
      </w:r>
    </w:p>
    <w:p w14:paraId="66D5A73A" w14:textId="77777777" w:rsidR="004765F2" w:rsidRPr="00CB093C" w:rsidRDefault="004765F2" w:rsidP="00034AD4">
      <w:pPr>
        <w:rPr>
          <w:rFonts w:ascii="Arial" w:hAnsi="Arial" w:cs="Arial"/>
          <w:szCs w:val="22"/>
        </w:rPr>
      </w:pPr>
    </w:p>
    <w:p w14:paraId="2B1E993D" w14:textId="77777777" w:rsidR="007E1DF9" w:rsidRPr="00CB093C" w:rsidRDefault="00EB62A9" w:rsidP="00C91494">
      <w:pPr>
        <w:keepNext/>
        <w:widowControl w:val="0"/>
        <w:spacing w:after="0"/>
        <w:jc w:val="center"/>
        <w:rPr>
          <w:rFonts w:ascii="Arial" w:hAnsi="Arial" w:cs="Arial"/>
          <w:szCs w:val="22"/>
        </w:rPr>
      </w:pPr>
      <w:r w:rsidRPr="00CB093C">
        <w:rPr>
          <w:rFonts w:ascii="Arial" w:hAnsi="Arial" w:cs="Arial"/>
          <w:noProof/>
          <w:szCs w:val="22"/>
          <w:lang w:val="en-US"/>
        </w:rPr>
        <w:drawing>
          <wp:inline distT="0" distB="0" distL="0" distR="0" wp14:anchorId="269BD788" wp14:editId="7FD0C4F2">
            <wp:extent cx="4092412" cy="1804256"/>
            <wp:effectExtent l="0" t="0" r="3810" b="5715"/>
            <wp:docPr id="10157" name="Picture 10157" descr="Line graph showing spatial extent of seagrass meadows within a 100m radius of monitoring sites for each habitat and monitoring period across the Fitzro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7" name="F_extent_avg_2016.png"/>
                    <pic:cNvPicPr/>
                  </pic:nvPicPr>
                  <pic:blipFill>
                    <a:blip r:embed="rId118">
                      <a:extLst>
                        <a:ext uri="{28A0092B-C50C-407E-A947-70E740481C1C}">
                          <a14:useLocalDpi xmlns:a14="http://schemas.microsoft.com/office/drawing/2010/main" val="0"/>
                        </a:ext>
                      </a:extLst>
                    </a:blip>
                    <a:stretch>
                      <a:fillRect/>
                    </a:stretch>
                  </pic:blipFill>
                  <pic:spPr>
                    <a:xfrm>
                      <a:off x="0" y="0"/>
                      <a:ext cx="4092412" cy="1804256"/>
                    </a:xfrm>
                    <a:prstGeom prst="rect">
                      <a:avLst/>
                    </a:prstGeom>
                  </pic:spPr>
                </pic:pic>
              </a:graphicData>
            </a:graphic>
          </wp:inline>
        </w:drawing>
      </w:r>
    </w:p>
    <w:p w14:paraId="4FE98B48" w14:textId="2CD48063" w:rsidR="008C4B1E" w:rsidRPr="00CB093C" w:rsidRDefault="005132EF" w:rsidP="008C4B1E">
      <w:pPr>
        <w:rPr>
          <w:rFonts w:ascii="Arial" w:hAnsi="Arial" w:cs="Arial"/>
          <w:i/>
          <w:szCs w:val="22"/>
        </w:rPr>
      </w:pPr>
      <w:bookmarkStart w:id="471" w:name="_Ref179512152"/>
      <w:bookmarkStart w:id="472" w:name="_Toc176158920"/>
      <w:bookmarkStart w:id="473" w:name="_Toc232846022"/>
      <w:bookmarkStart w:id="474" w:name="_Toc431493889"/>
      <w:bookmarkStart w:id="475" w:name="_Toc6402840"/>
      <w:r w:rsidRPr="00CB093C">
        <w:rPr>
          <w:rFonts w:ascii="Arial" w:hAnsi="Arial" w:cs="Arial"/>
          <w:szCs w:val="22"/>
        </w:rPr>
        <w:t xml:space="preserve">Figure </w:t>
      </w:r>
      <w:r w:rsidR="0073595B" w:rsidRPr="00CB093C">
        <w:rPr>
          <w:rFonts w:ascii="Arial" w:hAnsi="Arial" w:cs="Arial"/>
          <w:szCs w:val="22"/>
        </w:rPr>
        <w:fldChar w:fldCharType="begin"/>
      </w:r>
      <w:r w:rsidR="0073595B" w:rsidRPr="00CB093C">
        <w:rPr>
          <w:rFonts w:ascii="Arial" w:hAnsi="Arial" w:cs="Arial"/>
          <w:szCs w:val="22"/>
        </w:rPr>
        <w:instrText xml:space="preserve"> SEQ Figure \* ARABIC </w:instrText>
      </w:r>
      <w:r w:rsidR="0073595B" w:rsidRPr="00CB093C">
        <w:rPr>
          <w:rFonts w:ascii="Arial" w:hAnsi="Arial" w:cs="Arial"/>
          <w:szCs w:val="22"/>
        </w:rPr>
        <w:fldChar w:fldCharType="separate"/>
      </w:r>
      <w:r w:rsidR="005F00D4">
        <w:rPr>
          <w:rFonts w:ascii="Arial" w:hAnsi="Arial" w:cs="Arial"/>
          <w:noProof/>
          <w:szCs w:val="22"/>
        </w:rPr>
        <w:t>75</w:t>
      </w:r>
      <w:r w:rsidR="0073595B" w:rsidRPr="00CB093C">
        <w:rPr>
          <w:rFonts w:ascii="Arial" w:hAnsi="Arial" w:cs="Arial"/>
          <w:szCs w:val="22"/>
        </w:rPr>
        <w:fldChar w:fldCharType="end"/>
      </w:r>
      <w:bookmarkEnd w:id="471"/>
      <w:r w:rsidRPr="00CB093C">
        <w:rPr>
          <w:rFonts w:ascii="Arial" w:hAnsi="Arial" w:cs="Arial"/>
          <w:szCs w:val="22"/>
        </w:rPr>
        <w:t xml:space="preserve">. </w:t>
      </w:r>
      <w:bookmarkEnd w:id="472"/>
      <w:bookmarkEnd w:id="473"/>
      <w:r w:rsidR="008C4B1E" w:rsidRPr="00CB093C">
        <w:rPr>
          <w:rFonts w:ascii="Arial" w:hAnsi="Arial" w:cs="Arial"/>
          <w:i/>
          <w:szCs w:val="22"/>
        </w:rPr>
        <w:t xml:space="preserve">Change in spatial extent of seagrass meadows within monitoring sites for each </w:t>
      </w:r>
      <w:r w:rsidR="00244FEE" w:rsidRPr="00CB093C">
        <w:rPr>
          <w:rFonts w:ascii="Arial" w:hAnsi="Arial" w:cs="Arial"/>
          <w:i/>
          <w:szCs w:val="22"/>
        </w:rPr>
        <w:t xml:space="preserve">inshore intertidal </w:t>
      </w:r>
      <w:r w:rsidR="008C4B1E" w:rsidRPr="00CB093C">
        <w:rPr>
          <w:rFonts w:ascii="Arial" w:hAnsi="Arial" w:cs="Arial"/>
          <w:i/>
          <w:szCs w:val="22"/>
        </w:rPr>
        <w:t xml:space="preserve">habitat across the </w:t>
      </w:r>
      <w:r w:rsidR="003126B8" w:rsidRPr="00CB093C">
        <w:rPr>
          <w:rFonts w:ascii="Arial" w:hAnsi="Arial" w:cs="Arial"/>
          <w:i/>
          <w:szCs w:val="22"/>
        </w:rPr>
        <w:t xml:space="preserve">Fitzroy </w:t>
      </w:r>
      <w:r w:rsidR="008C4B1E" w:rsidRPr="00CB093C">
        <w:rPr>
          <w:rFonts w:ascii="Arial" w:hAnsi="Arial" w:cs="Arial"/>
          <w:i/>
          <w:szCs w:val="22"/>
        </w:rPr>
        <w:t>NRM region</w:t>
      </w:r>
      <w:r w:rsidR="00244FEE" w:rsidRPr="00CB093C">
        <w:rPr>
          <w:rFonts w:ascii="Arial" w:hAnsi="Arial" w:cs="Arial"/>
          <w:i/>
          <w:szCs w:val="22"/>
        </w:rPr>
        <w:t>, 2005</w:t>
      </w:r>
      <w:r w:rsidR="00A675DA" w:rsidRPr="00CB093C">
        <w:rPr>
          <w:rFonts w:ascii="Arial" w:hAnsi="Arial" w:cs="Arial"/>
          <w:i/>
          <w:szCs w:val="22"/>
        </w:rPr>
        <w:t>–</w:t>
      </w:r>
      <w:r w:rsidR="00244FEE" w:rsidRPr="00CB093C">
        <w:rPr>
          <w:rFonts w:ascii="Arial" w:hAnsi="Arial" w:cs="Arial"/>
          <w:i/>
          <w:szCs w:val="22"/>
        </w:rPr>
        <w:t>201</w:t>
      </w:r>
      <w:r w:rsidR="00D40A36" w:rsidRPr="00CB093C">
        <w:rPr>
          <w:rFonts w:ascii="Arial" w:hAnsi="Arial" w:cs="Arial"/>
          <w:i/>
          <w:szCs w:val="22"/>
        </w:rPr>
        <w:t>8</w:t>
      </w:r>
      <w:r w:rsidR="008C4B1E" w:rsidRPr="00CB093C">
        <w:rPr>
          <w:rFonts w:ascii="Arial" w:hAnsi="Arial" w:cs="Arial"/>
          <w:i/>
          <w:szCs w:val="22"/>
        </w:rPr>
        <w:t>.</w:t>
      </w:r>
      <w:bookmarkEnd w:id="474"/>
      <w:bookmarkEnd w:id="475"/>
    </w:p>
    <w:p w14:paraId="4927A953" w14:textId="7C526E0B" w:rsidR="005132EF" w:rsidRPr="00CB093C" w:rsidRDefault="005132EF" w:rsidP="000F3AC4">
      <w:pPr>
        <w:pStyle w:val="Heading3"/>
        <w:numPr>
          <w:ilvl w:val="3"/>
          <w:numId w:val="4"/>
        </w:numPr>
        <w:rPr>
          <w:rFonts w:ascii="Arial" w:hAnsi="Arial" w:cs="Arial"/>
          <w:b w:val="0"/>
          <w:i/>
          <w:color w:val="000000"/>
          <w:sz w:val="22"/>
          <w:szCs w:val="22"/>
        </w:rPr>
      </w:pPr>
      <w:bookmarkStart w:id="476" w:name="_Toc184102028"/>
      <w:bookmarkStart w:id="477" w:name="_Toc11394766"/>
      <w:bookmarkEnd w:id="469"/>
      <w:bookmarkEnd w:id="470"/>
      <w:r w:rsidRPr="00CB093C">
        <w:rPr>
          <w:rFonts w:ascii="Arial" w:hAnsi="Arial" w:cs="Arial"/>
          <w:b w:val="0"/>
          <w:i/>
          <w:color w:val="000000"/>
          <w:sz w:val="22"/>
          <w:szCs w:val="22"/>
        </w:rPr>
        <w:t>Seagrass reproductive status</w:t>
      </w:r>
      <w:bookmarkEnd w:id="476"/>
      <w:bookmarkEnd w:id="477"/>
    </w:p>
    <w:p w14:paraId="1197C240" w14:textId="42621C20" w:rsidR="007E1DF9" w:rsidRPr="00CB093C" w:rsidRDefault="004765F2" w:rsidP="007E1DF9">
      <w:pPr>
        <w:rPr>
          <w:rFonts w:ascii="Arial" w:hAnsi="Arial" w:cs="Arial"/>
          <w:szCs w:val="22"/>
          <w:lang w:eastAsia="en-AU"/>
        </w:rPr>
      </w:pPr>
      <w:r w:rsidRPr="00CB093C">
        <w:rPr>
          <w:rFonts w:ascii="Arial" w:hAnsi="Arial" w:cs="Arial"/>
          <w:szCs w:val="22"/>
          <w:lang w:eastAsia="en-AU"/>
        </w:rPr>
        <w:t>Reproductive effort has varied inconsistently among habitats</w:t>
      </w:r>
      <w:r w:rsidRPr="00CB093C">
        <w:rPr>
          <w:rFonts w:ascii="Arial" w:hAnsi="Arial" w:cs="Arial"/>
          <w:szCs w:val="22"/>
          <w:lang w:val="en-GB"/>
        </w:rPr>
        <w:t xml:space="preserve"> in the Fitzroy region over the life of the MMP (</w:t>
      </w:r>
      <w:r w:rsidRPr="00CB093C">
        <w:rPr>
          <w:rFonts w:ascii="Arial" w:hAnsi="Arial" w:cs="Arial"/>
          <w:szCs w:val="22"/>
          <w:lang w:val="en-GB"/>
        </w:rPr>
        <w:fldChar w:fldCharType="begin"/>
      </w:r>
      <w:r w:rsidRPr="00CB093C">
        <w:rPr>
          <w:rFonts w:ascii="Arial" w:hAnsi="Arial" w:cs="Arial"/>
          <w:szCs w:val="22"/>
          <w:lang w:val="en-GB"/>
        </w:rPr>
        <w:instrText xml:space="preserve"> REF _Ref382209642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76</w:t>
      </w:r>
      <w:r w:rsidRPr="00CB093C">
        <w:rPr>
          <w:rFonts w:ascii="Arial" w:hAnsi="Arial" w:cs="Arial"/>
          <w:szCs w:val="22"/>
          <w:lang w:val="en-GB"/>
        </w:rPr>
        <w:fldChar w:fldCharType="end"/>
      </w:r>
      <w:r w:rsidRPr="00CB093C">
        <w:rPr>
          <w:rFonts w:ascii="Arial" w:hAnsi="Arial" w:cs="Arial"/>
          <w:szCs w:val="22"/>
          <w:lang w:val="en-GB"/>
        </w:rPr>
        <w:t xml:space="preserve">). </w:t>
      </w:r>
      <w:r w:rsidR="00F4037E" w:rsidRPr="00CB093C">
        <w:rPr>
          <w:rFonts w:ascii="Arial" w:hAnsi="Arial" w:cs="Arial"/>
          <w:szCs w:val="22"/>
          <w:lang w:eastAsia="en-AU"/>
        </w:rPr>
        <w:t xml:space="preserve">Reproductive effort </w:t>
      </w:r>
      <w:r w:rsidR="00297FAD" w:rsidRPr="00CB093C">
        <w:rPr>
          <w:rFonts w:ascii="Arial" w:hAnsi="Arial" w:cs="Arial"/>
          <w:szCs w:val="22"/>
          <w:lang w:eastAsia="en-AU"/>
        </w:rPr>
        <w:t xml:space="preserve">increased at </w:t>
      </w:r>
      <w:r w:rsidR="00710BBC" w:rsidRPr="00CB093C">
        <w:rPr>
          <w:rFonts w:ascii="Arial" w:hAnsi="Arial" w:cs="Arial"/>
          <w:szCs w:val="22"/>
          <w:lang w:eastAsia="en-AU"/>
        </w:rPr>
        <w:t>coastal</w:t>
      </w:r>
      <w:r w:rsidR="00297FAD" w:rsidRPr="00CB093C">
        <w:rPr>
          <w:rFonts w:ascii="Arial" w:hAnsi="Arial" w:cs="Arial"/>
          <w:szCs w:val="22"/>
          <w:lang w:eastAsia="en-AU"/>
        </w:rPr>
        <w:t xml:space="preserve"> </w:t>
      </w:r>
      <w:r w:rsidRPr="00CB093C">
        <w:rPr>
          <w:rFonts w:ascii="Arial" w:hAnsi="Arial" w:cs="Arial"/>
          <w:szCs w:val="22"/>
          <w:lang w:eastAsia="en-AU"/>
        </w:rPr>
        <w:t xml:space="preserve">and estuary </w:t>
      </w:r>
      <w:r w:rsidR="00297FAD" w:rsidRPr="00CB093C">
        <w:rPr>
          <w:rFonts w:ascii="Arial" w:hAnsi="Arial" w:cs="Arial"/>
          <w:szCs w:val="22"/>
          <w:lang w:eastAsia="en-AU"/>
        </w:rPr>
        <w:t xml:space="preserve">sites in </w:t>
      </w:r>
      <w:r w:rsidR="003654C6">
        <w:rPr>
          <w:rFonts w:ascii="Arial" w:hAnsi="Arial" w:cs="Arial"/>
          <w:szCs w:val="22"/>
          <w:lang w:eastAsia="en-AU"/>
        </w:rPr>
        <w:t>2017–18</w:t>
      </w:r>
      <w:r w:rsidR="00297FAD" w:rsidRPr="00CB093C">
        <w:rPr>
          <w:rFonts w:ascii="Arial" w:hAnsi="Arial" w:cs="Arial"/>
          <w:szCs w:val="22"/>
          <w:lang w:eastAsia="en-AU"/>
        </w:rPr>
        <w:t xml:space="preserve">, </w:t>
      </w:r>
      <w:r w:rsidRPr="00CB093C">
        <w:rPr>
          <w:rFonts w:ascii="Arial" w:hAnsi="Arial" w:cs="Arial"/>
          <w:szCs w:val="22"/>
          <w:lang w:eastAsia="en-AU"/>
        </w:rPr>
        <w:t xml:space="preserve">and a </w:t>
      </w:r>
      <w:r w:rsidR="00F4037E" w:rsidRPr="00CB093C">
        <w:rPr>
          <w:rFonts w:ascii="Arial" w:hAnsi="Arial" w:cs="Arial"/>
          <w:szCs w:val="22"/>
          <w:lang w:eastAsia="en-AU"/>
        </w:rPr>
        <w:t>seed bank</w:t>
      </w:r>
      <w:r w:rsidRPr="00CB093C">
        <w:rPr>
          <w:rFonts w:ascii="Arial" w:hAnsi="Arial" w:cs="Arial"/>
          <w:szCs w:val="22"/>
          <w:lang w:eastAsia="en-AU"/>
        </w:rPr>
        <w:t xml:space="preserve"> has persisted since 2012</w:t>
      </w:r>
      <w:r w:rsidR="00F4037E" w:rsidRPr="00CB093C">
        <w:rPr>
          <w:rFonts w:ascii="Arial" w:hAnsi="Arial" w:cs="Arial"/>
          <w:szCs w:val="22"/>
          <w:lang w:eastAsia="en-AU"/>
        </w:rPr>
        <w:t xml:space="preserve">. </w:t>
      </w:r>
      <w:r w:rsidR="00297FAD" w:rsidRPr="00CB093C">
        <w:rPr>
          <w:rFonts w:ascii="Arial" w:hAnsi="Arial" w:cs="Arial"/>
          <w:szCs w:val="22"/>
          <w:lang w:eastAsia="en-AU"/>
        </w:rPr>
        <w:t xml:space="preserve">Reproductive effort has </w:t>
      </w:r>
      <w:r w:rsidR="007E1DF9" w:rsidRPr="00CB093C">
        <w:rPr>
          <w:rFonts w:ascii="Arial" w:hAnsi="Arial" w:cs="Arial"/>
          <w:szCs w:val="22"/>
          <w:lang w:eastAsia="en-AU"/>
        </w:rPr>
        <w:t>remained very lo</w:t>
      </w:r>
      <w:r w:rsidR="0039608D" w:rsidRPr="00CB093C">
        <w:rPr>
          <w:rFonts w:ascii="Arial" w:hAnsi="Arial" w:cs="Arial"/>
          <w:szCs w:val="22"/>
          <w:lang w:eastAsia="en-AU"/>
        </w:rPr>
        <w:t xml:space="preserve">w </w:t>
      </w:r>
      <w:r w:rsidR="007C0808" w:rsidRPr="00CB093C">
        <w:rPr>
          <w:rFonts w:ascii="Arial" w:hAnsi="Arial" w:cs="Arial"/>
          <w:szCs w:val="22"/>
          <w:lang w:eastAsia="en-AU"/>
        </w:rPr>
        <w:t>at reef sites</w:t>
      </w:r>
      <w:r w:rsidR="0039608D" w:rsidRPr="00CB093C">
        <w:rPr>
          <w:rFonts w:ascii="Arial" w:hAnsi="Arial" w:cs="Arial"/>
          <w:szCs w:val="22"/>
          <w:lang w:eastAsia="en-AU"/>
        </w:rPr>
        <w:t xml:space="preserve">, </w:t>
      </w:r>
      <w:r w:rsidRPr="00CB093C">
        <w:rPr>
          <w:rFonts w:ascii="Arial" w:hAnsi="Arial" w:cs="Arial"/>
          <w:szCs w:val="22"/>
          <w:lang w:eastAsia="en-AU"/>
        </w:rPr>
        <w:t>and seed banks remain absent</w:t>
      </w:r>
      <w:r w:rsidR="007E1DF9" w:rsidRPr="00CB093C">
        <w:rPr>
          <w:rFonts w:ascii="Arial" w:hAnsi="Arial" w:cs="Arial"/>
          <w:szCs w:val="22"/>
          <w:lang w:eastAsia="en-AU"/>
        </w:rPr>
        <w:t xml:space="preserve"> (</w:t>
      </w:r>
      <w:r w:rsidR="00993358" w:rsidRPr="00CB093C">
        <w:rPr>
          <w:rFonts w:ascii="Arial" w:hAnsi="Arial" w:cs="Arial"/>
          <w:szCs w:val="22"/>
          <w:lang w:eastAsia="en-AU"/>
        </w:rPr>
        <w:fldChar w:fldCharType="begin"/>
      </w:r>
      <w:r w:rsidR="00993358" w:rsidRPr="00CB093C">
        <w:rPr>
          <w:rFonts w:ascii="Arial" w:hAnsi="Arial" w:cs="Arial"/>
          <w:szCs w:val="22"/>
          <w:lang w:eastAsia="en-AU"/>
        </w:rPr>
        <w:instrText xml:space="preserve"> REF _Ref382209642 \h </w:instrText>
      </w:r>
      <w:r w:rsidR="00580DDA" w:rsidRPr="00CB093C">
        <w:rPr>
          <w:rFonts w:ascii="Arial" w:hAnsi="Arial" w:cs="Arial"/>
          <w:szCs w:val="22"/>
          <w:lang w:eastAsia="en-AU"/>
        </w:rPr>
        <w:instrText xml:space="preserve"> \* MERGEFORMAT </w:instrText>
      </w:r>
      <w:r w:rsidR="00993358" w:rsidRPr="00CB093C">
        <w:rPr>
          <w:rFonts w:ascii="Arial" w:hAnsi="Arial" w:cs="Arial"/>
          <w:szCs w:val="22"/>
          <w:lang w:eastAsia="en-AU"/>
        </w:rPr>
      </w:r>
      <w:r w:rsidR="00993358" w:rsidRPr="00CB093C">
        <w:rPr>
          <w:rFonts w:ascii="Arial" w:hAnsi="Arial" w:cs="Arial"/>
          <w:szCs w:val="22"/>
          <w:lang w:eastAsia="en-AU"/>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76</w:t>
      </w:r>
      <w:r w:rsidR="00993358" w:rsidRPr="00CB093C">
        <w:rPr>
          <w:rFonts w:ascii="Arial" w:hAnsi="Arial" w:cs="Arial"/>
          <w:szCs w:val="22"/>
          <w:lang w:eastAsia="en-AU"/>
        </w:rPr>
        <w:fldChar w:fldCharType="end"/>
      </w:r>
      <w:r w:rsidR="007E1DF9" w:rsidRPr="00CB093C">
        <w:rPr>
          <w:rFonts w:ascii="Arial" w:hAnsi="Arial" w:cs="Arial"/>
          <w:szCs w:val="22"/>
          <w:lang w:eastAsia="en-AU"/>
        </w:rPr>
        <w:t xml:space="preserve">). </w:t>
      </w:r>
      <w:r w:rsidR="00297FAD" w:rsidRPr="00CB093C">
        <w:rPr>
          <w:rFonts w:ascii="Arial" w:hAnsi="Arial" w:cs="Arial"/>
          <w:szCs w:val="22"/>
          <w:lang w:eastAsia="en-AU"/>
        </w:rPr>
        <w:t xml:space="preserve">This limits the meadow capacity to recover following further disturbance. </w:t>
      </w:r>
    </w:p>
    <w:p w14:paraId="04E17458" w14:textId="77777777" w:rsidR="004765F2" w:rsidRPr="00CB093C" w:rsidRDefault="004765F2" w:rsidP="007E1DF9">
      <w:pPr>
        <w:rPr>
          <w:rFonts w:ascii="Arial" w:hAnsi="Arial" w:cs="Arial"/>
          <w:szCs w:val="22"/>
          <w:lang w:eastAsia="en-AU"/>
        </w:rPr>
      </w:pPr>
    </w:p>
    <w:p w14:paraId="0603D6B6" w14:textId="77777777" w:rsidR="007E1DF9" w:rsidRPr="00CB093C" w:rsidRDefault="00EB62A9" w:rsidP="004D6DEF">
      <w:pPr>
        <w:keepNext/>
        <w:widowControl w:val="0"/>
        <w:spacing w:after="0"/>
        <w:jc w:val="center"/>
        <w:rPr>
          <w:rFonts w:ascii="Arial" w:hAnsi="Arial" w:cs="Arial"/>
          <w:color w:val="000000"/>
          <w:szCs w:val="22"/>
          <w:lang w:eastAsia="en-AU"/>
        </w:rPr>
      </w:pPr>
      <w:r w:rsidRPr="00CB093C">
        <w:rPr>
          <w:rFonts w:ascii="Arial" w:hAnsi="Arial" w:cs="Arial"/>
          <w:noProof/>
          <w:color w:val="000000"/>
          <w:szCs w:val="22"/>
          <w:lang w:val="en-US"/>
        </w:rPr>
        <w:drawing>
          <wp:inline distT="0" distB="0" distL="0" distR="0" wp14:anchorId="361B9428" wp14:editId="37266AA4">
            <wp:extent cx="5790128" cy="1447818"/>
            <wp:effectExtent l="0" t="0" r="1270" b="0"/>
            <wp:docPr id="10158" name="Picture 10158" descr="Panel of three composite bar and scatter plot graphs showing seed banks (bars) and reproductive effort (dots) at inshore intertidal habitats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8" name="F_repro16.png"/>
                    <pic:cNvPicPr/>
                  </pic:nvPicPr>
                  <pic:blipFill>
                    <a:blip r:embed="rId119">
                      <a:extLst>
                        <a:ext uri="{28A0092B-C50C-407E-A947-70E740481C1C}">
                          <a14:useLocalDpi xmlns:a14="http://schemas.microsoft.com/office/drawing/2010/main" val="0"/>
                        </a:ext>
                      </a:extLst>
                    </a:blip>
                    <a:stretch>
                      <a:fillRect/>
                    </a:stretch>
                  </pic:blipFill>
                  <pic:spPr>
                    <a:xfrm>
                      <a:off x="0" y="0"/>
                      <a:ext cx="5790128" cy="1447818"/>
                    </a:xfrm>
                    <a:prstGeom prst="rect">
                      <a:avLst/>
                    </a:prstGeom>
                  </pic:spPr>
                </pic:pic>
              </a:graphicData>
            </a:graphic>
          </wp:inline>
        </w:drawing>
      </w:r>
    </w:p>
    <w:p w14:paraId="5C50C634" w14:textId="34648C81" w:rsidR="00244FEE" w:rsidRPr="00CB093C" w:rsidRDefault="005132EF" w:rsidP="00244FEE">
      <w:pPr>
        <w:autoSpaceDE w:val="0"/>
        <w:autoSpaceDN w:val="0"/>
        <w:adjustRightInd w:val="0"/>
        <w:rPr>
          <w:rFonts w:ascii="Arial" w:hAnsi="Arial" w:cs="Arial"/>
          <w:i/>
          <w:vanish/>
          <w:szCs w:val="22"/>
          <w:specVanish/>
        </w:rPr>
      </w:pPr>
      <w:bookmarkStart w:id="478" w:name="_Ref382209642"/>
      <w:bookmarkStart w:id="479" w:name="_Toc431493890"/>
      <w:bookmarkStart w:id="480" w:name="_Toc6402841"/>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76</w:t>
      </w:r>
      <w:r w:rsidR="0073595B" w:rsidRPr="00CB093C">
        <w:rPr>
          <w:rFonts w:ascii="Arial" w:hAnsi="Arial" w:cs="Arial"/>
          <w:color w:val="000000"/>
          <w:szCs w:val="22"/>
        </w:rPr>
        <w:fldChar w:fldCharType="end"/>
      </w:r>
      <w:bookmarkEnd w:id="478"/>
      <w:r w:rsidRPr="00CB093C">
        <w:rPr>
          <w:rFonts w:ascii="Arial" w:hAnsi="Arial" w:cs="Arial"/>
          <w:color w:val="000000"/>
          <w:szCs w:val="22"/>
        </w:rPr>
        <w:t>.</w:t>
      </w:r>
      <w:r w:rsidRPr="00CB093C">
        <w:rPr>
          <w:rFonts w:ascii="Arial" w:hAnsi="Arial" w:cs="Arial"/>
          <w:i/>
          <w:color w:val="000000"/>
          <w:szCs w:val="22"/>
        </w:rPr>
        <w:t xml:space="preserve"> </w:t>
      </w:r>
      <w:r w:rsidR="00202B9D" w:rsidRPr="00CB093C">
        <w:rPr>
          <w:rFonts w:ascii="Arial" w:hAnsi="Arial" w:cs="Arial"/>
          <w:i/>
          <w:color w:val="000000"/>
          <w:szCs w:val="22"/>
        </w:rPr>
        <w:t>R</w:t>
      </w:r>
      <w:r w:rsidR="00244FEE" w:rsidRPr="00CB093C">
        <w:rPr>
          <w:rFonts w:ascii="Arial" w:hAnsi="Arial" w:cs="Arial"/>
          <w:i/>
          <w:color w:val="000000"/>
          <w:szCs w:val="22"/>
        </w:rPr>
        <w:t xml:space="preserve">eproductive effort for inshore intertidal coastal, estuary </w:t>
      </w:r>
      <w:r w:rsidR="00244FEE" w:rsidRPr="00CB093C">
        <w:rPr>
          <w:rFonts w:ascii="Arial" w:hAnsi="Arial" w:cs="Arial"/>
          <w:i/>
          <w:szCs w:val="22"/>
        </w:rPr>
        <w:t xml:space="preserve">and reef habitats in the </w:t>
      </w:r>
      <w:r w:rsidR="008C23B1" w:rsidRPr="00CB093C">
        <w:rPr>
          <w:rFonts w:ascii="Arial" w:hAnsi="Arial" w:cs="Arial"/>
          <w:i/>
          <w:szCs w:val="22"/>
        </w:rPr>
        <w:t>Fitzroy</w:t>
      </w:r>
      <w:r w:rsidR="00244FEE" w:rsidRPr="00CB093C">
        <w:rPr>
          <w:rFonts w:ascii="Arial" w:hAnsi="Arial" w:cs="Arial"/>
          <w:i/>
          <w:szCs w:val="22"/>
        </w:rPr>
        <w:t xml:space="preserve"> region, 200</w:t>
      </w:r>
      <w:r w:rsidR="00F45DFA" w:rsidRPr="00CB093C">
        <w:rPr>
          <w:rFonts w:ascii="Arial" w:hAnsi="Arial" w:cs="Arial"/>
          <w:i/>
          <w:szCs w:val="22"/>
        </w:rPr>
        <w:t>5</w:t>
      </w:r>
      <w:r w:rsidR="00A675DA" w:rsidRPr="00CB093C">
        <w:rPr>
          <w:rFonts w:ascii="Arial" w:hAnsi="Arial" w:cs="Arial"/>
          <w:i/>
          <w:szCs w:val="22"/>
        </w:rPr>
        <w:t>–</w:t>
      </w:r>
      <w:r w:rsidR="00244FEE" w:rsidRPr="00CB093C">
        <w:rPr>
          <w:rFonts w:ascii="Arial" w:hAnsi="Arial" w:cs="Arial"/>
          <w:i/>
          <w:szCs w:val="22"/>
        </w:rPr>
        <w:t>201</w:t>
      </w:r>
      <w:r w:rsidR="002A027E" w:rsidRPr="00CB093C">
        <w:rPr>
          <w:rFonts w:ascii="Arial" w:hAnsi="Arial" w:cs="Arial"/>
          <w:i/>
          <w:szCs w:val="22"/>
        </w:rPr>
        <w:t>7</w:t>
      </w:r>
      <w:r w:rsidR="00244FEE" w:rsidRPr="00CB093C">
        <w:rPr>
          <w:rFonts w:ascii="Arial" w:hAnsi="Arial" w:cs="Arial"/>
          <w:i/>
          <w:szCs w:val="22"/>
        </w:rPr>
        <w:t>.</w:t>
      </w:r>
      <w:bookmarkEnd w:id="479"/>
      <w:bookmarkEnd w:id="480"/>
      <w:r w:rsidR="00244FEE" w:rsidRPr="00CB093C">
        <w:rPr>
          <w:rFonts w:ascii="Arial" w:hAnsi="Arial" w:cs="Arial"/>
          <w:i/>
          <w:szCs w:val="22"/>
        </w:rPr>
        <w:t xml:space="preserve"> </w:t>
      </w:r>
    </w:p>
    <w:p w14:paraId="21D09AAD" w14:textId="77777777" w:rsidR="00BC4EC5" w:rsidRPr="00CB093C" w:rsidRDefault="00244FEE" w:rsidP="00BC5E5C">
      <w:pPr>
        <w:autoSpaceDE w:val="0"/>
        <w:autoSpaceDN w:val="0"/>
        <w:adjustRightInd w:val="0"/>
        <w:rPr>
          <w:rFonts w:ascii="Arial" w:hAnsi="Arial" w:cs="Arial"/>
          <w:color w:val="000000"/>
          <w:szCs w:val="22"/>
        </w:rPr>
      </w:pPr>
      <w:r w:rsidRPr="00CB093C">
        <w:rPr>
          <w:rFonts w:ascii="Arial" w:hAnsi="Arial" w:cs="Arial"/>
          <w:i/>
          <w:szCs w:val="22"/>
        </w:rPr>
        <w:t>S</w:t>
      </w:r>
      <w:r w:rsidR="008C23B1" w:rsidRPr="00CB093C">
        <w:rPr>
          <w:rFonts w:ascii="Arial" w:hAnsi="Arial" w:cs="Arial"/>
          <w:i/>
          <w:szCs w:val="22"/>
        </w:rPr>
        <w:t xml:space="preserve">eed bank presented as the total number of seeds </w:t>
      </w:r>
      <w:r w:rsidR="008C23B1" w:rsidRPr="00CB093C">
        <w:rPr>
          <w:rFonts w:ascii="Arial" w:hAnsi="Arial" w:cs="Arial"/>
          <w:i/>
          <w:color w:val="000000"/>
          <w:szCs w:val="22"/>
        </w:rPr>
        <w:t>per m</w:t>
      </w:r>
      <w:r w:rsidR="008C23B1" w:rsidRPr="00CB093C">
        <w:rPr>
          <w:rFonts w:ascii="Arial" w:hAnsi="Arial" w:cs="Arial"/>
          <w:i/>
          <w:color w:val="000000"/>
          <w:szCs w:val="22"/>
          <w:vertAlign w:val="superscript"/>
        </w:rPr>
        <w:t>2</w:t>
      </w:r>
      <w:r w:rsidR="008C23B1" w:rsidRPr="00CB093C">
        <w:rPr>
          <w:rFonts w:ascii="Arial" w:hAnsi="Arial" w:cs="Arial"/>
          <w:i/>
          <w:color w:val="000000"/>
          <w:szCs w:val="22"/>
        </w:rPr>
        <w:t xml:space="preserve"> sediment surface and late dry season reproductive effort presented as the average number of reproductive structures per core (species and sites pooled).</w:t>
      </w:r>
      <w:r w:rsidRPr="00CB093C">
        <w:rPr>
          <w:rFonts w:ascii="Arial" w:hAnsi="Arial" w:cs="Arial"/>
          <w:i/>
          <w:color w:val="000000"/>
          <w:szCs w:val="22"/>
        </w:rPr>
        <w:t xml:space="preserve"> </w:t>
      </w:r>
    </w:p>
    <w:p w14:paraId="481E0961" w14:textId="33B060E0" w:rsidR="00A23A41" w:rsidRPr="00CB093C" w:rsidRDefault="00A23A41" w:rsidP="000F3AC4">
      <w:pPr>
        <w:pStyle w:val="Heading3"/>
        <w:numPr>
          <w:ilvl w:val="3"/>
          <w:numId w:val="4"/>
        </w:numPr>
        <w:rPr>
          <w:rFonts w:ascii="Arial" w:hAnsi="Arial" w:cs="Arial"/>
          <w:b w:val="0"/>
          <w:i/>
          <w:color w:val="000000"/>
          <w:sz w:val="22"/>
          <w:szCs w:val="22"/>
        </w:rPr>
      </w:pPr>
      <w:bookmarkStart w:id="481" w:name="_Toc11394767"/>
      <w:r w:rsidRPr="00CB093C">
        <w:rPr>
          <w:rFonts w:ascii="Arial" w:hAnsi="Arial" w:cs="Arial"/>
          <w:b w:val="0"/>
          <w:i/>
          <w:color w:val="000000"/>
          <w:sz w:val="22"/>
          <w:szCs w:val="22"/>
        </w:rPr>
        <w:t>Seagrass leaf tissue nutrients</w:t>
      </w:r>
      <w:bookmarkEnd w:id="481"/>
    </w:p>
    <w:p w14:paraId="02395F64" w14:textId="031AF87D" w:rsidR="00694E02" w:rsidRPr="00CB093C" w:rsidRDefault="00694E02" w:rsidP="00694E02">
      <w:pPr>
        <w:rPr>
          <w:rFonts w:ascii="Arial" w:hAnsi="Arial" w:cs="Arial"/>
          <w:iCs/>
          <w:szCs w:val="22"/>
        </w:rPr>
      </w:pPr>
      <w:r w:rsidRPr="00CB093C">
        <w:rPr>
          <w:rFonts w:ascii="Arial" w:hAnsi="Arial" w:cs="Arial"/>
          <w:iCs/>
          <w:szCs w:val="22"/>
        </w:rPr>
        <w:t xml:space="preserve">Seagrass leaf molar C:N ratios marginally declined across all habitats in </w:t>
      </w:r>
      <w:r w:rsidR="003654C6">
        <w:rPr>
          <w:rFonts w:ascii="Arial" w:hAnsi="Arial" w:cs="Arial"/>
          <w:iCs/>
          <w:szCs w:val="22"/>
        </w:rPr>
        <w:t>2017–18</w:t>
      </w:r>
      <w:r w:rsidRPr="00CB093C">
        <w:rPr>
          <w:rFonts w:ascii="Arial" w:hAnsi="Arial" w:cs="Arial"/>
          <w:iCs/>
          <w:szCs w:val="22"/>
        </w:rPr>
        <w:t xml:space="preserve"> relative to the previous year, remaining below 20 (</w:t>
      </w:r>
      <w:r w:rsidRPr="00CB093C">
        <w:rPr>
          <w:rFonts w:ascii="Arial" w:hAnsi="Arial" w:cs="Arial"/>
          <w:iCs/>
          <w:szCs w:val="22"/>
        </w:rPr>
        <w:fldChar w:fldCharType="begin"/>
      </w:r>
      <w:r w:rsidRPr="00CB093C">
        <w:rPr>
          <w:rFonts w:ascii="Arial" w:hAnsi="Arial" w:cs="Arial"/>
          <w:iCs/>
          <w:szCs w:val="22"/>
        </w:rPr>
        <w:instrText xml:space="preserve"> REF _Ref271130459 \h  \* MERGEFORMAT </w:instrText>
      </w:r>
      <w:r w:rsidRPr="00CB093C">
        <w:rPr>
          <w:rFonts w:ascii="Arial" w:hAnsi="Arial" w:cs="Arial"/>
          <w:iCs/>
          <w:szCs w:val="22"/>
        </w:rPr>
      </w:r>
      <w:r w:rsidRPr="00CB093C">
        <w:rPr>
          <w:rFonts w:ascii="Arial" w:hAnsi="Arial" w:cs="Arial"/>
          <w:iCs/>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68</w:t>
      </w:r>
      <w:r w:rsidRPr="00CB093C">
        <w:rPr>
          <w:rFonts w:ascii="Arial" w:hAnsi="Arial" w:cs="Arial"/>
          <w:iCs/>
          <w:szCs w:val="22"/>
        </w:rPr>
        <w:fldChar w:fldCharType="end"/>
      </w:r>
      <w:r w:rsidRPr="00CB093C">
        <w:rPr>
          <w:rFonts w:ascii="Arial" w:hAnsi="Arial" w:cs="Arial"/>
          <w:iCs/>
          <w:szCs w:val="22"/>
        </w:rPr>
        <w:t>), indicating a surplus of N relative to photosynthetic C incorporation. N:P ratios marginally increase across all habitats, which combined with C:N indicates sufficient availability of N across the region</w:t>
      </w:r>
      <w:r w:rsidR="005029A0" w:rsidRPr="00CB093C">
        <w:rPr>
          <w:rFonts w:ascii="Arial" w:hAnsi="Arial" w:cs="Arial"/>
          <w:iCs/>
          <w:szCs w:val="22"/>
        </w:rPr>
        <w:t xml:space="preserve"> relative to seagrass growth requirements</w:t>
      </w:r>
      <w:r w:rsidRPr="00CB093C">
        <w:rPr>
          <w:rFonts w:ascii="Arial" w:hAnsi="Arial" w:cs="Arial"/>
          <w:iCs/>
          <w:szCs w:val="22"/>
        </w:rPr>
        <w:t>. There is no indication of elevated N, despite %N remaining above the global median. The low δ</w:t>
      </w:r>
      <w:r w:rsidRPr="00CB093C">
        <w:rPr>
          <w:rFonts w:ascii="Arial" w:hAnsi="Arial" w:cs="Arial"/>
          <w:iCs/>
          <w:szCs w:val="22"/>
          <w:vertAlign w:val="superscript"/>
        </w:rPr>
        <w:t>15</w:t>
      </w:r>
      <w:r w:rsidRPr="00CB093C">
        <w:rPr>
          <w:rFonts w:ascii="Arial" w:hAnsi="Arial" w:cs="Arial"/>
          <w:iCs/>
          <w:szCs w:val="22"/>
        </w:rPr>
        <w:t xml:space="preserve">N (e.g. decreasing at reef habitats), suggests </w:t>
      </w:r>
      <w:r w:rsidR="007A70FE" w:rsidRPr="00CB093C">
        <w:rPr>
          <w:rFonts w:ascii="Arial" w:hAnsi="Arial" w:cs="Arial"/>
          <w:iCs/>
          <w:szCs w:val="22"/>
        </w:rPr>
        <w:t>negligible</w:t>
      </w:r>
      <w:r w:rsidRPr="00CB093C">
        <w:rPr>
          <w:rFonts w:ascii="Arial" w:hAnsi="Arial" w:cs="Arial"/>
          <w:iCs/>
          <w:szCs w:val="22"/>
        </w:rPr>
        <w:t xml:space="preserve"> influence of an anthropogenic source of N (</w:t>
      </w:r>
      <w:r w:rsidRPr="00CB093C">
        <w:rPr>
          <w:rFonts w:ascii="Arial" w:hAnsi="Arial" w:cs="Arial"/>
          <w:iCs/>
          <w:szCs w:val="22"/>
        </w:rPr>
        <w:fldChar w:fldCharType="begin"/>
      </w:r>
      <w:r w:rsidRPr="00CB093C">
        <w:rPr>
          <w:rFonts w:ascii="Arial" w:hAnsi="Arial" w:cs="Arial"/>
          <w:iCs/>
          <w:szCs w:val="22"/>
        </w:rPr>
        <w:instrText xml:space="preserve"> REF _Ref271130459 \h  \* MERGEFORMAT </w:instrText>
      </w:r>
      <w:r w:rsidRPr="00CB093C">
        <w:rPr>
          <w:rFonts w:ascii="Arial" w:hAnsi="Arial" w:cs="Arial"/>
          <w:iCs/>
          <w:szCs w:val="22"/>
        </w:rPr>
      </w:r>
      <w:r w:rsidRPr="00CB093C">
        <w:rPr>
          <w:rFonts w:ascii="Arial" w:hAnsi="Arial" w:cs="Arial"/>
          <w:iCs/>
          <w:szCs w:val="22"/>
        </w:rPr>
        <w:fldChar w:fldCharType="separate"/>
      </w:r>
      <w:r w:rsidR="005F00D4" w:rsidRPr="005F00D4">
        <w:rPr>
          <w:rFonts w:ascii="Arial" w:hAnsi="Arial" w:cs="Arial"/>
          <w:szCs w:val="22"/>
        </w:rPr>
        <w:t xml:space="preserve">Figure </w:t>
      </w:r>
      <w:r w:rsidR="005F00D4" w:rsidRPr="005F00D4">
        <w:rPr>
          <w:rFonts w:ascii="Arial" w:hAnsi="Arial" w:cs="Arial"/>
          <w:noProof/>
          <w:szCs w:val="22"/>
        </w:rPr>
        <w:t>68</w:t>
      </w:r>
      <w:r w:rsidRPr="00CB093C">
        <w:rPr>
          <w:rFonts w:ascii="Arial" w:hAnsi="Arial" w:cs="Arial"/>
          <w:iCs/>
          <w:szCs w:val="22"/>
        </w:rPr>
        <w:fldChar w:fldCharType="end"/>
      </w:r>
      <w:r w:rsidRPr="00CB093C">
        <w:rPr>
          <w:rFonts w:ascii="Arial" w:hAnsi="Arial" w:cs="Arial"/>
          <w:iCs/>
          <w:szCs w:val="22"/>
        </w:rPr>
        <w:t>)</w:t>
      </w:r>
      <w:r w:rsidRPr="00CB093C">
        <w:rPr>
          <w:rFonts w:ascii="Arial" w:hAnsi="Arial" w:cs="Arial"/>
          <w:szCs w:val="22"/>
          <w:lang w:val="en-GB"/>
        </w:rPr>
        <w:t>.</w:t>
      </w:r>
    </w:p>
    <w:p w14:paraId="7ACC1472" w14:textId="77777777" w:rsidR="00694E02" w:rsidRPr="00CB093C" w:rsidRDefault="00694E02" w:rsidP="007E1DF9">
      <w:pPr>
        <w:autoSpaceDE w:val="0"/>
        <w:autoSpaceDN w:val="0"/>
        <w:adjustRightInd w:val="0"/>
        <w:rPr>
          <w:rFonts w:ascii="Arial" w:hAnsi="Arial" w:cs="Arial"/>
          <w:iCs/>
          <w:szCs w:val="22"/>
        </w:rPr>
      </w:pPr>
    </w:p>
    <w:p w14:paraId="221E837B" w14:textId="77777777" w:rsidR="007E1DF9" w:rsidRPr="00CB093C" w:rsidRDefault="00EB62A9" w:rsidP="004D6DEF">
      <w:pPr>
        <w:keepNext/>
        <w:widowControl w:val="0"/>
        <w:autoSpaceDE w:val="0"/>
        <w:autoSpaceDN w:val="0"/>
        <w:adjustRightInd w:val="0"/>
        <w:spacing w:after="0"/>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025EA9A2" wp14:editId="64900B3C">
            <wp:extent cx="5572125" cy="6499840"/>
            <wp:effectExtent l="0" t="0" r="0" b="0"/>
            <wp:docPr id="10159" name="Picture 10159" descr="Set of twenty one scatter plots, displayed in seven by three matrix, with straight lines and markers showing annual elemental ratios (atomic) of seagrass leaf tissue C:N, N:P, C:P, percent Nitrogen, percent Phosphorous, delta 13 Carbon and delta 15 Nitrogen concentrations for the three seagrass habitats in the Fitzroy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9" name="F_CN_yr_Dec16.png"/>
                    <pic:cNvPicPr/>
                  </pic:nvPicPr>
                  <pic:blipFill rotWithShape="1">
                    <a:blip r:embed="rId120"/>
                    <a:srcRect t="2792"/>
                    <a:stretch/>
                  </pic:blipFill>
                  <pic:spPr bwMode="auto">
                    <a:xfrm>
                      <a:off x="0" y="0"/>
                      <a:ext cx="5591507" cy="6522449"/>
                    </a:xfrm>
                    <a:prstGeom prst="rect">
                      <a:avLst/>
                    </a:prstGeom>
                    <a:ln>
                      <a:noFill/>
                    </a:ln>
                    <a:extLst>
                      <a:ext uri="{53640926-AAD7-44D8-BBD7-CCE9431645EC}">
                        <a14:shadowObscured xmlns:a14="http://schemas.microsoft.com/office/drawing/2010/main"/>
                      </a:ext>
                    </a:extLst>
                  </pic:spPr>
                </pic:pic>
              </a:graphicData>
            </a:graphic>
          </wp:inline>
        </w:drawing>
      </w:r>
    </w:p>
    <w:p w14:paraId="7D7710F9" w14:textId="1C638794" w:rsidR="004E65AD" w:rsidRPr="00CB093C" w:rsidRDefault="005132EF" w:rsidP="004E65AD">
      <w:pPr>
        <w:pStyle w:val="Caption"/>
        <w:rPr>
          <w:rFonts w:ascii="Arial" w:hAnsi="Arial" w:cs="Arial"/>
          <w:i/>
          <w:vanish/>
          <w:color w:val="000000" w:themeColor="text1"/>
          <w:szCs w:val="22"/>
          <w:specVanish/>
        </w:rPr>
      </w:pPr>
      <w:bookmarkStart w:id="482" w:name="_Ref271133742"/>
      <w:bookmarkStart w:id="483" w:name="_Toc431493892"/>
      <w:bookmarkStart w:id="484" w:name="_Toc6402842"/>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77</w:t>
      </w:r>
      <w:r w:rsidR="0073595B" w:rsidRPr="00CB093C">
        <w:rPr>
          <w:rFonts w:ascii="Arial" w:hAnsi="Arial" w:cs="Arial"/>
          <w:color w:val="000000"/>
          <w:szCs w:val="22"/>
        </w:rPr>
        <w:fldChar w:fldCharType="end"/>
      </w:r>
      <w:bookmarkEnd w:id="482"/>
      <w:r w:rsidRPr="00CB093C">
        <w:rPr>
          <w:rFonts w:ascii="Arial" w:hAnsi="Arial" w:cs="Arial"/>
          <w:color w:val="000000"/>
          <w:szCs w:val="22"/>
        </w:rPr>
        <w:t xml:space="preserve">. </w:t>
      </w:r>
      <w:bookmarkEnd w:id="483"/>
      <w:r w:rsidR="004E65AD" w:rsidRPr="00CB093C">
        <w:rPr>
          <w:rFonts w:ascii="Arial" w:hAnsi="Arial" w:cs="Arial"/>
          <w:i/>
          <w:color w:val="000000"/>
          <w:szCs w:val="22"/>
          <w:lang w:eastAsia="en-AU"/>
        </w:rPr>
        <w:t xml:space="preserve">Seagrass leaf tissue nutrient elemental ratios (C:N:P) and </w:t>
      </w:r>
      <w:r w:rsidR="004E65AD" w:rsidRPr="00CB093C">
        <w:rPr>
          <w:rFonts w:ascii="Arial" w:hAnsi="Arial" w:cs="Arial"/>
          <w:i/>
          <w:color w:val="000000"/>
          <w:szCs w:val="22"/>
          <w:lang w:val="en-US"/>
        </w:rPr>
        <w:t>concentrations (</w:t>
      </w:r>
      <w:r w:rsidR="004E65AD" w:rsidRPr="00CB093C">
        <w:rPr>
          <w:rFonts w:ascii="Arial" w:hAnsi="Arial" w:cs="Arial"/>
          <w:i/>
          <w:color w:val="000000"/>
          <w:szCs w:val="22"/>
          <w:lang w:eastAsia="en-AU"/>
        </w:rPr>
        <w:t xml:space="preserve">%N, %P, </w:t>
      </w:r>
      <w:r w:rsidR="004E65AD" w:rsidRPr="00CB093C">
        <w:rPr>
          <w:rFonts w:ascii="Arial" w:hAnsi="Arial" w:cs="Arial"/>
          <w:i/>
          <w:color w:val="000000"/>
          <w:szCs w:val="22"/>
        </w:rPr>
        <w:t>δ</w:t>
      </w:r>
      <w:r w:rsidR="004E65AD" w:rsidRPr="00CB093C">
        <w:rPr>
          <w:rFonts w:ascii="Arial" w:hAnsi="Arial" w:cs="Arial"/>
          <w:i/>
          <w:color w:val="000000"/>
          <w:szCs w:val="22"/>
          <w:vertAlign w:val="superscript"/>
        </w:rPr>
        <w:t>13</w:t>
      </w:r>
      <w:r w:rsidR="004E65AD" w:rsidRPr="00CB093C">
        <w:rPr>
          <w:rFonts w:ascii="Arial" w:hAnsi="Arial" w:cs="Arial"/>
          <w:i/>
          <w:color w:val="000000"/>
          <w:szCs w:val="22"/>
        </w:rPr>
        <w:t>C</w:t>
      </w:r>
      <w:r w:rsidR="004E65AD" w:rsidRPr="00CB093C">
        <w:rPr>
          <w:rFonts w:ascii="Arial" w:hAnsi="Arial" w:cs="Arial"/>
          <w:i/>
          <w:color w:val="000000"/>
          <w:szCs w:val="22"/>
          <w:lang w:val="en-US"/>
        </w:rPr>
        <w:t xml:space="preserve"> and </w:t>
      </w:r>
      <w:r w:rsidR="004E65AD" w:rsidRPr="00CB093C">
        <w:rPr>
          <w:rFonts w:ascii="Arial" w:hAnsi="Arial" w:cs="Arial"/>
          <w:i/>
          <w:color w:val="000000"/>
          <w:szCs w:val="22"/>
        </w:rPr>
        <w:t>δ</w:t>
      </w:r>
      <w:r w:rsidR="004E65AD" w:rsidRPr="00CB093C">
        <w:rPr>
          <w:rFonts w:ascii="Arial" w:hAnsi="Arial" w:cs="Arial"/>
          <w:i/>
          <w:color w:val="000000"/>
          <w:szCs w:val="22"/>
          <w:vertAlign w:val="superscript"/>
        </w:rPr>
        <w:t>15</w:t>
      </w:r>
      <w:r w:rsidR="004E65AD" w:rsidRPr="00CB093C">
        <w:rPr>
          <w:rFonts w:ascii="Arial" w:hAnsi="Arial" w:cs="Arial"/>
          <w:i/>
          <w:color w:val="000000"/>
          <w:szCs w:val="22"/>
        </w:rPr>
        <w:t>N)</w:t>
      </w:r>
      <w:r w:rsidR="004E65AD" w:rsidRPr="00CB093C">
        <w:rPr>
          <w:rFonts w:ascii="Arial" w:hAnsi="Arial" w:cs="Arial"/>
          <w:i/>
          <w:color w:val="000000"/>
          <w:szCs w:val="22"/>
          <w:lang w:val="en-US"/>
        </w:rPr>
        <w:t xml:space="preserve"> </w:t>
      </w:r>
      <w:r w:rsidR="004E65AD" w:rsidRPr="00CB093C">
        <w:rPr>
          <w:rFonts w:ascii="Arial" w:hAnsi="Arial" w:cs="Arial"/>
          <w:i/>
          <w:color w:val="000000"/>
          <w:szCs w:val="22"/>
          <w:lang w:eastAsia="en-AU"/>
        </w:rPr>
        <w:t>for each habitat in the Fitzroy region</w:t>
      </w:r>
      <w:bookmarkEnd w:id="484"/>
    </w:p>
    <w:p w14:paraId="2627DCE2" w14:textId="1BC6B18F" w:rsidR="005132EF" w:rsidRPr="00CB093C" w:rsidRDefault="004E65AD" w:rsidP="004E65AD">
      <w:pPr>
        <w:rPr>
          <w:rFonts w:ascii="Arial" w:hAnsi="Arial" w:cs="Arial"/>
          <w:color w:val="000000"/>
          <w:szCs w:val="22"/>
        </w:rPr>
      </w:pPr>
      <w:r w:rsidRPr="00CB093C">
        <w:rPr>
          <w:rFonts w:ascii="Arial" w:hAnsi="Arial" w:cs="Arial"/>
          <w:i/>
          <w:color w:val="000000"/>
          <w:szCs w:val="22"/>
          <w:lang w:eastAsia="en-AU"/>
        </w:rPr>
        <w:t xml:space="preserve"> (± SE) (foundation species pooled). Horizontal shaded bands or dashed lines represents the accepted seagrass </w:t>
      </w:r>
      <w:r w:rsidRPr="00CB093C">
        <w:rPr>
          <w:rFonts w:ascii="Arial" w:hAnsi="Arial" w:cs="Arial"/>
          <w:i/>
          <w:color w:val="000000"/>
          <w:szCs w:val="22"/>
        </w:rPr>
        <w:t xml:space="preserve">guideline </w:t>
      </w:r>
      <w:r w:rsidRPr="00CB093C">
        <w:rPr>
          <w:rFonts w:ascii="Arial" w:hAnsi="Arial" w:cs="Arial"/>
          <w:i/>
          <w:color w:val="000000"/>
          <w:szCs w:val="22"/>
          <w:lang w:eastAsia="en-AU"/>
        </w:rPr>
        <w:t xml:space="preserve">values, where: C:N ratios within the band may </w:t>
      </w:r>
      <w:r w:rsidRPr="00CB093C">
        <w:rPr>
          <w:rFonts w:ascii="Arial" w:hAnsi="Arial" w:cs="Arial"/>
          <w:i/>
          <w:color w:val="000000"/>
          <w:szCs w:val="22"/>
        </w:rPr>
        <w:t xml:space="preserve">indicate reduced light availability and/or N enrichment; </w:t>
      </w:r>
      <w:r w:rsidRPr="00CB093C">
        <w:rPr>
          <w:rFonts w:ascii="Arial" w:hAnsi="Arial" w:cs="Arial"/>
          <w:i/>
          <w:color w:val="000000"/>
          <w:szCs w:val="22"/>
          <w:lang w:eastAsia="en-AU"/>
        </w:rPr>
        <w:t xml:space="preserve">N:P ratios above the band indicate P limitation, below indicate N limitation and within indicates replete, and; C:P ratios within the band may </w:t>
      </w:r>
      <w:r w:rsidRPr="00CB093C">
        <w:rPr>
          <w:rFonts w:ascii="Arial" w:hAnsi="Arial" w:cs="Arial"/>
          <w:i/>
          <w:color w:val="000000"/>
          <w:szCs w:val="22"/>
        </w:rPr>
        <w:t xml:space="preserve">indicate </w:t>
      </w:r>
      <w:r w:rsidRPr="00CB093C">
        <w:rPr>
          <w:rFonts w:ascii="Arial" w:hAnsi="Arial" w:cs="Arial"/>
          <w:i/>
          <w:color w:val="000000"/>
          <w:szCs w:val="22"/>
          <w:lang w:eastAsia="en-AU"/>
        </w:rPr>
        <w:t>nutrient rich habitats (large P pool).</w:t>
      </w:r>
      <w:r w:rsidRPr="00CB093C">
        <w:rPr>
          <w:rFonts w:ascii="Arial" w:hAnsi="Arial" w:cs="Arial"/>
          <w:color w:val="000000"/>
          <w:szCs w:val="22"/>
          <w:lang w:eastAsia="en-AU"/>
        </w:rPr>
        <w:t xml:space="preserve"> </w:t>
      </w:r>
      <w:r w:rsidRPr="00CB093C">
        <w:rPr>
          <w:rFonts w:ascii="Arial" w:hAnsi="Arial" w:cs="Arial"/>
          <w:i/>
          <w:color w:val="000000"/>
          <w:szCs w:val="22"/>
        </w:rPr>
        <w:t xml:space="preserve">Dashed lines in %N and %P indicate global median values of 1.8 </w:t>
      </w:r>
      <w:r w:rsidR="00882B72" w:rsidRPr="00CB093C">
        <w:rPr>
          <w:rFonts w:ascii="Arial" w:hAnsi="Arial" w:cs="Arial"/>
          <w:i/>
          <w:color w:val="000000"/>
          <w:szCs w:val="22"/>
        </w:rPr>
        <w:t>%</w:t>
      </w:r>
      <w:r w:rsidRPr="00CB093C">
        <w:rPr>
          <w:rFonts w:ascii="Arial" w:hAnsi="Arial" w:cs="Arial"/>
          <w:i/>
          <w:color w:val="000000"/>
          <w:szCs w:val="22"/>
        </w:rPr>
        <w:t xml:space="preserve"> and 0.2 </w:t>
      </w:r>
      <w:r w:rsidR="00882B72" w:rsidRPr="00CB093C">
        <w:rPr>
          <w:rFonts w:ascii="Arial" w:hAnsi="Arial" w:cs="Arial"/>
          <w:i/>
          <w:color w:val="000000"/>
          <w:szCs w:val="22"/>
        </w:rPr>
        <w:t>%</w:t>
      </w:r>
      <w:r w:rsidRPr="00CB093C">
        <w:rPr>
          <w:rFonts w:ascii="Arial" w:hAnsi="Arial" w:cs="Arial"/>
          <w:i/>
          <w:color w:val="000000"/>
          <w:szCs w:val="22"/>
        </w:rPr>
        <w:t xml:space="preserve"> for tissue nitrogen and phosphorus, respectively (</w:t>
      </w:r>
      <w:hyperlink w:anchor="_ENREF_50" w:tooltip="Duarte, 1990 #1954" w:history="1">
        <w:r w:rsidR="00513C39" w:rsidRPr="00CB093C">
          <w:rPr>
            <w:rFonts w:ascii="Arial" w:hAnsi="Arial" w:cs="Arial"/>
            <w:i/>
            <w:color w:val="000000"/>
            <w:szCs w:val="22"/>
          </w:rPr>
          <w:fldChar w:fldCharType="begin"/>
        </w:r>
        <w:r w:rsidR="00513C39" w:rsidRPr="00CB093C">
          <w:rPr>
            <w:rFonts w:ascii="Arial" w:hAnsi="Arial" w:cs="Arial"/>
            <w:i/>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513C39" w:rsidRPr="00CB093C">
          <w:rPr>
            <w:rFonts w:ascii="Arial" w:hAnsi="Arial" w:cs="Arial"/>
            <w:i/>
            <w:color w:val="000000"/>
            <w:szCs w:val="22"/>
          </w:rPr>
          <w:fldChar w:fldCharType="separate"/>
        </w:r>
        <w:r w:rsidR="00513C39" w:rsidRPr="00CB093C">
          <w:rPr>
            <w:rFonts w:ascii="Arial" w:hAnsi="Arial" w:cs="Arial"/>
            <w:i/>
            <w:noProof/>
            <w:color w:val="000000"/>
            <w:szCs w:val="22"/>
          </w:rPr>
          <w:t>Duarte 1990</w:t>
        </w:r>
        <w:r w:rsidR="00513C39" w:rsidRPr="00CB093C">
          <w:rPr>
            <w:rFonts w:ascii="Arial" w:hAnsi="Arial" w:cs="Arial"/>
            <w:i/>
            <w:color w:val="000000"/>
            <w:szCs w:val="22"/>
          </w:rPr>
          <w:fldChar w:fldCharType="end"/>
        </w:r>
      </w:hyperlink>
      <w:r w:rsidRPr="00CB093C">
        <w:rPr>
          <w:rFonts w:ascii="Arial" w:hAnsi="Arial" w:cs="Arial"/>
          <w:i/>
          <w:color w:val="000000"/>
          <w:szCs w:val="22"/>
        </w:rPr>
        <w:t>).</w:t>
      </w:r>
    </w:p>
    <w:p w14:paraId="6C5BDE02" w14:textId="21707DA8" w:rsidR="005132EF" w:rsidRPr="00CB093C" w:rsidRDefault="005132EF" w:rsidP="000F3AC4">
      <w:pPr>
        <w:pStyle w:val="Heading3"/>
        <w:numPr>
          <w:ilvl w:val="3"/>
          <w:numId w:val="4"/>
        </w:numPr>
        <w:rPr>
          <w:rFonts w:ascii="Arial" w:hAnsi="Arial" w:cs="Arial"/>
          <w:b w:val="0"/>
          <w:i/>
          <w:color w:val="000000"/>
          <w:sz w:val="22"/>
          <w:szCs w:val="22"/>
        </w:rPr>
      </w:pPr>
      <w:bookmarkStart w:id="485" w:name="_Toc232845932"/>
      <w:bookmarkStart w:id="486" w:name="_Toc184102031"/>
      <w:bookmarkStart w:id="487" w:name="_Toc11394768"/>
      <w:r w:rsidRPr="00CB093C">
        <w:rPr>
          <w:rFonts w:ascii="Arial" w:hAnsi="Arial" w:cs="Arial"/>
          <w:b w:val="0"/>
          <w:i/>
          <w:color w:val="000000"/>
          <w:sz w:val="22"/>
          <w:szCs w:val="22"/>
        </w:rPr>
        <w:t>Epiphytes and Macroalgae</w:t>
      </w:r>
      <w:bookmarkEnd w:id="485"/>
      <w:bookmarkEnd w:id="486"/>
      <w:bookmarkEnd w:id="487"/>
    </w:p>
    <w:p w14:paraId="3D5A2665" w14:textId="026EB5EB" w:rsidR="002F7B2F" w:rsidRPr="00CB093C" w:rsidRDefault="00D50307" w:rsidP="00034AD4">
      <w:pPr>
        <w:rPr>
          <w:rFonts w:ascii="Arial" w:hAnsi="Arial" w:cs="Arial"/>
          <w:szCs w:val="22"/>
          <w:lang w:val="en-US"/>
        </w:rPr>
      </w:pPr>
      <w:r w:rsidRPr="00CB093C">
        <w:rPr>
          <w:rFonts w:ascii="Arial" w:hAnsi="Arial" w:cs="Arial"/>
          <w:szCs w:val="22"/>
          <w:lang w:val="en-US"/>
        </w:rPr>
        <w:t>E</w:t>
      </w:r>
      <w:r w:rsidR="005132EF" w:rsidRPr="00CB093C">
        <w:rPr>
          <w:rFonts w:ascii="Arial" w:hAnsi="Arial" w:cs="Arial"/>
          <w:szCs w:val="22"/>
          <w:lang w:val="en-US"/>
        </w:rPr>
        <w:t xml:space="preserve">piphyte cover </w:t>
      </w:r>
      <w:r w:rsidR="00744B02" w:rsidRPr="00CB093C">
        <w:rPr>
          <w:rFonts w:ascii="Arial" w:hAnsi="Arial" w:cs="Arial"/>
          <w:szCs w:val="22"/>
          <w:lang w:val="en-US"/>
        </w:rPr>
        <w:t xml:space="preserve">on the leaves of seagrass </w:t>
      </w:r>
      <w:r w:rsidR="00631F2E" w:rsidRPr="00CB093C">
        <w:rPr>
          <w:rFonts w:ascii="Arial" w:hAnsi="Arial" w:cs="Arial"/>
          <w:szCs w:val="22"/>
          <w:lang w:val="en-US"/>
        </w:rPr>
        <w:t xml:space="preserve">across the Fitzroy region either remained below the </w:t>
      </w:r>
      <w:r w:rsidR="002F7B2F" w:rsidRPr="00CB093C">
        <w:rPr>
          <w:rFonts w:ascii="Arial" w:hAnsi="Arial" w:cs="Arial"/>
          <w:szCs w:val="22"/>
          <w:lang w:val="en-GB"/>
        </w:rPr>
        <w:t xml:space="preserve">Reef-wide </w:t>
      </w:r>
      <w:r w:rsidR="00631F2E" w:rsidRPr="00CB093C">
        <w:rPr>
          <w:rFonts w:ascii="Arial" w:hAnsi="Arial" w:cs="Arial"/>
          <w:szCs w:val="22"/>
          <w:lang w:val="en-GB"/>
        </w:rPr>
        <w:t xml:space="preserve">long-term average for the fifth consecutive year (estuarine and reef habitats), or </w:t>
      </w:r>
      <w:r w:rsidR="00744B02" w:rsidRPr="00CB093C">
        <w:rPr>
          <w:rFonts w:ascii="Arial" w:hAnsi="Arial" w:cs="Arial"/>
          <w:szCs w:val="22"/>
          <w:lang w:val="en-US"/>
        </w:rPr>
        <w:t>declined</w:t>
      </w:r>
      <w:r w:rsidR="00631F2E" w:rsidRPr="00CB093C">
        <w:rPr>
          <w:rFonts w:ascii="Arial" w:hAnsi="Arial" w:cs="Arial"/>
          <w:szCs w:val="22"/>
          <w:lang w:val="en-US"/>
        </w:rPr>
        <w:t xml:space="preserve"> (coastal habitat)</w:t>
      </w:r>
      <w:r w:rsidR="00744B02" w:rsidRPr="00CB093C">
        <w:rPr>
          <w:rFonts w:ascii="Arial" w:hAnsi="Arial" w:cs="Arial"/>
          <w:szCs w:val="22"/>
          <w:lang w:val="en-US"/>
        </w:rPr>
        <w:t xml:space="preserve"> </w:t>
      </w:r>
      <w:r w:rsidR="00631F2E" w:rsidRPr="00CB093C">
        <w:rPr>
          <w:rFonts w:ascii="Arial" w:hAnsi="Arial" w:cs="Arial"/>
          <w:szCs w:val="22"/>
          <w:lang w:val="en-US"/>
        </w:rPr>
        <w:t xml:space="preserve">in </w:t>
      </w:r>
      <w:r w:rsidR="003654C6">
        <w:rPr>
          <w:rFonts w:ascii="Arial" w:hAnsi="Arial" w:cs="Arial"/>
          <w:szCs w:val="22"/>
          <w:lang w:val="en-US"/>
        </w:rPr>
        <w:t>2017–18</w:t>
      </w:r>
      <w:r w:rsidR="00C81636" w:rsidRPr="00CB093C">
        <w:rPr>
          <w:rFonts w:ascii="Arial" w:hAnsi="Arial" w:cs="Arial"/>
          <w:szCs w:val="22"/>
          <w:lang w:val="en-US"/>
        </w:rPr>
        <w:t xml:space="preserve"> </w:t>
      </w:r>
      <w:r w:rsidR="00744B02" w:rsidRPr="00CB093C">
        <w:rPr>
          <w:rFonts w:ascii="Arial" w:hAnsi="Arial" w:cs="Arial"/>
          <w:szCs w:val="22"/>
          <w:lang w:val="en-US"/>
        </w:rPr>
        <w:t xml:space="preserve">compared </w:t>
      </w:r>
      <w:r w:rsidR="00631F2E" w:rsidRPr="00CB093C">
        <w:rPr>
          <w:rFonts w:ascii="Arial" w:hAnsi="Arial" w:cs="Arial"/>
          <w:szCs w:val="22"/>
          <w:lang w:val="en-US"/>
        </w:rPr>
        <w:t xml:space="preserve">to the previous reporting year </w:t>
      </w:r>
      <w:r w:rsidR="005132EF" w:rsidRPr="00CB093C">
        <w:rPr>
          <w:rFonts w:ascii="Arial" w:hAnsi="Arial" w:cs="Arial"/>
          <w:szCs w:val="22"/>
          <w:lang w:val="en-US"/>
        </w:rPr>
        <w:t>(</w:t>
      </w:r>
      <w:r w:rsidR="00005FEC" w:rsidRPr="00CB093C">
        <w:rPr>
          <w:rFonts w:ascii="Arial" w:hAnsi="Arial" w:cs="Arial"/>
          <w:szCs w:val="22"/>
          <w:lang w:val="en-US"/>
        </w:rPr>
        <w:fldChar w:fldCharType="begin"/>
      </w:r>
      <w:r w:rsidR="00005FEC" w:rsidRPr="00CB093C">
        <w:rPr>
          <w:rFonts w:ascii="Arial" w:hAnsi="Arial" w:cs="Arial"/>
          <w:szCs w:val="22"/>
          <w:lang w:val="en-US"/>
        </w:rPr>
        <w:instrText xml:space="preserve"> REF _Ref382209856 \h </w:instrText>
      </w:r>
      <w:r w:rsidR="00015190" w:rsidRPr="00CB093C">
        <w:rPr>
          <w:rFonts w:ascii="Arial" w:hAnsi="Arial" w:cs="Arial"/>
          <w:szCs w:val="22"/>
          <w:lang w:val="en-US"/>
        </w:rPr>
        <w:instrText xml:space="preserve"> \* MERGEFORMAT </w:instrText>
      </w:r>
      <w:r w:rsidR="00005FEC" w:rsidRPr="00CB093C">
        <w:rPr>
          <w:rFonts w:ascii="Arial" w:hAnsi="Arial" w:cs="Arial"/>
          <w:szCs w:val="22"/>
          <w:lang w:val="en-US"/>
        </w:rPr>
      </w:r>
      <w:r w:rsidR="00005FEC"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78</w:t>
      </w:r>
      <w:r w:rsidR="00005FEC" w:rsidRPr="00CB093C">
        <w:rPr>
          <w:rFonts w:ascii="Arial" w:hAnsi="Arial" w:cs="Arial"/>
          <w:szCs w:val="22"/>
          <w:lang w:val="en-US"/>
        </w:rPr>
        <w:fldChar w:fldCharType="end"/>
      </w:r>
      <w:r w:rsidR="005132EF" w:rsidRPr="00CB093C">
        <w:rPr>
          <w:rFonts w:ascii="Arial" w:hAnsi="Arial" w:cs="Arial"/>
          <w:szCs w:val="22"/>
          <w:lang w:val="en-US"/>
        </w:rPr>
        <w:t>)</w:t>
      </w:r>
      <w:r w:rsidRPr="00CB093C">
        <w:rPr>
          <w:rFonts w:ascii="Arial" w:hAnsi="Arial" w:cs="Arial"/>
          <w:szCs w:val="22"/>
          <w:lang w:val="en-US"/>
        </w:rPr>
        <w:t xml:space="preserve">. </w:t>
      </w:r>
    </w:p>
    <w:p w14:paraId="1B60DC3A" w14:textId="537701C7" w:rsidR="005132EF" w:rsidRPr="00CB093C" w:rsidRDefault="00005FEC" w:rsidP="00034AD4">
      <w:pPr>
        <w:rPr>
          <w:rFonts w:ascii="Arial" w:hAnsi="Arial" w:cs="Arial"/>
          <w:szCs w:val="22"/>
          <w:lang w:val="en-US"/>
        </w:rPr>
      </w:pPr>
      <w:r w:rsidRPr="00CB093C">
        <w:rPr>
          <w:rFonts w:ascii="Arial" w:hAnsi="Arial" w:cs="Arial"/>
          <w:szCs w:val="22"/>
          <w:lang w:val="en-US"/>
        </w:rPr>
        <w:t xml:space="preserve">Macroalgae cover remained </w:t>
      </w:r>
      <w:r w:rsidR="00631F2E" w:rsidRPr="00CB093C">
        <w:rPr>
          <w:rFonts w:ascii="Arial" w:hAnsi="Arial" w:cs="Arial"/>
          <w:szCs w:val="22"/>
          <w:lang w:val="en-US"/>
        </w:rPr>
        <w:t xml:space="preserve">very low and </w:t>
      </w:r>
      <w:r w:rsidRPr="00CB093C">
        <w:rPr>
          <w:rFonts w:ascii="Arial" w:hAnsi="Arial" w:cs="Arial"/>
          <w:szCs w:val="22"/>
          <w:lang w:val="en-US"/>
        </w:rPr>
        <w:t xml:space="preserve">unchanged at </w:t>
      </w:r>
      <w:r w:rsidR="004563F0" w:rsidRPr="00CB093C">
        <w:rPr>
          <w:rFonts w:ascii="Arial" w:hAnsi="Arial" w:cs="Arial"/>
          <w:szCs w:val="22"/>
          <w:lang w:val="en-US"/>
        </w:rPr>
        <w:t>all habitats in the Fitzroy region</w:t>
      </w:r>
      <w:r w:rsidR="00631F2E" w:rsidRPr="00CB093C">
        <w:rPr>
          <w:rFonts w:ascii="Arial" w:hAnsi="Arial" w:cs="Arial"/>
          <w:szCs w:val="22"/>
          <w:lang w:val="en-US"/>
        </w:rPr>
        <w:t>, with the exception of a minor increase in the late wet 2018 at the reef habitat</w:t>
      </w:r>
      <w:r w:rsidR="004563F0" w:rsidRPr="00CB093C">
        <w:rPr>
          <w:rFonts w:ascii="Arial" w:hAnsi="Arial" w:cs="Arial"/>
          <w:szCs w:val="22"/>
          <w:lang w:val="en-US"/>
        </w:rPr>
        <w:t xml:space="preserve"> </w:t>
      </w:r>
      <w:r w:rsidR="001C443C" w:rsidRPr="00CB093C">
        <w:rPr>
          <w:rFonts w:ascii="Arial" w:hAnsi="Arial" w:cs="Arial"/>
          <w:szCs w:val="22"/>
          <w:lang w:val="en-US"/>
        </w:rPr>
        <w:t>(</w:t>
      </w:r>
      <w:r w:rsidR="001C443C" w:rsidRPr="00CB093C">
        <w:rPr>
          <w:rFonts w:ascii="Arial" w:hAnsi="Arial" w:cs="Arial"/>
          <w:szCs w:val="22"/>
          <w:lang w:val="en-US"/>
        </w:rPr>
        <w:fldChar w:fldCharType="begin"/>
      </w:r>
      <w:r w:rsidR="001C443C" w:rsidRPr="00CB093C">
        <w:rPr>
          <w:rFonts w:ascii="Arial" w:hAnsi="Arial" w:cs="Arial"/>
          <w:szCs w:val="22"/>
          <w:lang w:val="en-US"/>
        </w:rPr>
        <w:instrText xml:space="preserve"> REF _Ref382209856 \h </w:instrText>
      </w:r>
      <w:r w:rsidR="00015190" w:rsidRPr="00CB093C">
        <w:rPr>
          <w:rFonts w:ascii="Arial" w:hAnsi="Arial" w:cs="Arial"/>
          <w:szCs w:val="22"/>
          <w:lang w:val="en-US"/>
        </w:rPr>
        <w:instrText xml:space="preserve"> \* MERGEFORMAT </w:instrText>
      </w:r>
      <w:r w:rsidR="001C443C" w:rsidRPr="00CB093C">
        <w:rPr>
          <w:rFonts w:ascii="Arial" w:hAnsi="Arial" w:cs="Arial"/>
          <w:szCs w:val="22"/>
          <w:lang w:val="en-US"/>
        </w:rPr>
      </w:r>
      <w:r w:rsidR="001C443C"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78</w:t>
      </w:r>
      <w:r w:rsidR="001C443C" w:rsidRPr="00CB093C">
        <w:rPr>
          <w:rFonts w:ascii="Arial" w:hAnsi="Arial" w:cs="Arial"/>
          <w:szCs w:val="22"/>
          <w:lang w:val="en-US"/>
        </w:rPr>
        <w:fldChar w:fldCharType="end"/>
      </w:r>
      <w:r w:rsidR="001C443C" w:rsidRPr="00CB093C">
        <w:rPr>
          <w:rFonts w:ascii="Arial" w:hAnsi="Arial" w:cs="Arial"/>
          <w:szCs w:val="22"/>
          <w:lang w:val="en-US"/>
        </w:rPr>
        <w:t>).</w:t>
      </w:r>
    </w:p>
    <w:p w14:paraId="6DED6D51" w14:textId="77777777" w:rsidR="0045784E" w:rsidRPr="00CB093C" w:rsidRDefault="00EB62A9" w:rsidP="003126B8">
      <w:pPr>
        <w:keepNext/>
        <w:jc w:val="center"/>
        <w:rPr>
          <w:rFonts w:ascii="Arial" w:hAnsi="Arial" w:cs="Arial"/>
          <w:szCs w:val="22"/>
          <w:lang w:val="en-US"/>
        </w:rPr>
      </w:pPr>
      <w:bookmarkStart w:id="488" w:name="_Ref211934058"/>
      <w:bookmarkStart w:id="489" w:name="_Toc232846019"/>
      <w:r w:rsidRPr="00CB093C">
        <w:rPr>
          <w:rFonts w:ascii="Arial" w:hAnsi="Arial" w:cs="Arial"/>
          <w:noProof/>
          <w:szCs w:val="22"/>
          <w:lang w:val="en-US"/>
        </w:rPr>
        <w:drawing>
          <wp:inline distT="0" distB="0" distL="0" distR="0" wp14:anchorId="3FCB0D43" wp14:editId="1A26C12C">
            <wp:extent cx="5206197" cy="2929681"/>
            <wp:effectExtent l="0" t="0" r="0" b="4445"/>
            <wp:docPr id="10161" name="Picture 10161" descr="Set of six bar charts showing long-term trend in mean epiphyte and macroalgae abundance (% cover) at each inshore seagrass habitats in the Fitzroy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1" name="F_epi_algae_change_2016.png"/>
                    <pic:cNvPicPr/>
                  </pic:nvPicPr>
                  <pic:blipFill>
                    <a:blip r:embed="rId121">
                      <a:extLst>
                        <a:ext uri="{28A0092B-C50C-407E-A947-70E740481C1C}">
                          <a14:useLocalDpi xmlns:a14="http://schemas.microsoft.com/office/drawing/2010/main" val="0"/>
                        </a:ext>
                      </a:extLst>
                    </a:blip>
                    <a:stretch>
                      <a:fillRect/>
                    </a:stretch>
                  </pic:blipFill>
                  <pic:spPr>
                    <a:xfrm>
                      <a:off x="0" y="0"/>
                      <a:ext cx="5206197" cy="2929681"/>
                    </a:xfrm>
                    <a:prstGeom prst="rect">
                      <a:avLst/>
                    </a:prstGeom>
                  </pic:spPr>
                </pic:pic>
              </a:graphicData>
            </a:graphic>
          </wp:inline>
        </w:drawing>
      </w:r>
    </w:p>
    <w:p w14:paraId="4887AADF" w14:textId="64DB32EE" w:rsidR="005E3260" w:rsidRPr="00CB093C" w:rsidRDefault="005132EF" w:rsidP="005E3260">
      <w:pPr>
        <w:rPr>
          <w:rFonts w:ascii="Arial" w:hAnsi="Arial" w:cs="Arial"/>
          <w:i/>
          <w:vanish/>
          <w:szCs w:val="22"/>
          <w:specVanish/>
        </w:rPr>
      </w:pPr>
      <w:bookmarkStart w:id="490" w:name="_Ref382209856"/>
      <w:bookmarkStart w:id="491" w:name="_Toc431493894"/>
      <w:bookmarkStart w:id="492" w:name="_Toc6402843"/>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78</w:t>
      </w:r>
      <w:r w:rsidR="00C506C7" w:rsidRPr="00CB093C">
        <w:rPr>
          <w:rFonts w:ascii="Arial" w:hAnsi="Arial" w:cs="Arial"/>
          <w:noProof/>
          <w:szCs w:val="22"/>
        </w:rPr>
        <w:fldChar w:fldCharType="end"/>
      </w:r>
      <w:bookmarkEnd w:id="488"/>
      <w:bookmarkEnd w:id="490"/>
      <w:r w:rsidRPr="00CB093C">
        <w:rPr>
          <w:rFonts w:ascii="Arial" w:hAnsi="Arial" w:cs="Arial"/>
          <w:szCs w:val="22"/>
        </w:rPr>
        <w:t xml:space="preserve">. </w:t>
      </w:r>
      <w:bookmarkEnd w:id="489"/>
      <w:r w:rsidR="003126B8" w:rsidRPr="00CB093C">
        <w:rPr>
          <w:rFonts w:ascii="Arial" w:hAnsi="Arial" w:cs="Arial"/>
          <w:i/>
          <w:szCs w:val="22"/>
        </w:rPr>
        <w:t>Long-term trend in mean epiphyte and macroalgae abundance (</w:t>
      </w:r>
      <w:r w:rsidR="00882B72" w:rsidRPr="00CB093C">
        <w:rPr>
          <w:rFonts w:ascii="Arial" w:hAnsi="Arial" w:cs="Arial"/>
          <w:i/>
          <w:szCs w:val="22"/>
        </w:rPr>
        <w:t>%</w:t>
      </w:r>
      <w:r w:rsidR="003126B8" w:rsidRPr="00CB093C">
        <w:rPr>
          <w:rFonts w:ascii="Arial" w:hAnsi="Arial" w:cs="Arial"/>
          <w:i/>
          <w:szCs w:val="22"/>
        </w:rPr>
        <w:t xml:space="preserve"> cover) relative to the long-term average for each </w:t>
      </w:r>
      <w:r w:rsidR="005E3260" w:rsidRPr="00CB093C">
        <w:rPr>
          <w:rFonts w:ascii="Arial" w:hAnsi="Arial" w:cs="Arial"/>
          <w:i/>
          <w:szCs w:val="22"/>
        </w:rPr>
        <w:t xml:space="preserve">inshore intertidal </w:t>
      </w:r>
      <w:r w:rsidR="003126B8" w:rsidRPr="00CB093C">
        <w:rPr>
          <w:rFonts w:ascii="Arial" w:hAnsi="Arial" w:cs="Arial"/>
          <w:i/>
          <w:szCs w:val="22"/>
        </w:rPr>
        <w:t>seagrass habitat in the Fitzroy region</w:t>
      </w:r>
      <w:r w:rsidR="005E3260" w:rsidRPr="00CB093C">
        <w:rPr>
          <w:rFonts w:ascii="Arial" w:hAnsi="Arial" w:cs="Arial"/>
          <w:i/>
          <w:szCs w:val="22"/>
        </w:rPr>
        <w:t>, 2005</w:t>
      </w:r>
      <w:r w:rsidR="00A675DA" w:rsidRPr="00CB093C">
        <w:rPr>
          <w:rFonts w:ascii="Arial" w:hAnsi="Arial" w:cs="Arial"/>
          <w:i/>
          <w:szCs w:val="22"/>
        </w:rPr>
        <w:t>–</w:t>
      </w:r>
      <w:r w:rsidR="005E3260" w:rsidRPr="00CB093C">
        <w:rPr>
          <w:rFonts w:ascii="Arial" w:hAnsi="Arial" w:cs="Arial"/>
          <w:i/>
          <w:szCs w:val="22"/>
        </w:rPr>
        <w:t>201</w:t>
      </w:r>
      <w:r w:rsidR="00D40A36" w:rsidRPr="00CB093C">
        <w:rPr>
          <w:rFonts w:ascii="Arial" w:hAnsi="Arial" w:cs="Arial"/>
          <w:i/>
          <w:szCs w:val="22"/>
        </w:rPr>
        <w:t>8</w:t>
      </w:r>
      <w:bookmarkEnd w:id="491"/>
      <w:bookmarkEnd w:id="492"/>
    </w:p>
    <w:p w14:paraId="17B2FCF7" w14:textId="71C493BA" w:rsidR="00C361E3" w:rsidRPr="00CB093C" w:rsidRDefault="005E3260" w:rsidP="00BC6384">
      <w:pPr>
        <w:rPr>
          <w:rFonts w:ascii="Arial" w:hAnsi="Arial" w:cs="Arial"/>
          <w:i/>
          <w:szCs w:val="22"/>
        </w:rPr>
      </w:pPr>
      <w:r w:rsidRPr="00CB093C">
        <w:rPr>
          <w:rFonts w:ascii="Arial" w:hAnsi="Arial" w:cs="Arial"/>
          <w:i/>
          <w:szCs w:val="22"/>
        </w:rPr>
        <w:t xml:space="preserve"> </w:t>
      </w:r>
      <w:r w:rsidR="003126B8" w:rsidRPr="00CB093C">
        <w:rPr>
          <w:rFonts w:ascii="Arial" w:hAnsi="Arial" w:cs="Arial"/>
          <w:i/>
          <w:szCs w:val="22"/>
        </w:rPr>
        <w:t xml:space="preserve">(sites pooled, ±SE). </w:t>
      </w:r>
      <w:r w:rsidR="002F7B2F" w:rsidRPr="00CB093C">
        <w:rPr>
          <w:rFonts w:ascii="Arial" w:hAnsi="Arial" w:cs="Arial"/>
          <w:i/>
          <w:szCs w:val="22"/>
        </w:rPr>
        <w:t>Red/green text</w:t>
      </w:r>
    </w:p>
    <w:p w14:paraId="43D02344" w14:textId="77777777" w:rsidR="00A23A41" w:rsidRPr="00CB093C" w:rsidRDefault="00A23A41" w:rsidP="00BC6384">
      <w:pPr>
        <w:rPr>
          <w:rFonts w:ascii="Arial" w:hAnsi="Arial" w:cs="Arial"/>
          <w:szCs w:val="22"/>
          <w:lang w:val="en-GB"/>
        </w:rPr>
      </w:pPr>
    </w:p>
    <w:p w14:paraId="782C3274" w14:textId="6D93AFC2" w:rsidR="00AB6175" w:rsidRPr="00CB093C" w:rsidRDefault="005132EF" w:rsidP="0015509E">
      <w:pPr>
        <w:pStyle w:val="Heading2"/>
      </w:pPr>
      <w:r w:rsidRPr="00CB093C">
        <w:rPr>
          <w:lang w:val="en-GB"/>
        </w:rPr>
        <w:br w:type="page"/>
      </w:r>
      <w:bookmarkStart w:id="493" w:name="_Toc170191656"/>
      <w:bookmarkStart w:id="494" w:name="_Toc175991091"/>
      <w:bookmarkStart w:id="495" w:name="_Toc232845936"/>
      <w:bookmarkStart w:id="496" w:name="_Toc184102037"/>
      <w:bookmarkStart w:id="497" w:name="_Toc431493783"/>
      <w:bookmarkStart w:id="498" w:name="_Toc11394769"/>
      <w:r w:rsidR="00AB6175" w:rsidRPr="00CB093C">
        <w:t>Burnett Mary</w:t>
      </w:r>
      <w:bookmarkEnd w:id="493"/>
      <w:bookmarkEnd w:id="494"/>
      <w:bookmarkEnd w:id="495"/>
      <w:bookmarkEnd w:id="496"/>
      <w:bookmarkEnd w:id="497"/>
      <w:bookmarkEnd w:id="498"/>
    </w:p>
    <w:p w14:paraId="529889CB" w14:textId="7FE0DFE7" w:rsidR="005132EF" w:rsidRPr="00CB093C" w:rsidRDefault="003654C6" w:rsidP="00AD06D4">
      <w:pPr>
        <w:pStyle w:val="Heading3"/>
        <w:numPr>
          <w:ilvl w:val="2"/>
          <w:numId w:val="4"/>
        </w:numPr>
        <w:rPr>
          <w:rFonts w:ascii="Arial" w:hAnsi="Arial" w:cs="Arial"/>
          <w:color w:val="000000"/>
          <w:sz w:val="22"/>
          <w:szCs w:val="22"/>
        </w:rPr>
      </w:pPr>
      <w:bookmarkStart w:id="499" w:name="_Toc184102038"/>
      <w:bookmarkStart w:id="500" w:name="_Toc431493784"/>
      <w:bookmarkStart w:id="501" w:name="_Toc11394770"/>
      <w:r>
        <w:rPr>
          <w:rFonts w:ascii="Arial" w:hAnsi="Arial" w:cs="Arial"/>
          <w:color w:val="000000"/>
          <w:sz w:val="22"/>
          <w:szCs w:val="22"/>
        </w:rPr>
        <w:t>2017–18</w:t>
      </w:r>
      <w:r w:rsidR="00C81636" w:rsidRPr="00CB093C">
        <w:rPr>
          <w:rFonts w:ascii="Arial" w:hAnsi="Arial" w:cs="Arial"/>
          <w:color w:val="000000"/>
          <w:sz w:val="22"/>
          <w:szCs w:val="22"/>
        </w:rPr>
        <w:t xml:space="preserve"> </w:t>
      </w:r>
      <w:r w:rsidR="005132EF" w:rsidRPr="00CB093C">
        <w:rPr>
          <w:rFonts w:ascii="Arial" w:hAnsi="Arial" w:cs="Arial"/>
          <w:color w:val="000000"/>
          <w:sz w:val="22"/>
          <w:szCs w:val="22"/>
        </w:rPr>
        <w:t>Summary</w:t>
      </w:r>
      <w:bookmarkEnd w:id="499"/>
      <w:bookmarkEnd w:id="500"/>
      <w:bookmarkEnd w:id="501"/>
    </w:p>
    <w:p w14:paraId="70F82904" w14:textId="6DA7717A" w:rsidR="00A813DF" w:rsidRPr="00CB093C" w:rsidRDefault="00A813DF" w:rsidP="00A813DF">
      <w:pPr>
        <w:rPr>
          <w:rFonts w:ascii="Arial" w:hAnsi="Arial" w:cs="Arial"/>
          <w:szCs w:val="22"/>
        </w:rPr>
      </w:pPr>
      <w:bookmarkStart w:id="502" w:name="_Toc184102039"/>
      <w:bookmarkStart w:id="503" w:name="_Toc431493785"/>
      <w:r w:rsidRPr="00CB093C">
        <w:rPr>
          <w:rFonts w:ascii="Arial" w:hAnsi="Arial" w:cs="Arial"/>
          <w:szCs w:val="22"/>
        </w:rPr>
        <w:t>Inshore s</w:t>
      </w:r>
      <w:r w:rsidR="00C03DA1" w:rsidRPr="00CB093C">
        <w:rPr>
          <w:rFonts w:ascii="Arial" w:hAnsi="Arial" w:cs="Arial"/>
          <w:szCs w:val="22"/>
        </w:rPr>
        <w:t xml:space="preserve">eagrass meadows across the </w:t>
      </w:r>
      <w:r w:rsidR="00C03DA1" w:rsidRPr="00CB093C">
        <w:rPr>
          <w:rFonts w:ascii="Arial" w:hAnsi="Arial" w:cs="Arial"/>
          <w:szCs w:val="22"/>
          <w:lang w:val="en-GB"/>
        </w:rPr>
        <w:t xml:space="preserve">Burnett Mary </w:t>
      </w:r>
      <w:r w:rsidR="00C03DA1" w:rsidRPr="00CB093C">
        <w:rPr>
          <w:rFonts w:ascii="Arial" w:hAnsi="Arial" w:cs="Arial"/>
          <w:szCs w:val="22"/>
        </w:rPr>
        <w:t>NRM region declined in overall condition</w:t>
      </w:r>
      <w:r w:rsidR="0029353F" w:rsidRPr="00CB093C">
        <w:rPr>
          <w:rFonts w:ascii="Arial" w:hAnsi="Arial" w:cs="Arial"/>
          <w:szCs w:val="22"/>
        </w:rPr>
        <w:t>,</w:t>
      </w:r>
      <w:r w:rsidR="00C03DA1" w:rsidRPr="00CB093C">
        <w:rPr>
          <w:rFonts w:ascii="Arial" w:hAnsi="Arial" w:cs="Arial"/>
          <w:szCs w:val="22"/>
        </w:rPr>
        <w:t xml:space="preserve"> </w:t>
      </w:r>
      <w:r w:rsidR="0029353F" w:rsidRPr="00CB093C">
        <w:rPr>
          <w:rFonts w:ascii="Arial" w:hAnsi="Arial" w:cs="Arial"/>
          <w:szCs w:val="22"/>
        </w:rPr>
        <w:t xml:space="preserve">in response to the environmental pressures throughout </w:t>
      </w:r>
      <w:r w:rsidR="00C03DA1" w:rsidRPr="00CB093C">
        <w:rPr>
          <w:rFonts w:ascii="Arial" w:hAnsi="Arial" w:cs="Arial"/>
          <w:szCs w:val="22"/>
        </w:rPr>
        <w:t xml:space="preserve">in </w:t>
      </w:r>
      <w:r w:rsidR="003654C6">
        <w:rPr>
          <w:rFonts w:ascii="Arial" w:hAnsi="Arial" w:cs="Arial"/>
          <w:szCs w:val="22"/>
        </w:rPr>
        <w:t>2017–18</w:t>
      </w:r>
      <w:r w:rsidR="00C03DA1" w:rsidRPr="00CB093C">
        <w:rPr>
          <w:rFonts w:ascii="Arial" w:hAnsi="Arial" w:cs="Arial"/>
          <w:szCs w:val="22"/>
        </w:rPr>
        <w:t>, to the lowest grade in five years</w:t>
      </w:r>
      <w:r w:rsidR="002F7B2F" w:rsidRPr="00CB093C">
        <w:rPr>
          <w:rFonts w:ascii="Arial" w:hAnsi="Arial" w:cs="Arial"/>
          <w:szCs w:val="22"/>
        </w:rPr>
        <w:t>,</w:t>
      </w:r>
      <w:r w:rsidR="002F7B2F" w:rsidRPr="00CB093C">
        <w:rPr>
          <w:rFonts w:ascii="Arial" w:hAnsi="Arial" w:cs="Arial"/>
          <w:szCs w:val="22"/>
          <w:lang w:val="en-GB"/>
        </w:rPr>
        <w:t xml:space="preserve"> dropping to a </w:t>
      </w:r>
      <w:r w:rsidR="002F7B2F" w:rsidRPr="00CB093C">
        <w:rPr>
          <w:rFonts w:ascii="Arial" w:hAnsi="Arial" w:cs="Arial"/>
          <w:b/>
          <w:szCs w:val="22"/>
          <w:lang w:val="en-GB"/>
        </w:rPr>
        <w:t>very poor</w:t>
      </w:r>
      <w:r w:rsidR="002F7B2F" w:rsidRPr="00CB093C">
        <w:rPr>
          <w:rFonts w:ascii="Arial" w:hAnsi="Arial" w:cs="Arial"/>
          <w:szCs w:val="22"/>
          <w:lang w:val="en-GB"/>
        </w:rPr>
        <w:t xml:space="preserve"> grade (</w:t>
      </w:r>
      <w:r w:rsidR="002F7B2F" w:rsidRPr="00CB093C">
        <w:rPr>
          <w:rFonts w:ascii="Arial" w:hAnsi="Arial" w:cs="Arial"/>
          <w:szCs w:val="22"/>
          <w:lang w:val="en-GB"/>
        </w:rPr>
        <w:fldChar w:fldCharType="begin"/>
      </w:r>
      <w:r w:rsidR="002F7B2F" w:rsidRPr="00CB093C">
        <w:rPr>
          <w:rFonts w:ascii="Arial" w:hAnsi="Arial" w:cs="Arial"/>
          <w:szCs w:val="22"/>
          <w:lang w:val="en-GB"/>
        </w:rPr>
        <w:instrText xml:space="preserve"> REF _Ref442449961 \h </w:instrText>
      </w:r>
      <w:r w:rsidR="00CB093C" w:rsidRPr="00CB093C">
        <w:rPr>
          <w:rFonts w:ascii="Arial" w:hAnsi="Arial" w:cs="Arial"/>
          <w:szCs w:val="22"/>
          <w:lang w:val="en-GB"/>
        </w:rPr>
        <w:instrText xml:space="preserve"> \* MERGEFORMAT </w:instrText>
      </w:r>
      <w:r w:rsidR="002F7B2F" w:rsidRPr="00CB093C">
        <w:rPr>
          <w:rFonts w:ascii="Arial" w:hAnsi="Arial" w:cs="Arial"/>
          <w:szCs w:val="22"/>
          <w:lang w:val="en-GB"/>
        </w:rPr>
      </w:r>
      <w:r w:rsidR="002F7B2F"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81</w:t>
      </w:r>
      <w:r w:rsidR="002F7B2F" w:rsidRPr="00CB093C">
        <w:rPr>
          <w:rFonts w:ascii="Arial" w:hAnsi="Arial" w:cs="Arial"/>
          <w:szCs w:val="22"/>
          <w:lang w:val="en-GB"/>
        </w:rPr>
        <w:fldChar w:fldCharType="end"/>
      </w:r>
      <w:r w:rsidR="002F7B2F" w:rsidRPr="00CB093C">
        <w:rPr>
          <w:rFonts w:ascii="Arial" w:hAnsi="Arial" w:cs="Arial"/>
          <w:szCs w:val="22"/>
          <w:lang w:val="en-GB"/>
        </w:rPr>
        <w:t>)</w:t>
      </w:r>
      <w:r w:rsidR="00C03DA1" w:rsidRPr="00CB093C">
        <w:rPr>
          <w:rFonts w:ascii="Arial" w:hAnsi="Arial" w:cs="Arial"/>
          <w:szCs w:val="22"/>
        </w:rPr>
        <w:t xml:space="preserve">. </w:t>
      </w:r>
      <w:r w:rsidRPr="00CB093C">
        <w:rPr>
          <w:rFonts w:ascii="Arial" w:hAnsi="Arial" w:cs="Arial"/>
          <w:color w:val="000000" w:themeColor="text1"/>
          <w:szCs w:val="22"/>
        </w:rPr>
        <w:t>Contributing indicators were</w:t>
      </w:r>
      <w:r w:rsidRPr="00CB093C">
        <w:rPr>
          <w:rFonts w:ascii="Arial" w:hAnsi="Arial" w:cs="Arial"/>
          <w:szCs w:val="22"/>
        </w:rPr>
        <w:t>:</w:t>
      </w:r>
    </w:p>
    <w:p w14:paraId="7B4A78CF" w14:textId="068D3662" w:rsidR="00A813DF" w:rsidRPr="00CB093C" w:rsidRDefault="00A813DF" w:rsidP="00A813DF">
      <w:pPr>
        <w:pStyle w:val="ListParagraph"/>
        <w:numPr>
          <w:ilvl w:val="0"/>
          <w:numId w:val="27"/>
        </w:numPr>
        <w:spacing w:after="0"/>
        <w:rPr>
          <w:rFonts w:ascii="Arial" w:hAnsi="Arial" w:cs="Arial"/>
          <w:szCs w:val="22"/>
        </w:rPr>
      </w:pPr>
      <w:r w:rsidRPr="00CB093C">
        <w:rPr>
          <w:rFonts w:ascii="Arial" w:hAnsi="Arial" w:cs="Arial"/>
          <w:szCs w:val="22"/>
        </w:rPr>
        <w:t>abundance score was poor</w:t>
      </w:r>
    </w:p>
    <w:p w14:paraId="73098EDD" w14:textId="16BEC6D7" w:rsidR="00A813DF" w:rsidRPr="00CB093C" w:rsidRDefault="00A813DF" w:rsidP="00A813DF">
      <w:pPr>
        <w:pStyle w:val="ListParagraph"/>
        <w:numPr>
          <w:ilvl w:val="0"/>
          <w:numId w:val="27"/>
        </w:numPr>
        <w:spacing w:after="0"/>
        <w:rPr>
          <w:rFonts w:ascii="Arial" w:hAnsi="Arial" w:cs="Arial"/>
          <w:szCs w:val="22"/>
        </w:rPr>
      </w:pPr>
      <w:r w:rsidRPr="00CB093C">
        <w:rPr>
          <w:rFonts w:ascii="Arial" w:hAnsi="Arial" w:cs="Arial"/>
          <w:szCs w:val="22"/>
        </w:rPr>
        <w:t xml:space="preserve">reproductive effort score was very poor </w:t>
      </w:r>
    </w:p>
    <w:p w14:paraId="50BAA341" w14:textId="7DA4711B" w:rsidR="00A813DF" w:rsidRPr="00CB093C" w:rsidRDefault="00A813DF" w:rsidP="00A813DF">
      <w:pPr>
        <w:pStyle w:val="ListParagraph"/>
        <w:numPr>
          <w:ilvl w:val="0"/>
          <w:numId w:val="27"/>
        </w:numPr>
        <w:spacing w:after="0"/>
        <w:rPr>
          <w:rFonts w:ascii="Arial" w:hAnsi="Arial" w:cs="Arial"/>
          <w:szCs w:val="22"/>
        </w:rPr>
      </w:pPr>
      <w:r w:rsidRPr="00CB093C">
        <w:rPr>
          <w:rFonts w:ascii="Arial" w:hAnsi="Arial" w:cs="Arial"/>
          <w:szCs w:val="22"/>
        </w:rPr>
        <w:t>tissue nutrient score was poor.</w:t>
      </w:r>
      <w:r w:rsidRPr="00CB093C">
        <w:rPr>
          <w:rFonts w:ascii="Arial" w:hAnsi="Arial" w:cs="Arial"/>
          <w:color w:val="000000" w:themeColor="text1"/>
          <w:szCs w:val="22"/>
        </w:rPr>
        <w:t xml:space="preserve"> </w:t>
      </w:r>
    </w:p>
    <w:p w14:paraId="46561D7D" w14:textId="6877413F" w:rsidR="002F7B2F" w:rsidRPr="00CB093C" w:rsidRDefault="00C03DA1" w:rsidP="00C03DA1">
      <w:pPr>
        <w:rPr>
          <w:rFonts w:ascii="Arial" w:hAnsi="Arial" w:cs="Arial"/>
          <w:szCs w:val="22"/>
        </w:rPr>
      </w:pPr>
      <w:r w:rsidRPr="00CB093C">
        <w:rPr>
          <w:rFonts w:ascii="Arial" w:hAnsi="Arial" w:cs="Arial"/>
          <w:szCs w:val="22"/>
        </w:rPr>
        <w:t xml:space="preserve">Seagrass meadow distribution remained stable but seagrass abundance varied between habitats across the region, with </w:t>
      </w:r>
      <w:r w:rsidR="00882B72" w:rsidRPr="00CB093C">
        <w:rPr>
          <w:rFonts w:ascii="Arial" w:hAnsi="Arial" w:cs="Arial"/>
          <w:szCs w:val="22"/>
        </w:rPr>
        <w:t>%</w:t>
      </w:r>
      <w:r w:rsidRPr="00CB093C">
        <w:rPr>
          <w:rFonts w:ascii="Arial" w:hAnsi="Arial" w:cs="Arial"/>
          <w:szCs w:val="22"/>
        </w:rPr>
        <w:t xml:space="preserve"> cover lower than the previous year at two-thirds of sites. The declines, however, were not sufficient to reduce the </w:t>
      </w:r>
      <w:r w:rsidR="00441426" w:rsidRPr="00CB093C">
        <w:rPr>
          <w:rFonts w:ascii="Arial" w:hAnsi="Arial" w:cs="Arial"/>
          <w:szCs w:val="22"/>
        </w:rPr>
        <w:t xml:space="preserve">abundance </w:t>
      </w:r>
      <w:r w:rsidRPr="00CB093C">
        <w:rPr>
          <w:rFonts w:ascii="Arial" w:hAnsi="Arial" w:cs="Arial"/>
          <w:szCs w:val="22"/>
        </w:rPr>
        <w:t xml:space="preserve">indicator score due to maintenance of high abundances or improvements at the remaining sites. </w:t>
      </w:r>
      <w:r w:rsidR="002F7B2F" w:rsidRPr="00CB093C">
        <w:rPr>
          <w:rFonts w:ascii="Arial" w:hAnsi="Arial" w:cs="Arial"/>
          <w:szCs w:val="22"/>
        </w:rPr>
        <w:t>D</w:t>
      </w:r>
      <w:r w:rsidRPr="00CB093C">
        <w:rPr>
          <w:rFonts w:ascii="Arial" w:hAnsi="Arial" w:cs="Arial"/>
          <w:szCs w:val="22"/>
        </w:rPr>
        <w:t xml:space="preserve">eclines in </w:t>
      </w:r>
      <w:r w:rsidR="003C15CC" w:rsidRPr="00CB093C">
        <w:rPr>
          <w:rFonts w:ascii="Arial" w:hAnsi="Arial" w:cs="Arial"/>
          <w:szCs w:val="22"/>
        </w:rPr>
        <w:t xml:space="preserve">per cent </w:t>
      </w:r>
      <w:r w:rsidRPr="00CB093C">
        <w:rPr>
          <w:rFonts w:ascii="Arial" w:hAnsi="Arial" w:cs="Arial"/>
          <w:szCs w:val="22"/>
        </w:rPr>
        <w:t xml:space="preserve">cover were possibly a consequence of turbid waters from above-average river discharges </w:t>
      </w:r>
      <w:r w:rsidR="00441426" w:rsidRPr="00CB093C">
        <w:rPr>
          <w:rFonts w:ascii="Arial" w:hAnsi="Arial" w:cs="Arial"/>
          <w:szCs w:val="22"/>
        </w:rPr>
        <w:t>(predominately October</w:t>
      </w:r>
      <w:r w:rsidR="002F7B2F" w:rsidRPr="00CB093C">
        <w:rPr>
          <w:rFonts w:ascii="Arial" w:hAnsi="Arial" w:cs="Arial"/>
          <w:szCs w:val="22"/>
        </w:rPr>
        <w:t xml:space="preserve"> </w:t>
      </w:r>
      <w:r w:rsidR="00441426" w:rsidRPr="00CB093C">
        <w:rPr>
          <w:rFonts w:ascii="Arial" w:hAnsi="Arial" w:cs="Arial"/>
          <w:szCs w:val="22"/>
        </w:rPr>
        <w:t xml:space="preserve">2017) </w:t>
      </w:r>
      <w:r w:rsidRPr="00CB093C">
        <w:rPr>
          <w:rFonts w:ascii="Arial" w:hAnsi="Arial" w:cs="Arial"/>
          <w:szCs w:val="22"/>
        </w:rPr>
        <w:t>resulting in slightly lower benthic light across the region</w:t>
      </w:r>
      <w:r w:rsidR="00441426" w:rsidRPr="00CB093C">
        <w:rPr>
          <w:rFonts w:ascii="Arial" w:hAnsi="Arial" w:cs="Arial"/>
          <w:szCs w:val="22"/>
        </w:rPr>
        <w:t xml:space="preserve"> during the peak seagrass growth period</w:t>
      </w:r>
      <w:r w:rsidRPr="00CB093C">
        <w:rPr>
          <w:rFonts w:ascii="Arial" w:hAnsi="Arial" w:cs="Arial"/>
          <w:szCs w:val="22"/>
        </w:rPr>
        <w:t xml:space="preserve">. </w:t>
      </w:r>
      <w:r w:rsidR="002F7B2F" w:rsidRPr="00CB093C">
        <w:rPr>
          <w:rFonts w:ascii="Arial" w:hAnsi="Arial" w:cs="Arial"/>
          <w:szCs w:val="22"/>
        </w:rPr>
        <w:t>The long-term trend in abundance for the region indicates no significant direction, despite some significant increases in the south.</w:t>
      </w:r>
    </w:p>
    <w:p w14:paraId="778DDC6C" w14:textId="2097017B" w:rsidR="00C03DA1" w:rsidRPr="00CB093C" w:rsidRDefault="003654C6" w:rsidP="00C03DA1">
      <w:pPr>
        <w:rPr>
          <w:rFonts w:ascii="Arial" w:hAnsi="Arial" w:cs="Arial"/>
          <w:szCs w:val="22"/>
        </w:rPr>
      </w:pPr>
      <w:r>
        <w:rPr>
          <w:rFonts w:ascii="Arial" w:hAnsi="Arial" w:cs="Arial"/>
          <w:szCs w:val="22"/>
        </w:rPr>
        <w:t>2017–18</w:t>
      </w:r>
      <w:r w:rsidR="00C03DA1" w:rsidRPr="00CB093C">
        <w:rPr>
          <w:rFonts w:ascii="Arial" w:hAnsi="Arial" w:cs="Arial"/>
          <w:szCs w:val="22"/>
        </w:rPr>
        <w:t xml:space="preserve"> was also the fifth consecutive year where within-canopy temperatures were above the long-term average. The higher water temperatures coupled with lower benthic light, may have exacerbated chronic stress conditions in the seagrass, further impacting growth. </w:t>
      </w:r>
    </w:p>
    <w:p w14:paraId="4F788208" w14:textId="72BDDE4C" w:rsidR="002F7B2F" w:rsidRPr="00CB093C" w:rsidRDefault="00C03DA1" w:rsidP="00C03DA1">
      <w:pPr>
        <w:spacing w:after="0"/>
        <w:ind w:right="232"/>
        <w:rPr>
          <w:rFonts w:ascii="Arial" w:hAnsi="Arial" w:cs="Arial"/>
          <w:szCs w:val="22"/>
        </w:rPr>
      </w:pPr>
      <w:r w:rsidRPr="00CB093C">
        <w:rPr>
          <w:rFonts w:ascii="Arial" w:hAnsi="Arial" w:cs="Arial"/>
          <w:iCs/>
          <w:szCs w:val="22"/>
        </w:rPr>
        <w:t>T</w:t>
      </w:r>
      <w:r w:rsidRPr="00CB093C">
        <w:rPr>
          <w:rFonts w:ascii="Arial" w:hAnsi="Arial" w:cs="Arial"/>
          <w:szCs w:val="22"/>
        </w:rPr>
        <w:t xml:space="preserve">he increased seed banks </w:t>
      </w:r>
      <w:r w:rsidRPr="00CB093C">
        <w:rPr>
          <w:rFonts w:ascii="Arial" w:hAnsi="Arial" w:cs="Arial"/>
          <w:szCs w:val="22"/>
          <w:lang w:val="en-GB"/>
        </w:rPr>
        <w:t xml:space="preserve">may </w:t>
      </w:r>
      <w:r w:rsidRPr="00CB093C">
        <w:rPr>
          <w:rFonts w:ascii="Arial" w:hAnsi="Arial" w:cs="Arial"/>
          <w:szCs w:val="22"/>
        </w:rPr>
        <w:t xml:space="preserve">indicate a greater capacity for abundances to recover, </w:t>
      </w:r>
      <w:r w:rsidRPr="00CB093C">
        <w:rPr>
          <w:rFonts w:ascii="Arial" w:hAnsi="Arial" w:cs="Arial"/>
          <w:szCs w:val="22"/>
          <w:lang w:val="en-GB"/>
        </w:rPr>
        <w:t xml:space="preserve">provided conditions are favourable. </w:t>
      </w:r>
      <w:r w:rsidRPr="00CB093C">
        <w:rPr>
          <w:rFonts w:ascii="Arial" w:hAnsi="Arial" w:cs="Arial"/>
          <w:szCs w:val="22"/>
        </w:rPr>
        <w:t xml:space="preserve">However reproductive effort continues to remain very low across habitats, possibly limiting replenishment of seed bank in the near future. </w:t>
      </w:r>
    </w:p>
    <w:p w14:paraId="184E009D" w14:textId="5D21586D" w:rsidR="00C03DA1" w:rsidRPr="00CB093C" w:rsidRDefault="00C03DA1" w:rsidP="00C03DA1">
      <w:pPr>
        <w:spacing w:after="0"/>
        <w:ind w:right="232"/>
        <w:rPr>
          <w:rFonts w:ascii="Arial" w:hAnsi="Arial" w:cs="Arial"/>
          <w:iCs/>
          <w:szCs w:val="22"/>
        </w:rPr>
      </w:pPr>
      <w:r w:rsidRPr="00CB093C">
        <w:rPr>
          <w:rFonts w:ascii="Arial" w:hAnsi="Arial" w:cs="Arial"/>
          <w:szCs w:val="22"/>
        </w:rPr>
        <w:t>In late 2017, s</w:t>
      </w:r>
      <w:r w:rsidRPr="00CB093C">
        <w:rPr>
          <w:rFonts w:ascii="Arial" w:hAnsi="Arial" w:cs="Arial"/>
          <w:iCs/>
          <w:szCs w:val="22"/>
        </w:rPr>
        <w:t>eagrass leaf tissue C:N and C:P ratios indicated increased P at estuarine sites, while C:N and N:P ratios at coastal sites continue to indicate surplus (elevated) availability of N; from natural N-fixation rather than anthropogenic sources</w:t>
      </w:r>
      <w:r w:rsidRPr="00CB093C">
        <w:rPr>
          <w:rFonts w:ascii="Arial" w:hAnsi="Arial" w:cs="Arial"/>
          <w:szCs w:val="22"/>
          <w:lang w:val="en-GB"/>
        </w:rPr>
        <w:t xml:space="preserve">. Although macroalgae abundances remain low across the region, epiphyte abundances </w:t>
      </w:r>
      <w:r w:rsidRPr="00CB093C">
        <w:rPr>
          <w:rFonts w:ascii="Arial" w:hAnsi="Arial" w:cs="Arial"/>
          <w:szCs w:val="22"/>
          <w:lang w:val="en-US"/>
        </w:rPr>
        <w:t>at estuarine habitats remained above the long-term average for the fourth consecutive year, which may further limit light availability of growth.</w:t>
      </w:r>
    </w:p>
    <w:p w14:paraId="57E946E5" w14:textId="77777777" w:rsidR="002F7B2F" w:rsidRPr="00CB093C" w:rsidRDefault="002F7B2F" w:rsidP="002F7B2F">
      <w:pPr>
        <w:spacing w:after="0"/>
        <w:ind w:right="232"/>
        <w:rPr>
          <w:rFonts w:ascii="Arial" w:hAnsi="Arial" w:cs="Arial"/>
          <w:iCs/>
          <w:szCs w:val="22"/>
        </w:rPr>
      </w:pPr>
      <w:r w:rsidRPr="00CB093C">
        <w:rPr>
          <w:rFonts w:ascii="Arial" w:hAnsi="Arial" w:cs="Arial"/>
          <w:szCs w:val="22"/>
        </w:rPr>
        <w:t xml:space="preserve">The proportion of seagrass species displaying colonising traits declined in meadows relative to the previous year, </w:t>
      </w:r>
      <w:r w:rsidRPr="00CB093C">
        <w:rPr>
          <w:rFonts w:ascii="Arial" w:hAnsi="Arial" w:cs="Arial"/>
          <w:szCs w:val="22"/>
          <w:lang w:val="en-GB"/>
        </w:rPr>
        <w:t xml:space="preserve">suggesting </w:t>
      </w:r>
      <w:r w:rsidRPr="00CB093C">
        <w:rPr>
          <w:rFonts w:ascii="Arial" w:hAnsi="Arial" w:cs="Arial"/>
          <w:iCs/>
          <w:szCs w:val="22"/>
        </w:rPr>
        <w:t xml:space="preserve">greater ability to tolerate/resist major disturbances. </w:t>
      </w:r>
    </w:p>
    <w:p w14:paraId="4D4E0315" w14:textId="670B6A6F" w:rsidR="0029353F" w:rsidRPr="00CB093C" w:rsidRDefault="0029353F" w:rsidP="0029353F">
      <w:pPr>
        <w:rPr>
          <w:rFonts w:ascii="Arial" w:hAnsi="Arial" w:cs="Arial"/>
          <w:szCs w:val="22"/>
          <w:lang w:val="en-GB"/>
        </w:rPr>
      </w:pPr>
      <w:r w:rsidRPr="00CB093C">
        <w:rPr>
          <w:rFonts w:ascii="Arial" w:hAnsi="Arial" w:cs="Arial"/>
          <w:szCs w:val="22"/>
          <w:lang w:val="en-GB"/>
        </w:rPr>
        <w:t>The declining</w:t>
      </w:r>
      <w:r w:rsidRPr="00CB093C">
        <w:rPr>
          <w:rFonts w:ascii="Arial" w:hAnsi="Arial" w:cs="Arial"/>
          <w:szCs w:val="22"/>
        </w:rPr>
        <w:t xml:space="preserve"> Burnett Mary region seagrass condition index in the </w:t>
      </w:r>
      <w:r w:rsidR="003654C6">
        <w:rPr>
          <w:rFonts w:ascii="Arial" w:hAnsi="Arial" w:cs="Arial"/>
          <w:szCs w:val="22"/>
          <w:lang w:val="en-GB"/>
        </w:rPr>
        <w:t>2017–18</w:t>
      </w:r>
      <w:r w:rsidRPr="00CB093C">
        <w:rPr>
          <w:rFonts w:ascii="Arial" w:hAnsi="Arial" w:cs="Arial"/>
          <w:szCs w:val="22"/>
          <w:lang w:val="en-GB"/>
        </w:rPr>
        <w:t xml:space="preserve"> follows the decline in 2016</w:t>
      </w:r>
      <w:r w:rsidR="00A675DA" w:rsidRPr="00CB093C">
        <w:rPr>
          <w:rFonts w:ascii="Arial" w:hAnsi="Arial" w:cs="Arial"/>
          <w:szCs w:val="22"/>
          <w:lang w:val="en-GB"/>
        </w:rPr>
        <w:t>–</w:t>
      </w:r>
      <w:r w:rsidR="00A813DF" w:rsidRPr="00CB093C">
        <w:rPr>
          <w:rFonts w:ascii="Arial" w:hAnsi="Arial" w:cs="Arial"/>
          <w:szCs w:val="22"/>
          <w:lang w:val="en-GB"/>
        </w:rPr>
        <w:t>20</w:t>
      </w:r>
      <w:r w:rsidRPr="00CB093C">
        <w:rPr>
          <w:rFonts w:ascii="Arial" w:hAnsi="Arial" w:cs="Arial"/>
          <w:szCs w:val="22"/>
          <w:lang w:val="en-GB"/>
        </w:rPr>
        <w:t xml:space="preserve">17, from the highest score in 10 years, and appears predominately driven by declining nutrient status and very low reproductive effort. </w:t>
      </w:r>
    </w:p>
    <w:p w14:paraId="0082772D" w14:textId="77777777" w:rsidR="00F7114B" w:rsidRPr="00CB093C" w:rsidRDefault="005B1EEC" w:rsidP="00C4117D">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0C9004E0" wp14:editId="392C1C16">
            <wp:extent cx="4060800" cy="2520000"/>
            <wp:effectExtent l="0" t="0" r="0" b="0"/>
            <wp:docPr id="15" name="Picture 15" descr="Scatter plot with straight lines and markers showing seagrass condition index (including standard errors), with contributing indicator scores for the Burnett Mar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NDEX_BM_2016.png"/>
                    <pic:cNvPicPr/>
                  </pic:nvPicPr>
                  <pic:blipFill>
                    <a:blip r:embed="rId122">
                      <a:extLst>
                        <a:ext uri="{28A0092B-C50C-407E-A947-70E740481C1C}">
                          <a14:useLocalDpi xmlns:a14="http://schemas.microsoft.com/office/drawing/2010/main" val="0"/>
                        </a:ext>
                      </a:extLst>
                    </a:blip>
                    <a:stretch>
                      <a:fillRect/>
                    </a:stretch>
                  </pic:blipFill>
                  <pic:spPr>
                    <a:xfrm>
                      <a:off x="0" y="0"/>
                      <a:ext cx="4060800" cy="2520000"/>
                    </a:xfrm>
                    <a:prstGeom prst="rect">
                      <a:avLst/>
                    </a:prstGeom>
                  </pic:spPr>
                </pic:pic>
              </a:graphicData>
            </a:graphic>
          </wp:inline>
        </w:drawing>
      </w:r>
    </w:p>
    <w:p w14:paraId="2822BA3D" w14:textId="3C04A81C" w:rsidR="00F7114B" w:rsidRPr="00CB093C" w:rsidRDefault="00F7114B" w:rsidP="00F7114B">
      <w:pPr>
        <w:rPr>
          <w:rFonts w:ascii="Arial" w:hAnsi="Arial" w:cs="Arial"/>
          <w:i/>
          <w:vanish/>
          <w:color w:val="000000"/>
          <w:szCs w:val="22"/>
          <w:specVanish/>
        </w:rPr>
      </w:pPr>
      <w:bookmarkStart w:id="504" w:name="_Ref442377974"/>
      <w:bookmarkStart w:id="505" w:name="_Toc431493900"/>
      <w:bookmarkStart w:id="506" w:name="_Toc6402844"/>
      <w:r w:rsidRPr="00CB093C">
        <w:rPr>
          <w:rFonts w:ascii="Arial" w:hAnsi="Arial" w:cs="Arial"/>
          <w:color w:val="000000"/>
          <w:szCs w:val="22"/>
        </w:rPr>
        <w:t xml:space="preserve">Figure </w:t>
      </w:r>
      <w:r w:rsidRPr="00CB093C">
        <w:rPr>
          <w:rFonts w:ascii="Arial" w:hAnsi="Arial" w:cs="Arial"/>
          <w:color w:val="000000"/>
          <w:szCs w:val="22"/>
        </w:rPr>
        <w:fldChar w:fldCharType="begin"/>
      </w:r>
      <w:r w:rsidRPr="00CB093C">
        <w:rPr>
          <w:rFonts w:ascii="Arial" w:hAnsi="Arial" w:cs="Arial"/>
          <w:color w:val="000000"/>
          <w:szCs w:val="22"/>
        </w:rPr>
        <w:instrText xml:space="preserve"> SEQ Figure \* ARABIC </w:instrText>
      </w:r>
      <w:r w:rsidRPr="00CB093C">
        <w:rPr>
          <w:rFonts w:ascii="Arial" w:hAnsi="Arial" w:cs="Arial"/>
          <w:color w:val="000000"/>
          <w:szCs w:val="22"/>
        </w:rPr>
        <w:fldChar w:fldCharType="separate"/>
      </w:r>
      <w:r w:rsidR="005F00D4">
        <w:rPr>
          <w:rFonts w:ascii="Arial" w:hAnsi="Arial" w:cs="Arial"/>
          <w:noProof/>
          <w:color w:val="000000"/>
          <w:szCs w:val="22"/>
        </w:rPr>
        <w:t>79</w:t>
      </w:r>
      <w:r w:rsidRPr="00CB093C">
        <w:rPr>
          <w:rFonts w:ascii="Arial" w:hAnsi="Arial" w:cs="Arial"/>
          <w:color w:val="000000"/>
          <w:szCs w:val="22"/>
        </w:rPr>
        <w:fldChar w:fldCharType="end"/>
      </w:r>
      <w:bookmarkEnd w:id="504"/>
      <w:r w:rsidRPr="00CB093C">
        <w:rPr>
          <w:rFonts w:ascii="Arial" w:hAnsi="Arial" w:cs="Arial"/>
          <w:color w:val="000000"/>
          <w:szCs w:val="22"/>
        </w:rPr>
        <w:t xml:space="preserve">. </w:t>
      </w:r>
      <w:r w:rsidRPr="00CB093C">
        <w:rPr>
          <w:rFonts w:ascii="Arial" w:hAnsi="Arial" w:cs="Arial"/>
          <w:i/>
          <w:color w:val="000000"/>
          <w:szCs w:val="22"/>
        </w:rPr>
        <w:t xml:space="preserve">Report card of seagrass </w:t>
      </w:r>
      <w:r w:rsidR="00871BFC" w:rsidRPr="00CB093C">
        <w:rPr>
          <w:rFonts w:ascii="Arial" w:hAnsi="Arial" w:cs="Arial"/>
          <w:i/>
          <w:color w:val="000000"/>
          <w:szCs w:val="22"/>
        </w:rPr>
        <w:t xml:space="preserve">index and </w:t>
      </w:r>
      <w:r w:rsidRPr="00CB093C">
        <w:rPr>
          <w:rFonts w:ascii="Arial" w:hAnsi="Arial" w:cs="Arial"/>
          <w:i/>
          <w:color w:val="000000"/>
          <w:szCs w:val="22"/>
        </w:rPr>
        <w:t xml:space="preserve">indicators for the </w:t>
      </w:r>
      <w:r w:rsidR="00A6762C" w:rsidRPr="00CB093C">
        <w:rPr>
          <w:rFonts w:ascii="Arial" w:hAnsi="Arial" w:cs="Arial"/>
          <w:i/>
          <w:color w:val="000000"/>
          <w:szCs w:val="22"/>
        </w:rPr>
        <w:t>Burnett Mary</w:t>
      </w:r>
      <w:r w:rsidRPr="00CB093C">
        <w:rPr>
          <w:rFonts w:ascii="Arial" w:hAnsi="Arial" w:cs="Arial"/>
          <w:i/>
          <w:color w:val="000000"/>
          <w:szCs w:val="22"/>
        </w:rPr>
        <w:t xml:space="preserve"> region</w:t>
      </w:r>
      <w:bookmarkEnd w:id="505"/>
      <w:bookmarkEnd w:id="506"/>
    </w:p>
    <w:p w14:paraId="574F752D" w14:textId="2DBF9471" w:rsidR="00F7114B" w:rsidRPr="00CB093C" w:rsidRDefault="00F7114B" w:rsidP="00F7114B">
      <w:pPr>
        <w:rPr>
          <w:rFonts w:ascii="Arial" w:hAnsi="Arial" w:cs="Arial"/>
          <w:i/>
          <w:szCs w:val="22"/>
        </w:rPr>
      </w:pPr>
      <w:r w:rsidRPr="00CB093C">
        <w:rPr>
          <w:rFonts w:ascii="Arial" w:hAnsi="Arial" w:cs="Arial"/>
          <w:i/>
          <w:color w:val="000000"/>
          <w:szCs w:val="22"/>
        </w:rPr>
        <w:t xml:space="preserve"> (averages </w:t>
      </w:r>
      <w:r w:rsidRPr="00CB093C">
        <w:rPr>
          <w:rFonts w:ascii="Arial" w:hAnsi="Arial" w:cs="Arial"/>
          <w:i/>
          <w:szCs w:val="22"/>
        </w:rPr>
        <w:t xml:space="preserve">across habitats and sites). </w:t>
      </w:r>
      <w:r w:rsidR="00A813DF" w:rsidRPr="00CB093C">
        <w:rPr>
          <w:rFonts w:ascii="Arial" w:hAnsi="Arial" w:cs="Arial"/>
          <w:i/>
          <w:szCs w:val="22"/>
        </w:rPr>
        <w:t xml:space="preserve">Values are indexed scores scaled from 0–100 and graded: </w:t>
      </w:r>
      <w:r w:rsidR="00A813DF" w:rsidRPr="00CB093C">
        <w:rPr>
          <w:rFonts w:ascii="Arial" w:hAnsi="Arial" w:cs="Arial"/>
          <w:color w:val="008000"/>
          <w:szCs w:val="22"/>
        </w:rPr>
        <w:t>●</w:t>
      </w:r>
      <w:r w:rsidR="00A813DF" w:rsidRPr="00CB093C">
        <w:rPr>
          <w:rFonts w:ascii="Arial" w:hAnsi="Arial" w:cs="Arial"/>
          <w:i/>
          <w:szCs w:val="22"/>
        </w:rPr>
        <w:t xml:space="preserve"> = very good (81-100), </w:t>
      </w:r>
      <w:r w:rsidR="00A813DF" w:rsidRPr="00CB093C">
        <w:rPr>
          <w:rFonts w:ascii="Arial" w:hAnsi="Arial" w:cs="Arial"/>
          <w:color w:val="92D050"/>
          <w:szCs w:val="22"/>
        </w:rPr>
        <w:t>●</w:t>
      </w:r>
      <w:r w:rsidR="00A813DF" w:rsidRPr="00CB093C">
        <w:rPr>
          <w:rFonts w:ascii="Arial" w:hAnsi="Arial" w:cs="Arial"/>
          <w:i/>
          <w:szCs w:val="22"/>
        </w:rPr>
        <w:t xml:space="preserve"> = good (61 - 80), </w:t>
      </w:r>
      <w:r w:rsidR="00A813DF" w:rsidRPr="00CB093C">
        <w:rPr>
          <w:rFonts w:ascii="Arial" w:hAnsi="Arial" w:cs="Arial"/>
          <w:color w:val="FFFF00"/>
          <w:szCs w:val="22"/>
        </w:rPr>
        <w:t>●</w:t>
      </w:r>
      <w:r w:rsidR="00A813DF" w:rsidRPr="00CB093C">
        <w:rPr>
          <w:rFonts w:ascii="Arial" w:hAnsi="Arial" w:cs="Arial"/>
          <w:i/>
          <w:szCs w:val="22"/>
        </w:rPr>
        <w:t xml:space="preserve"> = moderate (41 - 60), </w:t>
      </w:r>
      <w:r w:rsidR="00A813DF" w:rsidRPr="00CB093C">
        <w:rPr>
          <w:rFonts w:ascii="Arial" w:hAnsi="Arial" w:cs="Arial"/>
          <w:i/>
          <w:color w:val="FFC000"/>
          <w:szCs w:val="22"/>
        </w:rPr>
        <w:t>●</w:t>
      </w:r>
      <w:r w:rsidR="00A813DF" w:rsidRPr="00CB093C">
        <w:rPr>
          <w:rFonts w:ascii="Arial" w:hAnsi="Arial" w:cs="Arial"/>
          <w:i/>
          <w:szCs w:val="22"/>
        </w:rPr>
        <w:t xml:space="preserve"> = poor (21 - 40), </w:t>
      </w:r>
      <w:r w:rsidR="00A813DF" w:rsidRPr="00CB093C">
        <w:rPr>
          <w:rFonts w:ascii="Arial" w:hAnsi="Arial" w:cs="Arial"/>
          <w:i/>
          <w:color w:val="FF0000"/>
          <w:szCs w:val="22"/>
        </w:rPr>
        <w:t>●</w:t>
      </w:r>
      <w:r w:rsidR="00A813DF" w:rsidRPr="00CB093C">
        <w:rPr>
          <w:rFonts w:ascii="Arial" w:hAnsi="Arial" w:cs="Arial"/>
          <w:i/>
          <w:szCs w:val="22"/>
        </w:rPr>
        <w:t> = very poor (0 - 20).</w:t>
      </w:r>
      <w:r w:rsidR="00A813DF" w:rsidRPr="00CB093C">
        <w:rPr>
          <w:rFonts w:ascii="Arial" w:hAnsi="Arial" w:cs="Arial"/>
          <w:i/>
          <w:color w:val="000000"/>
          <w:szCs w:val="22"/>
        </w:rPr>
        <w:t xml:space="preserve"> NB: Scores</w:t>
      </w:r>
      <w:r w:rsidR="00A813DF" w:rsidRPr="00CB093C">
        <w:rPr>
          <w:rFonts w:ascii="Arial" w:hAnsi="Arial" w:cs="Arial"/>
          <w:i/>
          <w:szCs w:val="22"/>
        </w:rPr>
        <w:t xml:space="preserve"> are unitless.</w:t>
      </w:r>
    </w:p>
    <w:p w14:paraId="42BA31D2" w14:textId="25A3C5A2" w:rsidR="00C4117D" w:rsidRPr="00CB093C" w:rsidRDefault="00C4117D" w:rsidP="00AD06D4">
      <w:pPr>
        <w:pStyle w:val="Heading3"/>
        <w:numPr>
          <w:ilvl w:val="2"/>
          <w:numId w:val="4"/>
        </w:numPr>
        <w:rPr>
          <w:rFonts w:ascii="Arial" w:hAnsi="Arial" w:cs="Arial"/>
          <w:color w:val="000000"/>
          <w:sz w:val="22"/>
          <w:szCs w:val="22"/>
        </w:rPr>
      </w:pPr>
      <w:bookmarkStart w:id="507" w:name="_Toc11394771"/>
      <w:r w:rsidRPr="00CB093C">
        <w:rPr>
          <w:rFonts w:ascii="Arial" w:hAnsi="Arial" w:cs="Arial"/>
          <w:color w:val="000000"/>
          <w:sz w:val="22"/>
          <w:szCs w:val="22"/>
        </w:rPr>
        <w:t>Climate and environmental pressures</w:t>
      </w:r>
      <w:bookmarkEnd w:id="507"/>
    </w:p>
    <w:p w14:paraId="393CFC33" w14:textId="42D36720" w:rsidR="005173D2" w:rsidRPr="00CB093C" w:rsidRDefault="00A23A41" w:rsidP="00A23A41">
      <w:pPr>
        <w:rPr>
          <w:rFonts w:ascii="Arial" w:hAnsi="Arial" w:cs="Arial"/>
          <w:color w:val="000000" w:themeColor="text1"/>
          <w:szCs w:val="22"/>
        </w:rPr>
      </w:pPr>
      <w:bookmarkStart w:id="508" w:name="_Toc431493786"/>
      <w:bookmarkEnd w:id="502"/>
      <w:bookmarkEnd w:id="503"/>
      <w:r w:rsidRPr="00CB093C">
        <w:rPr>
          <w:rFonts w:ascii="Arial" w:hAnsi="Arial" w:cs="Arial"/>
          <w:szCs w:val="22"/>
        </w:rPr>
        <w:t xml:space="preserve">During </w:t>
      </w:r>
      <w:r w:rsidR="003654C6">
        <w:rPr>
          <w:rFonts w:ascii="Arial" w:hAnsi="Arial" w:cs="Arial"/>
          <w:szCs w:val="22"/>
        </w:rPr>
        <w:t>2017–18</w:t>
      </w:r>
      <w:r w:rsidRPr="00CB093C">
        <w:rPr>
          <w:rFonts w:ascii="Arial" w:hAnsi="Arial" w:cs="Arial"/>
          <w:szCs w:val="22"/>
        </w:rPr>
        <w:t xml:space="preserve">, the Burnett Mary region experienced </w:t>
      </w:r>
      <w:r w:rsidR="00337948" w:rsidRPr="00CB093C">
        <w:rPr>
          <w:rFonts w:ascii="Arial" w:hAnsi="Arial" w:cs="Arial"/>
          <w:szCs w:val="22"/>
        </w:rPr>
        <w:t xml:space="preserve">a </w:t>
      </w:r>
      <w:r w:rsidR="00390AF8" w:rsidRPr="00CB093C">
        <w:rPr>
          <w:rFonts w:ascii="Arial" w:hAnsi="Arial" w:cs="Arial"/>
          <w:szCs w:val="22"/>
        </w:rPr>
        <w:t xml:space="preserve">near </w:t>
      </w:r>
      <w:r w:rsidRPr="00CB093C">
        <w:rPr>
          <w:rFonts w:ascii="Arial" w:hAnsi="Arial" w:cs="Arial"/>
          <w:szCs w:val="22"/>
        </w:rPr>
        <w:t xml:space="preserve">average </w:t>
      </w:r>
      <w:r w:rsidR="000F181D" w:rsidRPr="00CB093C">
        <w:rPr>
          <w:rFonts w:ascii="Arial" w:hAnsi="Arial" w:cs="Arial"/>
          <w:szCs w:val="22"/>
        </w:rPr>
        <w:t xml:space="preserve">wet season </w:t>
      </w:r>
      <w:r w:rsidRPr="00CB093C">
        <w:rPr>
          <w:rFonts w:ascii="Arial" w:hAnsi="Arial" w:cs="Arial"/>
          <w:szCs w:val="22"/>
        </w:rPr>
        <w:t>rainfall, but above annual discharges with some rivers discharging between two and three times the</w:t>
      </w:r>
      <w:r w:rsidR="00337948" w:rsidRPr="00CB093C">
        <w:rPr>
          <w:rFonts w:ascii="Arial" w:hAnsi="Arial" w:cs="Arial"/>
          <w:szCs w:val="22"/>
        </w:rPr>
        <w:t>ir</w:t>
      </w:r>
      <w:r w:rsidRPr="00CB093C">
        <w:rPr>
          <w:rFonts w:ascii="Arial" w:hAnsi="Arial" w:cs="Arial"/>
          <w:szCs w:val="22"/>
        </w:rPr>
        <w:t xml:space="preserve"> long term median (Table 9). The most significant </w:t>
      </w:r>
      <w:r w:rsidRPr="00CB093C">
        <w:rPr>
          <w:rFonts w:ascii="Arial" w:hAnsi="Arial" w:cs="Arial"/>
          <w:color w:val="000000" w:themeColor="text1"/>
          <w:szCs w:val="22"/>
        </w:rPr>
        <w:t>flow events from the largest rivers occurred in</w:t>
      </w:r>
      <w:r w:rsidRPr="00CB093C">
        <w:rPr>
          <w:rFonts w:ascii="Arial" w:hAnsi="Arial" w:cs="Arial"/>
          <w:szCs w:val="22"/>
        </w:rPr>
        <w:t xml:space="preserve"> October 2017</w:t>
      </w:r>
      <w:r w:rsidR="000F181D" w:rsidRPr="00CB093C">
        <w:rPr>
          <w:rFonts w:ascii="Arial" w:hAnsi="Arial" w:cs="Arial"/>
          <w:szCs w:val="22"/>
        </w:rPr>
        <w:t xml:space="preserve"> </w:t>
      </w:r>
      <w:r w:rsidR="009E2E50" w:rsidRPr="00CB093C">
        <w:rPr>
          <w:rFonts w:ascii="Arial" w:hAnsi="Arial" w:cs="Arial"/>
          <w:szCs w:val="22"/>
        </w:rPr>
        <w:t>(</w:t>
      </w:r>
      <w:hyperlink w:anchor="_ENREF_65" w:tooltip="Gruber, 2019 #1186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Gruber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2019</w:t>
        </w:r>
        <w:r w:rsidR="00513C39" w:rsidRPr="00CB093C">
          <w:rPr>
            <w:rFonts w:ascii="Arial" w:hAnsi="Arial" w:cs="Arial"/>
            <w:szCs w:val="22"/>
          </w:rPr>
          <w:fldChar w:fldCharType="end"/>
        </w:r>
      </w:hyperlink>
      <w:r w:rsidRPr="00CB093C">
        <w:rPr>
          <w:rFonts w:ascii="Arial" w:hAnsi="Arial" w:cs="Arial"/>
          <w:color w:val="000000" w:themeColor="text1"/>
          <w:szCs w:val="22"/>
        </w:rPr>
        <w:t xml:space="preserve">). </w:t>
      </w:r>
    </w:p>
    <w:p w14:paraId="2DAABC89" w14:textId="33C1F017" w:rsidR="00364338" w:rsidRPr="00CB093C" w:rsidRDefault="00A23A41" w:rsidP="00A23A41">
      <w:pPr>
        <w:rPr>
          <w:rFonts w:ascii="Arial" w:hAnsi="Arial" w:cs="Arial"/>
          <w:color w:val="000000" w:themeColor="text1"/>
          <w:szCs w:val="22"/>
        </w:rPr>
      </w:pPr>
      <w:r w:rsidRPr="00CB093C">
        <w:rPr>
          <w:rFonts w:ascii="Arial" w:hAnsi="Arial" w:cs="Arial"/>
          <w:szCs w:val="22"/>
          <w:lang w:val="en-GB"/>
        </w:rPr>
        <w:t>Exposure of inshore seagrass to turbid waters during the wet season was at the long-term</w:t>
      </w:r>
      <w:r w:rsidR="00337948" w:rsidRPr="00CB093C">
        <w:rPr>
          <w:rFonts w:ascii="Arial" w:hAnsi="Arial" w:cs="Arial"/>
          <w:szCs w:val="22"/>
          <w:lang w:val="en-GB"/>
        </w:rPr>
        <w:t xml:space="preserve"> average</w:t>
      </w:r>
      <w:r w:rsidR="00390AF8" w:rsidRPr="00CB093C">
        <w:rPr>
          <w:rFonts w:ascii="Arial" w:hAnsi="Arial" w:cs="Arial"/>
          <w:szCs w:val="22"/>
          <w:lang w:val="en-GB"/>
        </w:rPr>
        <w:t xml:space="preserve">, however </w:t>
      </w:r>
      <w:r w:rsidRPr="00CB093C">
        <w:rPr>
          <w:rFonts w:ascii="Arial" w:hAnsi="Arial" w:cs="Arial"/>
          <w:szCs w:val="22"/>
          <w:lang w:val="en-GB"/>
        </w:rPr>
        <w:t xml:space="preserve">within-canopy light </w:t>
      </w:r>
      <w:r w:rsidR="00364338" w:rsidRPr="00CB093C">
        <w:rPr>
          <w:rFonts w:ascii="Arial" w:hAnsi="Arial" w:cs="Arial"/>
          <w:szCs w:val="22"/>
        </w:rPr>
        <w:t>(I</w:t>
      </w:r>
      <w:r w:rsidR="00364338" w:rsidRPr="00CB093C">
        <w:rPr>
          <w:rFonts w:ascii="Arial" w:hAnsi="Arial" w:cs="Arial"/>
          <w:szCs w:val="22"/>
          <w:vertAlign w:val="subscript"/>
        </w:rPr>
        <w:t>d</w:t>
      </w:r>
      <w:r w:rsidR="00364338" w:rsidRPr="00CB093C">
        <w:rPr>
          <w:rFonts w:ascii="Arial" w:hAnsi="Arial" w:cs="Arial"/>
          <w:szCs w:val="22"/>
        </w:rPr>
        <w:t xml:space="preserve">) </w:t>
      </w:r>
      <w:r w:rsidR="00390AF8" w:rsidRPr="00CB093C">
        <w:rPr>
          <w:rFonts w:ascii="Arial" w:hAnsi="Arial" w:cs="Arial"/>
          <w:szCs w:val="22"/>
        </w:rPr>
        <w:t xml:space="preserve">at </w:t>
      </w:r>
      <w:r w:rsidR="007A70FE" w:rsidRPr="00CB093C">
        <w:rPr>
          <w:rFonts w:ascii="Arial" w:hAnsi="Arial" w:cs="Arial"/>
          <w:szCs w:val="22"/>
        </w:rPr>
        <w:t>estuary</w:t>
      </w:r>
      <w:r w:rsidR="00390AF8" w:rsidRPr="00CB093C">
        <w:rPr>
          <w:rFonts w:ascii="Arial" w:hAnsi="Arial" w:cs="Arial"/>
          <w:szCs w:val="22"/>
        </w:rPr>
        <w:t xml:space="preserve"> habitats </w:t>
      </w:r>
      <w:r w:rsidR="00364338" w:rsidRPr="00CB093C">
        <w:rPr>
          <w:rFonts w:ascii="Arial" w:hAnsi="Arial" w:cs="Arial"/>
          <w:szCs w:val="22"/>
        </w:rPr>
        <w:t>(10.5 mol m</w:t>
      </w:r>
      <w:r w:rsidR="00364338" w:rsidRPr="00CB093C">
        <w:rPr>
          <w:rFonts w:ascii="Arial" w:hAnsi="Arial" w:cs="Arial"/>
          <w:szCs w:val="22"/>
          <w:vertAlign w:val="superscript"/>
        </w:rPr>
        <w:t>-2</w:t>
      </w:r>
      <w:r w:rsidR="00364338" w:rsidRPr="00CB093C">
        <w:rPr>
          <w:rFonts w:ascii="Arial" w:hAnsi="Arial" w:cs="Arial"/>
          <w:szCs w:val="22"/>
        </w:rPr>
        <w:t xml:space="preserve"> s</w:t>
      </w:r>
      <w:r w:rsidR="00364338" w:rsidRPr="00CB093C">
        <w:rPr>
          <w:rFonts w:ascii="Arial" w:hAnsi="Arial" w:cs="Arial"/>
          <w:szCs w:val="22"/>
          <w:vertAlign w:val="superscript"/>
        </w:rPr>
        <w:t>-1</w:t>
      </w:r>
      <w:r w:rsidR="00364338" w:rsidRPr="00CB093C">
        <w:rPr>
          <w:rFonts w:ascii="Arial" w:hAnsi="Arial" w:cs="Arial"/>
          <w:szCs w:val="22"/>
        </w:rPr>
        <w:t xml:space="preserve">), </w:t>
      </w:r>
      <w:r w:rsidRPr="00CB093C">
        <w:rPr>
          <w:rFonts w:ascii="Arial" w:hAnsi="Arial" w:cs="Arial"/>
          <w:szCs w:val="22"/>
          <w:lang w:val="en-GB"/>
        </w:rPr>
        <w:t>was slightly lower than the long-term average</w:t>
      </w:r>
      <w:r w:rsidR="00364338" w:rsidRPr="00CB093C">
        <w:rPr>
          <w:rFonts w:ascii="Arial" w:hAnsi="Arial" w:cs="Arial"/>
          <w:szCs w:val="22"/>
          <w:lang w:val="en-GB"/>
        </w:rPr>
        <w:t xml:space="preserve"> </w:t>
      </w:r>
      <w:r w:rsidR="00364338" w:rsidRPr="00CB093C">
        <w:rPr>
          <w:rFonts w:ascii="Arial" w:hAnsi="Arial" w:cs="Arial"/>
          <w:szCs w:val="22"/>
        </w:rPr>
        <w:t>(11.4 mol m</w:t>
      </w:r>
      <w:r w:rsidR="00364338" w:rsidRPr="00CB093C">
        <w:rPr>
          <w:rFonts w:ascii="Arial" w:hAnsi="Arial" w:cs="Arial"/>
          <w:szCs w:val="22"/>
          <w:vertAlign w:val="superscript"/>
        </w:rPr>
        <w:t>-2</w:t>
      </w:r>
      <w:r w:rsidR="00364338" w:rsidRPr="00CB093C">
        <w:rPr>
          <w:rFonts w:ascii="Arial" w:hAnsi="Arial" w:cs="Arial"/>
          <w:szCs w:val="22"/>
        </w:rPr>
        <w:t xml:space="preserve"> s</w:t>
      </w:r>
      <w:r w:rsidR="00364338" w:rsidRPr="00CB093C">
        <w:rPr>
          <w:rFonts w:ascii="Arial" w:hAnsi="Arial" w:cs="Arial"/>
          <w:szCs w:val="22"/>
          <w:vertAlign w:val="superscript"/>
        </w:rPr>
        <w:t>-1</w:t>
      </w:r>
      <w:r w:rsidR="00364338" w:rsidRPr="00CB093C">
        <w:rPr>
          <w:rFonts w:ascii="Arial" w:hAnsi="Arial" w:cs="Arial"/>
          <w:szCs w:val="22"/>
        </w:rPr>
        <w:t>) (</w:t>
      </w:r>
      <w:r w:rsidR="00364338" w:rsidRPr="00CB093C">
        <w:rPr>
          <w:rFonts w:ascii="Arial" w:hAnsi="Arial" w:cs="Arial"/>
          <w:szCs w:val="22"/>
        </w:rPr>
        <w:fldChar w:fldCharType="begin"/>
      </w:r>
      <w:r w:rsidR="00364338" w:rsidRPr="00CB093C">
        <w:rPr>
          <w:rFonts w:ascii="Arial" w:hAnsi="Arial" w:cs="Arial"/>
          <w:szCs w:val="22"/>
        </w:rPr>
        <w:instrText xml:space="preserve"> REF _Ref442377832 \h </w:instrText>
      </w:r>
      <w:r w:rsidR="00CB093C" w:rsidRPr="00CB093C">
        <w:rPr>
          <w:rFonts w:ascii="Arial" w:hAnsi="Arial" w:cs="Arial"/>
          <w:szCs w:val="22"/>
        </w:rPr>
        <w:instrText xml:space="preserve"> \* MERGEFORMAT </w:instrText>
      </w:r>
      <w:r w:rsidR="00364338" w:rsidRPr="00CB093C">
        <w:rPr>
          <w:rFonts w:ascii="Arial" w:hAnsi="Arial" w:cs="Arial"/>
          <w:szCs w:val="22"/>
        </w:rPr>
      </w:r>
      <w:r w:rsidR="00364338"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80</w:t>
      </w:r>
      <w:r w:rsidR="00364338" w:rsidRPr="00CB093C">
        <w:rPr>
          <w:rFonts w:ascii="Arial" w:hAnsi="Arial" w:cs="Arial"/>
          <w:szCs w:val="22"/>
        </w:rPr>
        <w:fldChar w:fldCharType="end"/>
      </w:r>
      <w:r w:rsidR="00337948" w:rsidRPr="00CB093C">
        <w:rPr>
          <w:rFonts w:ascii="Arial" w:hAnsi="Arial" w:cs="Arial"/>
          <w:szCs w:val="22"/>
        </w:rPr>
        <w:t xml:space="preserve">, </w:t>
      </w:r>
      <w:r w:rsidR="00337948" w:rsidRPr="00CB093C">
        <w:rPr>
          <w:rFonts w:ascii="Arial" w:hAnsi="Arial" w:cs="Arial"/>
          <w:szCs w:val="22"/>
        </w:rPr>
        <w:fldChar w:fldCharType="begin"/>
      </w:r>
      <w:r w:rsidR="00337948" w:rsidRPr="00CB093C">
        <w:rPr>
          <w:rFonts w:ascii="Arial" w:hAnsi="Arial" w:cs="Arial"/>
          <w:szCs w:val="22"/>
        </w:rPr>
        <w:instrText xml:space="preserve"> REF _Ref410310520 \h </w:instrText>
      </w:r>
      <w:r w:rsidR="00CB093C" w:rsidRPr="00CB093C">
        <w:rPr>
          <w:rFonts w:ascii="Arial" w:hAnsi="Arial" w:cs="Arial"/>
          <w:szCs w:val="22"/>
        </w:rPr>
        <w:instrText xml:space="preserve"> \* MERGEFORMAT </w:instrText>
      </w:r>
      <w:r w:rsidR="00337948" w:rsidRPr="00CB093C">
        <w:rPr>
          <w:rFonts w:ascii="Arial" w:hAnsi="Arial" w:cs="Arial"/>
          <w:szCs w:val="22"/>
        </w:rPr>
      </w:r>
      <w:r w:rsidR="00337948" w:rsidRPr="00CB093C">
        <w:rPr>
          <w:rFonts w:ascii="Arial" w:hAnsi="Arial" w:cs="Arial"/>
          <w:szCs w:val="22"/>
        </w:rPr>
        <w:fldChar w:fldCharType="separate"/>
      </w:r>
      <w:r w:rsidR="005F00D4" w:rsidRPr="00CB093C">
        <w:rPr>
          <w:rFonts w:ascii="Arial" w:hAnsi="Arial" w:cs="Arial"/>
          <w:color w:val="000000"/>
          <w:szCs w:val="22"/>
          <w:lang w:val="en-GB"/>
        </w:rPr>
        <w:t xml:space="preserve">Figure </w:t>
      </w:r>
      <w:r w:rsidR="005F00D4">
        <w:rPr>
          <w:rFonts w:ascii="Arial" w:hAnsi="Arial" w:cs="Arial"/>
          <w:noProof/>
          <w:color w:val="000000"/>
          <w:szCs w:val="22"/>
          <w:lang w:val="en-GB"/>
        </w:rPr>
        <w:t>112</w:t>
      </w:r>
      <w:r w:rsidR="00337948" w:rsidRPr="00CB093C">
        <w:rPr>
          <w:rFonts w:ascii="Arial" w:hAnsi="Arial" w:cs="Arial"/>
          <w:szCs w:val="22"/>
        </w:rPr>
        <w:fldChar w:fldCharType="end"/>
      </w:r>
      <w:r w:rsidR="00364338" w:rsidRPr="00CB093C">
        <w:rPr>
          <w:rFonts w:ascii="Arial" w:hAnsi="Arial" w:cs="Arial"/>
          <w:szCs w:val="22"/>
        </w:rPr>
        <w:t>).</w:t>
      </w:r>
      <w:r w:rsidR="00390AF8" w:rsidRPr="00CB093C">
        <w:rPr>
          <w:rFonts w:ascii="Arial" w:hAnsi="Arial" w:cs="Arial"/>
          <w:szCs w:val="22"/>
        </w:rPr>
        <w:t xml:space="preserve"> Benthic light </w:t>
      </w:r>
      <w:r w:rsidR="007A70FE" w:rsidRPr="00CB093C">
        <w:rPr>
          <w:rFonts w:ascii="Arial" w:hAnsi="Arial" w:cs="Arial"/>
          <w:szCs w:val="22"/>
        </w:rPr>
        <w:t>monitoring</w:t>
      </w:r>
      <w:r w:rsidR="00390AF8" w:rsidRPr="00CB093C">
        <w:rPr>
          <w:rFonts w:ascii="Arial" w:hAnsi="Arial" w:cs="Arial"/>
          <w:szCs w:val="22"/>
        </w:rPr>
        <w:t xml:space="preserve"> was not conducted at coastal habitats, however it is </w:t>
      </w:r>
      <w:r w:rsidR="00A72A98" w:rsidRPr="00CB093C">
        <w:rPr>
          <w:rFonts w:ascii="Arial" w:hAnsi="Arial" w:cs="Arial"/>
          <w:szCs w:val="22"/>
        </w:rPr>
        <w:t>scheduled</w:t>
      </w:r>
      <w:r w:rsidR="00390AF8" w:rsidRPr="00CB093C">
        <w:rPr>
          <w:rFonts w:ascii="Arial" w:hAnsi="Arial" w:cs="Arial"/>
          <w:szCs w:val="22"/>
        </w:rPr>
        <w:t xml:space="preserve"> in future. </w:t>
      </w:r>
      <w:r w:rsidRPr="00CB093C">
        <w:rPr>
          <w:rFonts w:ascii="Arial" w:hAnsi="Arial" w:cs="Arial"/>
          <w:szCs w:val="22"/>
          <w:lang w:val="en-GB"/>
        </w:rPr>
        <w:t>All sites monitored throughout the region were expose</w:t>
      </w:r>
      <w:r w:rsidR="000F181D" w:rsidRPr="00CB093C">
        <w:rPr>
          <w:rFonts w:ascii="Arial" w:hAnsi="Arial" w:cs="Arial"/>
          <w:szCs w:val="22"/>
          <w:lang w:val="en-GB"/>
        </w:rPr>
        <w:t>d</w:t>
      </w:r>
      <w:r w:rsidRPr="00CB093C">
        <w:rPr>
          <w:rFonts w:ascii="Arial" w:hAnsi="Arial" w:cs="Arial"/>
          <w:szCs w:val="22"/>
          <w:lang w:val="en-GB"/>
        </w:rPr>
        <w:t xml:space="preserve"> to ‘brown’ or ‘green’ turbid water for the entire wet season (100% frequency of exposure), and f</w:t>
      </w:r>
      <w:r w:rsidRPr="00CB093C">
        <w:rPr>
          <w:rFonts w:ascii="Arial" w:hAnsi="Arial" w:cs="Arial"/>
          <w:color w:val="000000" w:themeColor="text1"/>
          <w:szCs w:val="22"/>
        </w:rPr>
        <w:t xml:space="preserve">requencies of exposure were similar or slightly lower than the previous period. Estuarine sites to the north (RD1 and RD2) and south (UG1 and UG2) of the region were exposed to ‘brown’ turbid, sediment laden, waters for 86-95% of the wet season, respectively. Coastal sites adjacent to the Burrum River (BH1 and BH3), experienced even higher frequencies of exposure to ‘brown’ turbid waters for 90-100% of the wet season. </w:t>
      </w:r>
    </w:p>
    <w:p w14:paraId="5067314F" w14:textId="32246E55" w:rsidR="008A59C6" w:rsidRPr="00CB093C" w:rsidRDefault="008A59C6" w:rsidP="008A59C6">
      <w:pPr>
        <w:rPr>
          <w:rFonts w:ascii="Arial" w:hAnsi="Arial" w:cs="Arial"/>
          <w:szCs w:val="22"/>
          <w:lang w:val="en-GB"/>
        </w:rPr>
      </w:pPr>
      <w:r w:rsidRPr="00CB093C">
        <w:rPr>
          <w:rFonts w:ascii="Arial" w:hAnsi="Arial" w:cs="Arial"/>
          <w:szCs w:val="22"/>
          <w:lang w:val="en-GB"/>
        </w:rPr>
        <w:t xml:space="preserve">The slightly reduced </w:t>
      </w:r>
      <w:r w:rsidR="00A72A98" w:rsidRPr="00CB093C">
        <w:rPr>
          <w:rFonts w:ascii="Arial" w:hAnsi="Arial" w:cs="Arial"/>
          <w:szCs w:val="22"/>
          <w:lang w:val="en-GB"/>
        </w:rPr>
        <w:t xml:space="preserve">benthic </w:t>
      </w:r>
      <w:r w:rsidRPr="00CB093C">
        <w:rPr>
          <w:rFonts w:ascii="Arial" w:hAnsi="Arial" w:cs="Arial"/>
          <w:szCs w:val="22"/>
          <w:lang w:val="en-GB"/>
        </w:rPr>
        <w:t xml:space="preserve">light experienced across the </w:t>
      </w:r>
      <w:r w:rsidRPr="00CB093C">
        <w:rPr>
          <w:rFonts w:ascii="Arial" w:hAnsi="Arial" w:cs="Arial"/>
          <w:color w:val="000000" w:themeColor="text1"/>
          <w:szCs w:val="22"/>
        </w:rPr>
        <w:t xml:space="preserve">Burnett Mary </w:t>
      </w:r>
      <w:r w:rsidRPr="00CB093C">
        <w:rPr>
          <w:rFonts w:ascii="Arial" w:hAnsi="Arial" w:cs="Arial"/>
          <w:szCs w:val="22"/>
          <w:lang w:val="en-GB"/>
        </w:rPr>
        <w:t xml:space="preserve">region may have been exacerbated by higher daytime tides throughout </w:t>
      </w:r>
      <w:r w:rsidR="005173D2" w:rsidRPr="00CB093C">
        <w:rPr>
          <w:rFonts w:ascii="Arial" w:hAnsi="Arial" w:cs="Arial"/>
          <w:szCs w:val="22"/>
          <w:lang w:val="en-GB"/>
        </w:rPr>
        <w:t>the year</w:t>
      </w:r>
      <w:r w:rsidRPr="00CB093C">
        <w:rPr>
          <w:rFonts w:ascii="Arial" w:hAnsi="Arial" w:cs="Arial"/>
          <w:szCs w:val="22"/>
          <w:lang w:val="en-GB"/>
        </w:rPr>
        <w:t>, which although provided some respite from intertidal exposure (nearly a quarter less than the long term average) (</w:t>
      </w:r>
      <w:r w:rsidRPr="00CB093C">
        <w:rPr>
          <w:rFonts w:ascii="Arial" w:hAnsi="Arial" w:cs="Arial"/>
          <w:szCs w:val="22"/>
          <w:lang w:val="en-GB"/>
        </w:rPr>
        <w:fldChar w:fldCharType="begin"/>
      </w:r>
      <w:r w:rsidRPr="00CB093C">
        <w:rPr>
          <w:rFonts w:ascii="Arial" w:hAnsi="Arial" w:cs="Arial"/>
          <w:szCs w:val="22"/>
          <w:lang w:val="en-GB"/>
        </w:rPr>
        <w:instrText xml:space="preserve"> REF _Ref410309889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105</w:t>
      </w:r>
      <w:r w:rsidRPr="00CB093C">
        <w:rPr>
          <w:rFonts w:ascii="Arial" w:hAnsi="Arial" w:cs="Arial"/>
          <w:szCs w:val="22"/>
          <w:lang w:val="en-GB"/>
        </w:rPr>
        <w:fldChar w:fldCharType="end"/>
      </w:r>
      <w:r w:rsidRPr="00CB093C">
        <w:rPr>
          <w:rFonts w:ascii="Arial" w:hAnsi="Arial" w:cs="Arial"/>
          <w:szCs w:val="22"/>
          <w:lang w:val="en-GB"/>
        </w:rPr>
        <w:t>), may have resulted in longer periods of reduced light availability during periods of higher water.</w:t>
      </w:r>
    </w:p>
    <w:p w14:paraId="7173F22F" w14:textId="1D754E1E" w:rsidR="005173D2" w:rsidRPr="00CB093C" w:rsidRDefault="008C0E45" w:rsidP="008A59C6">
      <w:pPr>
        <w:rPr>
          <w:rFonts w:ascii="Arial" w:hAnsi="Arial" w:cs="Arial"/>
          <w:szCs w:val="22"/>
        </w:rPr>
      </w:pPr>
      <w:r>
        <w:rPr>
          <w:rFonts w:ascii="Arial" w:hAnsi="Arial" w:cs="Arial"/>
          <w:szCs w:val="22"/>
          <w:lang w:val="en-GB"/>
        </w:rPr>
        <w:t>2017–18</w:t>
      </w:r>
      <w:r w:rsidR="008A59C6" w:rsidRPr="00CB093C">
        <w:rPr>
          <w:rFonts w:ascii="Arial" w:hAnsi="Arial" w:cs="Arial"/>
          <w:szCs w:val="22"/>
          <w:lang w:val="en-GB"/>
        </w:rPr>
        <w:t xml:space="preserve"> was the </w:t>
      </w:r>
      <w:r w:rsidR="008A59C6" w:rsidRPr="00CB093C">
        <w:rPr>
          <w:rFonts w:ascii="Arial" w:hAnsi="Arial" w:cs="Arial"/>
          <w:szCs w:val="22"/>
        </w:rPr>
        <w:t xml:space="preserve">fifth consecutive year intertidal </w:t>
      </w:r>
      <w:r w:rsidR="008A59C6" w:rsidRPr="00CB093C">
        <w:rPr>
          <w:rFonts w:ascii="Arial" w:hAnsi="Arial" w:cs="Arial"/>
          <w:szCs w:val="22"/>
          <w:lang w:val="en-GB"/>
        </w:rPr>
        <w:t>within-canopy</w:t>
      </w:r>
      <w:r w:rsidR="008A59C6" w:rsidRPr="00CB093C">
        <w:rPr>
          <w:rFonts w:ascii="Arial" w:hAnsi="Arial" w:cs="Arial"/>
          <w:szCs w:val="22"/>
        </w:rPr>
        <w:t xml:space="preserve"> temperatures were above the long-term average and the fifth highest average annual temperature (23.8</w:t>
      </w:r>
      <w:r w:rsidR="008A59C6" w:rsidRPr="00CB093C">
        <w:rPr>
          <w:rFonts w:ascii="Arial" w:hAnsi="Arial" w:cs="Arial"/>
          <w:szCs w:val="22"/>
          <w:lang w:val="en-GB"/>
        </w:rPr>
        <w:t>°C</w:t>
      </w:r>
      <w:r w:rsidR="008A59C6" w:rsidRPr="00CB093C">
        <w:rPr>
          <w:rFonts w:ascii="Arial" w:hAnsi="Arial" w:cs="Arial"/>
          <w:szCs w:val="22"/>
        </w:rPr>
        <w:t>) since 2003 (</w:t>
      </w:r>
      <w:r w:rsidR="008A59C6" w:rsidRPr="00CB093C">
        <w:rPr>
          <w:rFonts w:ascii="Arial" w:hAnsi="Arial" w:cs="Arial"/>
          <w:szCs w:val="22"/>
        </w:rPr>
        <w:fldChar w:fldCharType="begin"/>
      </w:r>
      <w:r w:rsidR="008A59C6" w:rsidRPr="00CB093C">
        <w:rPr>
          <w:rFonts w:ascii="Arial" w:hAnsi="Arial" w:cs="Arial"/>
          <w:szCs w:val="22"/>
        </w:rPr>
        <w:instrText xml:space="preserve"> REF _Ref442377832 \h </w:instrText>
      </w:r>
      <w:r w:rsidR="00CB093C" w:rsidRPr="00CB093C">
        <w:rPr>
          <w:rFonts w:ascii="Arial" w:hAnsi="Arial" w:cs="Arial"/>
          <w:szCs w:val="22"/>
        </w:rPr>
        <w:instrText xml:space="preserve"> \* MERGEFORMAT </w:instrText>
      </w:r>
      <w:r w:rsidR="008A59C6" w:rsidRPr="00CB093C">
        <w:rPr>
          <w:rFonts w:ascii="Arial" w:hAnsi="Arial" w:cs="Arial"/>
          <w:szCs w:val="22"/>
        </w:rPr>
      </w:r>
      <w:r w:rsidR="008A59C6"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80</w:t>
      </w:r>
      <w:r w:rsidR="008A59C6" w:rsidRPr="00CB093C">
        <w:rPr>
          <w:rFonts w:ascii="Arial" w:hAnsi="Arial" w:cs="Arial"/>
          <w:szCs w:val="22"/>
        </w:rPr>
        <w:fldChar w:fldCharType="end"/>
      </w:r>
      <w:r w:rsidR="008A59C6" w:rsidRPr="00CB093C">
        <w:rPr>
          <w:rFonts w:ascii="Arial" w:hAnsi="Arial" w:cs="Arial"/>
          <w:szCs w:val="22"/>
        </w:rPr>
        <w:t xml:space="preserve">). Maximum intertidal </w:t>
      </w:r>
      <w:r w:rsidR="008A59C6" w:rsidRPr="00CB093C">
        <w:rPr>
          <w:rFonts w:ascii="Arial" w:hAnsi="Arial" w:cs="Arial"/>
          <w:szCs w:val="22"/>
          <w:lang w:val="en-GB"/>
        </w:rPr>
        <w:t xml:space="preserve">within-canopy </w:t>
      </w:r>
      <w:r w:rsidR="008A59C6" w:rsidRPr="00CB093C">
        <w:rPr>
          <w:rFonts w:ascii="Arial" w:hAnsi="Arial" w:cs="Arial"/>
          <w:szCs w:val="22"/>
        </w:rPr>
        <w:t>temperatures exceeded 35</w:t>
      </w:r>
      <w:r w:rsidR="008A59C6" w:rsidRPr="00CB093C">
        <w:rPr>
          <w:rFonts w:ascii="Arial" w:hAnsi="Arial" w:cs="Arial"/>
          <w:szCs w:val="22"/>
          <w:lang w:val="en-GB"/>
        </w:rPr>
        <w:t>°C</w:t>
      </w:r>
      <w:r w:rsidR="008A59C6" w:rsidRPr="00CB093C">
        <w:rPr>
          <w:rFonts w:ascii="Arial" w:hAnsi="Arial" w:cs="Arial"/>
          <w:szCs w:val="22"/>
        </w:rPr>
        <w:t xml:space="preserve"> for a total of 10 days during </w:t>
      </w:r>
      <w:r>
        <w:rPr>
          <w:rFonts w:ascii="Arial" w:hAnsi="Arial" w:cs="Arial"/>
          <w:szCs w:val="22"/>
        </w:rPr>
        <w:t>2017–18</w:t>
      </w:r>
      <w:r w:rsidR="008A59C6" w:rsidRPr="00CB093C">
        <w:rPr>
          <w:rFonts w:ascii="Arial" w:hAnsi="Arial" w:cs="Arial"/>
          <w:szCs w:val="22"/>
        </w:rPr>
        <w:t>, with the highest temperature recorded at 39.4</w:t>
      </w:r>
      <w:r w:rsidR="008A59C6" w:rsidRPr="00CB093C">
        <w:rPr>
          <w:rFonts w:ascii="Arial" w:hAnsi="Arial" w:cs="Arial"/>
          <w:szCs w:val="22"/>
          <w:lang w:val="en-GB"/>
        </w:rPr>
        <w:t>°C</w:t>
      </w:r>
      <w:r w:rsidR="008A59C6" w:rsidRPr="00CB093C">
        <w:rPr>
          <w:rFonts w:ascii="Arial" w:hAnsi="Arial" w:cs="Arial"/>
          <w:szCs w:val="22"/>
        </w:rPr>
        <w:t xml:space="preserve"> (RD2, 9am 12Oct17). </w:t>
      </w:r>
    </w:p>
    <w:p w14:paraId="21DB75AC" w14:textId="24FAC311" w:rsidR="008A59C6" w:rsidRPr="00CB093C" w:rsidRDefault="008A59C6" w:rsidP="008A59C6">
      <w:pPr>
        <w:rPr>
          <w:rFonts w:ascii="Arial" w:hAnsi="Arial" w:cs="Arial"/>
          <w:szCs w:val="22"/>
          <w:lang w:val="en-GB"/>
        </w:rPr>
      </w:pPr>
      <w:r w:rsidRPr="00CB093C">
        <w:rPr>
          <w:rFonts w:ascii="Arial" w:hAnsi="Arial" w:cs="Arial"/>
          <w:szCs w:val="22"/>
          <w:lang w:val="en-GB"/>
        </w:rPr>
        <w:t>Daily tide exposure was below the long</w:t>
      </w:r>
      <w:r w:rsidRPr="00CB093C">
        <w:rPr>
          <w:rFonts w:ascii="Cambria Math" w:hAnsi="Cambria Math" w:cs="Cambria Math"/>
          <w:szCs w:val="22"/>
          <w:lang w:val="en-GB"/>
        </w:rPr>
        <w:t>‐</w:t>
      </w:r>
      <w:r w:rsidRPr="00CB093C">
        <w:rPr>
          <w:rFonts w:ascii="Arial" w:hAnsi="Arial" w:cs="Arial"/>
          <w:szCs w:val="22"/>
          <w:lang w:val="en-GB"/>
        </w:rPr>
        <w:t xml:space="preserve">term average </w:t>
      </w:r>
      <w:r w:rsidRPr="00CB093C">
        <w:rPr>
          <w:rFonts w:ascii="Arial" w:hAnsi="Arial" w:cs="Arial"/>
          <w:szCs w:val="22"/>
        </w:rPr>
        <w:t>(</w:t>
      </w:r>
      <w:r w:rsidRPr="00CB093C">
        <w:rPr>
          <w:rFonts w:ascii="Arial" w:hAnsi="Arial" w:cs="Arial"/>
          <w:szCs w:val="22"/>
        </w:rPr>
        <w:fldChar w:fldCharType="begin"/>
      </w:r>
      <w:r w:rsidRPr="00CB093C">
        <w:rPr>
          <w:rFonts w:ascii="Arial" w:hAnsi="Arial" w:cs="Arial"/>
          <w:szCs w:val="22"/>
        </w:rPr>
        <w:instrText xml:space="preserve"> REF _Ref442377832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80</w:t>
      </w:r>
      <w:r w:rsidRPr="00CB093C">
        <w:rPr>
          <w:rFonts w:ascii="Arial" w:hAnsi="Arial" w:cs="Arial"/>
          <w:szCs w:val="22"/>
        </w:rPr>
        <w:fldChar w:fldCharType="end"/>
      </w:r>
      <w:r w:rsidRPr="00CB093C">
        <w:rPr>
          <w:rFonts w:ascii="Arial" w:hAnsi="Arial" w:cs="Arial"/>
          <w:szCs w:val="22"/>
        </w:rPr>
        <w:t>)</w:t>
      </w:r>
      <w:r w:rsidRPr="00CB093C">
        <w:rPr>
          <w:rFonts w:ascii="Arial" w:hAnsi="Arial" w:cs="Arial"/>
          <w:szCs w:val="22"/>
          <w:lang w:val="en-GB"/>
        </w:rPr>
        <w:t>, including for the second consecutive year in the south (</w:t>
      </w:r>
      <w:r w:rsidRPr="00CB093C">
        <w:rPr>
          <w:rFonts w:ascii="Arial" w:hAnsi="Arial" w:cs="Arial"/>
          <w:szCs w:val="22"/>
          <w:lang w:val="en-GB"/>
        </w:rPr>
        <w:fldChar w:fldCharType="begin"/>
      </w:r>
      <w:r w:rsidRPr="00CB093C">
        <w:rPr>
          <w:rFonts w:ascii="Arial" w:hAnsi="Arial" w:cs="Arial"/>
          <w:szCs w:val="22"/>
          <w:lang w:val="en-GB"/>
        </w:rPr>
        <w:instrText xml:space="preserve"> REF _Ref410309889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105</w:t>
      </w:r>
      <w:r w:rsidRPr="00CB093C">
        <w:rPr>
          <w:rFonts w:ascii="Arial" w:hAnsi="Arial" w:cs="Arial"/>
          <w:szCs w:val="22"/>
          <w:lang w:val="en-GB"/>
        </w:rPr>
        <w:fldChar w:fldCharType="end"/>
      </w:r>
      <w:r w:rsidRPr="00CB093C">
        <w:rPr>
          <w:rFonts w:ascii="Arial" w:hAnsi="Arial" w:cs="Arial"/>
          <w:szCs w:val="22"/>
          <w:lang w:val="en-GB"/>
        </w:rPr>
        <w:t>), which may have provided some respite from the elevated temperatures.</w:t>
      </w:r>
    </w:p>
    <w:p w14:paraId="5D640C0E" w14:textId="2C010B1A" w:rsidR="00364338" w:rsidRPr="00CB093C" w:rsidRDefault="008A59C6" w:rsidP="00461F1D">
      <w:pPr>
        <w:spacing w:before="0" w:after="0"/>
        <w:rPr>
          <w:rFonts w:ascii="Arial" w:hAnsi="Arial" w:cs="Arial"/>
          <w:color w:val="000000" w:themeColor="text1"/>
          <w:szCs w:val="22"/>
        </w:rPr>
      </w:pPr>
      <w:r w:rsidRPr="00CB093C">
        <w:rPr>
          <w:rFonts w:ascii="Arial" w:hAnsi="Arial" w:cs="Arial"/>
          <w:szCs w:val="22"/>
        </w:rPr>
        <w:t xml:space="preserve">Sediments in the estuary seagrass habitats of the Burnett Mary region were dominated by mud, and in </w:t>
      </w:r>
      <w:r w:rsidR="003654C6">
        <w:rPr>
          <w:rFonts w:ascii="Arial" w:hAnsi="Arial" w:cs="Arial"/>
          <w:szCs w:val="22"/>
        </w:rPr>
        <w:t>2017–18</w:t>
      </w:r>
      <w:r w:rsidRPr="00CB093C">
        <w:rPr>
          <w:rFonts w:ascii="Arial" w:hAnsi="Arial" w:cs="Arial"/>
          <w:szCs w:val="22"/>
        </w:rPr>
        <w:t xml:space="preserve"> remained relatively stable, albeit with seasonal variability (</w:t>
      </w:r>
      <w:r w:rsidRPr="00CB093C">
        <w:rPr>
          <w:rFonts w:ascii="Arial" w:hAnsi="Arial" w:cs="Arial"/>
          <w:szCs w:val="22"/>
        </w:rPr>
        <w:fldChar w:fldCharType="begin"/>
      </w:r>
      <w:r w:rsidRPr="00CB093C">
        <w:rPr>
          <w:rFonts w:ascii="Arial" w:hAnsi="Arial" w:cs="Arial"/>
          <w:szCs w:val="22"/>
        </w:rPr>
        <w:instrText xml:space="preserve"> REF _Ref461779411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127</w:t>
      </w:r>
      <w:r w:rsidRPr="00CB093C">
        <w:rPr>
          <w:rFonts w:ascii="Arial" w:hAnsi="Arial" w:cs="Arial"/>
          <w:szCs w:val="22"/>
        </w:rPr>
        <w:fldChar w:fldCharType="end"/>
      </w:r>
      <w:r w:rsidRPr="00CB093C">
        <w:rPr>
          <w:rFonts w:ascii="Arial" w:hAnsi="Arial" w:cs="Arial"/>
          <w:szCs w:val="22"/>
        </w:rPr>
        <w:t xml:space="preserve">). Coastal meadows in </w:t>
      </w:r>
      <w:r w:rsidR="003654C6">
        <w:rPr>
          <w:rFonts w:ascii="Arial" w:hAnsi="Arial" w:cs="Arial"/>
          <w:szCs w:val="22"/>
        </w:rPr>
        <w:t>2017–18</w:t>
      </w:r>
      <w:r w:rsidRPr="00CB093C">
        <w:rPr>
          <w:rFonts w:ascii="Arial" w:hAnsi="Arial" w:cs="Arial"/>
          <w:szCs w:val="22"/>
        </w:rPr>
        <w:t xml:space="preserve"> continued to be dominated by fine sand with little change from the previous year (</w:t>
      </w:r>
      <w:r w:rsidRPr="00CB093C">
        <w:rPr>
          <w:rFonts w:ascii="Arial" w:hAnsi="Arial" w:cs="Arial"/>
          <w:szCs w:val="22"/>
        </w:rPr>
        <w:fldChar w:fldCharType="begin"/>
      </w:r>
      <w:r w:rsidRPr="00CB093C">
        <w:rPr>
          <w:rFonts w:ascii="Arial" w:hAnsi="Arial" w:cs="Arial"/>
          <w:szCs w:val="22"/>
        </w:rPr>
        <w:instrText xml:space="preserve"> REF _Ref511132115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128</w:t>
      </w:r>
      <w:r w:rsidRPr="00CB093C">
        <w:rPr>
          <w:rFonts w:ascii="Arial" w:hAnsi="Arial" w:cs="Arial"/>
          <w:szCs w:val="22"/>
        </w:rPr>
        <w:fldChar w:fldCharType="end"/>
      </w:r>
      <w:r w:rsidRPr="00CB093C">
        <w:rPr>
          <w:rFonts w:ascii="Arial" w:hAnsi="Arial" w:cs="Arial"/>
          <w:szCs w:val="22"/>
        </w:rPr>
        <w:t xml:space="preserve">). The stabilising of sediments may have been assisted by calmer weather in </w:t>
      </w:r>
      <w:r w:rsidR="003654C6">
        <w:rPr>
          <w:rFonts w:ascii="Arial" w:hAnsi="Arial" w:cs="Arial"/>
          <w:szCs w:val="22"/>
        </w:rPr>
        <w:t>2017–18</w:t>
      </w:r>
      <w:r w:rsidRPr="00CB093C">
        <w:rPr>
          <w:rFonts w:ascii="Arial" w:hAnsi="Arial" w:cs="Arial"/>
          <w:szCs w:val="22"/>
        </w:rPr>
        <w:t>, where</w:t>
      </w:r>
      <w:r w:rsidRPr="00CB093C">
        <w:rPr>
          <w:rFonts w:ascii="Arial" w:hAnsi="Arial" w:cs="Arial"/>
          <w:szCs w:val="22"/>
          <w:lang w:val="en-GB"/>
        </w:rPr>
        <w:t xml:space="preserve"> lower than average number of days in which wind speeds exceeded 25 km hr</w:t>
      </w:r>
      <w:r w:rsidRPr="00CB093C">
        <w:rPr>
          <w:rFonts w:ascii="Arial" w:hAnsi="Arial" w:cs="Arial"/>
          <w:szCs w:val="22"/>
          <w:vertAlign w:val="superscript"/>
          <w:lang w:val="en-GB"/>
        </w:rPr>
        <w:t>-1</w:t>
      </w:r>
      <w:r w:rsidRPr="00CB093C">
        <w:rPr>
          <w:rFonts w:ascii="Arial" w:hAnsi="Arial" w:cs="Arial"/>
          <w:szCs w:val="22"/>
          <w:lang w:val="en-GB"/>
        </w:rPr>
        <w:t xml:space="preserve"> (</w:t>
      </w:r>
      <w:r w:rsidRPr="00CB093C">
        <w:rPr>
          <w:rFonts w:ascii="Arial" w:hAnsi="Arial" w:cs="Arial"/>
          <w:szCs w:val="22"/>
          <w:lang w:val="en-GB"/>
        </w:rPr>
        <w:fldChar w:fldCharType="begin"/>
      </w:r>
      <w:r w:rsidRPr="00CB093C">
        <w:rPr>
          <w:rFonts w:ascii="Arial" w:hAnsi="Arial" w:cs="Arial"/>
          <w:szCs w:val="22"/>
          <w:lang w:val="en-GB"/>
        </w:rPr>
        <w:instrText xml:space="preserve"> REF _Ref534133796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color w:val="000000"/>
          <w:szCs w:val="22"/>
          <w:lang w:val="en-GB"/>
        </w:rPr>
        <w:t xml:space="preserve">Figure </w:t>
      </w:r>
      <w:r w:rsidR="005F00D4">
        <w:rPr>
          <w:rFonts w:ascii="Arial" w:hAnsi="Arial" w:cs="Arial"/>
          <w:noProof/>
          <w:color w:val="000000"/>
          <w:szCs w:val="22"/>
          <w:lang w:val="en-GB"/>
        </w:rPr>
        <w:t>97</w:t>
      </w:r>
      <w:r w:rsidRPr="00CB093C">
        <w:rPr>
          <w:rFonts w:ascii="Arial" w:hAnsi="Arial" w:cs="Arial"/>
          <w:szCs w:val="22"/>
          <w:lang w:val="en-GB"/>
        </w:rPr>
        <w:fldChar w:fldCharType="end"/>
      </w:r>
      <w:r w:rsidRPr="00CB093C">
        <w:rPr>
          <w:rFonts w:ascii="Arial" w:hAnsi="Arial" w:cs="Arial"/>
          <w:szCs w:val="22"/>
          <w:lang w:val="en-GB"/>
        </w:rPr>
        <w:t xml:space="preserve">) resulted in </w:t>
      </w:r>
      <w:r w:rsidRPr="00CB093C">
        <w:rPr>
          <w:rFonts w:ascii="Arial" w:hAnsi="Arial" w:cs="Arial"/>
          <w:szCs w:val="22"/>
        </w:rPr>
        <w:t>less physical disturbance from wind generated waves.</w:t>
      </w:r>
    </w:p>
    <w:p w14:paraId="287CF681" w14:textId="12328587" w:rsidR="00E547A7" w:rsidRPr="00CB093C" w:rsidRDefault="00704CE4" w:rsidP="00DD3BAE">
      <w:pPr>
        <w:keepNext/>
        <w:widowControl w:val="0"/>
        <w:spacing w:after="0"/>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3739406B" wp14:editId="3C162826">
            <wp:extent cx="5398883" cy="7196715"/>
            <wp:effectExtent l="0" t="0" r="0" b="4445"/>
            <wp:docPr id="523" name="Picture 523" descr="Composite figure showing environmental pressures in the Burnett Mary NRM region during 2017–2018 including a map of turbid water exposure across the region, the frequency of exposure to wet season water type at each monitoring site, the average environmental conditions over the long-term and in 2017–18, daily light and the 28-day rolling mean of daily light for all intertidal sites, the number of days intertidal temperatures exceeded 35°C, 38°C, 40°C and 43°C, and deviations from 13-year mean weekly temperature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 name="BM Pressures page-01.png"/>
                    <pic:cNvPicPr/>
                  </pic:nvPicPr>
                  <pic:blipFill>
                    <a:blip r:embed="rId123">
                      <a:extLst>
                        <a:ext uri="{28A0092B-C50C-407E-A947-70E740481C1C}">
                          <a14:useLocalDpi xmlns:a14="http://schemas.microsoft.com/office/drawing/2010/main" val="0"/>
                        </a:ext>
                      </a:extLst>
                    </a:blip>
                    <a:stretch>
                      <a:fillRect/>
                    </a:stretch>
                  </pic:blipFill>
                  <pic:spPr>
                    <a:xfrm>
                      <a:off x="0" y="0"/>
                      <a:ext cx="5398883" cy="7196715"/>
                    </a:xfrm>
                    <a:prstGeom prst="rect">
                      <a:avLst/>
                    </a:prstGeom>
                  </pic:spPr>
                </pic:pic>
              </a:graphicData>
            </a:graphic>
          </wp:inline>
        </w:drawing>
      </w:r>
    </w:p>
    <w:p w14:paraId="4FC671F2" w14:textId="446E7ADE" w:rsidR="000C5E7B" w:rsidRPr="00CB093C" w:rsidRDefault="0059610E" w:rsidP="000C5E7B">
      <w:pPr>
        <w:rPr>
          <w:rFonts w:ascii="Arial" w:hAnsi="Arial" w:cs="Arial"/>
          <w:i/>
          <w:vanish/>
          <w:szCs w:val="22"/>
          <w:specVanish/>
        </w:rPr>
      </w:pPr>
      <w:bookmarkStart w:id="509" w:name="_Ref442377832"/>
      <w:bookmarkStart w:id="510" w:name="_Toc6402845"/>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80</w:t>
      </w:r>
      <w:r w:rsidR="00C506C7" w:rsidRPr="00CB093C">
        <w:rPr>
          <w:rFonts w:ascii="Arial" w:hAnsi="Arial" w:cs="Arial"/>
          <w:noProof/>
          <w:szCs w:val="22"/>
        </w:rPr>
        <w:fldChar w:fldCharType="end"/>
      </w:r>
      <w:bookmarkEnd w:id="509"/>
      <w:r w:rsidRPr="00CB093C">
        <w:rPr>
          <w:rFonts w:ascii="Arial" w:hAnsi="Arial" w:cs="Arial"/>
          <w:szCs w:val="22"/>
        </w:rPr>
        <w:t xml:space="preserve">. </w:t>
      </w:r>
      <w:r w:rsidR="00704CE4" w:rsidRPr="00CB093C">
        <w:rPr>
          <w:rFonts w:ascii="Arial" w:hAnsi="Arial" w:cs="Arial"/>
          <w:i/>
          <w:szCs w:val="22"/>
        </w:rPr>
        <w:t>Environmental pressure</w:t>
      </w:r>
      <w:r w:rsidR="004826ED" w:rsidRPr="00CB093C">
        <w:rPr>
          <w:rFonts w:ascii="Arial" w:hAnsi="Arial" w:cs="Arial"/>
          <w:i/>
          <w:szCs w:val="22"/>
        </w:rPr>
        <w:t xml:space="preserve">s in the Burnett </w:t>
      </w:r>
      <w:r w:rsidR="00704CE4" w:rsidRPr="00CB093C">
        <w:rPr>
          <w:rFonts w:ascii="Arial" w:hAnsi="Arial" w:cs="Arial"/>
          <w:i/>
          <w:szCs w:val="22"/>
        </w:rPr>
        <w:t>Mary region</w:t>
      </w:r>
      <w:bookmarkEnd w:id="510"/>
    </w:p>
    <w:p w14:paraId="6A1A2984" w14:textId="70B1C822" w:rsidR="00704CE4" w:rsidRPr="00CB093C" w:rsidRDefault="000C5E7B" w:rsidP="000C5E7B">
      <w:pPr>
        <w:rPr>
          <w:rFonts w:ascii="Arial" w:hAnsi="Arial" w:cs="Arial"/>
          <w:i/>
          <w:color w:val="000000"/>
          <w:szCs w:val="22"/>
          <w:lang w:val="en-GB"/>
        </w:rPr>
      </w:pPr>
      <w:r w:rsidRPr="00CB093C">
        <w:rPr>
          <w:rFonts w:ascii="Arial" w:hAnsi="Arial" w:cs="Arial"/>
          <w:i/>
          <w:szCs w:val="22"/>
        </w:rPr>
        <w:t xml:space="preserve"> </w:t>
      </w:r>
      <w:r w:rsidR="00704CE4" w:rsidRPr="00CB093C">
        <w:rPr>
          <w:rFonts w:ascii="Arial" w:hAnsi="Arial" w:cs="Arial"/>
          <w:i/>
          <w:szCs w:val="22"/>
        </w:rPr>
        <w:t>including</w:t>
      </w:r>
      <w:r w:rsidR="004826ED" w:rsidRPr="00CB093C">
        <w:rPr>
          <w:rFonts w:ascii="Arial" w:hAnsi="Arial" w:cs="Arial"/>
          <w:i/>
          <w:szCs w:val="22"/>
        </w:rPr>
        <w:t>:</w:t>
      </w:r>
      <w:r w:rsidR="00704CE4" w:rsidRPr="00CB093C">
        <w:rPr>
          <w:rFonts w:ascii="Arial" w:hAnsi="Arial" w:cs="Arial"/>
          <w:i/>
          <w:szCs w:val="22"/>
        </w:rPr>
        <w:t xml:space="preserve"> a.</w:t>
      </w:r>
      <w:r w:rsidR="00704CE4" w:rsidRPr="00CB093C">
        <w:rPr>
          <w:rFonts w:ascii="Arial" w:hAnsi="Arial" w:cs="Arial"/>
          <w:szCs w:val="22"/>
        </w:rPr>
        <w:t xml:space="preserve"> </w:t>
      </w:r>
      <w:r w:rsidR="00704CE4" w:rsidRPr="00CB093C">
        <w:rPr>
          <w:rFonts w:ascii="Arial" w:hAnsi="Arial" w:cs="Arial"/>
          <w:i/>
          <w:szCs w:val="22"/>
        </w:rPr>
        <w:t>frequency of exposure to turbid water (colour classes 1</w:t>
      </w:r>
      <w:r w:rsidR="00A675DA" w:rsidRPr="00CB093C">
        <w:rPr>
          <w:rFonts w:ascii="Arial" w:hAnsi="Arial" w:cs="Arial"/>
          <w:i/>
          <w:szCs w:val="22"/>
        </w:rPr>
        <w:t>–</w:t>
      </w:r>
      <w:r w:rsidR="00704CE4" w:rsidRPr="00CB093C">
        <w:rPr>
          <w:rFonts w:ascii="Arial" w:hAnsi="Arial" w:cs="Arial"/>
          <w:i/>
          <w:szCs w:val="22"/>
        </w:rPr>
        <w:t xml:space="preserve">5) (from </w:t>
      </w:r>
      <w:hyperlink w:anchor="_ENREF_65" w:tooltip="Gruber, 2019 #11860" w:history="1">
        <w:r w:rsidR="00513C39" w:rsidRPr="00CB093C">
          <w:rPr>
            <w:rFonts w:ascii="Arial" w:hAnsi="Arial" w:cs="Arial"/>
            <w:i/>
            <w:szCs w:val="22"/>
          </w:rPr>
          <w:fldChar w:fldCharType="begin"/>
        </w:r>
        <w:r w:rsidR="00513C39" w:rsidRPr="00CB093C">
          <w:rPr>
            <w:rFonts w:ascii="Arial" w:hAnsi="Arial" w:cs="Arial"/>
            <w:i/>
            <w:szCs w:val="22"/>
          </w:rPr>
          <w:instrText xml:space="preserve"> ADDIN EN.CITE &lt;EndNote&gt;&lt;Cite&gt;&lt;Author&gt;Gruber&lt;/Author&gt;&lt;Year&gt;2019&lt;/Year&gt;&lt;RecNum&gt;11860&lt;/RecNum&gt;&lt;DisplayText&gt;Gruber&lt;style face="italic"&gt; et al.&lt;/style&gt; 2019&lt;/DisplayText&gt;&lt;record&gt;&lt;rec-number&gt;11860&lt;/rec-number&gt;&lt;foreign-keys&gt;&lt;key app="EN" db-id="0eve55x9y5vfd6e9dacxtew4eatve2dzds9a" timestamp="1545262870"&gt;11860&lt;/key&gt;&lt;/foreign-keys&gt;&lt;ref-type name="Book"&gt;6&lt;/ref-type&gt;&lt;contributors&gt;&lt;authors&gt;&lt;author&gt;Gruber, R&lt;/author&gt;&lt;author&gt;Waterhouse, J&lt;/author&gt;&lt;author&gt;Logan, M&lt;/author&gt;&lt;author&gt;Petus, C&lt;/author&gt;&lt;author&gt;Howley, C&lt;/author&gt;&lt;author&gt;Lewis, S&lt;/author&gt;&lt;author&gt;Tracey, D&lt;/author&gt;&lt;author&gt;Langlois, L&lt;/author&gt;&lt;author&gt;Tonin, H&lt;/author&gt;&lt;author&gt;Skuza, M&lt;/author&gt;&lt;author&gt;Doyle, J&lt;/author&gt;&lt;author&gt;Costello, P&lt;/author&gt;&lt;author&gt;Davidson, J&lt;/author&gt;&lt;author&gt;Gunn, K&lt;/author&gt;&lt;author&gt;Wright, M&lt;/author&gt;&lt;author&gt;Zagorskis, I&lt;/author&gt;&lt;author&gt;Kroon, F&lt;/author&gt;&lt;author&gt;Neilen, A&lt;/author&gt;&lt;/authors&gt;&lt;/contributors&gt;&lt;titles&gt;&lt;title&gt;Marine Monitoring Program: Annual Report for inshore water quality monitoring 2017-2018. Report for the Great Barrier Reef Marine Park Authority&lt;/title&gt;&lt;/titles&gt;&lt;pages&gt;337&lt;/pages&gt;&lt;dates&gt;&lt;year&gt;2019&lt;/year&gt;&lt;/dates&gt;&lt;pub-location&gt;Townsville&lt;/pub-location&gt;&lt;publisher&gt;Australian Institute of Marine Science and JCU TropWATER&lt;/publisher&gt;&lt;urls&gt;&lt;/urls&gt;&lt;/record&gt;&lt;/Cite&gt;&lt;/EndNote&gt;</w:instrText>
        </w:r>
        <w:r w:rsidR="00513C39" w:rsidRPr="00CB093C">
          <w:rPr>
            <w:rFonts w:ascii="Arial" w:hAnsi="Arial" w:cs="Arial"/>
            <w:i/>
            <w:szCs w:val="22"/>
          </w:rPr>
          <w:fldChar w:fldCharType="separate"/>
        </w:r>
        <w:r w:rsidR="00513C39" w:rsidRPr="00CB093C">
          <w:rPr>
            <w:rFonts w:ascii="Arial" w:hAnsi="Arial" w:cs="Arial"/>
            <w:i/>
            <w:noProof/>
            <w:szCs w:val="22"/>
          </w:rPr>
          <w:t>Gruber et al. 2019</w:t>
        </w:r>
        <w:r w:rsidR="00513C39" w:rsidRPr="00CB093C">
          <w:rPr>
            <w:rFonts w:ascii="Arial" w:hAnsi="Arial" w:cs="Arial"/>
            <w:i/>
            <w:szCs w:val="22"/>
          </w:rPr>
          <w:fldChar w:fldCharType="end"/>
        </w:r>
      </w:hyperlink>
      <w:r w:rsidR="00704CE4" w:rsidRPr="00CB093C">
        <w:rPr>
          <w:rFonts w:ascii="Arial" w:hAnsi="Arial" w:cs="Arial"/>
          <w:i/>
          <w:szCs w:val="22"/>
        </w:rPr>
        <w:t>)</w:t>
      </w:r>
      <w:r w:rsidR="001B1A95" w:rsidRPr="00CB093C">
        <w:rPr>
          <w:rFonts w:ascii="Arial" w:hAnsi="Arial" w:cs="Arial"/>
          <w:i/>
          <w:szCs w:val="22"/>
        </w:rPr>
        <w:t>;</w:t>
      </w:r>
      <w:r w:rsidR="00704CE4" w:rsidRPr="00CB093C">
        <w:rPr>
          <w:rFonts w:ascii="Arial" w:hAnsi="Arial" w:cs="Arial"/>
          <w:i/>
          <w:szCs w:val="22"/>
        </w:rPr>
        <w:t xml:space="preserve"> b. wet season water type at each </w:t>
      </w:r>
      <w:r w:rsidR="001B1A95" w:rsidRPr="00CB093C">
        <w:rPr>
          <w:rFonts w:ascii="Arial" w:hAnsi="Arial" w:cs="Arial"/>
          <w:i/>
          <w:szCs w:val="22"/>
        </w:rPr>
        <w:t>site;</w:t>
      </w:r>
      <w:r w:rsidR="00704CE4" w:rsidRPr="00CB093C">
        <w:rPr>
          <w:rFonts w:ascii="Arial" w:hAnsi="Arial" w:cs="Arial"/>
          <w:i/>
          <w:szCs w:val="22"/>
        </w:rPr>
        <w:t xml:space="preserve"> c. average conditions over the long-term and in </w:t>
      </w:r>
      <w:r w:rsidR="003654C6">
        <w:rPr>
          <w:rFonts w:ascii="Arial" w:hAnsi="Arial" w:cs="Arial"/>
          <w:i/>
          <w:szCs w:val="22"/>
        </w:rPr>
        <w:t>2017–18</w:t>
      </w:r>
      <w:r w:rsidR="001B1A95" w:rsidRPr="00CB093C">
        <w:rPr>
          <w:rFonts w:ascii="Arial" w:hAnsi="Arial" w:cs="Arial"/>
          <w:i/>
          <w:szCs w:val="22"/>
        </w:rPr>
        <w:t>;</w:t>
      </w:r>
      <w:r w:rsidR="00704CE4" w:rsidRPr="00CB093C">
        <w:rPr>
          <w:rFonts w:ascii="Arial" w:hAnsi="Arial" w:cs="Arial"/>
          <w:i/>
          <w:szCs w:val="22"/>
        </w:rPr>
        <w:t xml:space="preserve"> d. daily light and the 28-day rolling mean of daily light for all sites</w:t>
      </w:r>
      <w:r w:rsidR="001B1A95" w:rsidRPr="00CB093C">
        <w:rPr>
          <w:rFonts w:ascii="Arial" w:hAnsi="Arial" w:cs="Arial"/>
          <w:i/>
          <w:szCs w:val="22"/>
        </w:rPr>
        <w:t>;</w:t>
      </w:r>
      <w:r w:rsidR="00704CE4" w:rsidRPr="00CB093C">
        <w:rPr>
          <w:rFonts w:ascii="Arial" w:hAnsi="Arial" w:cs="Arial"/>
          <w:i/>
          <w:szCs w:val="22"/>
        </w:rPr>
        <w:t xml:space="preserve"> e. number of day temperature </w:t>
      </w:r>
      <w:r w:rsidR="00704CE4" w:rsidRPr="00CB093C">
        <w:rPr>
          <w:rFonts w:ascii="Arial" w:hAnsi="Arial" w:cs="Arial"/>
          <w:i/>
          <w:szCs w:val="22"/>
          <w:lang w:val="en-GB"/>
        </w:rPr>
        <w:t>exceeded 35°C, 38°C, 40°C and 43°C</w:t>
      </w:r>
      <w:r w:rsidR="00704CE4" w:rsidRPr="00CB093C">
        <w:rPr>
          <w:rFonts w:ascii="Arial" w:hAnsi="Arial" w:cs="Arial"/>
          <w:i/>
          <w:szCs w:val="22"/>
        </w:rPr>
        <w:t>, and</w:t>
      </w:r>
      <w:r w:rsidR="001B1A95" w:rsidRPr="00CB093C">
        <w:rPr>
          <w:rFonts w:ascii="Arial" w:hAnsi="Arial" w:cs="Arial"/>
          <w:i/>
          <w:szCs w:val="22"/>
        </w:rPr>
        <w:t>;</w:t>
      </w:r>
      <w:r w:rsidR="00704CE4" w:rsidRPr="00CB093C">
        <w:rPr>
          <w:rFonts w:ascii="Arial" w:hAnsi="Arial" w:cs="Arial"/>
          <w:i/>
          <w:szCs w:val="22"/>
        </w:rPr>
        <w:t xml:space="preserve"> f.</w:t>
      </w:r>
      <w:r w:rsidR="00704CE4" w:rsidRPr="00CB093C">
        <w:rPr>
          <w:rFonts w:ascii="Arial" w:hAnsi="Arial" w:cs="Arial"/>
          <w:i/>
          <w:szCs w:val="22"/>
          <w:lang w:val="en-GB"/>
        </w:rPr>
        <w:t xml:space="preserve"> deviations from 13-year </w:t>
      </w:r>
      <w:r w:rsidR="00704CE4" w:rsidRPr="00CB093C">
        <w:rPr>
          <w:rFonts w:ascii="Arial" w:hAnsi="Arial" w:cs="Arial"/>
          <w:i/>
          <w:color w:val="000000"/>
          <w:szCs w:val="22"/>
          <w:lang w:val="en-GB"/>
        </w:rPr>
        <w:t>mean weekly temperature records.</w:t>
      </w:r>
    </w:p>
    <w:p w14:paraId="78B0BD82" w14:textId="77777777" w:rsidR="00461F1D" w:rsidRPr="00CB093C" w:rsidRDefault="00461F1D" w:rsidP="00461F1D">
      <w:pPr>
        <w:pStyle w:val="Heading3"/>
        <w:numPr>
          <w:ilvl w:val="2"/>
          <w:numId w:val="4"/>
        </w:numPr>
        <w:rPr>
          <w:rFonts w:ascii="Arial" w:hAnsi="Arial" w:cs="Arial"/>
          <w:color w:val="000000"/>
          <w:sz w:val="22"/>
          <w:szCs w:val="22"/>
        </w:rPr>
      </w:pPr>
      <w:bookmarkStart w:id="511" w:name="_Toc11394772"/>
      <w:r w:rsidRPr="00CB093C">
        <w:rPr>
          <w:rFonts w:ascii="Arial" w:hAnsi="Arial" w:cs="Arial"/>
          <w:color w:val="000000"/>
          <w:sz w:val="22"/>
          <w:szCs w:val="22"/>
        </w:rPr>
        <w:t>Inshore seagrass and habitat condition</w:t>
      </w:r>
      <w:bookmarkEnd w:id="511"/>
    </w:p>
    <w:bookmarkEnd w:id="508"/>
    <w:p w14:paraId="35083C23" w14:textId="1B2291AC" w:rsidR="00995B85" w:rsidRPr="00CB093C" w:rsidRDefault="00364338" w:rsidP="00DD3BAE">
      <w:pPr>
        <w:rPr>
          <w:rFonts w:ascii="Arial" w:hAnsi="Arial" w:cs="Arial"/>
          <w:szCs w:val="22"/>
          <w:lang w:eastAsia="x-none"/>
        </w:rPr>
      </w:pPr>
      <w:r w:rsidRPr="00CB093C">
        <w:rPr>
          <w:rFonts w:ascii="Arial" w:hAnsi="Arial" w:cs="Arial"/>
          <w:szCs w:val="22"/>
        </w:rPr>
        <w:t xml:space="preserve">Only estuarine and coastal habitats </w:t>
      </w:r>
      <w:r w:rsidR="00995B85" w:rsidRPr="00CB093C">
        <w:rPr>
          <w:rFonts w:ascii="Arial" w:hAnsi="Arial" w:cs="Arial"/>
          <w:szCs w:val="22"/>
          <w:lang w:eastAsia="x-none"/>
        </w:rPr>
        <w:t xml:space="preserve">were assessed across the Burnett Mary region in </w:t>
      </w:r>
      <w:r w:rsidR="003654C6">
        <w:rPr>
          <w:rFonts w:ascii="Arial" w:hAnsi="Arial" w:cs="Arial"/>
          <w:szCs w:val="22"/>
          <w:lang w:eastAsia="x-none"/>
        </w:rPr>
        <w:t>2017–18</w:t>
      </w:r>
      <w:r w:rsidR="00995B85" w:rsidRPr="00CB093C">
        <w:rPr>
          <w:rFonts w:ascii="Arial" w:hAnsi="Arial" w:cs="Arial"/>
          <w:szCs w:val="22"/>
          <w:lang w:eastAsia="x-none"/>
        </w:rPr>
        <w:t>, with data from 6 sites (</w:t>
      </w:r>
      <w:r w:rsidR="00995B85" w:rsidRPr="00CB093C">
        <w:rPr>
          <w:rFonts w:ascii="Arial" w:hAnsi="Arial" w:cs="Arial"/>
          <w:szCs w:val="22"/>
          <w:lang w:eastAsia="x-none"/>
        </w:rPr>
        <w:fldChar w:fldCharType="begin"/>
      </w:r>
      <w:r w:rsidR="00995B85" w:rsidRPr="00CB093C">
        <w:rPr>
          <w:rFonts w:ascii="Arial" w:hAnsi="Arial" w:cs="Arial"/>
          <w:szCs w:val="22"/>
          <w:lang w:eastAsia="x-none"/>
        </w:rPr>
        <w:instrText xml:space="preserve"> REF _Ref473898769 \h </w:instrText>
      </w:r>
      <w:r w:rsidR="00580DDA" w:rsidRPr="00CB093C">
        <w:rPr>
          <w:rFonts w:ascii="Arial" w:hAnsi="Arial" w:cs="Arial"/>
          <w:szCs w:val="22"/>
          <w:lang w:eastAsia="x-none"/>
        </w:rPr>
        <w:instrText xml:space="preserve"> \* MERGEFORMAT </w:instrText>
      </w:r>
      <w:r w:rsidR="00995B85" w:rsidRPr="00CB093C">
        <w:rPr>
          <w:rFonts w:ascii="Arial" w:hAnsi="Arial" w:cs="Arial"/>
          <w:szCs w:val="22"/>
          <w:lang w:eastAsia="x-none"/>
        </w:rPr>
      </w:r>
      <w:r w:rsidR="00995B85" w:rsidRPr="00CB093C">
        <w:rPr>
          <w:rFonts w:ascii="Arial" w:hAnsi="Arial" w:cs="Arial"/>
          <w:szCs w:val="22"/>
          <w:lang w:eastAsia="x-none"/>
        </w:rPr>
        <w:fldChar w:fldCharType="separate"/>
      </w:r>
      <w:r w:rsidR="005F00D4" w:rsidRPr="00CB093C">
        <w:rPr>
          <w:rFonts w:ascii="Arial" w:hAnsi="Arial" w:cs="Arial"/>
          <w:szCs w:val="22"/>
        </w:rPr>
        <w:t xml:space="preserve">Table </w:t>
      </w:r>
      <w:r w:rsidR="005F00D4">
        <w:rPr>
          <w:rFonts w:ascii="Arial" w:hAnsi="Arial" w:cs="Arial"/>
          <w:noProof/>
          <w:szCs w:val="22"/>
        </w:rPr>
        <w:t>16</w:t>
      </w:r>
      <w:r w:rsidR="00995B85" w:rsidRPr="00CB093C">
        <w:rPr>
          <w:rFonts w:ascii="Arial" w:hAnsi="Arial" w:cs="Arial"/>
          <w:szCs w:val="22"/>
          <w:lang w:eastAsia="x-none"/>
        </w:rPr>
        <w:fldChar w:fldCharType="end"/>
      </w:r>
      <w:r w:rsidR="00995B85" w:rsidRPr="00CB093C">
        <w:rPr>
          <w:rFonts w:ascii="Arial" w:hAnsi="Arial" w:cs="Arial"/>
          <w:szCs w:val="22"/>
          <w:lang w:eastAsia="x-none"/>
        </w:rPr>
        <w:t>).</w:t>
      </w:r>
    </w:p>
    <w:p w14:paraId="14F59773" w14:textId="4FA8DD34" w:rsidR="00995B85" w:rsidRPr="00CB093C" w:rsidRDefault="00995B85" w:rsidP="00DD3BAE">
      <w:pPr>
        <w:widowControl w:val="0"/>
        <w:spacing w:before="0"/>
        <w:rPr>
          <w:rFonts w:ascii="Arial" w:hAnsi="Arial" w:cs="Arial"/>
          <w:i/>
          <w:vanish/>
          <w:szCs w:val="22"/>
          <w:specVanish/>
        </w:rPr>
      </w:pPr>
      <w:bookmarkStart w:id="512" w:name="_Ref473898769"/>
      <w:bookmarkStart w:id="513" w:name="_Toc5616044"/>
      <w:r w:rsidRPr="00CB093C">
        <w:rPr>
          <w:rFonts w:ascii="Arial" w:hAnsi="Arial" w:cs="Arial"/>
          <w:szCs w:val="22"/>
        </w:rPr>
        <w:t xml:space="preserve">Table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Table \* ARABIC </w:instrText>
      </w:r>
      <w:r w:rsidR="00C506C7" w:rsidRPr="00CB093C">
        <w:rPr>
          <w:rFonts w:ascii="Arial" w:hAnsi="Arial" w:cs="Arial"/>
          <w:noProof/>
          <w:szCs w:val="22"/>
        </w:rPr>
        <w:fldChar w:fldCharType="separate"/>
      </w:r>
      <w:r w:rsidR="005F00D4">
        <w:rPr>
          <w:rFonts w:ascii="Arial" w:hAnsi="Arial" w:cs="Arial"/>
          <w:noProof/>
          <w:szCs w:val="22"/>
        </w:rPr>
        <w:t>16</w:t>
      </w:r>
      <w:r w:rsidR="00C506C7" w:rsidRPr="00CB093C">
        <w:rPr>
          <w:rFonts w:ascii="Arial" w:hAnsi="Arial" w:cs="Arial"/>
          <w:noProof/>
          <w:szCs w:val="22"/>
        </w:rPr>
        <w:fldChar w:fldCharType="end"/>
      </w:r>
      <w:bookmarkEnd w:id="512"/>
      <w:r w:rsidRPr="00CB093C">
        <w:rPr>
          <w:rFonts w:ascii="Arial" w:hAnsi="Arial" w:cs="Arial"/>
          <w:szCs w:val="22"/>
        </w:rPr>
        <w:t xml:space="preserve">. </w:t>
      </w:r>
      <w:r w:rsidRPr="00CB093C">
        <w:rPr>
          <w:rFonts w:ascii="Arial" w:hAnsi="Arial" w:cs="Arial"/>
          <w:i/>
          <w:szCs w:val="22"/>
        </w:rPr>
        <w:t>List of data sources of seagrass and environmental condition indicators for each seagrass habitat type in the Burnett Mary NRM region.</w:t>
      </w:r>
      <w:bookmarkEnd w:id="513"/>
      <w:r w:rsidRPr="00CB093C">
        <w:rPr>
          <w:rFonts w:ascii="Arial" w:hAnsi="Arial" w:cs="Arial"/>
          <w:i/>
          <w:vanish/>
          <w:szCs w:val="22"/>
          <w:specVanish/>
        </w:rPr>
        <w:t xml:space="preserve"> </w:t>
      </w:r>
    </w:p>
    <w:p w14:paraId="699D2EFF" w14:textId="0D7EFEB8" w:rsidR="00995B85" w:rsidRPr="00CB093C" w:rsidRDefault="00995B85" w:rsidP="00DD3BAE">
      <w:pPr>
        <w:pStyle w:val="Caption"/>
        <w:rPr>
          <w:rFonts w:ascii="Arial" w:hAnsi="Arial" w:cs="Arial"/>
          <w:i/>
          <w:color w:val="000000"/>
          <w:szCs w:val="22"/>
        </w:rPr>
      </w:pPr>
      <w:r w:rsidRPr="00CB093C">
        <w:rPr>
          <w:rFonts w:ascii="Arial" w:hAnsi="Arial" w:cs="Arial"/>
          <w:i/>
          <w:szCs w:val="22"/>
        </w:rPr>
        <w:t xml:space="preserve"> </w:t>
      </w:r>
      <w:r w:rsidR="00CA7806" w:rsidRPr="00CB093C">
        <w:rPr>
          <w:rFonts w:ascii="Arial" w:hAnsi="Arial" w:cs="Arial"/>
          <w:i/>
          <w:color w:val="000000"/>
          <w:szCs w:val="22"/>
        </w:rPr>
        <w:t>*Seagrass-Watch.</w:t>
      </w:r>
      <w:r w:rsidR="00CA7806" w:rsidRPr="00CB093C">
        <w:rPr>
          <w:rFonts w:ascii="Arial" w:hAnsi="Arial" w:cs="Arial"/>
          <w:i/>
          <w:szCs w:val="22"/>
        </w:rPr>
        <w:t xml:space="preserve"> </w:t>
      </w:r>
      <w:r w:rsidRPr="00CB093C">
        <w:rPr>
          <w:rFonts w:ascii="Arial" w:hAnsi="Arial" w:cs="Arial"/>
          <w:i/>
          <w:szCs w:val="22"/>
        </w:rPr>
        <w:t xml:space="preserve">For site details see </w:t>
      </w:r>
      <w:r w:rsidRPr="00CB093C">
        <w:rPr>
          <w:rFonts w:ascii="Arial" w:hAnsi="Arial" w:cs="Arial"/>
          <w:i/>
          <w:szCs w:val="22"/>
        </w:rPr>
        <w:fldChar w:fldCharType="begin"/>
      </w:r>
      <w:r w:rsidRPr="00CB093C">
        <w:rPr>
          <w:rFonts w:ascii="Arial" w:hAnsi="Arial" w:cs="Arial"/>
          <w:i/>
          <w:szCs w:val="22"/>
        </w:rPr>
        <w:instrText xml:space="preserve"> REF _Ref236539751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color w:val="000000"/>
          <w:szCs w:val="22"/>
        </w:rPr>
        <w:t xml:space="preserve">Table </w:t>
      </w:r>
      <w:r w:rsidR="005F00D4" w:rsidRPr="005F00D4">
        <w:rPr>
          <w:rFonts w:ascii="Arial" w:hAnsi="Arial" w:cs="Arial"/>
          <w:i/>
          <w:noProof/>
          <w:color w:val="000000"/>
          <w:szCs w:val="22"/>
        </w:rPr>
        <w:t>2</w:t>
      </w:r>
      <w:r w:rsidRPr="00CB093C">
        <w:rPr>
          <w:rFonts w:ascii="Arial" w:hAnsi="Arial" w:cs="Arial"/>
          <w:i/>
          <w:szCs w:val="22"/>
        </w:rPr>
        <w:fldChar w:fldCharType="end"/>
      </w:r>
      <w:r w:rsidRPr="00CB093C">
        <w:rPr>
          <w:rFonts w:ascii="Arial" w:hAnsi="Arial" w:cs="Arial"/>
          <w:i/>
          <w:szCs w:val="22"/>
        </w:rPr>
        <w:t xml:space="preserve"> and </w:t>
      </w:r>
      <w:r w:rsidRPr="00CB093C">
        <w:rPr>
          <w:rFonts w:ascii="Arial" w:hAnsi="Arial" w:cs="Arial"/>
          <w:i/>
          <w:szCs w:val="22"/>
        </w:rPr>
        <w:fldChar w:fldCharType="begin"/>
      </w:r>
      <w:r w:rsidRPr="00CB093C">
        <w:rPr>
          <w:rFonts w:ascii="Arial" w:hAnsi="Arial" w:cs="Arial"/>
          <w:i/>
          <w:szCs w:val="22"/>
        </w:rPr>
        <w:instrText xml:space="preserve"> REF _Ref461186562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color w:val="000000"/>
          <w:szCs w:val="22"/>
        </w:rPr>
        <w:t xml:space="preserve">Table </w:t>
      </w:r>
      <w:r w:rsidR="005F00D4" w:rsidRPr="005F00D4">
        <w:rPr>
          <w:rFonts w:ascii="Arial" w:hAnsi="Arial" w:cs="Arial"/>
          <w:i/>
          <w:noProof/>
          <w:color w:val="000000"/>
          <w:szCs w:val="22"/>
        </w:rPr>
        <w:t>3</w:t>
      </w:r>
      <w:r w:rsidRPr="00CB093C">
        <w:rPr>
          <w:rFonts w:ascii="Arial" w:hAnsi="Arial" w:cs="Arial"/>
          <w:i/>
          <w:szCs w:val="22"/>
        </w:rPr>
        <w:fldChar w:fldCharType="end"/>
      </w:r>
      <w:r w:rsidRPr="00CB093C">
        <w:rPr>
          <w:rFonts w:ascii="Arial" w:hAnsi="Arial" w:cs="Arial"/>
          <w:i/>
          <w:szCs w:val="22"/>
        </w:rPr>
        <w:t>.</w:t>
      </w:r>
    </w:p>
    <w:tbl>
      <w:tblPr>
        <w:tblW w:w="76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4"/>
        <w:gridCol w:w="730"/>
        <w:gridCol w:w="1483"/>
        <w:gridCol w:w="475"/>
        <w:gridCol w:w="475"/>
        <w:gridCol w:w="475"/>
        <w:gridCol w:w="475"/>
        <w:gridCol w:w="475"/>
        <w:gridCol w:w="475"/>
        <w:gridCol w:w="475"/>
        <w:gridCol w:w="475"/>
      </w:tblGrid>
      <w:tr w:rsidR="00995B85" w:rsidRPr="00CB093C" w14:paraId="39A149CF" w14:textId="77777777" w:rsidTr="005F11C1">
        <w:trPr>
          <w:cantSplit/>
          <w:trHeight w:val="2375"/>
          <w:jc w:val="center"/>
        </w:trPr>
        <w:tc>
          <w:tcPr>
            <w:tcW w:w="1666" w:type="dxa"/>
            <w:shd w:val="clear" w:color="auto" w:fill="BBE0E3"/>
            <w:vAlign w:val="center"/>
          </w:tcPr>
          <w:p w14:paraId="4E20D04A" w14:textId="77777777" w:rsidR="00995B85" w:rsidRPr="00CB093C" w:rsidRDefault="00995B85" w:rsidP="00DD3BAE">
            <w:pPr>
              <w:spacing w:before="0" w:after="0"/>
              <w:jc w:val="center"/>
              <w:rPr>
                <w:rFonts w:ascii="Arial" w:hAnsi="Arial" w:cs="Arial"/>
                <w:b/>
                <w:bCs/>
                <w:color w:val="000000"/>
                <w:szCs w:val="22"/>
              </w:rPr>
            </w:pPr>
            <w:r w:rsidRPr="00CB093C">
              <w:rPr>
                <w:rFonts w:ascii="Arial" w:hAnsi="Arial" w:cs="Arial"/>
                <w:b/>
                <w:bCs/>
                <w:color w:val="000000"/>
                <w:szCs w:val="22"/>
              </w:rPr>
              <w:t>Habitat</w:t>
            </w:r>
          </w:p>
        </w:tc>
        <w:tc>
          <w:tcPr>
            <w:tcW w:w="2157" w:type="dxa"/>
            <w:gridSpan w:val="2"/>
            <w:shd w:val="clear" w:color="auto" w:fill="BBE0E3"/>
            <w:noWrap/>
            <w:vAlign w:val="center"/>
          </w:tcPr>
          <w:p w14:paraId="5BE3970D" w14:textId="77777777" w:rsidR="00995B85" w:rsidRPr="00CB093C" w:rsidRDefault="00995B85" w:rsidP="00DD3BAE">
            <w:pPr>
              <w:spacing w:before="0" w:after="0"/>
              <w:jc w:val="center"/>
              <w:rPr>
                <w:rFonts w:ascii="Arial" w:hAnsi="Arial" w:cs="Arial"/>
                <w:b/>
                <w:bCs/>
                <w:color w:val="000000"/>
                <w:szCs w:val="22"/>
              </w:rPr>
            </w:pPr>
            <w:r w:rsidRPr="00CB093C">
              <w:rPr>
                <w:rFonts w:ascii="Arial" w:hAnsi="Arial" w:cs="Arial"/>
                <w:b/>
                <w:bCs/>
                <w:color w:val="000000"/>
                <w:szCs w:val="22"/>
              </w:rPr>
              <w:t>Site</w:t>
            </w:r>
          </w:p>
        </w:tc>
        <w:tc>
          <w:tcPr>
            <w:tcW w:w="473" w:type="dxa"/>
            <w:shd w:val="clear" w:color="auto" w:fill="BBE0E3"/>
            <w:textDirection w:val="btLr"/>
            <w:vAlign w:val="center"/>
          </w:tcPr>
          <w:p w14:paraId="4526A457" w14:textId="77777777" w:rsidR="00995B85" w:rsidRPr="00CB093C" w:rsidRDefault="00995B85" w:rsidP="00DD3BAE">
            <w:pPr>
              <w:spacing w:before="0" w:after="0"/>
              <w:ind w:left="113" w:right="113"/>
              <w:rPr>
                <w:rFonts w:ascii="Arial" w:hAnsi="Arial" w:cs="Arial"/>
                <w:b/>
                <w:bCs/>
                <w:color w:val="000000"/>
                <w:szCs w:val="22"/>
              </w:rPr>
            </w:pPr>
            <w:r w:rsidRPr="00CB093C">
              <w:rPr>
                <w:rFonts w:ascii="Arial" w:hAnsi="Arial" w:cs="Arial"/>
                <w:b/>
                <w:bCs/>
                <w:color w:val="000000"/>
                <w:szCs w:val="22"/>
              </w:rPr>
              <w:t>abundance</w:t>
            </w:r>
          </w:p>
        </w:tc>
        <w:tc>
          <w:tcPr>
            <w:tcW w:w="473" w:type="dxa"/>
            <w:shd w:val="clear" w:color="auto" w:fill="BBE0E3"/>
            <w:textDirection w:val="btLr"/>
            <w:vAlign w:val="center"/>
          </w:tcPr>
          <w:p w14:paraId="767B768B" w14:textId="77777777" w:rsidR="00995B85" w:rsidRPr="00CB093C" w:rsidRDefault="00995B85" w:rsidP="00DD3BAE">
            <w:pPr>
              <w:spacing w:before="0" w:after="0"/>
              <w:ind w:left="113" w:right="113"/>
              <w:rPr>
                <w:rFonts w:ascii="Arial" w:hAnsi="Arial" w:cs="Arial"/>
                <w:b/>
                <w:bCs/>
                <w:color w:val="000000"/>
                <w:szCs w:val="22"/>
              </w:rPr>
            </w:pPr>
            <w:r w:rsidRPr="00CB093C">
              <w:rPr>
                <w:rFonts w:ascii="Arial" w:hAnsi="Arial" w:cs="Arial"/>
                <w:b/>
                <w:bCs/>
                <w:color w:val="000000"/>
                <w:szCs w:val="22"/>
              </w:rPr>
              <w:t xml:space="preserve">composition </w:t>
            </w:r>
          </w:p>
        </w:tc>
        <w:tc>
          <w:tcPr>
            <w:tcW w:w="473" w:type="dxa"/>
            <w:shd w:val="clear" w:color="auto" w:fill="BBE0E3"/>
            <w:textDirection w:val="btLr"/>
            <w:vAlign w:val="center"/>
          </w:tcPr>
          <w:p w14:paraId="797FA3A2" w14:textId="77777777" w:rsidR="00995B85" w:rsidRPr="00CB093C" w:rsidRDefault="00995B85" w:rsidP="00DD3BAE">
            <w:pPr>
              <w:spacing w:before="0" w:after="0"/>
              <w:ind w:left="113" w:right="113"/>
              <w:rPr>
                <w:rFonts w:ascii="Arial" w:hAnsi="Arial" w:cs="Arial"/>
                <w:b/>
                <w:bCs/>
                <w:color w:val="000000"/>
                <w:szCs w:val="22"/>
              </w:rPr>
            </w:pPr>
            <w:r w:rsidRPr="00CB093C">
              <w:rPr>
                <w:rFonts w:ascii="Arial" w:hAnsi="Arial" w:cs="Arial"/>
                <w:b/>
                <w:bCs/>
                <w:color w:val="000000"/>
                <w:szCs w:val="22"/>
              </w:rPr>
              <w:t>distribution</w:t>
            </w:r>
          </w:p>
        </w:tc>
        <w:tc>
          <w:tcPr>
            <w:tcW w:w="473" w:type="dxa"/>
            <w:shd w:val="clear" w:color="auto" w:fill="BBE0E3"/>
            <w:textDirection w:val="btLr"/>
            <w:vAlign w:val="center"/>
          </w:tcPr>
          <w:p w14:paraId="30B588D8" w14:textId="77777777" w:rsidR="00995B85" w:rsidRPr="00CB093C" w:rsidRDefault="00995B85" w:rsidP="00DD3BAE">
            <w:pPr>
              <w:spacing w:before="0" w:after="0"/>
              <w:ind w:left="113" w:right="113"/>
              <w:rPr>
                <w:rFonts w:ascii="Arial" w:hAnsi="Arial" w:cs="Arial"/>
                <w:b/>
                <w:bCs/>
                <w:color w:val="000000"/>
                <w:szCs w:val="22"/>
              </w:rPr>
            </w:pPr>
            <w:r w:rsidRPr="00CB093C">
              <w:rPr>
                <w:rFonts w:ascii="Arial" w:hAnsi="Arial" w:cs="Arial"/>
                <w:b/>
                <w:bCs/>
                <w:color w:val="000000"/>
                <w:szCs w:val="22"/>
              </w:rPr>
              <w:t>Reproductive effort</w:t>
            </w:r>
          </w:p>
        </w:tc>
        <w:tc>
          <w:tcPr>
            <w:tcW w:w="473" w:type="dxa"/>
            <w:shd w:val="clear" w:color="auto" w:fill="BBE0E3"/>
            <w:textDirection w:val="btLr"/>
            <w:vAlign w:val="center"/>
          </w:tcPr>
          <w:p w14:paraId="3F4F9E36" w14:textId="77777777" w:rsidR="00995B85" w:rsidRPr="00CB093C" w:rsidRDefault="00995B85" w:rsidP="00DD3BAE">
            <w:pPr>
              <w:spacing w:before="0" w:after="0"/>
              <w:ind w:left="113" w:right="113"/>
              <w:rPr>
                <w:rFonts w:ascii="Arial" w:hAnsi="Arial" w:cs="Arial"/>
                <w:b/>
                <w:bCs/>
                <w:color w:val="000000"/>
                <w:szCs w:val="22"/>
              </w:rPr>
            </w:pPr>
            <w:r w:rsidRPr="00CB093C">
              <w:rPr>
                <w:rFonts w:ascii="Arial" w:hAnsi="Arial" w:cs="Arial"/>
                <w:b/>
                <w:bCs/>
                <w:color w:val="000000"/>
                <w:szCs w:val="22"/>
              </w:rPr>
              <w:t>seed banks</w:t>
            </w:r>
          </w:p>
        </w:tc>
        <w:tc>
          <w:tcPr>
            <w:tcW w:w="473" w:type="dxa"/>
            <w:shd w:val="clear" w:color="auto" w:fill="BBE0E3"/>
            <w:textDirection w:val="btLr"/>
            <w:vAlign w:val="center"/>
          </w:tcPr>
          <w:p w14:paraId="6C754BFD" w14:textId="77777777" w:rsidR="00995B85" w:rsidRPr="00CB093C" w:rsidRDefault="00995B85" w:rsidP="00DD3BAE">
            <w:pPr>
              <w:spacing w:before="0" w:after="0"/>
              <w:ind w:left="113" w:right="113"/>
              <w:rPr>
                <w:rFonts w:ascii="Arial" w:hAnsi="Arial" w:cs="Arial"/>
                <w:b/>
                <w:bCs/>
                <w:color w:val="000000"/>
                <w:szCs w:val="22"/>
              </w:rPr>
            </w:pPr>
            <w:r w:rsidRPr="00CB093C">
              <w:rPr>
                <w:rFonts w:ascii="Arial" w:hAnsi="Arial" w:cs="Arial"/>
                <w:b/>
                <w:bCs/>
                <w:color w:val="000000"/>
                <w:szCs w:val="22"/>
              </w:rPr>
              <w:t>Leaf tissue nutrients</w:t>
            </w:r>
          </w:p>
        </w:tc>
        <w:tc>
          <w:tcPr>
            <w:tcW w:w="473" w:type="dxa"/>
            <w:shd w:val="clear" w:color="auto" w:fill="BBE0E3"/>
            <w:textDirection w:val="btLr"/>
            <w:vAlign w:val="center"/>
          </w:tcPr>
          <w:p w14:paraId="6AF128F6" w14:textId="77777777" w:rsidR="00995B85" w:rsidRPr="00CB093C" w:rsidRDefault="00995B85" w:rsidP="00DD3BAE">
            <w:pPr>
              <w:spacing w:before="0" w:after="0"/>
              <w:ind w:left="113" w:right="113"/>
              <w:rPr>
                <w:rFonts w:ascii="Arial" w:hAnsi="Arial" w:cs="Arial"/>
                <w:b/>
                <w:bCs/>
                <w:color w:val="000000"/>
                <w:szCs w:val="22"/>
              </w:rPr>
            </w:pPr>
            <w:r w:rsidRPr="00CB093C">
              <w:rPr>
                <w:rFonts w:ascii="Arial" w:hAnsi="Arial" w:cs="Arial"/>
                <w:b/>
                <w:bCs/>
                <w:color w:val="000000"/>
                <w:szCs w:val="22"/>
              </w:rPr>
              <w:t>Meadow sediments</w:t>
            </w:r>
          </w:p>
        </w:tc>
        <w:tc>
          <w:tcPr>
            <w:tcW w:w="473" w:type="dxa"/>
            <w:shd w:val="clear" w:color="auto" w:fill="BBE0E3"/>
            <w:textDirection w:val="btLr"/>
            <w:vAlign w:val="center"/>
          </w:tcPr>
          <w:p w14:paraId="40BD4F8A" w14:textId="77777777" w:rsidR="00995B85" w:rsidRPr="00CB093C" w:rsidRDefault="00995B85" w:rsidP="00DD3BAE">
            <w:pPr>
              <w:spacing w:before="0" w:after="0"/>
              <w:ind w:left="113" w:right="113"/>
              <w:rPr>
                <w:rFonts w:ascii="Arial" w:hAnsi="Arial" w:cs="Arial"/>
                <w:b/>
                <w:bCs/>
                <w:color w:val="000000"/>
                <w:szCs w:val="22"/>
              </w:rPr>
            </w:pPr>
            <w:r w:rsidRPr="00CB093C">
              <w:rPr>
                <w:rFonts w:ascii="Arial" w:hAnsi="Arial" w:cs="Arial"/>
                <w:b/>
                <w:bCs/>
                <w:color w:val="000000"/>
                <w:szCs w:val="22"/>
              </w:rPr>
              <w:t>Epiphytes &amp; macroalgae</w:t>
            </w:r>
          </w:p>
        </w:tc>
      </w:tr>
      <w:tr w:rsidR="00995B85" w:rsidRPr="00CB093C" w14:paraId="340065BE" w14:textId="77777777" w:rsidTr="005F11C1">
        <w:trPr>
          <w:trHeight w:val="170"/>
          <w:jc w:val="center"/>
        </w:trPr>
        <w:tc>
          <w:tcPr>
            <w:tcW w:w="1666" w:type="dxa"/>
            <w:vMerge w:val="restart"/>
            <w:shd w:val="clear" w:color="auto" w:fill="E7F3F4"/>
            <w:vAlign w:val="center"/>
          </w:tcPr>
          <w:p w14:paraId="7B995A85"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estuary intertidal</w:t>
            </w:r>
          </w:p>
        </w:tc>
        <w:tc>
          <w:tcPr>
            <w:tcW w:w="674" w:type="dxa"/>
            <w:shd w:val="clear" w:color="auto" w:fill="E7F3F4"/>
            <w:noWrap/>
            <w:vAlign w:val="center"/>
          </w:tcPr>
          <w:p w14:paraId="453295BB" w14:textId="77777777" w:rsidR="00995B85" w:rsidRPr="00CB093C" w:rsidRDefault="00995B85" w:rsidP="00DD3BAE">
            <w:pPr>
              <w:spacing w:before="0" w:after="0"/>
              <w:jc w:val="center"/>
              <w:rPr>
                <w:rFonts w:ascii="Arial" w:hAnsi="Arial" w:cs="Arial"/>
                <w:iCs/>
                <w:color w:val="000000"/>
                <w:szCs w:val="22"/>
              </w:rPr>
            </w:pPr>
            <w:r w:rsidRPr="00CB093C">
              <w:rPr>
                <w:rFonts w:ascii="Arial" w:hAnsi="Arial" w:cs="Arial"/>
                <w:iCs/>
                <w:color w:val="000000"/>
                <w:szCs w:val="22"/>
              </w:rPr>
              <w:t>RD1</w:t>
            </w:r>
          </w:p>
        </w:tc>
        <w:tc>
          <w:tcPr>
            <w:tcW w:w="1483" w:type="dxa"/>
            <w:shd w:val="clear" w:color="auto" w:fill="E7F3F4"/>
            <w:noWrap/>
            <w:vAlign w:val="center"/>
          </w:tcPr>
          <w:p w14:paraId="40A6F2B0"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Rodds Bay</w:t>
            </w:r>
          </w:p>
        </w:tc>
        <w:tc>
          <w:tcPr>
            <w:tcW w:w="473" w:type="dxa"/>
            <w:shd w:val="clear" w:color="auto" w:fill="E7F3F4"/>
            <w:vAlign w:val="center"/>
          </w:tcPr>
          <w:p w14:paraId="5FB915EA"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5A8A92E4"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1132095A"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479D70FA"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7E03F1E5"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7863DE8A"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2A5D5A2E"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5A596EE6"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41EA5389" w14:textId="77777777" w:rsidTr="005F11C1">
        <w:trPr>
          <w:trHeight w:val="170"/>
          <w:jc w:val="center"/>
        </w:trPr>
        <w:tc>
          <w:tcPr>
            <w:tcW w:w="1666" w:type="dxa"/>
            <w:vMerge/>
            <w:shd w:val="clear" w:color="auto" w:fill="E7F3F4"/>
            <w:vAlign w:val="center"/>
          </w:tcPr>
          <w:p w14:paraId="0E4BEAFD" w14:textId="77777777" w:rsidR="00995B85" w:rsidRPr="00CB093C" w:rsidRDefault="00995B85" w:rsidP="00DD3BAE">
            <w:pPr>
              <w:spacing w:before="0" w:after="0"/>
              <w:jc w:val="center"/>
              <w:rPr>
                <w:rFonts w:ascii="Arial" w:hAnsi="Arial" w:cs="Arial"/>
                <w:color w:val="000000"/>
                <w:szCs w:val="22"/>
              </w:rPr>
            </w:pPr>
          </w:p>
        </w:tc>
        <w:tc>
          <w:tcPr>
            <w:tcW w:w="674" w:type="dxa"/>
            <w:shd w:val="clear" w:color="auto" w:fill="E7F3F4"/>
            <w:noWrap/>
            <w:vAlign w:val="center"/>
          </w:tcPr>
          <w:p w14:paraId="1182B1E5" w14:textId="77777777" w:rsidR="00995B85" w:rsidRPr="00CB093C" w:rsidRDefault="00995B85" w:rsidP="00DD3BAE">
            <w:pPr>
              <w:spacing w:before="0" w:after="0"/>
              <w:jc w:val="center"/>
              <w:rPr>
                <w:rFonts w:ascii="Arial" w:hAnsi="Arial" w:cs="Arial"/>
                <w:iCs/>
                <w:color w:val="000000"/>
                <w:szCs w:val="22"/>
              </w:rPr>
            </w:pPr>
            <w:r w:rsidRPr="00CB093C">
              <w:rPr>
                <w:rFonts w:ascii="Arial" w:hAnsi="Arial" w:cs="Arial"/>
                <w:iCs/>
                <w:color w:val="000000"/>
                <w:szCs w:val="22"/>
              </w:rPr>
              <w:t>RD2</w:t>
            </w:r>
          </w:p>
        </w:tc>
        <w:tc>
          <w:tcPr>
            <w:tcW w:w="1483" w:type="dxa"/>
            <w:shd w:val="clear" w:color="auto" w:fill="E7F3F4"/>
            <w:noWrap/>
            <w:vAlign w:val="center"/>
          </w:tcPr>
          <w:p w14:paraId="5DEF6AB1"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Rodds Bay</w:t>
            </w:r>
          </w:p>
        </w:tc>
        <w:tc>
          <w:tcPr>
            <w:tcW w:w="473" w:type="dxa"/>
            <w:shd w:val="clear" w:color="auto" w:fill="E7F3F4"/>
            <w:vAlign w:val="center"/>
          </w:tcPr>
          <w:p w14:paraId="44DCF399"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6B7A129D"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45290FAA"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534AC5B2"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768F2ECE"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6E037950"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1651E23C"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5E60C820"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65EEEC0B" w14:textId="77777777" w:rsidTr="005F11C1">
        <w:trPr>
          <w:trHeight w:val="170"/>
          <w:jc w:val="center"/>
        </w:trPr>
        <w:tc>
          <w:tcPr>
            <w:tcW w:w="1666" w:type="dxa"/>
            <w:vMerge/>
            <w:shd w:val="clear" w:color="auto" w:fill="E7F3F4"/>
            <w:vAlign w:val="center"/>
          </w:tcPr>
          <w:p w14:paraId="5593756D" w14:textId="77777777" w:rsidR="00995B85" w:rsidRPr="00CB093C" w:rsidRDefault="00995B85" w:rsidP="00DD3BAE">
            <w:pPr>
              <w:spacing w:before="0" w:after="0"/>
              <w:jc w:val="center"/>
              <w:rPr>
                <w:rFonts w:ascii="Arial" w:hAnsi="Arial" w:cs="Arial"/>
                <w:color w:val="000000"/>
                <w:szCs w:val="22"/>
              </w:rPr>
            </w:pPr>
          </w:p>
        </w:tc>
        <w:tc>
          <w:tcPr>
            <w:tcW w:w="674" w:type="dxa"/>
            <w:shd w:val="clear" w:color="auto" w:fill="E7F3F4"/>
            <w:noWrap/>
            <w:vAlign w:val="center"/>
          </w:tcPr>
          <w:p w14:paraId="150CBB74"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UG1</w:t>
            </w:r>
          </w:p>
        </w:tc>
        <w:tc>
          <w:tcPr>
            <w:tcW w:w="1483" w:type="dxa"/>
            <w:shd w:val="clear" w:color="auto" w:fill="E7F3F4"/>
            <w:noWrap/>
            <w:vAlign w:val="center"/>
          </w:tcPr>
          <w:p w14:paraId="2480175A"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Urangan</w:t>
            </w:r>
          </w:p>
        </w:tc>
        <w:tc>
          <w:tcPr>
            <w:tcW w:w="473" w:type="dxa"/>
            <w:shd w:val="clear" w:color="auto" w:fill="E7F3F4"/>
            <w:vAlign w:val="center"/>
          </w:tcPr>
          <w:p w14:paraId="610C92BD"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3A663B98"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7F091560"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1A85F7F1"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208599F7"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40706229"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32729909"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7165B573"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61D58D35" w14:textId="77777777" w:rsidTr="005F11C1">
        <w:trPr>
          <w:trHeight w:val="170"/>
          <w:jc w:val="center"/>
        </w:trPr>
        <w:tc>
          <w:tcPr>
            <w:tcW w:w="1666" w:type="dxa"/>
            <w:vMerge/>
            <w:shd w:val="clear" w:color="auto" w:fill="E7F3F4"/>
            <w:vAlign w:val="center"/>
          </w:tcPr>
          <w:p w14:paraId="19E25829" w14:textId="77777777" w:rsidR="00995B85" w:rsidRPr="00CB093C" w:rsidRDefault="00995B85" w:rsidP="00DD3BAE">
            <w:pPr>
              <w:spacing w:before="0" w:after="0"/>
              <w:jc w:val="center"/>
              <w:rPr>
                <w:rFonts w:ascii="Arial" w:hAnsi="Arial" w:cs="Arial"/>
                <w:color w:val="000000"/>
                <w:szCs w:val="22"/>
              </w:rPr>
            </w:pPr>
          </w:p>
        </w:tc>
        <w:tc>
          <w:tcPr>
            <w:tcW w:w="674" w:type="dxa"/>
            <w:shd w:val="clear" w:color="auto" w:fill="E7F3F4"/>
            <w:noWrap/>
            <w:vAlign w:val="center"/>
          </w:tcPr>
          <w:p w14:paraId="1B5CE188"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UG2</w:t>
            </w:r>
          </w:p>
        </w:tc>
        <w:tc>
          <w:tcPr>
            <w:tcW w:w="1483" w:type="dxa"/>
            <w:shd w:val="clear" w:color="auto" w:fill="E7F3F4"/>
            <w:noWrap/>
            <w:vAlign w:val="center"/>
          </w:tcPr>
          <w:p w14:paraId="5544E091"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Urangan</w:t>
            </w:r>
          </w:p>
        </w:tc>
        <w:tc>
          <w:tcPr>
            <w:tcW w:w="473" w:type="dxa"/>
            <w:shd w:val="clear" w:color="auto" w:fill="E7F3F4"/>
            <w:vAlign w:val="center"/>
          </w:tcPr>
          <w:p w14:paraId="4E68036D"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075843E5"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60314CC1"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5E5A7A87"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501B74E5"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48604597"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305A87E0"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E7F3F4"/>
            <w:vAlign w:val="center"/>
          </w:tcPr>
          <w:p w14:paraId="1C1B63EF"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73EE8834" w14:textId="77777777" w:rsidTr="005F11C1">
        <w:trPr>
          <w:trHeight w:val="170"/>
          <w:jc w:val="center"/>
        </w:trPr>
        <w:tc>
          <w:tcPr>
            <w:tcW w:w="1666" w:type="dxa"/>
            <w:vMerge w:val="restart"/>
            <w:shd w:val="clear" w:color="auto" w:fill="F3F9FA"/>
            <w:vAlign w:val="center"/>
          </w:tcPr>
          <w:p w14:paraId="58970BBC" w14:textId="4296F00F"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 xml:space="preserve">coastal </w:t>
            </w:r>
            <w:r w:rsidR="00FD58A8" w:rsidRPr="00CB093C">
              <w:rPr>
                <w:rFonts w:ascii="Arial" w:hAnsi="Arial" w:cs="Arial"/>
                <w:color w:val="000000"/>
                <w:szCs w:val="22"/>
              </w:rPr>
              <w:t>intertidal</w:t>
            </w:r>
          </w:p>
        </w:tc>
        <w:tc>
          <w:tcPr>
            <w:tcW w:w="674" w:type="dxa"/>
            <w:shd w:val="clear" w:color="auto" w:fill="F3F9FA"/>
            <w:noWrap/>
            <w:vAlign w:val="center"/>
          </w:tcPr>
          <w:p w14:paraId="35AA1133" w14:textId="4629B1BF"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BH1</w:t>
            </w:r>
            <w:r w:rsidR="00CA7806" w:rsidRPr="00CB093C">
              <w:rPr>
                <w:rFonts w:ascii="Arial" w:hAnsi="Arial" w:cs="Arial"/>
                <w:color w:val="000000"/>
                <w:szCs w:val="22"/>
              </w:rPr>
              <w:t>*</w:t>
            </w:r>
          </w:p>
        </w:tc>
        <w:tc>
          <w:tcPr>
            <w:tcW w:w="1483" w:type="dxa"/>
            <w:shd w:val="clear" w:color="auto" w:fill="F3F9FA"/>
            <w:noWrap/>
            <w:vAlign w:val="center"/>
          </w:tcPr>
          <w:p w14:paraId="5862AC90"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Burrum Heads</w:t>
            </w:r>
          </w:p>
        </w:tc>
        <w:tc>
          <w:tcPr>
            <w:tcW w:w="473" w:type="dxa"/>
            <w:shd w:val="clear" w:color="auto" w:fill="F3F9FA"/>
            <w:vAlign w:val="center"/>
          </w:tcPr>
          <w:p w14:paraId="5C8304C0"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295A1DEE"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013B07AF" w14:textId="11F2D156" w:rsidR="00995B85" w:rsidRPr="00CB093C" w:rsidRDefault="00A72A98"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50A27E58" w14:textId="0E1D73D1" w:rsidR="00995B85" w:rsidRPr="00CB093C" w:rsidRDefault="00A72A98"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04D5D189"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19D4325D" w14:textId="22ECBC72" w:rsidR="00995B85" w:rsidRPr="00CB093C" w:rsidRDefault="00A72A98"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7C9CD919"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28418094"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r w:rsidR="00995B85" w:rsidRPr="00CB093C" w14:paraId="0D115BDA" w14:textId="77777777" w:rsidTr="005F11C1">
        <w:trPr>
          <w:trHeight w:val="170"/>
          <w:jc w:val="center"/>
        </w:trPr>
        <w:tc>
          <w:tcPr>
            <w:tcW w:w="1666" w:type="dxa"/>
            <w:vMerge/>
            <w:shd w:val="clear" w:color="auto" w:fill="F3F9FA"/>
            <w:vAlign w:val="center"/>
          </w:tcPr>
          <w:p w14:paraId="20EC15F3" w14:textId="77777777" w:rsidR="00995B85" w:rsidRPr="00CB093C" w:rsidRDefault="00995B85" w:rsidP="00DD3BAE">
            <w:pPr>
              <w:spacing w:before="0" w:after="0"/>
              <w:jc w:val="center"/>
              <w:rPr>
                <w:rFonts w:ascii="Arial" w:hAnsi="Arial" w:cs="Arial"/>
                <w:color w:val="000000"/>
                <w:szCs w:val="22"/>
              </w:rPr>
            </w:pPr>
          </w:p>
        </w:tc>
        <w:tc>
          <w:tcPr>
            <w:tcW w:w="674" w:type="dxa"/>
            <w:shd w:val="clear" w:color="auto" w:fill="F3F9FA"/>
            <w:noWrap/>
            <w:vAlign w:val="center"/>
          </w:tcPr>
          <w:p w14:paraId="1C12C3DA" w14:textId="4894B3F1"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BH3</w:t>
            </w:r>
            <w:r w:rsidR="00CA7806" w:rsidRPr="00CB093C">
              <w:rPr>
                <w:rFonts w:ascii="Arial" w:hAnsi="Arial" w:cs="Arial"/>
                <w:color w:val="000000"/>
                <w:szCs w:val="22"/>
              </w:rPr>
              <w:t>*</w:t>
            </w:r>
          </w:p>
        </w:tc>
        <w:tc>
          <w:tcPr>
            <w:tcW w:w="1483" w:type="dxa"/>
            <w:shd w:val="clear" w:color="auto" w:fill="F3F9FA"/>
            <w:noWrap/>
            <w:vAlign w:val="center"/>
          </w:tcPr>
          <w:p w14:paraId="16F03AFE"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t>Burrum Heads</w:t>
            </w:r>
          </w:p>
        </w:tc>
        <w:tc>
          <w:tcPr>
            <w:tcW w:w="473" w:type="dxa"/>
            <w:shd w:val="clear" w:color="auto" w:fill="F3F9FA"/>
            <w:vAlign w:val="center"/>
          </w:tcPr>
          <w:p w14:paraId="1913EFFA"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2CEA0B29"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29BAE65C" w14:textId="2B559AB9" w:rsidR="00995B85" w:rsidRPr="00CB093C" w:rsidRDefault="00A72A98"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02240F53" w14:textId="1AF0CCC7" w:rsidR="00995B85" w:rsidRPr="00CB093C" w:rsidRDefault="00A72A98"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3C6C8399"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2A015103" w14:textId="6F062632" w:rsidR="00995B85" w:rsidRPr="00CB093C" w:rsidRDefault="00A72A98"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0F8DB510"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c>
          <w:tcPr>
            <w:tcW w:w="473" w:type="dxa"/>
            <w:shd w:val="clear" w:color="auto" w:fill="F3F9FA"/>
            <w:vAlign w:val="center"/>
          </w:tcPr>
          <w:p w14:paraId="4A67D98A" w14:textId="77777777" w:rsidR="00995B85" w:rsidRPr="00CB093C" w:rsidRDefault="00995B85" w:rsidP="00DD3BAE">
            <w:pPr>
              <w:spacing w:before="0" w:after="0"/>
              <w:jc w:val="center"/>
              <w:rPr>
                <w:rFonts w:ascii="Arial" w:hAnsi="Arial" w:cs="Arial"/>
                <w:color w:val="000000"/>
                <w:szCs w:val="22"/>
              </w:rPr>
            </w:pPr>
            <w:r w:rsidRPr="00CB093C">
              <w:rPr>
                <w:rFonts w:ascii="Arial" w:hAnsi="Arial" w:cs="Arial"/>
                <w:color w:val="000000"/>
                <w:szCs w:val="22"/>
              </w:rPr>
              <w:sym w:font="Wingdings" w:char="F06E"/>
            </w:r>
          </w:p>
        </w:tc>
      </w:tr>
    </w:tbl>
    <w:p w14:paraId="1F573AD0" w14:textId="6687D0C1" w:rsidR="00364338" w:rsidRPr="00CB093C" w:rsidRDefault="00364338" w:rsidP="000F3AC4">
      <w:pPr>
        <w:pStyle w:val="Heading3"/>
        <w:numPr>
          <w:ilvl w:val="3"/>
          <w:numId w:val="4"/>
        </w:numPr>
        <w:rPr>
          <w:rFonts w:ascii="Arial" w:hAnsi="Arial" w:cs="Arial"/>
          <w:b w:val="0"/>
          <w:i/>
          <w:color w:val="000000"/>
          <w:sz w:val="22"/>
          <w:szCs w:val="22"/>
        </w:rPr>
      </w:pPr>
      <w:bookmarkStart w:id="514" w:name="_Toc11394773"/>
      <w:r w:rsidRPr="00CB093C">
        <w:rPr>
          <w:rFonts w:ascii="Arial" w:hAnsi="Arial" w:cs="Arial"/>
          <w:b w:val="0"/>
          <w:i/>
          <w:color w:val="000000"/>
          <w:sz w:val="22"/>
          <w:szCs w:val="22"/>
        </w:rPr>
        <w:t>Seagrass index and indicator scores</w:t>
      </w:r>
      <w:bookmarkEnd w:id="514"/>
    </w:p>
    <w:p w14:paraId="36B133DA" w14:textId="32BC813C" w:rsidR="00D838CB" w:rsidRPr="00CB093C" w:rsidRDefault="00461F1D" w:rsidP="00D838CB">
      <w:pPr>
        <w:rPr>
          <w:rFonts w:ascii="Arial" w:hAnsi="Arial" w:cs="Arial"/>
          <w:szCs w:val="22"/>
          <w:lang w:val="en-GB"/>
        </w:rPr>
      </w:pPr>
      <w:r w:rsidRPr="00CB093C">
        <w:rPr>
          <w:rFonts w:ascii="Arial" w:hAnsi="Arial" w:cs="Arial"/>
          <w:szCs w:val="22"/>
          <w:lang w:val="en-GB"/>
        </w:rPr>
        <w:t xml:space="preserve">In the </w:t>
      </w:r>
      <w:r w:rsidR="003654C6">
        <w:rPr>
          <w:rFonts w:ascii="Arial" w:hAnsi="Arial" w:cs="Arial"/>
          <w:szCs w:val="22"/>
          <w:lang w:val="en-GB"/>
        </w:rPr>
        <w:t>2017–18</w:t>
      </w:r>
      <w:r w:rsidR="00D838CB" w:rsidRPr="00CB093C">
        <w:rPr>
          <w:rFonts w:ascii="Arial" w:hAnsi="Arial" w:cs="Arial"/>
          <w:szCs w:val="22"/>
          <w:lang w:val="en-GB"/>
        </w:rPr>
        <w:t xml:space="preserve"> monitoring period, the Burnett Mary region seagrass condition index declined to its lowest score in five years, dropping to a very poor grade (</w:t>
      </w:r>
      <w:r w:rsidR="00D838CB" w:rsidRPr="00CB093C">
        <w:rPr>
          <w:rFonts w:ascii="Arial" w:hAnsi="Arial" w:cs="Arial"/>
          <w:szCs w:val="22"/>
          <w:lang w:val="en-GB"/>
        </w:rPr>
        <w:fldChar w:fldCharType="begin"/>
      </w:r>
      <w:r w:rsidR="00D838CB" w:rsidRPr="00CB093C">
        <w:rPr>
          <w:rFonts w:ascii="Arial" w:hAnsi="Arial" w:cs="Arial"/>
          <w:szCs w:val="22"/>
          <w:lang w:val="en-GB"/>
        </w:rPr>
        <w:instrText xml:space="preserve"> REF _Ref442449961 \h </w:instrText>
      </w:r>
      <w:r w:rsidR="00CB093C" w:rsidRPr="00CB093C">
        <w:rPr>
          <w:rFonts w:ascii="Arial" w:hAnsi="Arial" w:cs="Arial"/>
          <w:szCs w:val="22"/>
          <w:lang w:val="en-GB"/>
        </w:rPr>
        <w:instrText xml:space="preserve"> \* MERGEFORMAT </w:instrText>
      </w:r>
      <w:r w:rsidR="00D838CB" w:rsidRPr="00CB093C">
        <w:rPr>
          <w:rFonts w:ascii="Arial" w:hAnsi="Arial" w:cs="Arial"/>
          <w:szCs w:val="22"/>
          <w:lang w:val="en-GB"/>
        </w:rPr>
      </w:r>
      <w:r w:rsidR="00D838CB"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81</w:t>
      </w:r>
      <w:r w:rsidR="00D838CB" w:rsidRPr="00CB093C">
        <w:rPr>
          <w:rFonts w:ascii="Arial" w:hAnsi="Arial" w:cs="Arial"/>
          <w:szCs w:val="22"/>
          <w:lang w:val="en-GB"/>
        </w:rPr>
        <w:fldChar w:fldCharType="end"/>
      </w:r>
      <w:r w:rsidR="00D838CB" w:rsidRPr="00CB093C">
        <w:rPr>
          <w:rFonts w:ascii="Arial" w:hAnsi="Arial" w:cs="Arial"/>
          <w:szCs w:val="22"/>
          <w:lang w:val="en-GB"/>
        </w:rPr>
        <w:t>). Overall, the Burnett Mary seagrass index had been improving since 2012</w:t>
      </w:r>
      <w:r w:rsidR="00A675DA" w:rsidRPr="00CB093C">
        <w:rPr>
          <w:rFonts w:ascii="Arial" w:hAnsi="Arial" w:cs="Arial"/>
          <w:szCs w:val="22"/>
          <w:lang w:val="en-GB"/>
        </w:rPr>
        <w:t>–</w:t>
      </w:r>
      <w:r w:rsidRPr="00CB093C">
        <w:rPr>
          <w:rFonts w:ascii="Arial" w:hAnsi="Arial" w:cs="Arial"/>
          <w:szCs w:val="22"/>
          <w:lang w:val="en-GB"/>
        </w:rPr>
        <w:t>20</w:t>
      </w:r>
      <w:r w:rsidR="00D838CB" w:rsidRPr="00CB093C">
        <w:rPr>
          <w:rFonts w:ascii="Arial" w:hAnsi="Arial" w:cs="Arial"/>
          <w:szCs w:val="22"/>
          <w:lang w:val="en-GB"/>
        </w:rPr>
        <w:t>13</w:t>
      </w:r>
      <w:r w:rsidR="00A72A98" w:rsidRPr="00CB093C">
        <w:rPr>
          <w:rFonts w:ascii="Arial" w:hAnsi="Arial" w:cs="Arial"/>
          <w:szCs w:val="22"/>
          <w:lang w:val="en-GB"/>
        </w:rPr>
        <w:t xml:space="preserve"> until </w:t>
      </w:r>
      <w:r w:rsidR="005173D2" w:rsidRPr="00CB093C">
        <w:rPr>
          <w:rFonts w:ascii="Arial" w:hAnsi="Arial" w:cs="Arial"/>
          <w:szCs w:val="22"/>
          <w:lang w:val="en-GB"/>
        </w:rPr>
        <w:t xml:space="preserve">this trajectory </w:t>
      </w:r>
      <w:r w:rsidR="00A72A98" w:rsidRPr="00CB093C">
        <w:rPr>
          <w:rFonts w:ascii="Arial" w:hAnsi="Arial" w:cs="Arial"/>
          <w:szCs w:val="22"/>
          <w:lang w:val="en-GB"/>
        </w:rPr>
        <w:t>abated in 2016</w:t>
      </w:r>
      <w:r w:rsidR="00A675DA" w:rsidRPr="00CB093C">
        <w:rPr>
          <w:rFonts w:ascii="Arial" w:hAnsi="Arial" w:cs="Arial"/>
          <w:szCs w:val="22"/>
          <w:lang w:val="en-GB"/>
        </w:rPr>
        <w:t>–</w:t>
      </w:r>
      <w:r w:rsidRPr="00CB093C">
        <w:rPr>
          <w:rFonts w:ascii="Arial" w:hAnsi="Arial" w:cs="Arial"/>
          <w:szCs w:val="22"/>
          <w:lang w:val="en-GB"/>
        </w:rPr>
        <w:t>20</w:t>
      </w:r>
      <w:r w:rsidR="00A72A98" w:rsidRPr="00CB093C">
        <w:rPr>
          <w:rFonts w:ascii="Arial" w:hAnsi="Arial" w:cs="Arial"/>
          <w:szCs w:val="22"/>
          <w:lang w:val="en-GB"/>
        </w:rPr>
        <w:t xml:space="preserve">17 </w:t>
      </w:r>
      <w:r w:rsidR="005173D2" w:rsidRPr="00CB093C">
        <w:rPr>
          <w:rFonts w:ascii="Arial" w:hAnsi="Arial" w:cs="Arial"/>
          <w:szCs w:val="22"/>
          <w:lang w:val="en-GB"/>
        </w:rPr>
        <w:t xml:space="preserve">following </w:t>
      </w:r>
      <w:r w:rsidR="00A72A98" w:rsidRPr="00CB093C">
        <w:rPr>
          <w:rFonts w:ascii="Arial" w:hAnsi="Arial" w:cs="Arial"/>
          <w:szCs w:val="22"/>
          <w:lang w:val="en-GB"/>
        </w:rPr>
        <w:t>the highest score in 10 years</w:t>
      </w:r>
      <w:r w:rsidR="00D838CB" w:rsidRPr="00CB093C">
        <w:rPr>
          <w:rFonts w:ascii="Arial" w:hAnsi="Arial" w:cs="Arial"/>
          <w:szCs w:val="22"/>
          <w:lang w:val="en-GB"/>
        </w:rPr>
        <w:t xml:space="preserve">. The </w:t>
      </w:r>
      <w:r w:rsidR="00B24600" w:rsidRPr="00CB093C">
        <w:rPr>
          <w:rFonts w:ascii="Arial" w:hAnsi="Arial" w:cs="Arial"/>
          <w:szCs w:val="22"/>
          <w:lang w:val="en-GB"/>
        </w:rPr>
        <w:t xml:space="preserve">decline </w:t>
      </w:r>
      <w:r w:rsidR="005173D2" w:rsidRPr="00CB093C">
        <w:rPr>
          <w:rFonts w:ascii="Arial" w:hAnsi="Arial" w:cs="Arial"/>
          <w:szCs w:val="22"/>
          <w:lang w:val="en-GB"/>
        </w:rPr>
        <w:t>this year</w:t>
      </w:r>
      <w:r w:rsidR="00B24600" w:rsidRPr="00CB093C">
        <w:rPr>
          <w:rFonts w:ascii="Arial" w:hAnsi="Arial" w:cs="Arial"/>
          <w:szCs w:val="22"/>
          <w:lang w:val="en-GB"/>
        </w:rPr>
        <w:t xml:space="preserve"> </w:t>
      </w:r>
      <w:r w:rsidR="009D6E29" w:rsidRPr="00CB093C">
        <w:rPr>
          <w:rFonts w:ascii="Arial" w:hAnsi="Arial" w:cs="Arial"/>
          <w:szCs w:val="22"/>
          <w:lang w:val="en-GB"/>
        </w:rPr>
        <w:t>follows</w:t>
      </w:r>
      <w:r w:rsidR="00B24600" w:rsidRPr="00CB093C">
        <w:rPr>
          <w:rFonts w:ascii="Arial" w:hAnsi="Arial" w:cs="Arial"/>
          <w:szCs w:val="22"/>
          <w:lang w:val="en-GB"/>
        </w:rPr>
        <w:t xml:space="preserve"> the decline in 2016</w:t>
      </w:r>
      <w:r w:rsidR="005173D2" w:rsidRPr="00CB093C">
        <w:rPr>
          <w:rFonts w:ascii="Arial" w:hAnsi="Arial" w:cs="Arial"/>
          <w:szCs w:val="22"/>
          <w:lang w:val="en-GB"/>
        </w:rPr>
        <w:t>–</w:t>
      </w:r>
      <w:r w:rsidRPr="00CB093C">
        <w:rPr>
          <w:rFonts w:ascii="Arial" w:hAnsi="Arial" w:cs="Arial"/>
          <w:szCs w:val="22"/>
          <w:lang w:val="en-GB"/>
        </w:rPr>
        <w:t>20</w:t>
      </w:r>
      <w:r w:rsidR="00B24600" w:rsidRPr="00CB093C">
        <w:rPr>
          <w:rFonts w:ascii="Arial" w:hAnsi="Arial" w:cs="Arial"/>
          <w:szCs w:val="22"/>
          <w:lang w:val="en-GB"/>
        </w:rPr>
        <w:t>17</w:t>
      </w:r>
      <w:r w:rsidR="009D6E29" w:rsidRPr="00CB093C">
        <w:rPr>
          <w:rFonts w:ascii="Arial" w:hAnsi="Arial" w:cs="Arial"/>
          <w:szCs w:val="22"/>
          <w:lang w:val="en-GB"/>
        </w:rPr>
        <w:t>,</w:t>
      </w:r>
      <w:r w:rsidR="00B24600" w:rsidRPr="00CB093C">
        <w:rPr>
          <w:rFonts w:ascii="Arial" w:hAnsi="Arial" w:cs="Arial"/>
          <w:szCs w:val="22"/>
          <w:lang w:val="en-GB"/>
        </w:rPr>
        <w:t xml:space="preserve"> and appears predominately driven by declining </w:t>
      </w:r>
      <w:r w:rsidR="009D6E29" w:rsidRPr="00CB093C">
        <w:rPr>
          <w:rFonts w:ascii="Arial" w:hAnsi="Arial" w:cs="Arial"/>
          <w:szCs w:val="22"/>
          <w:lang w:val="en-GB"/>
        </w:rPr>
        <w:t xml:space="preserve">nutrient status and very low </w:t>
      </w:r>
      <w:r w:rsidR="00B24600" w:rsidRPr="00CB093C">
        <w:rPr>
          <w:rFonts w:ascii="Arial" w:hAnsi="Arial" w:cs="Arial"/>
          <w:szCs w:val="22"/>
          <w:lang w:val="en-GB"/>
        </w:rPr>
        <w:t>reproductive effort (</w:t>
      </w:r>
      <w:r w:rsidR="00B24600" w:rsidRPr="00CB093C">
        <w:rPr>
          <w:rFonts w:ascii="Arial" w:hAnsi="Arial" w:cs="Arial"/>
          <w:szCs w:val="22"/>
          <w:lang w:val="en-GB"/>
        </w:rPr>
        <w:fldChar w:fldCharType="begin"/>
      </w:r>
      <w:r w:rsidR="00B24600" w:rsidRPr="00CB093C">
        <w:rPr>
          <w:rFonts w:ascii="Arial" w:hAnsi="Arial" w:cs="Arial"/>
          <w:szCs w:val="22"/>
          <w:lang w:val="en-GB"/>
        </w:rPr>
        <w:instrText xml:space="preserve"> REF _Ref442449961 \h </w:instrText>
      </w:r>
      <w:r w:rsidR="00CB093C" w:rsidRPr="00CB093C">
        <w:rPr>
          <w:rFonts w:ascii="Arial" w:hAnsi="Arial" w:cs="Arial"/>
          <w:szCs w:val="22"/>
          <w:lang w:val="en-GB"/>
        </w:rPr>
        <w:instrText xml:space="preserve"> \* MERGEFORMAT </w:instrText>
      </w:r>
      <w:r w:rsidR="00B24600" w:rsidRPr="00CB093C">
        <w:rPr>
          <w:rFonts w:ascii="Arial" w:hAnsi="Arial" w:cs="Arial"/>
          <w:szCs w:val="22"/>
          <w:lang w:val="en-GB"/>
        </w:rPr>
      </w:r>
      <w:r w:rsidR="00B24600"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81</w:t>
      </w:r>
      <w:r w:rsidR="00B24600" w:rsidRPr="00CB093C">
        <w:rPr>
          <w:rFonts w:ascii="Arial" w:hAnsi="Arial" w:cs="Arial"/>
          <w:szCs w:val="22"/>
          <w:lang w:val="en-GB"/>
        </w:rPr>
        <w:fldChar w:fldCharType="end"/>
      </w:r>
      <w:r w:rsidR="00B24600" w:rsidRPr="00CB093C">
        <w:rPr>
          <w:rFonts w:ascii="Arial" w:hAnsi="Arial" w:cs="Arial"/>
          <w:szCs w:val="22"/>
          <w:lang w:val="en-GB"/>
        </w:rPr>
        <w:t>).</w:t>
      </w:r>
    </w:p>
    <w:p w14:paraId="6461C56D" w14:textId="6F9E89FF" w:rsidR="005173D2" w:rsidRPr="00CB093C" w:rsidRDefault="009D6E29" w:rsidP="00B24600">
      <w:pPr>
        <w:rPr>
          <w:rFonts w:ascii="Arial" w:hAnsi="Arial" w:cs="Arial"/>
          <w:szCs w:val="22"/>
        </w:rPr>
      </w:pPr>
      <w:r w:rsidRPr="00CB093C">
        <w:rPr>
          <w:rFonts w:ascii="Arial" w:hAnsi="Arial" w:cs="Arial"/>
          <w:szCs w:val="22"/>
          <w:lang w:eastAsia="x-none"/>
        </w:rPr>
        <w:t xml:space="preserve">Over the long term, </w:t>
      </w:r>
      <w:r w:rsidR="00334C99" w:rsidRPr="00CB093C">
        <w:rPr>
          <w:rFonts w:ascii="Arial" w:hAnsi="Arial" w:cs="Arial"/>
          <w:szCs w:val="22"/>
          <w:lang w:eastAsia="x-none"/>
        </w:rPr>
        <w:t xml:space="preserve">seagrass abundance regionally has </w:t>
      </w:r>
      <w:r w:rsidRPr="00CB093C">
        <w:rPr>
          <w:rFonts w:ascii="Arial" w:hAnsi="Arial" w:cs="Arial"/>
          <w:szCs w:val="22"/>
          <w:lang w:eastAsia="x-none"/>
        </w:rPr>
        <w:t>fluctuat</w:t>
      </w:r>
      <w:r w:rsidR="00334C99" w:rsidRPr="00CB093C">
        <w:rPr>
          <w:rFonts w:ascii="Arial" w:hAnsi="Arial" w:cs="Arial"/>
          <w:szCs w:val="22"/>
          <w:lang w:eastAsia="x-none"/>
        </w:rPr>
        <w:t>ed greatly</w:t>
      </w:r>
      <w:r w:rsidRPr="00CB093C">
        <w:rPr>
          <w:rFonts w:ascii="Arial" w:hAnsi="Arial" w:cs="Arial"/>
          <w:szCs w:val="22"/>
          <w:lang w:eastAsia="x-none"/>
        </w:rPr>
        <w:t xml:space="preserve"> (e.g. periods of loss and subsequent recovery)</w:t>
      </w:r>
      <w:r w:rsidR="00334C99" w:rsidRPr="00CB093C">
        <w:rPr>
          <w:rFonts w:ascii="Arial" w:hAnsi="Arial" w:cs="Arial"/>
          <w:szCs w:val="22"/>
          <w:lang w:eastAsia="x-none"/>
        </w:rPr>
        <w:t>.</w:t>
      </w:r>
      <w:r w:rsidRPr="00CB093C">
        <w:rPr>
          <w:rFonts w:ascii="Arial" w:hAnsi="Arial" w:cs="Arial"/>
          <w:szCs w:val="22"/>
          <w:lang w:eastAsia="x-none"/>
        </w:rPr>
        <w:t xml:space="preserve"> </w:t>
      </w:r>
      <w:r w:rsidR="00334C99" w:rsidRPr="00CB093C">
        <w:rPr>
          <w:rFonts w:ascii="Arial" w:hAnsi="Arial" w:cs="Arial"/>
          <w:szCs w:val="22"/>
        </w:rPr>
        <w:t>Increases between 2012 and 2016 placed the meadows on a pathway towards recovery. The long-term trend suggests that the losses observed in 2016</w:t>
      </w:r>
      <w:r w:rsidR="00461F1D" w:rsidRPr="00CB093C">
        <w:rPr>
          <w:rFonts w:ascii="Arial" w:hAnsi="Arial" w:cs="Arial"/>
          <w:szCs w:val="22"/>
        </w:rPr>
        <w:t>–20</w:t>
      </w:r>
      <w:r w:rsidR="00334C99" w:rsidRPr="00CB093C">
        <w:rPr>
          <w:rFonts w:ascii="Arial" w:hAnsi="Arial" w:cs="Arial"/>
          <w:szCs w:val="22"/>
        </w:rPr>
        <w:t xml:space="preserve">17 and </w:t>
      </w:r>
      <w:r w:rsidR="003654C6">
        <w:rPr>
          <w:rFonts w:ascii="Arial" w:hAnsi="Arial" w:cs="Arial"/>
          <w:szCs w:val="22"/>
        </w:rPr>
        <w:t>2017–18</w:t>
      </w:r>
      <w:r w:rsidR="00334C99" w:rsidRPr="00CB093C">
        <w:rPr>
          <w:rFonts w:ascii="Arial" w:hAnsi="Arial" w:cs="Arial"/>
          <w:szCs w:val="22"/>
        </w:rPr>
        <w:t xml:space="preserve"> may not be part of a declining trend </w:t>
      </w:r>
      <w:r w:rsidR="00334C99" w:rsidRPr="00CB093C">
        <w:rPr>
          <w:rFonts w:ascii="Arial" w:hAnsi="Arial" w:cs="Arial"/>
          <w:szCs w:val="22"/>
          <w:lang w:eastAsia="x-none"/>
        </w:rPr>
        <w:t>(</w:t>
      </w:r>
      <w:r w:rsidR="00334C99" w:rsidRPr="00CB093C">
        <w:rPr>
          <w:rFonts w:ascii="Arial" w:hAnsi="Arial" w:cs="Arial"/>
          <w:szCs w:val="22"/>
          <w:lang w:eastAsia="x-none"/>
        </w:rPr>
        <w:fldChar w:fldCharType="begin"/>
      </w:r>
      <w:r w:rsidR="00334C99" w:rsidRPr="00CB093C">
        <w:rPr>
          <w:rFonts w:ascii="Arial" w:hAnsi="Arial" w:cs="Arial"/>
          <w:szCs w:val="22"/>
          <w:lang w:eastAsia="x-none"/>
        </w:rPr>
        <w:instrText xml:space="preserve"> REF _Ref511310045 \h </w:instrText>
      </w:r>
      <w:r w:rsidR="00CB093C" w:rsidRPr="00CB093C">
        <w:rPr>
          <w:rFonts w:ascii="Arial" w:hAnsi="Arial" w:cs="Arial"/>
          <w:szCs w:val="22"/>
          <w:lang w:eastAsia="x-none"/>
        </w:rPr>
        <w:instrText xml:space="preserve"> \* MERGEFORMAT </w:instrText>
      </w:r>
      <w:r w:rsidR="00334C99" w:rsidRPr="00CB093C">
        <w:rPr>
          <w:rFonts w:ascii="Arial" w:hAnsi="Arial" w:cs="Arial"/>
          <w:szCs w:val="22"/>
          <w:lang w:eastAsia="x-none"/>
        </w:rPr>
      </w:r>
      <w:r w:rsidR="00334C99" w:rsidRPr="00CB093C">
        <w:rPr>
          <w:rFonts w:ascii="Arial" w:hAnsi="Arial" w:cs="Arial"/>
          <w:szCs w:val="22"/>
          <w:lang w:eastAsia="x-none"/>
        </w:rPr>
        <w:fldChar w:fldCharType="separate"/>
      </w:r>
      <w:r w:rsidR="005F00D4" w:rsidRPr="00CB093C">
        <w:rPr>
          <w:rFonts w:ascii="Arial" w:hAnsi="Arial" w:cs="Arial"/>
          <w:szCs w:val="22"/>
        </w:rPr>
        <w:t xml:space="preserve">Table </w:t>
      </w:r>
      <w:r w:rsidR="005F00D4">
        <w:rPr>
          <w:rFonts w:ascii="Arial" w:hAnsi="Arial" w:cs="Arial"/>
          <w:noProof/>
          <w:szCs w:val="22"/>
        </w:rPr>
        <w:t>23</w:t>
      </w:r>
      <w:r w:rsidR="00334C99" w:rsidRPr="00CB093C">
        <w:rPr>
          <w:rFonts w:ascii="Arial" w:hAnsi="Arial" w:cs="Arial"/>
          <w:szCs w:val="22"/>
          <w:lang w:eastAsia="x-none"/>
        </w:rPr>
        <w:fldChar w:fldCharType="end"/>
      </w:r>
      <w:r w:rsidR="00334C99" w:rsidRPr="00CB093C">
        <w:rPr>
          <w:rFonts w:ascii="Arial" w:hAnsi="Arial" w:cs="Arial"/>
          <w:szCs w:val="22"/>
          <w:lang w:eastAsia="x-none"/>
        </w:rPr>
        <w:t>)</w:t>
      </w:r>
      <w:r w:rsidR="00334C99" w:rsidRPr="00CB093C">
        <w:rPr>
          <w:rFonts w:ascii="Arial" w:hAnsi="Arial" w:cs="Arial"/>
          <w:szCs w:val="22"/>
        </w:rPr>
        <w:t xml:space="preserve">, despite reduction in the abundance score. </w:t>
      </w:r>
    </w:p>
    <w:p w14:paraId="496F7A9A" w14:textId="6006FF45" w:rsidR="005173D2" w:rsidRPr="00CB093C" w:rsidRDefault="009D6E29" w:rsidP="00B24600">
      <w:pPr>
        <w:rPr>
          <w:rFonts w:ascii="Arial" w:hAnsi="Arial" w:cs="Arial"/>
          <w:szCs w:val="22"/>
        </w:rPr>
      </w:pPr>
      <w:r w:rsidRPr="00CB093C">
        <w:rPr>
          <w:rFonts w:ascii="Arial" w:hAnsi="Arial" w:cs="Arial"/>
          <w:szCs w:val="22"/>
          <w:lang w:eastAsia="x-none"/>
        </w:rPr>
        <w:t>Similarly, a</w:t>
      </w:r>
      <w:r w:rsidRPr="00CB093C">
        <w:rPr>
          <w:rFonts w:ascii="Arial" w:hAnsi="Arial" w:cs="Arial"/>
          <w:szCs w:val="22"/>
        </w:rPr>
        <w:t xml:space="preserve">n examination of the long term trends across the Burnett Mary region using GAM plots suggests </w:t>
      </w:r>
      <w:r w:rsidRPr="00CB093C">
        <w:rPr>
          <w:rFonts w:ascii="Arial" w:hAnsi="Arial" w:cs="Arial"/>
          <w:szCs w:val="22"/>
          <w:lang w:eastAsia="x-none"/>
        </w:rPr>
        <w:t xml:space="preserve">tissue nutrient elemental C:N </w:t>
      </w:r>
      <w:r w:rsidRPr="00CB093C">
        <w:rPr>
          <w:rFonts w:ascii="Arial" w:hAnsi="Arial" w:cs="Arial"/>
          <w:szCs w:val="22"/>
        </w:rPr>
        <w:t xml:space="preserve">has no discernible trend since 2005 </w:t>
      </w:r>
      <w:r w:rsidRPr="00CB093C">
        <w:rPr>
          <w:rFonts w:ascii="Arial" w:hAnsi="Arial" w:cs="Arial"/>
          <w:szCs w:val="22"/>
          <w:lang w:val="en-GB"/>
        </w:rPr>
        <w:t>(</w:t>
      </w:r>
      <w:r w:rsidR="00334C99" w:rsidRPr="00CB093C">
        <w:rPr>
          <w:rFonts w:ascii="Arial" w:hAnsi="Arial" w:cs="Arial"/>
          <w:szCs w:val="22"/>
          <w:lang w:val="en-GB"/>
        </w:rPr>
        <w:fldChar w:fldCharType="begin"/>
      </w:r>
      <w:r w:rsidR="00334C99" w:rsidRPr="00CB093C">
        <w:rPr>
          <w:rFonts w:ascii="Arial" w:hAnsi="Arial" w:cs="Arial"/>
          <w:szCs w:val="22"/>
          <w:lang w:val="en-GB"/>
        </w:rPr>
        <w:instrText xml:space="preserve"> REF _Ref442449961 \h </w:instrText>
      </w:r>
      <w:r w:rsidR="00CB093C" w:rsidRPr="00CB093C">
        <w:rPr>
          <w:rFonts w:ascii="Arial" w:hAnsi="Arial" w:cs="Arial"/>
          <w:szCs w:val="22"/>
          <w:lang w:val="en-GB"/>
        </w:rPr>
        <w:instrText xml:space="preserve"> \* MERGEFORMAT </w:instrText>
      </w:r>
      <w:r w:rsidR="00334C99" w:rsidRPr="00CB093C">
        <w:rPr>
          <w:rFonts w:ascii="Arial" w:hAnsi="Arial" w:cs="Arial"/>
          <w:szCs w:val="22"/>
          <w:lang w:val="en-GB"/>
        </w:rPr>
      </w:r>
      <w:r w:rsidR="00334C99"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81</w:t>
      </w:r>
      <w:r w:rsidR="00334C99" w:rsidRPr="00CB093C">
        <w:rPr>
          <w:rFonts w:ascii="Arial" w:hAnsi="Arial" w:cs="Arial"/>
          <w:szCs w:val="22"/>
          <w:lang w:val="en-GB"/>
        </w:rPr>
        <w:fldChar w:fldCharType="end"/>
      </w:r>
      <w:r w:rsidRPr="00CB093C">
        <w:rPr>
          <w:rFonts w:ascii="Arial" w:hAnsi="Arial" w:cs="Arial"/>
          <w:szCs w:val="22"/>
          <w:lang w:val="en-GB"/>
        </w:rPr>
        <w:t>)</w:t>
      </w:r>
      <w:r w:rsidRPr="00CB093C">
        <w:rPr>
          <w:rFonts w:ascii="Arial" w:hAnsi="Arial" w:cs="Arial"/>
          <w:szCs w:val="22"/>
        </w:rPr>
        <w:t xml:space="preserve">. </w:t>
      </w:r>
    </w:p>
    <w:p w14:paraId="2F3DFE97" w14:textId="077BE525" w:rsidR="009D6E29" w:rsidRPr="00CB093C" w:rsidRDefault="009D6E29" w:rsidP="00B24600">
      <w:pPr>
        <w:rPr>
          <w:rFonts w:ascii="Arial" w:hAnsi="Arial" w:cs="Arial"/>
          <w:szCs w:val="22"/>
          <w:lang w:eastAsia="x-none"/>
        </w:rPr>
      </w:pPr>
      <w:r w:rsidRPr="00CB093C">
        <w:rPr>
          <w:rFonts w:ascii="Arial" w:hAnsi="Arial" w:cs="Arial"/>
          <w:szCs w:val="22"/>
        </w:rPr>
        <w:t xml:space="preserve">Reproductive effort, however, appears generally low with occasional increases </w:t>
      </w:r>
      <w:r w:rsidR="00334C99" w:rsidRPr="00CB093C">
        <w:rPr>
          <w:rFonts w:ascii="Arial" w:hAnsi="Arial" w:cs="Arial"/>
          <w:szCs w:val="22"/>
        </w:rPr>
        <w:t>in the number of reproductive structures corresponding to increased</w:t>
      </w:r>
      <w:r w:rsidRPr="00CB093C">
        <w:rPr>
          <w:rFonts w:ascii="Arial" w:hAnsi="Arial" w:cs="Arial"/>
          <w:szCs w:val="22"/>
        </w:rPr>
        <w:t xml:space="preserve"> seagrass abundance (</w:t>
      </w:r>
      <w:r w:rsidR="00334C99" w:rsidRPr="00CB093C">
        <w:rPr>
          <w:rFonts w:ascii="Arial" w:hAnsi="Arial" w:cs="Arial"/>
          <w:szCs w:val="22"/>
          <w:lang w:val="en-GB"/>
        </w:rPr>
        <w:fldChar w:fldCharType="begin"/>
      </w:r>
      <w:r w:rsidR="00334C99" w:rsidRPr="00CB093C">
        <w:rPr>
          <w:rFonts w:ascii="Arial" w:hAnsi="Arial" w:cs="Arial"/>
          <w:szCs w:val="22"/>
          <w:lang w:val="en-GB"/>
        </w:rPr>
        <w:instrText xml:space="preserve"> REF _Ref442449961 \h </w:instrText>
      </w:r>
      <w:r w:rsidR="00CB093C" w:rsidRPr="00CB093C">
        <w:rPr>
          <w:rFonts w:ascii="Arial" w:hAnsi="Arial" w:cs="Arial"/>
          <w:szCs w:val="22"/>
          <w:lang w:val="en-GB"/>
        </w:rPr>
        <w:instrText xml:space="preserve"> \* MERGEFORMAT </w:instrText>
      </w:r>
      <w:r w:rsidR="00334C99" w:rsidRPr="00CB093C">
        <w:rPr>
          <w:rFonts w:ascii="Arial" w:hAnsi="Arial" w:cs="Arial"/>
          <w:szCs w:val="22"/>
          <w:lang w:val="en-GB"/>
        </w:rPr>
      </w:r>
      <w:r w:rsidR="00334C99"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81</w:t>
      </w:r>
      <w:r w:rsidR="00334C99" w:rsidRPr="00CB093C">
        <w:rPr>
          <w:rFonts w:ascii="Arial" w:hAnsi="Arial" w:cs="Arial"/>
          <w:szCs w:val="22"/>
          <w:lang w:val="en-GB"/>
        </w:rPr>
        <w:fldChar w:fldCharType="end"/>
      </w:r>
      <w:r w:rsidRPr="00CB093C">
        <w:rPr>
          <w:rFonts w:ascii="Arial" w:hAnsi="Arial" w:cs="Arial"/>
          <w:szCs w:val="22"/>
        </w:rPr>
        <w:t>)</w:t>
      </w:r>
      <w:r w:rsidR="00334C99" w:rsidRPr="00CB093C">
        <w:rPr>
          <w:rFonts w:ascii="Arial" w:hAnsi="Arial" w:cs="Arial"/>
          <w:szCs w:val="22"/>
        </w:rPr>
        <w:t>.</w:t>
      </w:r>
    </w:p>
    <w:p w14:paraId="4B0232C3" w14:textId="2EC65CD1" w:rsidR="00364338" w:rsidRPr="00CB093C" w:rsidRDefault="00364338" w:rsidP="00364338">
      <w:pPr>
        <w:rPr>
          <w:rFonts w:ascii="Arial" w:hAnsi="Arial" w:cs="Arial"/>
          <w:szCs w:val="22"/>
        </w:rPr>
      </w:pPr>
    </w:p>
    <w:p w14:paraId="43FED2C9" w14:textId="77777777" w:rsidR="001A5B38" w:rsidRPr="00CB093C" w:rsidRDefault="005B1EEC" w:rsidP="00DD3BAE">
      <w:pPr>
        <w:keepNext/>
        <w:widowControl w:val="0"/>
        <w:spacing w:after="0"/>
        <w:jc w:val="center"/>
        <w:rPr>
          <w:rFonts w:ascii="Arial" w:hAnsi="Arial" w:cs="Arial"/>
          <w:szCs w:val="22"/>
        </w:rPr>
      </w:pPr>
      <w:r w:rsidRPr="00CB093C">
        <w:rPr>
          <w:rFonts w:ascii="Arial" w:hAnsi="Arial" w:cs="Arial"/>
          <w:noProof/>
          <w:szCs w:val="22"/>
          <w:lang w:val="en-US"/>
        </w:rPr>
        <w:drawing>
          <wp:inline distT="0" distB="0" distL="0" distR="0" wp14:anchorId="242472AD" wp14:editId="07FECBF1">
            <wp:extent cx="5090394" cy="4795541"/>
            <wp:effectExtent l="0" t="0" r="0" b="5080"/>
            <wp:docPr id="518" name="Picture 518" descr="Composite figure of four graphs showing temporal trends in the Burnett Mary NRM region seagrass condition index and each of the individual indicators used to calculate the index, represented by GAM plots and coloured lines representing location trends, with coloured dots representing individu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 name="BM_cvr_GAM_Dec16.png"/>
                    <pic:cNvPicPr/>
                  </pic:nvPicPr>
                  <pic:blipFill>
                    <a:blip r:embed="rId124">
                      <a:extLst>
                        <a:ext uri="{28A0092B-C50C-407E-A947-70E740481C1C}">
                          <a14:useLocalDpi xmlns:a14="http://schemas.microsoft.com/office/drawing/2010/main" val="0"/>
                        </a:ext>
                      </a:extLst>
                    </a:blip>
                    <a:stretch>
                      <a:fillRect/>
                    </a:stretch>
                  </pic:blipFill>
                  <pic:spPr>
                    <a:xfrm>
                      <a:off x="0" y="0"/>
                      <a:ext cx="5090394" cy="4795541"/>
                    </a:xfrm>
                    <a:prstGeom prst="rect">
                      <a:avLst/>
                    </a:prstGeom>
                  </pic:spPr>
                </pic:pic>
              </a:graphicData>
            </a:graphic>
          </wp:inline>
        </w:drawing>
      </w:r>
    </w:p>
    <w:p w14:paraId="7D24065A" w14:textId="05401B72" w:rsidR="00076C1A" w:rsidRPr="00CB093C" w:rsidRDefault="001A5B38" w:rsidP="00076C1A">
      <w:pPr>
        <w:rPr>
          <w:rFonts w:ascii="Arial" w:hAnsi="Arial" w:cs="Arial"/>
          <w:vanish/>
          <w:color w:val="000000"/>
          <w:szCs w:val="22"/>
          <w:specVanish/>
        </w:rPr>
      </w:pPr>
      <w:bookmarkStart w:id="515" w:name="_Ref442449961"/>
      <w:bookmarkStart w:id="516" w:name="_Toc6402846"/>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81</w:t>
      </w:r>
      <w:r w:rsidR="00C506C7" w:rsidRPr="00CB093C">
        <w:rPr>
          <w:rFonts w:ascii="Arial" w:hAnsi="Arial" w:cs="Arial"/>
          <w:noProof/>
          <w:szCs w:val="22"/>
        </w:rPr>
        <w:fldChar w:fldCharType="end"/>
      </w:r>
      <w:bookmarkEnd w:id="515"/>
      <w:r w:rsidRPr="00CB093C">
        <w:rPr>
          <w:rFonts w:ascii="Arial" w:hAnsi="Arial" w:cs="Arial"/>
          <w:szCs w:val="22"/>
        </w:rPr>
        <w:t xml:space="preserve">.  </w:t>
      </w:r>
      <w:r w:rsidR="00076C1A" w:rsidRPr="00CB093C">
        <w:rPr>
          <w:rFonts w:ascii="Arial" w:hAnsi="Arial" w:cs="Arial"/>
          <w:i/>
          <w:szCs w:val="22"/>
        </w:rPr>
        <w:t>Temporal trends in the Burnett Mary seagrass condition index and the indicators used to calculate the index</w:t>
      </w:r>
      <w:bookmarkEnd w:id="516"/>
    </w:p>
    <w:p w14:paraId="430C354F" w14:textId="1696C00A" w:rsidR="005B1EEC" w:rsidRPr="00CB093C" w:rsidRDefault="00076C1A" w:rsidP="00076C1A">
      <w:pPr>
        <w:rPr>
          <w:rFonts w:ascii="Arial" w:hAnsi="Arial" w:cs="Arial"/>
          <w:noProof/>
          <w:szCs w:val="22"/>
          <w:lang w:eastAsia="en-AU"/>
        </w:rPr>
      </w:pPr>
      <w:r w:rsidRPr="00CB093C">
        <w:rPr>
          <w:rFonts w:ascii="Arial" w:hAnsi="Arial" w:cs="Arial"/>
          <w:i/>
          <w:szCs w:val="22"/>
        </w:rPr>
        <w:t>: a. seagrass condition index (circles) and indicator trends (lines); b. GAM plots of seagrass abundance (</w:t>
      </w:r>
      <w:r w:rsidR="00882B72" w:rsidRPr="00CB093C">
        <w:rPr>
          <w:rFonts w:ascii="Arial" w:hAnsi="Arial" w:cs="Arial"/>
          <w:i/>
          <w:szCs w:val="22"/>
        </w:rPr>
        <w:t>%</w:t>
      </w:r>
      <w:r w:rsidRPr="00CB093C">
        <w:rPr>
          <w:rFonts w:ascii="Arial" w:hAnsi="Arial" w:cs="Arial"/>
          <w:i/>
          <w:szCs w:val="22"/>
        </w:rPr>
        <w:t xml:space="preserve"> cover) trends for each location (coloured lines) and the region (black line with grey shaded area defining 95% confidence intervals); c. average number of reproductive structures (±SE) (GAM not possible due to high count of zero values); and d. elemental ratios (atomic) of leaf tissue C:N nutrient content at each site (coloured circles) and regional trend represented by a GAM plot as dark line with shaded areas defining 95% confidence intervals of the trend</w:t>
      </w:r>
      <w:r w:rsidR="00FA5182" w:rsidRPr="00CB093C">
        <w:rPr>
          <w:rFonts w:ascii="Arial" w:hAnsi="Arial" w:cs="Arial"/>
          <w:i/>
          <w:szCs w:val="22"/>
        </w:rPr>
        <w:t>.</w:t>
      </w:r>
    </w:p>
    <w:p w14:paraId="4D7A1C57" w14:textId="609E0687" w:rsidR="004B1AB9" w:rsidRPr="00CB093C" w:rsidRDefault="004B1AB9" w:rsidP="00DD3BAE">
      <w:pPr>
        <w:rPr>
          <w:rFonts w:ascii="Arial" w:hAnsi="Arial" w:cs="Arial"/>
          <w:iCs/>
          <w:color w:val="000000" w:themeColor="text1"/>
          <w:szCs w:val="22"/>
        </w:rPr>
      </w:pPr>
    </w:p>
    <w:p w14:paraId="58857C3F" w14:textId="7CA933C3" w:rsidR="00364338" w:rsidRPr="00CB093C" w:rsidRDefault="00364338" w:rsidP="000F3AC4">
      <w:pPr>
        <w:pStyle w:val="Heading3"/>
        <w:numPr>
          <w:ilvl w:val="3"/>
          <w:numId w:val="4"/>
        </w:numPr>
        <w:rPr>
          <w:rFonts w:ascii="Arial" w:hAnsi="Arial" w:cs="Arial"/>
          <w:b w:val="0"/>
          <w:i/>
          <w:color w:val="000000"/>
          <w:sz w:val="22"/>
          <w:szCs w:val="22"/>
        </w:rPr>
      </w:pPr>
      <w:bookmarkStart w:id="517" w:name="_Toc11394774"/>
      <w:r w:rsidRPr="00CB093C">
        <w:rPr>
          <w:rFonts w:ascii="Arial" w:hAnsi="Arial" w:cs="Arial"/>
          <w:b w:val="0"/>
          <w:i/>
          <w:color w:val="000000"/>
          <w:sz w:val="22"/>
          <w:szCs w:val="22"/>
        </w:rPr>
        <w:t xml:space="preserve">Seagrass abundance, </w:t>
      </w:r>
      <w:r w:rsidR="00334C99" w:rsidRPr="00CB093C">
        <w:rPr>
          <w:rFonts w:ascii="Arial" w:hAnsi="Arial" w:cs="Arial"/>
          <w:b w:val="0"/>
          <w:i/>
          <w:color w:val="000000"/>
          <w:sz w:val="22"/>
          <w:szCs w:val="22"/>
        </w:rPr>
        <w:t>composition</w:t>
      </w:r>
      <w:r w:rsidRPr="00CB093C">
        <w:rPr>
          <w:rFonts w:ascii="Arial" w:hAnsi="Arial" w:cs="Arial"/>
          <w:b w:val="0"/>
          <w:i/>
          <w:color w:val="000000"/>
          <w:sz w:val="22"/>
          <w:szCs w:val="22"/>
        </w:rPr>
        <w:t xml:space="preserve"> and extent</w:t>
      </w:r>
      <w:bookmarkEnd w:id="517"/>
    </w:p>
    <w:p w14:paraId="448A778F" w14:textId="5F8757FB" w:rsidR="00B835D4" w:rsidRPr="00CB093C" w:rsidRDefault="00084779" w:rsidP="00364338">
      <w:pPr>
        <w:rPr>
          <w:rFonts w:ascii="Arial" w:hAnsi="Arial" w:cs="Arial"/>
          <w:szCs w:val="22"/>
        </w:rPr>
      </w:pPr>
      <w:r w:rsidRPr="00CB093C">
        <w:rPr>
          <w:rFonts w:ascii="Arial" w:hAnsi="Arial" w:cs="Arial"/>
          <w:szCs w:val="22"/>
          <w:lang w:val="en-GB"/>
        </w:rPr>
        <w:t>Seagrass abundances (</w:t>
      </w:r>
      <w:r w:rsidR="00882B72" w:rsidRPr="00CB093C">
        <w:rPr>
          <w:rFonts w:ascii="Arial" w:hAnsi="Arial" w:cs="Arial"/>
          <w:szCs w:val="22"/>
          <w:lang w:val="en-GB"/>
        </w:rPr>
        <w:t>%</w:t>
      </w:r>
      <w:r w:rsidRPr="00CB093C">
        <w:rPr>
          <w:rFonts w:ascii="Arial" w:hAnsi="Arial" w:cs="Arial"/>
          <w:szCs w:val="22"/>
          <w:lang w:val="en-GB"/>
        </w:rPr>
        <w:t xml:space="preserve"> cover) in the </w:t>
      </w:r>
      <w:r w:rsidR="00DD5C21" w:rsidRPr="00CB093C">
        <w:rPr>
          <w:rFonts w:ascii="Arial" w:hAnsi="Arial" w:cs="Arial"/>
          <w:szCs w:val="22"/>
          <w:lang w:val="en-GB"/>
        </w:rPr>
        <w:t xml:space="preserve">Burnett </w:t>
      </w:r>
      <w:r w:rsidR="007A70FE" w:rsidRPr="00CB093C">
        <w:rPr>
          <w:rFonts w:ascii="Arial" w:hAnsi="Arial" w:cs="Arial"/>
          <w:szCs w:val="22"/>
          <w:lang w:val="en-GB"/>
        </w:rPr>
        <w:t>Mary</w:t>
      </w:r>
      <w:r w:rsidRPr="00CB093C">
        <w:rPr>
          <w:rFonts w:ascii="Arial" w:hAnsi="Arial" w:cs="Arial"/>
          <w:szCs w:val="22"/>
          <w:lang w:val="en-GB"/>
        </w:rPr>
        <w:t xml:space="preserve"> region were </w:t>
      </w:r>
      <w:r w:rsidR="00DD5C21" w:rsidRPr="00CB093C">
        <w:rPr>
          <w:rFonts w:ascii="Arial" w:hAnsi="Arial" w:cs="Arial"/>
          <w:szCs w:val="22"/>
          <w:lang w:val="en-GB"/>
        </w:rPr>
        <w:t xml:space="preserve">similar across habitats </w:t>
      </w:r>
      <w:r w:rsidR="00DD5C21" w:rsidRPr="00CB093C">
        <w:rPr>
          <w:rFonts w:ascii="Arial" w:hAnsi="Arial" w:cs="Arial"/>
          <w:szCs w:val="22"/>
        </w:rPr>
        <w:t>coastal = 9.4</w:t>
      </w:r>
      <w:r w:rsidR="00DD5C21" w:rsidRPr="00CB093C">
        <w:rPr>
          <w:rFonts w:ascii="Arial" w:hAnsi="Arial" w:cs="Arial"/>
          <w:szCs w:val="22"/>
          <w:lang w:val="en-GB"/>
        </w:rPr>
        <w:t xml:space="preserve"> ±</w:t>
      </w:r>
      <w:r w:rsidR="00DD5C21" w:rsidRPr="00CB093C">
        <w:rPr>
          <w:rFonts w:ascii="Arial" w:hAnsi="Arial" w:cs="Arial"/>
          <w:szCs w:val="22"/>
        </w:rPr>
        <w:t>0.9%, estuarine = 10.2</w:t>
      </w:r>
      <w:r w:rsidR="00DD5C21" w:rsidRPr="00CB093C">
        <w:rPr>
          <w:rFonts w:ascii="Arial" w:hAnsi="Arial" w:cs="Arial"/>
          <w:szCs w:val="22"/>
          <w:lang w:val="en-GB"/>
        </w:rPr>
        <w:t xml:space="preserve"> ±</w:t>
      </w:r>
      <w:r w:rsidR="00DD5C21" w:rsidRPr="00CB093C">
        <w:rPr>
          <w:rFonts w:ascii="Arial" w:hAnsi="Arial" w:cs="Arial"/>
          <w:szCs w:val="22"/>
        </w:rPr>
        <w:t>1.5%</w:t>
      </w:r>
      <w:r w:rsidRPr="00CB093C">
        <w:rPr>
          <w:rFonts w:ascii="Arial" w:hAnsi="Arial" w:cs="Arial"/>
          <w:szCs w:val="22"/>
          <w:lang w:val="en-GB"/>
        </w:rPr>
        <w:t>)</w:t>
      </w:r>
      <w:r w:rsidR="00DD5C21" w:rsidRPr="00CB093C">
        <w:rPr>
          <w:rFonts w:ascii="Arial" w:hAnsi="Arial" w:cs="Arial"/>
          <w:szCs w:val="22"/>
          <w:lang w:val="en-GB"/>
        </w:rPr>
        <w:t>, however</w:t>
      </w:r>
      <w:r w:rsidRPr="00CB093C">
        <w:rPr>
          <w:rFonts w:ascii="Arial" w:hAnsi="Arial" w:cs="Arial"/>
          <w:szCs w:val="22"/>
          <w:lang w:val="en-GB"/>
        </w:rPr>
        <w:t xml:space="preserve"> estuarine </w:t>
      </w:r>
      <w:r w:rsidR="00DD5C21" w:rsidRPr="00CB093C">
        <w:rPr>
          <w:rFonts w:ascii="Arial" w:hAnsi="Arial" w:cs="Arial"/>
          <w:szCs w:val="22"/>
          <w:lang w:val="en-GB"/>
        </w:rPr>
        <w:t>abundances</w:t>
      </w:r>
      <w:r w:rsidRPr="00CB093C">
        <w:rPr>
          <w:rFonts w:ascii="Arial" w:hAnsi="Arial" w:cs="Arial"/>
          <w:szCs w:val="22"/>
          <w:lang w:val="en-GB"/>
        </w:rPr>
        <w:t xml:space="preserve"> were higher in the dry than the wet season (</w:t>
      </w:r>
      <w:r w:rsidR="00DD5C21" w:rsidRPr="00CB093C">
        <w:rPr>
          <w:rFonts w:ascii="Arial" w:hAnsi="Arial" w:cs="Arial"/>
          <w:szCs w:val="22"/>
        </w:rPr>
        <w:t>dry = 13.7</w:t>
      </w:r>
      <w:r w:rsidR="00DD5C21" w:rsidRPr="00CB093C">
        <w:rPr>
          <w:rFonts w:ascii="Arial" w:hAnsi="Arial" w:cs="Arial"/>
          <w:szCs w:val="22"/>
          <w:lang w:val="en-GB"/>
        </w:rPr>
        <w:t xml:space="preserve"> ±</w:t>
      </w:r>
      <w:r w:rsidR="00DD5C21" w:rsidRPr="00CB093C">
        <w:rPr>
          <w:rFonts w:ascii="Arial" w:hAnsi="Arial" w:cs="Arial"/>
          <w:szCs w:val="22"/>
        </w:rPr>
        <w:t>1.8%, wet = 5.9</w:t>
      </w:r>
      <w:r w:rsidR="00DD5C21" w:rsidRPr="00CB093C">
        <w:rPr>
          <w:rFonts w:ascii="Arial" w:hAnsi="Arial" w:cs="Arial"/>
          <w:szCs w:val="22"/>
          <w:lang w:val="en-GB"/>
        </w:rPr>
        <w:t xml:space="preserve"> ±</w:t>
      </w:r>
      <w:r w:rsidR="00DD5C21" w:rsidRPr="00CB093C">
        <w:rPr>
          <w:rFonts w:ascii="Arial" w:hAnsi="Arial" w:cs="Arial"/>
          <w:szCs w:val="22"/>
        </w:rPr>
        <w:t>1.0%</w:t>
      </w:r>
      <w:r w:rsidRPr="00CB093C">
        <w:rPr>
          <w:rFonts w:ascii="Arial" w:hAnsi="Arial" w:cs="Arial"/>
          <w:szCs w:val="22"/>
          <w:lang w:val="en-GB"/>
        </w:rPr>
        <w:t>).</w:t>
      </w:r>
      <w:r w:rsidR="00B835D4" w:rsidRPr="00CB093C">
        <w:rPr>
          <w:rFonts w:ascii="Arial" w:hAnsi="Arial" w:cs="Arial"/>
          <w:szCs w:val="22"/>
          <w:lang w:val="en-GB"/>
        </w:rPr>
        <w:t xml:space="preserve"> </w:t>
      </w:r>
      <w:r w:rsidR="00B835D4" w:rsidRPr="00CB093C">
        <w:rPr>
          <w:rFonts w:ascii="Arial" w:hAnsi="Arial" w:cs="Arial"/>
          <w:szCs w:val="22"/>
        </w:rPr>
        <w:t xml:space="preserve">Just over 80% of monitoring sites </w:t>
      </w:r>
      <w:r w:rsidR="000C6C80" w:rsidRPr="00CB093C">
        <w:rPr>
          <w:rFonts w:ascii="Arial" w:hAnsi="Arial" w:cs="Arial"/>
          <w:szCs w:val="22"/>
        </w:rPr>
        <w:t xml:space="preserve">either </w:t>
      </w:r>
      <w:r w:rsidR="00B835D4" w:rsidRPr="00CB093C">
        <w:rPr>
          <w:rFonts w:ascii="Arial" w:hAnsi="Arial" w:cs="Arial"/>
          <w:szCs w:val="22"/>
        </w:rPr>
        <w:t xml:space="preserve">declined in abundance in </w:t>
      </w:r>
      <w:r w:rsidR="003654C6">
        <w:rPr>
          <w:rFonts w:ascii="Arial" w:hAnsi="Arial" w:cs="Arial"/>
          <w:szCs w:val="22"/>
        </w:rPr>
        <w:t>2017–18</w:t>
      </w:r>
      <w:r w:rsidR="00B835D4" w:rsidRPr="00CB093C">
        <w:rPr>
          <w:rFonts w:ascii="Arial" w:hAnsi="Arial" w:cs="Arial"/>
          <w:szCs w:val="22"/>
        </w:rPr>
        <w:t xml:space="preserve"> relative to the previous period, </w:t>
      </w:r>
      <w:r w:rsidR="000C6C80" w:rsidRPr="00CB093C">
        <w:rPr>
          <w:rFonts w:ascii="Arial" w:hAnsi="Arial" w:cs="Arial"/>
          <w:szCs w:val="22"/>
        </w:rPr>
        <w:t xml:space="preserve">or seagrass remained absent. All estuarine meadows in both Rodds Bay and Urangan declined in </w:t>
      </w:r>
      <w:r w:rsidR="003654C6">
        <w:rPr>
          <w:rFonts w:ascii="Arial" w:hAnsi="Arial" w:cs="Arial"/>
          <w:szCs w:val="22"/>
        </w:rPr>
        <w:t>2017–18</w:t>
      </w:r>
      <w:r w:rsidR="000C6C80" w:rsidRPr="00CB093C">
        <w:rPr>
          <w:rFonts w:ascii="Arial" w:hAnsi="Arial" w:cs="Arial"/>
          <w:szCs w:val="22"/>
        </w:rPr>
        <w:t>, with the greatest losses occurring</w:t>
      </w:r>
      <w:r w:rsidR="00A72A98" w:rsidRPr="00CB093C">
        <w:rPr>
          <w:rFonts w:ascii="Arial" w:hAnsi="Arial" w:cs="Arial"/>
          <w:szCs w:val="22"/>
        </w:rPr>
        <w:t xml:space="preserve"> in Rodds Bay</w:t>
      </w:r>
      <w:r w:rsidR="00B835D4" w:rsidRPr="00CB093C">
        <w:rPr>
          <w:rFonts w:ascii="Arial" w:hAnsi="Arial" w:cs="Arial"/>
          <w:szCs w:val="22"/>
        </w:rPr>
        <w:t xml:space="preserve">. </w:t>
      </w:r>
      <w:r w:rsidR="000C6C80" w:rsidRPr="00CB093C">
        <w:rPr>
          <w:rFonts w:ascii="Arial" w:hAnsi="Arial" w:cs="Arial"/>
          <w:szCs w:val="22"/>
        </w:rPr>
        <w:t>By comparison, only one of the coastal meadows declined, also in the late wet season 2018.</w:t>
      </w:r>
    </w:p>
    <w:p w14:paraId="280C1B68" w14:textId="37125F36" w:rsidR="00364338" w:rsidRPr="00CB093C" w:rsidRDefault="00364338" w:rsidP="00461F1D">
      <w:pPr>
        <w:rPr>
          <w:rFonts w:ascii="Arial" w:hAnsi="Arial" w:cs="Arial"/>
          <w:iCs/>
          <w:color w:val="000000" w:themeColor="text1"/>
          <w:szCs w:val="22"/>
        </w:rPr>
      </w:pPr>
      <w:r w:rsidRPr="00CB093C">
        <w:rPr>
          <w:rFonts w:ascii="Arial" w:hAnsi="Arial" w:cs="Arial"/>
          <w:szCs w:val="22"/>
        </w:rPr>
        <w:t xml:space="preserve">Since monitoring was established, the estuarine meadows have come and gone on an irregular basis. </w:t>
      </w:r>
      <w:r w:rsidR="00B835D4" w:rsidRPr="00CB093C">
        <w:rPr>
          <w:rFonts w:ascii="Arial" w:hAnsi="Arial" w:cs="Arial"/>
          <w:szCs w:val="22"/>
        </w:rPr>
        <w:t xml:space="preserve">The only site to </w:t>
      </w:r>
      <w:r w:rsidR="007A70FE" w:rsidRPr="00CB093C">
        <w:rPr>
          <w:rFonts w:ascii="Arial" w:hAnsi="Arial" w:cs="Arial"/>
          <w:szCs w:val="22"/>
          <w:lang w:val="en-GB"/>
        </w:rPr>
        <w:t>significantly</w:t>
      </w:r>
      <w:r w:rsidR="00B835D4" w:rsidRPr="00CB093C">
        <w:rPr>
          <w:rFonts w:ascii="Arial" w:hAnsi="Arial" w:cs="Arial"/>
          <w:szCs w:val="22"/>
          <w:lang w:val="en-GB"/>
        </w:rPr>
        <w:t xml:space="preserve"> decline over the long-term, was in the north</w:t>
      </w:r>
      <w:r w:rsidR="000C6C80" w:rsidRPr="00CB093C">
        <w:rPr>
          <w:rFonts w:ascii="Arial" w:hAnsi="Arial" w:cs="Arial"/>
          <w:szCs w:val="22"/>
          <w:lang w:val="en-GB"/>
        </w:rPr>
        <w:t xml:space="preserve"> of the region</w:t>
      </w:r>
      <w:r w:rsidR="00B835D4" w:rsidRPr="00CB093C">
        <w:rPr>
          <w:rFonts w:ascii="Arial" w:hAnsi="Arial" w:cs="Arial"/>
          <w:szCs w:val="22"/>
          <w:lang w:val="en-GB"/>
        </w:rPr>
        <w:t xml:space="preserve"> in the Rodds Bay estuary (RD2). In the south, </w:t>
      </w:r>
      <w:r w:rsidR="0091038E" w:rsidRPr="00CB093C">
        <w:rPr>
          <w:rFonts w:ascii="Arial" w:hAnsi="Arial" w:cs="Arial"/>
          <w:szCs w:val="22"/>
          <w:lang w:val="en-GB"/>
        </w:rPr>
        <w:t xml:space="preserve">both </w:t>
      </w:r>
      <w:r w:rsidR="00B835D4" w:rsidRPr="00CB093C">
        <w:rPr>
          <w:rFonts w:ascii="Arial" w:hAnsi="Arial" w:cs="Arial"/>
          <w:szCs w:val="22"/>
          <w:lang w:val="en-GB"/>
        </w:rPr>
        <w:t xml:space="preserve">an estuary and a coastal site have significantly increased over the long-term, while no trend is apparent at the </w:t>
      </w:r>
      <w:r w:rsidR="007A70FE" w:rsidRPr="00CB093C">
        <w:rPr>
          <w:rFonts w:ascii="Arial" w:hAnsi="Arial" w:cs="Arial"/>
          <w:szCs w:val="22"/>
          <w:lang w:val="en-GB"/>
        </w:rPr>
        <w:t>remaining</w:t>
      </w:r>
      <w:r w:rsidR="00B835D4" w:rsidRPr="00CB093C">
        <w:rPr>
          <w:rFonts w:ascii="Arial" w:hAnsi="Arial" w:cs="Arial"/>
          <w:szCs w:val="22"/>
          <w:lang w:val="en-GB"/>
        </w:rPr>
        <w:t xml:space="preserve"> monitoring sites (</w:t>
      </w:r>
      <w:r w:rsidR="00B835D4" w:rsidRPr="00CB093C">
        <w:rPr>
          <w:rFonts w:ascii="Arial" w:hAnsi="Arial" w:cs="Arial"/>
          <w:szCs w:val="22"/>
          <w:lang w:val="en-GB"/>
        </w:rPr>
        <w:fldChar w:fldCharType="begin"/>
      </w:r>
      <w:r w:rsidR="00B835D4" w:rsidRPr="00CB093C">
        <w:rPr>
          <w:rFonts w:ascii="Arial" w:hAnsi="Arial" w:cs="Arial"/>
          <w:szCs w:val="22"/>
          <w:lang w:val="en-GB"/>
        </w:rPr>
        <w:instrText xml:space="preserve"> REF _Ref511310045 \h </w:instrText>
      </w:r>
      <w:r w:rsidR="00CB093C" w:rsidRPr="00CB093C">
        <w:rPr>
          <w:rFonts w:ascii="Arial" w:hAnsi="Arial" w:cs="Arial"/>
          <w:szCs w:val="22"/>
          <w:lang w:val="en-GB"/>
        </w:rPr>
        <w:instrText xml:space="preserve"> \* MERGEFORMAT </w:instrText>
      </w:r>
      <w:r w:rsidR="00B835D4" w:rsidRPr="00CB093C">
        <w:rPr>
          <w:rFonts w:ascii="Arial" w:hAnsi="Arial" w:cs="Arial"/>
          <w:szCs w:val="22"/>
          <w:lang w:val="en-GB"/>
        </w:rPr>
      </w:r>
      <w:r w:rsidR="00B835D4" w:rsidRPr="00CB093C">
        <w:rPr>
          <w:rFonts w:ascii="Arial" w:hAnsi="Arial" w:cs="Arial"/>
          <w:szCs w:val="22"/>
          <w:lang w:val="en-GB"/>
        </w:rPr>
        <w:fldChar w:fldCharType="separate"/>
      </w:r>
      <w:r w:rsidR="005F00D4" w:rsidRPr="00CB093C">
        <w:rPr>
          <w:rFonts w:ascii="Arial" w:hAnsi="Arial" w:cs="Arial"/>
          <w:szCs w:val="22"/>
        </w:rPr>
        <w:t xml:space="preserve">Table </w:t>
      </w:r>
      <w:r w:rsidR="005F00D4">
        <w:rPr>
          <w:rFonts w:ascii="Arial" w:hAnsi="Arial" w:cs="Arial"/>
          <w:noProof/>
          <w:szCs w:val="22"/>
        </w:rPr>
        <w:t>23</w:t>
      </w:r>
      <w:r w:rsidR="00B835D4" w:rsidRPr="00CB093C">
        <w:rPr>
          <w:rFonts w:ascii="Arial" w:hAnsi="Arial" w:cs="Arial"/>
          <w:szCs w:val="22"/>
          <w:lang w:val="en-GB"/>
        </w:rPr>
        <w:fldChar w:fldCharType="end"/>
      </w:r>
      <w:r w:rsidR="00B835D4" w:rsidRPr="00CB093C">
        <w:rPr>
          <w:rFonts w:ascii="Arial" w:hAnsi="Arial" w:cs="Arial"/>
          <w:szCs w:val="22"/>
          <w:lang w:val="en-GB"/>
        </w:rPr>
        <w:t>).</w:t>
      </w:r>
    </w:p>
    <w:p w14:paraId="3DFE06B7" w14:textId="26E3C0F7" w:rsidR="00B33F9B" w:rsidRPr="00CB093C" w:rsidRDefault="00B33F9B" w:rsidP="009439BF">
      <w:pPr>
        <w:jc w:val="center"/>
        <w:rPr>
          <w:rFonts w:ascii="Arial" w:hAnsi="Arial" w:cs="Arial"/>
          <w:color w:val="000000" w:themeColor="text1"/>
          <w:szCs w:val="22"/>
        </w:rPr>
      </w:pPr>
      <w:r w:rsidRPr="00CB093C">
        <w:rPr>
          <w:rFonts w:ascii="Arial" w:hAnsi="Arial" w:cs="Arial"/>
          <w:noProof/>
          <w:color w:val="000000" w:themeColor="text1"/>
          <w:szCs w:val="22"/>
          <w:lang w:val="en-US"/>
        </w:rPr>
        <w:drawing>
          <wp:inline distT="0" distB="0" distL="0" distR="0" wp14:anchorId="0A6E7FFA" wp14:editId="32F35BD0">
            <wp:extent cx="4107600" cy="3384000"/>
            <wp:effectExtent l="0" t="0" r="7620" b="6985"/>
            <wp:docPr id="524" name="Picture 524" descr="Panel of four graphs, displayed in two by two matrix, showing seagrass percent cover measures per quadrat (sites pooled) for each habitat monitored from 1999 to 2018 in the Burnett Mary NRM region. Top row displays the data as box plots and the bottom row as trends in seagrass abundance represented by a GAM plot and coloured lines representing individual site tre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 name="per MMP_period boxplot_BM_perHab_newformat-01.png"/>
                    <pic:cNvPicPr/>
                  </pic:nvPicPr>
                  <pic:blipFill>
                    <a:blip r:embed="rId125">
                      <a:extLst>
                        <a:ext uri="{28A0092B-C50C-407E-A947-70E740481C1C}">
                          <a14:useLocalDpi xmlns:a14="http://schemas.microsoft.com/office/drawing/2010/main" val="0"/>
                        </a:ext>
                      </a:extLst>
                    </a:blip>
                    <a:stretch>
                      <a:fillRect/>
                    </a:stretch>
                  </pic:blipFill>
                  <pic:spPr>
                    <a:xfrm>
                      <a:off x="0" y="0"/>
                      <a:ext cx="4107600" cy="3384000"/>
                    </a:xfrm>
                    <a:prstGeom prst="rect">
                      <a:avLst/>
                    </a:prstGeom>
                  </pic:spPr>
                </pic:pic>
              </a:graphicData>
            </a:graphic>
          </wp:inline>
        </w:drawing>
      </w:r>
    </w:p>
    <w:p w14:paraId="41CDE13B" w14:textId="09F72DEF" w:rsidR="00A355AB" w:rsidRPr="00CB093C" w:rsidRDefault="0091038E" w:rsidP="00A355AB">
      <w:pPr>
        <w:rPr>
          <w:rFonts w:ascii="Arial" w:hAnsi="Arial" w:cs="Arial"/>
          <w:i/>
          <w:vanish/>
          <w:szCs w:val="22"/>
          <w:specVanish/>
        </w:rPr>
      </w:pPr>
      <w:bookmarkStart w:id="518" w:name="_Toc6402847"/>
      <w:r w:rsidRPr="00CB093C">
        <w:rPr>
          <w:rFonts w:ascii="Arial" w:hAnsi="Arial" w:cs="Arial"/>
          <w:szCs w:val="22"/>
        </w:rPr>
        <w:t xml:space="preserve">Figure </w:t>
      </w:r>
      <w:r w:rsidR="0089405C" w:rsidRPr="00CB093C">
        <w:rPr>
          <w:rFonts w:ascii="Arial" w:hAnsi="Arial" w:cs="Arial"/>
          <w:noProof/>
          <w:szCs w:val="22"/>
        </w:rPr>
        <w:fldChar w:fldCharType="begin"/>
      </w:r>
      <w:r w:rsidR="0089405C" w:rsidRPr="00CB093C">
        <w:rPr>
          <w:rFonts w:ascii="Arial" w:hAnsi="Arial" w:cs="Arial"/>
          <w:noProof/>
          <w:szCs w:val="22"/>
        </w:rPr>
        <w:instrText xml:space="preserve"> SEQ Figure \* ARABIC </w:instrText>
      </w:r>
      <w:r w:rsidR="0089405C" w:rsidRPr="00CB093C">
        <w:rPr>
          <w:rFonts w:ascii="Arial" w:hAnsi="Arial" w:cs="Arial"/>
          <w:noProof/>
          <w:szCs w:val="22"/>
        </w:rPr>
        <w:fldChar w:fldCharType="separate"/>
      </w:r>
      <w:r w:rsidR="005F00D4">
        <w:rPr>
          <w:rFonts w:ascii="Arial" w:hAnsi="Arial" w:cs="Arial"/>
          <w:noProof/>
          <w:szCs w:val="22"/>
        </w:rPr>
        <w:t>82</w:t>
      </w:r>
      <w:r w:rsidR="0089405C" w:rsidRPr="00CB093C">
        <w:rPr>
          <w:rFonts w:ascii="Arial" w:hAnsi="Arial" w:cs="Arial"/>
          <w:noProof/>
          <w:szCs w:val="22"/>
        </w:rPr>
        <w:fldChar w:fldCharType="end"/>
      </w:r>
      <w:r w:rsidRPr="00CB093C">
        <w:rPr>
          <w:rFonts w:ascii="Arial" w:hAnsi="Arial" w:cs="Arial"/>
          <w:szCs w:val="22"/>
        </w:rPr>
        <w:t xml:space="preserve">. </w:t>
      </w:r>
      <w:r w:rsidR="00A355AB" w:rsidRPr="00CB093C">
        <w:rPr>
          <w:rFonts w:ascii="Arial" w:hAnsi="Arial" w:cs="Arial"/>
          <w:i/>
          <w:szCs w:val="22"/>
        </w:rPr>
        <w:t xml:space="preserve">Seagrass per cent cover measures per quadrat (sites pooled) and long-term trends, for each habitat monitored in the </w:t>
      </w:r>
      <w:r w:rsidR="00A355AB" w:rsidRPr="00CB093C">
        <w:rPr>
          <w:rFonts w:ascii="Arial" w:hAnsi="Arial" w:cs="Arial"/>
          <w:i/>
          <w:color w:val="000000"/>
          <w:szCs w:val="22"/>
        </w:rPr>
        <w:t xml:space="preserve">Burnett Mary NRM </w:t>
      </w:r>
      <w:r w:rsidR="00A355AB" w:rsidRPr="00CB093C">
        <w:rPr>
          <w:rFonts w:ascii="Arial" w:hAnsi="Arial" w:cs="Arial"/>
          <w:i/>
          <w:szCs w:val="22"/>
        </w:rPr>
        <w:t>region from 1999 to 2018.</w:t>
      </w:r>
      <w:bookmarkEnd w:id="518"/>
    </w:p>
    <w:p w14:paraId="22363407" w14:textId="12467146" w:rsidR="00B33F9B" w:rsidRPr="00CB093C" w:rsidRDefault="00A355AB" w:rsidP="00A355AB">
      <w:pPr>
        <w:rPr>
          <w:rFonts w:ascii="Arial" w:hAnsi="Arial" w:cs="Arial"/>
          <w:color w:val="000000" w:themeColor="text1"/>
          <w:szCs w:val="22"/>
        </w:rPr>
      </w:pPr>
      <w:r w:rsidRPr="00CB093C">
        <w:rPr>
          <w:rFonts w:ascii="Arial" w:hAnsi="Arial" w:cs="Arial"/>
          <w:i/>
          <w:szCs w:val="22"/>
          <w:lang w:val="en-GB"/>
        </w:rPr>
        <w:t xml:space="preserve"> Whisker plots (top) show th</w:t>
      </w:r>
      <w:r w:rsidRPr="00CB093C">
        <w:rPr>
          <w:rFonts w:ascii="Arial" w:hAnsi="Arial" w:cs="Arial"/>
          <w:i/>
          <w:szCs w:val="22"/>
        </w:rPr>
        <w:t>e box representing the interquartile range of values, where the boundary of the box closest to zero indicates the 25</w:t>
      </w:r>
      <w:r w:rsidRPr="00CB093C">
        <w:rPr>
          <w:rFonts w:ascii="Arial" w:hAnsi="Arial" w:cs="Arial"/>
          <w:i/>
          <w:szCs w:val="22"/>
          <w:vertAlign w:val="superscript"/>
        </w:rPr>
        <w:t>th</w:t>
      </w:r>
      <w:r w:rsidRPr="00CB093C">
        <w:rPr>
          <w:rFonts w:ascii="Arial" w:hAnsi="Arial" w:cs="Arial"/>
          <w:i/>
          <w:szCs w:val="22"/>
        </w:rPr>
        <w:t xml:space="preserve"> percentile, a line within the box marks the median, and the boundary of the box farthest from zero indicates the 75</w:t>
      </w:r>
      <w:r w:rsidRPr="00CB093C">
        <w:rPr>
          <w:rFonts w:ascii="Arial" w:hAnsi="Arial" w:cs="Arial"/>
          <w:i/>
          <w:szCs w:val="22"/>
          <w:vertAlign w:val="superscript"/>
        </w:rPr>
        <w:t>th</w:t>
      </w:r>
      <w:r w:rsidRPr="00CB093C">
        <w:rPr>
          <w:rFonts w:ascii="Arial" w:hAnsi="Arial" w:cs="Arial"/>
          <w:i/>
          <w:szCs w:val="22"/>
        </w:rPr>
        <w:t xml:space="preserve"> percentile. Whiskers (error bars) above and below the box indicate the 90</w:t>
      </w:r>
      <w:r w:rsidRPr="00CB093C">
        <w:rPr>
          <w:rFonts w:ascii="Arial" w:hAnsi="Arial" w:cs="Arial"/>
          <w:i/>
          <w:szCs w:val="22"/>
          <w:vertAlign w:val="superscript"/>
        </w:rPr>
        <w:t>th</w:t>
      </w:r>
      <w:r w:rsidRPr="00CB093C">
        <w:rPr>
          <w:rFonts w:ascii="Arial" w:hAnsi="Arial" w:cs="Arial"/>
          <w:i/>
          <w:szCs w:val="22"/>
        </w:rPr>
        <w:t xml:space="preserve"> and 10</w:t>
      </w:r>
      <w:r w:rsidRPr="00CB093C">
        <w:rPr>
          <w:rFonts w:ascii="Arial" w:hAnsi="Arial" w:cs="Arial"/>
          <w:i/>
          <w:szCs w:val="22"/>
          <w:vertAlign w:val="superscript"/>
        </w:rPr>
        <w:t>th</w:t>
      </w:r>
      <w:r w:rsidRPr="00CB093C">
        <w:rPr>
          <w:rFonts w:ascii="Arial" w:hAnsi="Arial" w:cs="Arial"/>
          <w:i/>
          <w:szCs w:val="22"/>
        </w:rPr>
        <w:t xml:space="preserve"> percentiles, and the dots represent outlying points.</w:t>
      </w:r>
      <w:r w:rsidRPr="00CB093C">
        <w:rPr>
          <w:rFonts w:ascii="Arial" w:hAnsi="Arial" w:cs="Arial"/>
          <w:i/>
          <w:szCs w:val="22"/>
          <w:lang w:val="en-GB"/>
        </w:rPr>
        <w:t xml:space="preserve"> </w:t>
      </w:r>
      <w:r w:rsidRPr="00CB093C">
        <w:rPr>
          <w:rFonts w:ascii="Arial" w:hAnsi="Arial" w:cs="Arial"/>
          <w:i/>
          <w:szCs w:val="22"/>
        </w:rPr>
        <w:t>GAMM plots (bottom), show trends for each habitat and coloured lines represent individual site trends</w:t>
      </w:r>
      <w:r w:rsidR="0091038E" w:rsidRPr="00CB093C">
        <w:rPr>
          <w:rFonts w:ascii="Arial" w:hAnsi="Arial" w:cs="Arial"/>
          <w:i/>
          <w:szCs w:val="22"/>
        </w:rPr>
        <w:t>.</w:t>
      </w:r>
    </w:p>
    <w:p w14:paraId="49210F26" w14:textId="77777777" w:rsidR="0091038E" w:rsidRPr="00CB093C" w:rsidRDefault="0091038E" w:rsidP="00DD3BAE">
      <w:pPr>
        <w:rPr>
          <w:rFonts w:ascii="Arial" w:hAnsi="Arial" w:cs="Arial"/>
          <w:color w:val="000000" w:themeColor="text1"/>
          <w:szCs w:val="22"/>
        </w:rPr>
      </w:pPr>
    </w:p>
    <w:p w14:paraId="07C16256" w14:textId="549BA786" w:rsidR="005F11C1" w:rsidRPr="00CB093C" w:rsidRDefault="00B33F9B" w:rsidP="00DD3BAE">
      <w:pPr>
        <w:rPr>
          <w:rFonts w:ascii="Arial" w:hAnsi="Arial" w:cs="Arial"/>
          <w:iCs/>
          <w:color w:val="000000" w:themeColor="text1"/>
          <w:szCs w:val="22"/>
        </w:rPr>
      </w:pPr>
      <w:r w:rsidRPr="00CB093C">
        <w:rPr>
          <w:rFonts w:ascii="Arial" w:hAnsi="Arial" w:cs="Arial"/>
          <w:color w:val="000000" w:themeColor="text1"/>
          <w:szCs w:val="22"/>
        </w:rPr>
        <w:t xml:space="preserve">The estuarine and coastal seagrass habitats have been dominated by </w:t>
      </w:r>
      <w:r w:rsidRPr="00CB093C">
        <w:rPr>
          <w:rFonts w:ascii="Arial" w:hAnsi="Arial" w:cs="Arial"/>
          <w:i/>
          <w:color w:val="000000" w:themeColor="text1"/>
          <w:szCs w:val="22"/>
        </w:rPr>
        <w:t>Zostera muelleri</w:t>
      </w:r>
      <w:r w:rsidRPr="00CB093C">
        <w:rPr>
          <w:rFonts w:ascii="Arial" w:hAnsi="Arial" w:cs="Arial"/>
          <w:color w:val="000000" w:themeColor="text1"/>
          <w:szCs w:val="22"/>
        </w:rPr>
        <w:t xml:space="preserve"> with varying components of </w:t>
      </w:r>
      <w:r w:rsidRPr="00CB093C">
        <w:rPr>
          <w:rFonts w:ascii="Arial" w:hAnsi="Arial" w:cs="Arial"/>
          <w:i/>
          <w:color w:val="000000" w:themeColor="text1"/>
          <w:szCs w:val="22"/>
        </w:rPr>
        <w:t>Halophila ovalis</w:t>
      </w:r>
      <w:r w:rsidRPr="00CB093C">
        <w:rPr>
          <w:rFonts w:ascii="Arial" w:hAnsi="Arial" w:cs="Arial"/>
          <w:color w:val="000000" w:themeColor="text1"/>
          <w:szCs w:val="22"/>
        </w:rPr>
        <w:t xml:space="preserve">. </w:t>
      </w:r>
      <w:r w:rsidRPr="00CB093C">
        <w:rPr>
          <w:rFonts w:ascii="Arial" w:hAnsi="Arial" w:cs="Arial"/>
          <w:iCs/>
          <w:color w:val="000000" w:themeColor="text1"/>
          <w:szCs w:val="22"/>
        </w:rPr>
        <w:t xml:space="preserve">In </w:t>
      </w:r>
      <w:r w:rsidR="003654C6">
        <w:rPr>
          <w:rFonts w:ascii="Arial" w:hAnsi="Arial" w:cs="Arial"/>
          <w:iCs/>
          <w:color w:val="000000" w:themeColor="text1"/>
          <w:szCs w:val="22"/>
        </w:rPr>
        <w:t>2017–18</w:t>
      </w:r>
      <w:r w:rsidRPr="00CB093C">
        <w:rPr>
          <w:rFonts w:ascii="Arial" w:hAnsi="Arial" w:cs="Arial"/>
          <w:iCs/>
          <w:color w:val="000000" w:themeColor="text1"/>
          <w:szCs w:val="22"/>
        </w:rPr>
        <w:t>, the proportion of colonising species declined compared to the previous monitoring year, and is considerably lower compared to 2011 when habitats were dominated by colonising species</w:t>
      </w:r>
      <w:r w:rsidR="005D3E4D" w:rsidRPr="00CB093C">
        <w:rPr>
          <w:rFonts w:ascii="Arial" w:hAnsi="Arial" w:cs="Arial"/>
          <w:iCs/>
          <w:color w:val="000000" w:themeColor="text1"/>
          <w:szCs w:val="22"/>
        </w:rPr>
        <w:t xml:space="preserve"> </w:t>
      </w:r>
      <w:r w:rsidR="005D3E4D" w:rsidRPr="00CB093C">
        <w:rPr>
          <w:rFonts w:ascii="Arial" w:hAnsi="Arial" w:cs="Arial"/>
          <w:color w:val="000000" w:themeColor="text1"/>
          <w:szCs w:val="22"/>
        </w:rPr>
        <w:t>(</w:t>
      </w:r>
      <w:r w:rsidR="005D3E4D" w:rsidRPr="00CB093C">
        <w:rPr>
          <w:rFonts w:ascii="Arial" w:hAnsi="Arial" w:cs="Arial"/>
          <w:color w:val="000000" w:themeColor="text1"/>
          <w:szCs w:val="22"/>
        </w:rPr>
        <w:fldChar w:fldCharType="begin"/>
      </w:r>
      <w:r w:rsidR="005D3E4D" w:rsidRPr="00CB093C">
        <w:rPr>
          <w:rFonts w:ascii="Arial" w:hAnsi="Arial" w:cs="Arial"/>
          <w:color w:val="000000" w:themeColor="text1"/>
          <w:szCs w:val="22"/>
        </w:rPr>
        <w:instrText xml:space="preserve"> REF _Ref442552303 \h  \* MERGEFORMAT </w:instrText>
      </w:r>
      <w:r w:rsidR="005D3E4D" w:rsidRPr="00CB093C">
        <w:rPr>
          <w:rFonts w:ascii="Arial" w:hAnsi="Arial" w:cs="Arial"/>
          <w:color w:val="000000" w:themeColor="text1"/>
          <w:szCs w:val="22"/>
        </w:rPr>
      </w:r>
      <w:r w:rsidR="005D3E4D" w:rsidRPr="00CB093C">
        <w:rPr>
          <w:rFonts w:ascii="Arial" w:hAnsi="Arial" w:cs="Arial"/>
          <w:color w:val="000000" w:themeColor="text1"/>
          <w:szCs w:val="22"/>
        </w:rPr>
        <w:fldChar w:fldCharType="separate"/>
      </w:r>
      <w:r w:rsidR="005F00D4" w:rsidRPr="00CB093C">
        <w:rPr>
          <w:rFonts w:ascii="Arial" w:hAnsi="Arial" w:cs="Arial"/>
          <w:szCs w:val="22"/>
        </w:rPr>
        <w:t xml:space="preserve">Figure </w:t>
      </w:r>
      <w:r w:rsidR="005F00D4">
        <w:rPr>
          <w:rFonts w:ascii="Arial" w:hAnsi="Arial" w:cs="Arial"/>
          <w:noProof/>
          <w:szCs w:val="22"/>
        </w:rPr>
        <w:t>83</w:t>
      </w:r>
      <w:r w:rsidR="005D3E4D" w:rsidRPr="00CB093C">
        <w:rPr>
          <w:rFonts w:ascii="Arial" w:hAnsi="Arial" w:cs="Arial"/>
          <w:color w:val="000000" w:themeColor="text1"/>
          <w:szCs w:val="22"/>
        </w:rPr>
        <w:fldChar w:fldCharType="end"/>
      </w:r>
      <w:r w:rsidR="005D3E4D" w:rsidRPr="00CB093C">
        <w:rPr>
          <w:rFonts w:ascii="Arial" w:hAnsi="Arial" w:cs="Arial"/>
          <w:color w:val="000000" w:themeColor="text1"/>
          <w:szCs w:val="22"/>
        </w:rPr>
        <w:t>)</w:t>
      </w:r>
      <w:r w:rsidRPr="00CB093C">
        <w:rPr>
          <w:rFonts w:ascii="Arial" w:hAnsi="Arial" w:cs="Arial"/>
          <w:iCs/>
          <w:color w:val="000000" w:themeColor="text1"/>
          <w:szCs w:val="22"/>
        </w:rPr>
        <w:t xml:space="preserve">. A reduction in the </w:t>
      </w:r>
      <w:r w:rsidRPr="00CB093C">
        <w:rPr>
          <w:rFonts w:ascii="Arial" w:hAnsi="Arial" w:cs="Arial"/>
          <w:color w:val="000000" w:themeColor="text1"/>
          <w:szCs w:val="22"/>
          <w:lang w:val="en-GB"/>
        </w:rPr>
        <w:t xml:space="preserve">proportion of colonising species in the meadows suggests </w:t>
      </w:r>
      <w:r w:rsidRPr="00CB093C">
        <w:rPr>
          <w:rFonts w:ascii="Arial" w:hAnsi="Arial" w:cs="Arial"/>
          <w:iCs/>
          <w:color w:val="000000" w:themeColor="text1"/>
          <w:szCs w:val="22"/>
        </w:rPr>
        <w:t>greater ability to tolerate/resist major disturbances, particularly as the meadows improve abundance.</w:t>
      </w:r>
      <w:r w:rsidR="007A70FE" w:rsidRPr="00CB093C">
        <w:rPr>
          <w:rFonts w:ascii="Arial" w:hAnsi="Arial" w:cs="Arial"/>
          <w:iCs/>
          <w:color w:val="000000" w:themeColor="text1"/>
          <w:szCs w:val="22"/>
        </w:rPr>
        <w:t xml:space="preserve"> </w:t>
      </w:r>
      <w:r w:rsidRPr="00CB093C">
        <w:rPr>
          <w:rFonts w:ascii="Arial" w:hAnsi="Arial" w:cs="Arial"/>
          <w:iCs/>
          <w:color w:val="000000" w:themeColor="text1"/>
          <w:szCs w:val="22"/>
        </w:rPr>
        <w:t>The meadows in the Burnett</w:t>
      </w:r>
      <w:r w:rsidR="00C2201F" w:rsidRPr="00CB093C">
        <w:rPr>
          <w:rFonts w:ascii="Arial" w:hAnsi="Arial" w:cs="Arial"/>
          <w:iCs/>
          <w:color w:val="000000" w:themeColor="text1"/>
          <w:szCs w:val="22"/>
        </w:rPr>
        <w:t xml:space="preserve"> </w:t>
      </w:r>
      <w:r w:rsidRPr="00CB093C">
        <w:rPr>
          <w:rFonts w:ascii="Arial" w:hAnsi="Arial" w:cs="Arial"/>
          <w:iCs/>
          <w:color w:val="000000" w:themeColor="text1"/>
          <w:szCs w:val="22"/>
        </w:rPr>
        <w:t xml:space="preserve">Mary region have a smaller proportion of colonising species than the </w:t>
      </w:r>
      <w:r w:rsidR="00E6715F" w:rsidRPr="00CB093C">
        <w:rPr>
          <w:rFonts w:ascii="Arial" w:hAnsi="Arial" w:cs="Arial"/>
          <w:iCs/>
          <w:color w:val="000000" w:themeColor="text1"/>
          <w:szCs w:val="22"/>
        </w:rPr>
        <w:t>Reef</w:t>
      </w:r>
      <w:r w:rsidRPr="00CB093C">
        <w:rPr>
          <w:rFonts w:ascii="Arial" w:hAnsi="Arial" w:cs="Arial"/>
          <w:iCs/>
          <w:color w:val="000000" w:themeColor="text1"/>
          <w:szCs w:val="22"/>
        </w:rPr>
        <w:t>-wide average</w:t>
      </w:r>
      <w:r w:rsidR="00C2201F" w:rsidRPr="00CB093C">
        <w:rPr>
          <w:rFonts w:ascii="Arial" w:hAnsi="Arial" w:cs="Arial"/>
          <w:iCs/>
          <w:color w:val="000000" w:themeColor="text1"/>
          <w:szCs w:val="22"/>
        </w:rPr>
        <w:t>.</w:t>
      </w:r>
    </w:p>
    <w:p w14:paraId="4DF063D3" w14:textId="77777777" w:rsidR="003E1D94" w:rsidRPr="00CB093C" w:rsidRDefault="005B1EEC" w:rsidP="00DD3BAE">
      <w:pPr>
        <w:keepNext/>
        <w:widowControl w:val="0"/>
        <w:spacing w:after="0"/>
        <w:jc w:val="center"/>
        <w:rPr>
          <w:rFonts w:ascii="Arial" w:hAnsi="Arial" w:cs="Arial"/>
          <w:iCs/>
          <w:color w:val="000000"/>
          <w:szCs w:val="22"/>
        </w:rPr>
      </w:pPr>
      <w:r w:rsidRPr="00CB093C">
        <w:rPr>
          <w:rFonts w:ascii="Arial" w:hAnsi="Arial" w:cs="Arial"/>
          <w:iCs/>
          <w:noProof/>
          <w:color w:val="000000"/>
          <w:szCs w:val="22"/>
          <w:lang w:val="en-US"/>
        </w:rPr>
        <w:drawing>
          <wp:inline distT="0" distB="0" distL="0" distR="0" wp14:anchorId="0EBC54E2" wp14:editId="1D929914">
            <wp:extent cx="3969887" cy="1957609"/>
            <wp:effectExtent l="0" t="0" r="0" b="5080"/>
            <wp:docPr id="519" name="Picture 519" descr="Panel of two graphs showing proportion of total seagrass abundance composed of species displaying colonising traits (e.g. Halophila ovalis) in each inshore intertidal seagrass habitat (sites pooled) in the Burnett Mary NRM region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 name="BM_colonising_2016.png"/>
                    <pic:cNvPicPr/>
                  </pic:nvPicPr>
                  <pic:blipFill>
                    <a:blip r:embed="rId126">
                      <a:extLst>
                        <a:ext uri="{28A0092B-C50C-407E-A947-70E740481C1C}">
                          <a14:useLocalDpi xmlns:a14="http://schemas.microsoft.com/office/drawing/2010/main" val="0"/>
                        </a:ext>
                      </a:extLst>
                    </a:blip>
                    <a:stretch>
                      <a:fillRect/>
                    </a:stretch>
                  </pic:blipFill>
                  <pic:spPr>
                    <a:xfrm>
                      <a:off x="0" y="0"/>
                      <a:ext cx="3969887" cy="1957609"/>
                    </a:xfrm>
                    <a:prstGeom prst="rect">
                      <a:avLst/>
                    </a:prstGeom>
                  </pic:spPr>
                </pic:pic>
              </a:graphicData>
            </a:graphic>
          </wp:inline>
        </w:drawing>
      </w:r>
    </w:p>
    <w:p w14:paraId="1A3273B1" w14:textId="46B88EF1" w:rsidR="004705FC" w:rsidRPr="00CB093C" w:rsidRDefault="003126B8" w:rsidP="00DD3BAE">
      <w:pPr>
        <w:widowControl w:val="0"/>
        <w:spacing w:before="0"/>
        <w:rPr>
          <w:rFonts w:ascii="Arial" w:hAnsi="Arial" w:cs="Arial"/>
          <w:i/>
          <w:vanish/>
          <w:szCs w:val="22"/>
          <w:specVanish/>
        </w:rPr>
      </w:pPr>
      <w:bookmarkStart w:id="519" w:name="_Ref442552303"/>
      <w:bookmarkStart w:id="520" w:name="_Toc431493902"/>
      <w:bookmarkStart w:id="521" w:name="_Toc6402848"/>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83</w:t>
      </w:r>
      <w:r w:rsidR="00C506C7" w:rsidRPr="00CB093C">
        <w:rPr>
          <w:rFonts w:ascii="Arial" w:hAnsi="Arial" w:cs="Arial"/>
          <w:noProof/>
          <w:szCs w:val="22"/>
        </w:rPr>
        <w:fldChar w:fldCharType="end"/>
      </w:r>
      <w:bookmarkEnd w:id="519"/>
      <w:r w:rsidRPr="00CB093C">
        <w:rPr>
          <w:rFonts w:ascii="Arial" w:hAnsi="Arial" w:cs="Arial"/>
          <w:szCs w:val="22"/>
        </w:rPr>
        <w:t xml:space="preserve">. </w:t>
      </w:r>
      <w:r w:rsidRPr="00CB093C">
        <w:rPr>
          <w:rFonts w:ascii="Arial" w:hAnsi="Arial" w:cs="Arial"/>
          <w:i/>
          <w:szCs w:val="22"/>
        </w:rPr>
        <w:t xml:space="preserve">Proportion of seagrass abundance composed of </w:t>
      </w:r>
      <w:r w:rsidR="003E1D94" w:rsidRPr="00CB093C">
        <w:rPr>
          <w:rFonts w:ascii="Arial" w:hAnsi="Arial" w:cs="Arial"/>
          <w:i/>
          <w:szCs w:val="22"/>
        </w:rPr>
        <w:t>colonising</w:t>
      </w:r>
      <w:r w:rsidR="00A22D98" w:rsidRPr="00CB093C">
        <w:rPr>
          <w:rFonts w:ascii="Arial" w:hAnsi="Arial" w:cs="Arial"/>
          <w:i/>
          <w:szCs w:val="22"/>
        </w:rPr>
        <w:t xml:space="preserve"> species</w:t>
      </w:r>
      <w:r w:rsidR="00116D0F" w:rsidRPr="00CB093C">
        <w:rPr>
          <w:rFonts w:ascii="Arial" w:hAnsi="Arial" w:cs="Arial"/>
          <w:i/>
          <w:szCs w:val="22"/>
        </w:rPr>
        <w:t xml:space="preserve"> at</w:t>
      </w:r>
      <w:r w:rsidR="004807AA" w:rsidRPr="00CB093C">
        <w:rPr>
          <w:rFonts w:ascii="Arial" w:hAnsi="Arial" w:cs="Arial"/>
          <w:i/>
          <w:szCs w:val="22"/>
        </w:rPr>
        <w:t>:</w:t>
      </w:r>
      <w:r w:rsidR="00116D0F" w:rsidRPr="00CB093C">
        <w:rPr>
          <w:rFonts w:ascii="Arial" w:hAnsi="Arial" w:cs="Arial"/>
          <w:i/>
          <w:szCs w:val="22"/>
        </w:rPr>
        <w:t xml:space="preserve"> a. estuary and b. coastal habitats in the Burnett Mary region, 1998</w:t>
      </w:r>
      <w:r w:rsidR="00A675DA" w:rsidRPr="00CB093C">
        <w:rPr>
          <w:rFonts w:ascii="Arial" w:hAnsi="Arial" w:cs="Arial"/>
          <w:i/>
          <w:szCs w:val="22"/>
        </w:rPr>
        <w:t>–</w:t>
      </w:r>
      <w:r w:rsidR="00116D0F" w:rsidRPr="00CB093C">
        <w:rPr>
          <w:rFonts w:ascii="Arial" w:hAnsi="Arial" w:cs="Arial"/>
          <w:i/>
          <w:szCs w:val="22"/>
        </w:rPr>
        <w:t>201</w:t>
      </w:r>
      <w:r w:rsidR="00E536A9" w:rsidRPr="00CB093C">
        <w:rPr>
          <w:rFonts w:ascii="Arial" w:hAnsi="Arial" w:cs="Arial"/>
          <w:i/>
          <w:szCs w:val="22"/>
        </w:rPr>
        <w:t>8</w:t>
      </w:r>
      <w:r w:rsidRPr="00CB093C">
        <w:rPr>
          <w:rFonts w:ascii="Arial" w:hAnsi="Arial" w:cs="Arial"/>
          <w:i/>
          <w:szCs w:val="22"/>
        </w:rPr>
        <w:t>.</w:t>
      </w:r>
      <w:bookmarkEnd w:id="520"/>
      <w:bookmarkEnd w:id="521"/>
      <w:r w:rsidRPr="00CB093C">
        <w:rPr>
          <w:rFonts w:ascii="Arial" w:hAnsi="Arial" w:cs="Arial"/>
          <w:i/>
          <w:szCs w:val="22"/>
        </w:rPr>
        <w:t xml:space="preserve"> </w:t>
      </w:r>
    </w:p>
    <w:p w14:paraId="1C8CFF35" w14:textId="21CB6CEA" w:rsidR="004705FC" w:rsidRPr="00CB093C" w:rsidRDefault="005D3E4D" w:rsidP="00DD3BAE">
      <w:pPr>
        <w:widowControl w:val="0"/>
        <w:spacing w:before="0"/>
        <w:rPr>
          <w:rFonts w:ascii="Arial" w:hAnsi="Arial" w:cs="Arial"/>
          <w:i/>
          <w:szCs w:val="22"/>
        </w:rPr>
      </w:pPr>
      <w:r w:rsidRPr="00CB093C">
        <w:rPr>
          <w:rFonts w:ascii="Arial" w:hAnsi="Arial" w:cs="Arial"/>
          <w:i/>
          <w:szCs w:val="22"/>
        </w:rPr>
        <w:t>Dashed line</w:t>
      </w:r>
      <w:r w:rsidR="003126B8" w:rsidRPr="00CB093C">
        <w:rPr>
          <w:rFonts w:ascii="Arial" w:hAnsi="Arial" w:cs="Arial"/>
          <w:i/>
          <w:szCs w:val="22"/>
        </w:rPr>
        <w:t xml:space="preserve"> represents </w:t>
      </w:r>
      <w:r w:rsidR="003158FC" w:rsidRPr="00CB093C">
        <w:rPr>
          <w:rFonts w:ascii="Arial" w:hAnsi="Arial" w:cs="Arial"/>
          <w:i/>
          <w:szCs w:val="22"/>
        </w:rPr>
        <w:t>Reef</w:t>
      </w:r>
      <w:r w:rsidR="003126B8" w:rsidRPr="00CB093C">
        <w:rPr>
          <w:rFonts w:ascii="Arial" w:hAnsi="Arial" w:cs="Arial"/>
          <w:i/>
          <w:szCs w:val="22"/>
        </w:rPr>
        <w:t xml:space="preserve"> long-term average proportion of </w:t>
      </w:r>
      <w:r w:rsidR="003E1D94" w:rsidRPr="00CB093C">
        <w:rPr>
          <w:rFonts w:ascii="Arial" w:hAnsi="Arial" w:cs="Arial"/>
          <w:i/>
          <w:szCs w:val="22"/>
        </w:rPr>
        <w:t xml:space="preserve">colonising </w:t>
      </w:r>
      <w:r w:rsidR="00A22D98" w:rsidRPr="00CB093C">
        <w:rPr>
          <w:rFonts w:ascii="Arial" w:hAnsi="Arial" w:cs="Arial"/>
          <w:i/>
          <w:szCs w:val="22"/>
        </w:rPr>
        <w:t xml:space="preserve">species </w:t>
      </w:r>
      <w:r w:rsidR="003126B8" w:rsidRPr="00CB093C">
        <w:rPr>
          <w:rFonts w:ascii="Arial" w:hAnsi="Arial" w:cs="Arial"/>
          <w:i/>
          <w:szCs w:val="22"/>
        </w:rPr>
        <w:t>for each habitat type.</w:t>
      </w:r>
      <w:r w:rsidR="00C73F73" w:rsidRPr="00CB093C">
        <w:rPr>
          <w:rFonts w:ascii="Arial" w:hAnsi="Arial" w:cs="Arial"/>
          <w:i/>
          <w:szCs w:val="22"/>
        </w:rPr>
        <w:t xml:space="preserve"> </w:t>
      </w:r>
    </w:p>
    <w:p w14:paraId="7F2803D3" w14:textId="12955D63" w:rsidR="003C15CC" w:rsidRPr="00CB093C" w:rsidRDefault="003C15CC" w:rsidP="003C15CC">
      <w:pPr>
        <w:rPr>
          <w:rFonts w:ascii="Arial" w:hAnsi="Arial" w:cs="Arial"/>
          <w:szCs w:val="22"/>
        </w:rPr>
      </w:pPr>
      <w:r w:rsidRPr="00CB093C">
        <w:rPr>
          <w:rFonts w:ascii="Arial" w:hAnsi="Arial" w:cs="Arial"/>
          <w:szCs w:val="22"/>
          <w:lang w:val="en-GB"/>
        </w:rPr>
        <w:t>Over the last 12 months meadow extent has changed little relative to the previous year (</w:t>
      </w:r>
      <w:r w:rsidRPr="00CB093C">
        <w:rPr>
          <w:rFonts w:ascii="Arial" w:hAnsi="Arial" w:cs="Arial"/>
          <w:szCs w:val="22"/>
          <w:lang w:val="en-GB"/>
        </w:rPr>
        <w:fldChar w:fldCharType="begin"/>
      </w:r>
      <w:r w:rsidRPr="00CB093C">
        <w:rPr>
          <w:rFonts w:ascii="Arial" w:hAnsi="Arial" w:cs="Arial"/>
          <w:szCs w:val="22"/>
          <w:lang w:val="en-GB"/>
        </w:rPr>
        <w:instrText xml:space="preserve"> REF _Ref233166043 \h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lang w:val="en-US"/>
        </w:rPr>
        <w:t xml:space="preserve">Figure </w:t>
      </w:r>
      <w:r w:rsidR="005F00D4">
        <w:rPr>
          <w:rFonts w:ascii="Arial" w:hAnsi="Arial" w:cs="Arial"/>
          <w:noProof/>
          <w:szCs w:val="22"/>
          <w:lang w:val="en-US"/>
        </w:rPr>
        <w:t>84</w:t>
      </w:r>
      <w:r w:rsidRPr="00CB093C">
        <w:rPr>
          <w:rFonts w:ascii="Arial" w:hAnsi="Arial" w:cs="Arial"/>
          <w:szCs w:val="22"/>
          <w:lang w:val="en-GB"/>
        </w:rPr>
        <w:fldChar w:fldCharType="end"/>
      </w:r>
      <w:r w:rsidRPr="00CB093C">
        <w:rPr>
          <w:rFonts w:ascii="Arial" w:hAnsi="Arial" w:cs="Arial"/>
          <w:szCs w:val="22"/>
          <w:lang w:val="en-GB"/>
        </w:rPr>
        <w:t xml:space="preserve">). </w:t>
      </w:r>
      <w:r w:rsidRPr="00CB093C">
        <w:rPr>
          <w:rFonts w:ascii="Arial" w:hAnsi="Arial" w:cs="Arial"/>
          <w:szCs w:val="22"/>
        </w:rPr>
        <w:t xml:space="preserve">Therefore changes in abundance are not attributable to meadow landscape changes. </w:t>
      </w:r>
      <w:r w:rsidRPr="00CB093C">
        <w:rPr>
          <w:rFonts w:ascii="Arial" w:hAnsi="Arial" w:cs="Arial"/>
          <w:szCs w:val="22"/>
          <w:lang w:val="en-GB"/>
        </w:rPr>
        <w:t>However, over the life of the MMP, t</w:t>
      </w:r>
      <w:r w:rsidRPr="00CB093C">
        <w:rPr>
          <w:rFonts w:ascii="Arial" w:hAnsi="Arial" w:cs="Arial"/>
          <w:szCs w:val="22"/>
        </w:rPr>
        <w:t>he extent of the estuarine meadows has fluctuated greatly with periods of decline, absence and recovery.</w:t>
      </w:r>
    </w:p>
    <w:p w14:paraId="45CF646A" w14:textId="77777777" w:rsidR="003E1D94" w:rsidRPr="00CB093C" w:rsidRDefault="003E1D94" w:rsidP="00DD3BAE">
      <w:pPr>
        <w:rPr>
          <w:rFonts w:ascii="Arial" w:hAnsi="Arial" w:cs="Arial"/>
          <w:szCs w:val="22"/>
          <w:lang w:val="en-GB"/>
        </w:rPr>
      </w:pPr>
    </w:p>
    <w:p w14:paraId="404C233B" w14:textId="77777777" w:rsidR="003E1D94" w:rsidRPr="00CB093C" w:rsidRDefault="005B1EEC" w:rsidP="00DD3BAE">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2C6D00D4" wp14:editId="5397155B">
            <wp:extent cx="4092412" cy="1804256"/>
            <wp:effectExtent l="0" t="0" r="3810" b="5715"/>
            <wp:docPr id="520" name="Picture 520" descr="Line graph showing spatial extent of seagrass meadows within a 100m radius of estuarine monitoring sites for each  monitoring period across the Burnett Mar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 name="BM_extent_avg_2016.png"/>
                    <pic:cNvPicPr/>
                  </pic:nvPicPr>
                  <pic:blipFill>
                    <a:blip r:embed="rId127">
                      <a:extLst>
                        <a:ext uri="{28A0092B-C50C-407E-A947-70E740481C1C}">
                          <a14:useLocalDpi xmlns:a14="http://schemas.microsoft.com/office/drawing/2010/main" val="0"/>
                        </a:ext>
                      </a:extLst>
                    </a:blip>
                    <a:stretch>
                      <a:fillRect/>
                    </a:stretch>
                  </pic:blipFill>
                  <pic:spPr>
                    <a:xfrm>
                      <a:off x="0" y="0"/>
                      <a:ext cx="4092412" cy="1804256"/>
                    </a:xfrm>
                    <a:prstGeom prst="rect">
                      <a:avLst/>
                    </a:prstGeom>
                  </pic:spPr>
                </pic:pic>
              </a:graphicData>
            </a:graphic>
          </wp:inline>
        </w:drawing>
      </w:r>
    </w:p>
    <w:p w14:paraId="43F0576A" w14:textId="5CEDC4A6" w:rsidR="003126B8" w:rsidRPr="00CB093C" w:rsidRDefault="005132EF" w:rsidP="00DD3BAE">
      <w:pPr>
        <w:rPr>
          <w:rFonts w:ascii="Arial" w:hAnsi="Arial" w:cs="Arial"/>
          <w:i/>
          <w:szCs w:val="22"/>
          <w:lang w:val="en-US"/>
        </w:rPr>
      </w:pPr>
      <w:bookmarkStart w:id="522" w:name="_Ref233166043"/>
      <w:bookmarkStart w:id="523" w:name="_Toc232846031"/>
      <w:bookmarkStart w:id="524" w:name="_Toc431493903"/>
      <w:bookmarkStart w:id="525" w:name="_Toc6402849"/>
      <w:r w:rsidRPr="00CB093C">
        <w:rPr>
          <w:rFonts w:ascii="Arial" w:hAnsi="Arial" w:cs="Arial"/>
          <w:szCs w:val="22"/>
          <w:lang w:val="en-US"/>
        </w:rPr>
        <w:t xml:space="preserve">Figure </w:t>
      </w:r>
      <w:r w:rsidR="0073595B" w:rsidRPr="00CB093C">
        <w:rPr>
          <w:rFonts w:ascii="Arial" w:hAnsi="Arial" w:cs="Arial"/>
          <w:szCs w:val="22"/>
          <w:lang w:val="en-US"/>
        </w:rPr>
        <w:fldChar w:fldCharType="begin"/>
      </w:r>
      <w:r w:rsidR="0073595B" w:rsidRPr="00CB093C">
        <w:rPr>
          <w:rFonts w:ascii="Arial" w:hAnsi="Arial" w:cs="Arial"/>
          <w:szCs w:val="22"/>
          <w:lang w:val="en-US"/>
        </w:rPr>
        <w:instrText xml:space="preserve"> SEQ Figure \* ARABIC </w:instrText>
      </w:r>
      <w:r w:rsidR="0073595B" w:rsidRPr="00CB093C">
        <w:rPr>
          <w:rFonts w:ascii="Arial" w:hAnsi="Arial" w:cs="Arial"/>
          <w:szCs w:val="22"/>
          <w:lang w:val="en-US"/>
        </w:rPr>
        <w:fldChar w:fldCharType="separate"/>
      </w:r>
      <w:r w:rsidR="005F00D4">
        <w:rPr>
          <w:rFonts w:ascii="Arial" w:hAnsi="Arial" w:cs="Arial"/>
          <w:noProof/>
          <w:szCs w:val="22"/>
          <w:lang w:val="en-US"/>
        </w:rPr>
        <w:t>84</w:t>
      </w:r>
      <w:r w:rsidR="0073595B" w:rsidRPr="00CB093C">
        <w:rPr>
          <w:rFonts w:ascii="Arial" w:hAnsi="Arial" w:cs="Arial"/>
          <w:szCs w:val="22"/>
          <w:lang w:val="en-US"/>
        </w:rPr>
        <w:fldChar w:fldCharType="end"/>
      </w:r>
      <w:bookmarkEnd w:id="522"/>
      <w:r w:rsidRPr="00CB093C">
        <w:rPr>
          <w:rFonts w:ascii="Arial" w:hAnsi="Arial" w:cs="Arial"/>
          <w:szCs w:val="22"/>
          <w:lang w:val="en-US"/>
        </w:rPr>
        <w:t xml:space="preserve">. </w:t>
      </w:r>
      <w:bookmarkEnd w:id="523"/>
      <w:r w:rsidR="003126B8" w:rsidRPr="00CB093C">
        <w:rPr>
          <w:rFonts w:ascii="Arial" w:hAnsi="Arial" w:cs="Arial"/>
          <w:i/>
          <w:szCs w:val="22"/>
          <w:lang w:val="en-US"/>
        </w:rPr>
        <w:t xml:space="preserve">Change in spatial extent of </w:t>
      </w:r>
      <w:r w:rsidR="00995B85" w:rsidRPr="00CB093C">
        <w:rPr>
          <w:rFonts w:ascii="Arial" w:hAnsi="Arial" w:cs="Arial"/>
          <w:i/>
          <w:szCs w:val="22"/>
          <w:lang w:val="en-US"/>
        </w:rPr>
        <w:t xml:space="preserve">estuary </w:t>
      </w:r>
      <w:r w:rsidR="003126B8" w:rsidRPr="00CB093C">
        <w:rPr>
          <w:rFonts w:ascii="Arial" w:hAnsi="Arial" w:cs="Arial"/>
          <w:i/>
          <w:szCs w:val="22"/>
          <w:lang w:val="en-US"/>
        </w:rPr>
        <w:t>seagrass meadows within monitoring sites for each habitat and monitoring period across the Burnett Mary NRM region.</w:t>
      </w:r>
      <w:bookmarkEnd w:id="524"/>
      <w:bookmarkEnd w:id="525"/>
    </w:p>
    <w:p w14:paraId="68E9086F" w14:textId="1FC27620" w:rsidR="005132EF" w:rsidRPr="00CB093C" w:rsidRDefault="005132EF" w:rsidP="000F3AC4">
      <w:pPr>
        <w:pStyle w:val="Heading3"/>
        <w:numPr>
          <w:ilvl w:val="3"/>
          <w:numId w:val="4"/>
        </w:numPr>
        <w:rPr>
          <w:rFonts w:ascii="Arial" w:hAnsi="Arial" w:cs="Arial"/>
          <w:b w:val="0"/>
          <w:i/>
          <w:color w:val="000000"/>
          <w:sz w:val="22"/>
          <w:szCs w:val="22"/>
        </w:rPr>
      </w:pPr>
      <w:bookmarkStart w:id="526" w:name="_Toc184102042"/>
      <w:bookmarkStart w:id="527" w:name="_Toc11394775"/>
      <w:r w:rsidRPr="00CB093C">
        <w:rPr>
          <w:rFonts w:ascii="Arial" w:hAnsi="Arial" w:cs="Arial"/>
          <w:b w:val="0"/>
          <w:i/>
          <w:color w:val="000000"/>
          <w:sz w:val="22"/>
          <w:szCs w:val="22"/>
        </w:rPr>
        <w:t>Seagrass reproductive status</w:t>
      </w:r>
      <w:bookmarkEnd w:id="526"/>
      <w:bookmarkEnd w:id="527"/>
    </w:p>
    <w:p w14:paraId="2CE6E139" w14:textId="4E08912A" w:rsidR="00F86DA0" w:rsidRPr="00CB093C" w:rsidRDefault="004F52AE" w:rsidP="00DD3BAE">
      <w:pPr>
        <w:autoSpaceDE w:val="0"/>
        <w:autoSpaceDN w:val="0"/>
        <w:adjustRightInd w:val="0"/>
        <w:rPr>
          <w:rFonts w:ascii="Arial" w:hAnsi="Arial" w:cs="Arial"/>
          <w:szCs w:val="22"/>
          <w:lang w:val="en-GB"/>
        </w:rPr>
      </w:pPr>
      <w:r w:rsidRPr="00CB093C">
        <w:rPr>
          <w:rFonts w:ascii="Arial" w:hAnsi="Arial" w:cs="Arial"/>
          <w:szCs w:val="22"/>
          <w:lang w:val="en-GB"/>
        </w:rPr>
        <w:t xml:space="preserve">Seagrass reproductive effort </w:t>
      </w:r>
      <w:r w:rsidR="0030756A" w:rsidRPr="00CB093C">
        <w:rPr>
          <w:rFonts w:ascii="Arial" w:hAnsi="Arial" w:cs="Arial"/>
          <w:szCs w:val="22"/>
          <w:lang w:val="en-GB"/>
        </w:rPr>
        <w:t xml:space="preserve">remained at almost zero across estuarine and coastal habitats </w:t>
      </w:r>
      <w:r w:rsidR="00F86DA0" w:rsidRPr="00CB093C">
        <w:rPr>
          <w:rFonts w:ascii="Arial" w:hAnsi="Arial" w:cs="Arial"/>
          <w:szCs w:val="22"/>
          <w:lang w:val="en-GB"/>
        </w:rPr>
        <w:t>this year</w:t>
      </w:r>
      <w:r w:rsidR="0030756A" w:rsidRPr="00CB093C">
        <w:rPr>
          <w:rFonts w:ascii="Arial" w:hAnsi="Arial" w:cs="Arial"/>
          <w:szCs w:val="22"/>
          <w:lang w:val="en-GB"/>
        </w:rPr>
        <w:t>, with little change from t</w:t>
      </w:r>
      <w:r w:rsidR="0076617E" w:rsidRPr="00CB093C">
        <w:rPr>
          <w:rFonts w:ascii="Arial" w:hAnsi="Arial" w:cs="Arial"/>
          <w:szCs w:val="22"/>
          <w:lang w:val="en-GB"/>
        </w:rPr>
        <w:t xml:space="preserve">he </w:t>
      </w:r>
      <w:r w:rsidR="00B04051" w:rsidRPr="00CB093C">
        <w:rPr>
          <w:rFonts w:ascii="Arial" w:hAnsi="Arial" w:cs="Arial"/>
          <w:szCs w:val="22"/>
          <w:lang w:val="en-GB"/>
        </w:rPr>
        <w:t>previous monitoring period</w:t>
      </w:r>
      <w:r w:rsidR="00B802FF" w:rsidRPr="00CB093C">
        <w:rPr>
          <w:rFonts w:ascii="Arial" w:hAnsi="Arial" w:cs="Arial"/>
          <w:szCs w:val="22"/>
          <w:lang w:val="en-GB"/>
        </w:rPr>
        <w:t xml:space="preserve"> (</w:t>
      </w:r>
      <w:r w:rsidR="00B802FF" w:rsidRPr="00CB093C">
        <w:rPr>
          <w:rFonts w:ascii="Arial" w:hAnsi="Arial" w:cs="Arial"/>
          <w:szCs w:val="22"/>
          <w:lang w:val="en-GB"/>
        </w:rPr>
        <w:fldChar w:fldCharType="begin"/>
      </w:r>
      <w:r w:rsidR="00B802FF" w:rsidRPr="00CB093C">
        <w:rPr>
          <w:rFonts w:ascii="Arial" w:hAnsi="Arial" w:cs="Arial"/>
          <w:szCs w:val="22"/>
          <w:lang w:val="en-GB"/>
        </w:rPr>
        <w:instrText xml:space="preserve"> REF _Ref318458630 \h </w:instrText>
      </w:r>
      <w:r w:rsidR="00CB093C" w:rsidRPr="00CB093C">
        <w:rPr>
          <w:rFonts w:ascii="Arial" w:hAnsi="Arial" w:cs="Arial"/>
          <w:szCs w:val="22"/>
          <w:lang w:val="en-GB"/>
        </w:rPr>
        <w:instrText xml:space="preserve"> \* MERGEFORMAT </w:instrText>
      </w:r>
      <w:r w:rsidR="00B802FF" w:rsidRPr="00CB093C">
        <w:rPr>
          <w:rFonts w:ascii="Arial" w:hAnsi="Arial" w:cs="Arial"/>
          <w:szCs w:val="22"/>
          <w:lang w:val="en-GB"/>
        </w:rPr>
      </w:r>
      <w:r w:rsidR="00B802FF"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85</w:t>
      </w:r>
      <w:r w:rsidR="00B802FF" w:rsidRPr="00CB093C">
        <w:rPr>
          <w:rFonts w:ascii="Arial" w:hAnsi="Arial" w:cs="Arial"/>
          <w:szCs w:val="22"/>
          <w:lang w:val="en-GB"/>
        </w:rPr>
        <w:fldChar w:fldCharType="end"/>
      </w:r>
      <w:r w:rsidR="00B802FF" w:rsidRPr="00CB093C">
        <w:rPr>
          <w:rFonts w:ascii="Arial" w:hAnsi="Arial" w:cs="Arial"/>
          <w:szCs w:val="22"/>
          <w:lang w:val="en-GB"/>
        </w:rPr>
        <w:t>)</w:t>
      </w:r>
      <w:r w:rsidR="00097C1D" w:rsidRPr="00CB093C">
        <w:rPr>
          <w:rFonts w:ascii="Arial" w:hAnsi="Arial" w:cs="Arial"/>
          <w:szCs w:val="22"/>
          <w:lang w:val="en-GB"/>
        </w:rPr>
        <w:t xml:space="preserve">. </w:t>
      </w:r>
      <w:r w:rsidR="0091038E" w:rsidRPr="00CB093C">
        <w:rPr>
          <w:rFonts w:ascii="Arial" w:hAnsi="Arial" w:cs="Arial"/>
          <w:szCs w:val="22"/>
          <w:lang w:val="en-GB"/>
        </w:rPr>
        <w:t>A seed bank persists at estuary sites</w:t>
      </w:r>
      <w:r w:rsidR="00A73D19" w:rsidRPr="00CB093C">
        <w:rPr>
          <w:rFonts w:ascii="Arial" w:hAnsi="Arial" w:cs="Arial"/>
          <w:szCs w:val="22"/>
          <w:lang w:val="en-GB"/>
        </w:rPr>
        <w:t xml:space="preserve">, which was greater in </w:t>
      </w:r>
      <w:r w:rsidR="003654C6">
        <w:rPr>
          <w:rFonts w:ascii="Arial" w:hAnsi="Arial" w:cs="Arial"/>
          <w:szCs w:val="22"/>
          <w:lang w:val="en-GB"/>
        </w:rPr>
        <w:t>2017–18</w:t>
      </w:r>
      <w:r w:rsidR="00A73D19" w:rsidRPr="00CB093C">
        <w:rPr>
          <w:rFonts w:ascii="Arial" w:hAnsi="Arial" w:cs="Arial"/>
          <w:szCs w:val="22"/>
          <w:lang w:val="en-GB"/>
        </w:rPr>
        <w:t xml:space="preserve"> than the previous period</w:t>
      </w:r>
      <w:r w:rsidR="00B802FF" w:rsidRPr="00CB093C">
        <w:rPr>
          <w:rFonts w:ascii="Arial" w:hAnsi="Arial" w:cs="Arial"/>
          <w:szCs w:val="22"/>
          <w:lang w:val="en-GB"/>
        </w:rPr>
        <w:t xml:space="preserve"> (</w:t>
      </w:r>
      <w:r w:rsidR="00B802FF" w:rsidRPr="00CB093C">
        <w:rPr>
          <w:rFonts w:ascii="Arial" w:hAnsi="Arial" w:cs="Arial"/>
          <w:szCs w:val="22"/>
          <w:lang w:val="en-GB"/>
        </w:rPr>
        <w:fldChar w:fldCharType="begin"/>
      </w:r>
      <w:r w:rsidR="00B802FF" w:rsidRPr="00CB093C">
        <w:rPr>
          <w:rFonts w:ascii="Arial" w:hAnsi="Arial" w:cs="Arial"/>
          <w:szCs w:val="22"/>
          <w:lang w:val="en-GB"/>
        </w:rPr>
        <w:instrText xml:space="preserve"> REF _Ref318458630 \h </w:instrText>
      </w:r>
      <w:r w:rsidR="00CB093C" w:rsidRPr="00CB093C">
        <w:rPr>
          <w:rFonts w:ascii="Arial" w:hAnsi="Arial" w:cs="Arial"/>
          <w:szCs w:val="22"/>
          <w:lang w:val="en-GB"/>
        </w:rPr>
        <w:instrText xml:space="preserve"> \* MERGEFORMAT </w:instrText>
      </w:r>
      <w:r w:rsidR="00B802FF" w:rsidRPr="00CB093C">
        <w:rPr>
          <w:rFonts w:ascii="Arial" w:hAnsi="Arial" w:cs="Arial"/>
          <w:szCs w:val="22"/>
          <w:lang w:val="en-GB"/>
        </w:rPr>
      </w:r>
      <w:r w:rsidR="00B802FF"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85</w:t>
      </w:r>
      <w:r w:rsidR="00B802FF" w:rsidRPr="00CB093C">
        <w:rPr>
          <w:rFonts w:ascii="Arial" w:hAnsi="Arial" w:cs="Arial"/>
          <w:szCs w:val="22"/>
          <w:lang w:val="en-GB"/>
        </w:rPr>
        <w:fldChar w:fldCharType="end"/>
      </w:r>
      <w:r w:rsidR="00B802FF" w:rsidRPr="00CB093C">
        <w:rPr>
          <w:rFonts w:ascii="Arial" w:hAnsi="Arial" w:cs="Arial"/>
          <w:szCs w:val="22"/>
          <w:lang w:val="en-GB"/>
        </w:rPr>
        <w:t>)</w:t>
      </w:r>
      <w:r w:rsidR="00A73D19" w:rsidRPr="00CB093C">
        <w:rPr>
          <w:rFonts w:ascii="Arial" w:hAnsi="Arial" w:cs="Arial"/>
          <w:szCs w:val="22"/>
          <w:lang w:val="en-GB"/>
        </w:rPr>
        <w:t>.</w:t>
      </w:r>
      <w:r w:rsidR="0091038E" w:rsidRPr="00CB093C">
        <w:rPr>
          <w:rFonts w:ascii="Arial" w:hAnsi="Arial" w:cs="Arial"/>
          <w:szCs w:val="22"/>
          <w:lang w:val="en-GB"/>
        </w:rPr>
        <w:t xml:space="preserve"> </w:t>
      </w:r>
      <w:r w:rsidR="00B802FF" w:rsidRPr="00CB093C">
        <w:rPr>
          <w:rFonts w:ascii="Arial" w:hAnsi="Arial" w:cs="Arial"/>
          <w:szCs w:val="22"/>
          <w:lang w:val="en-GB"/>
        </w:rPr>
        <w:t xml:space="preserve">This may indicate the meadows have a greater capacity to recover from the declining abundances, provided conditions are favourable. </w:t>
      </w:r>
    </w:p>
    <w:p w14:paraId="31625DB5" w14:textId="343025F9" w:rsidR="00F86DA0" w:rsidRPr="00CB093C" w:rsidRDefault="00B802FF" w:rsidP="00DD3BAE">
      <w:pPr>
        <w:autoSpaceDE w:val="0"/>
        <w:autoSpaceDN w:val="0"/>
        <w:adjustRightInd w:val="0"/>
        <w:rPr>
          <w:rFonts w:ascii="Arial" w:hAnsi="Arial" w:cs="Arial"/>
          <w:szCs w:val="22"/>
          <w:lang w:val="en-GB"/>
        </w:rPr>
      </w:pPr>
      <w:r w:rsidRPr="00CB093C">
        <w:rPr>
          <w:rFonts w:ascii="Arial" w:hAnsi="Arial" w:cs="Arial"/>
          <w:szCs w:val="22"/>
          <w:lang w:val="en-GB"/>
        </w:rPr>
        <w:t xml:space="preserve">The apparent disconnect between reproductive effort and seed densities may be an artefact of the sampling frequency and the somewhat stochastic triggers and </w:t>
      </w:r>
      <w:r w:rsidR="001836C3" w:rsidRPr="00CB093C">
        <w:rPr>
          <w:rFonts w:ascii="Arial" w:hAnsi="Arial" w:cs="Arial"/>
          <w:szCs w:val="22"/>
          <w:lang w:val="en-GB"/>
        </w:rPr>
        <w:t xml:space="preserve">possibly </w:t>
      </w:r>
      <w:r w:rsidRPr="00CB093C">
        <w:rPr>
          <w:rFonts w:ascii="Arial" w:hAnsi="Arial" w:cs="Arial"/>
          <w:szCs w:val="22"/>
          <w:lang w:val="en-GB"/>
        </w:rPr>
        <w:t xml:space="preserve">short </w:t>
      </w:r>
      <w:r w:rsidR="001836C3" w:rsidRPr="00CB093C">
        <w:rPr>
          <w:rFonts w:ascii="Arial" w:hAnsi="Arial" w:cs="Arial"/>
          <w:szCs w:val="22"/>
          <w:lang w:val="en-GB"/>
        </w:rPr>
        <w:t>flowering period</w:t>
      </w:r>
      <w:r w:rsidRPr="00CB093C">
        <w:rPr>
          <w:rFonts w:ascii="Arial" w:hAnsi="Arial" w:cs="Arial"/>
          <w:szCs w:val="22"/>
          <w:lang w:val="en-GB"/>
        </w:rPr>
        <w:t xml:space="preserve">. A </w:t>
      </w:r>
      <w:r w:rsidR="0091038E" w:rsidRPr="00CB093C">
        <w:rPr>
          <w:rFonts w:ascii="Arial" w:hAnsi="Arial" w:cs="Arial"/>
          <w:szCs w:val="22"/>
          <w:lang w:val="en-GB"/>
        </w:rPr>
        <w:t>large</w:t>
      </w:r>
      <w:r w:rsidRPr="00CB093C">
        <w:rPr>
          <w:rFonts w:ascii="Arial" w:hAnsi="Arial" w:cs="Arial"/>
          <w:szCs w:val="22"/>
          <w:lang w:val="en-GB"/>
        </w:rPr>
        <w:t xml:space="preserve"> seed bank</w:t>
      </w:r>
      <w:r w:rsidR="0091038E" w:rsidRPr="00CB093C">
        <w:rPr>
          <w:rFonts w:ascii="Arial" w:hAnsi="Arial" w:cs="Arial"/>
          <w:szCs w:val="22"/>
          <w:lang w:val="en-GB"/>
        </w:rPr>
        <w:t xml:space="preserve"> was </w:t>
      </w:r>
      <w:r w:rsidRPr="00CB093C">
        <w:rPr>
          <w:rFonts w:ascii="Arial" w:hAnsi="Arial" w:cs="Arial"/>
          <w:szCs w:val="22"/>
          <w:lang w:val="en-GB"/>
        </w:rPr>
        <w:t xml:space="preserve">also </w:t>
      </w:r>
      <w:r w:rsidR="0091038E" w:rsidRPr="00CB093C">
        <w:rPr>
          <w:rFonts w:ascii="Arial" w:hAnsi="Arial" w:cs="Arial"/>
          <w:szCs w:val="22"/>
          <w:lang w:val="en-GB"/>
        </w:rPr>
        <w:t xml:space="preserve">measured at the coastal sites in the late dry 2017, however </w:t>
      </w:r>
      <w:r w:rsidRPr="00CB093C">
        <w:rPr>
          <w:rFonts w:ascii="Arial" w:hAnsi="Arial" w:cs="Arial"/>
          <w:szCs w:val="22"/>
          <w:lang w:val="en-GB"/>
        </w:rPr>
        <w:t xml:space="preserve">as seed banks have only been assessed </w:t>
      </w:r>
      <w:r w:rsidRPr="00CB093C">
        <w:rPr>
          <w:rFonts w:ascii="Arial" w:hAnsi="Arial" w:cs="Arial"/>
          <w:i/>
          <w:szCs w:val="22"/>
          <w:lang w:val="en-GB"/>
        </w:rPr>
        <w:t xml:space="preserve">ad hoc </w:t>
      </w:r>
      <w:r w:rsidRPr="00CB093C">
        <w:rPr>
          <w:rFonts w:ascii="Arial" w:hAnsi="Arial" w:cs="Arial"/>
          <w:szCs w:val="22"/>
          <w:lang w:val="en-GB"/>
        </w:rPr>
        <w:t>(</w:t>
      </w:r>
      <w:r w:rsidRPr="00CB093C">
        <w:rPr>
          <w:rFonts w:ascii="Arial" w:hAnsi="Arial" w:cs="Arial"/>
          <w:szCs w:val="22"/>
          <w:lang w:val="en-GB"/>
        </w:rPr>
        <w:fldChar w:fldCharType="begin"/>
      </w:r>
      <w:r w:rsidRPr="00CB093C">
        <w:rPr>
          <w:rFonts w:ascii="Arial" w:hAnsi="Arial" w:cs="Arial"/>
          <w:szCs w:val="22"/>
          <w:lang w:val="en-GB"/>
        </w:rPr>
        <w:instrText xml:space="preserve"> REF _Ref318458630 \h </w:instrText>
      </w:r>
      <w:r w:rsidR="00CB093C" w:rsidRPr="00CB093C">
        <w:rPr>
          <w:rFonts w:ascii="Arial" w:hAnsi="Arial" w:cs="Arial"/>
          <w:szCs w:val="22"/>
          <w:lang w:val="en-GB"/>
        </w:rPr>
        <w:instrText xml:space="preserve"> \* MERGEFORMAT </w:instrText>
      </w:r>
      <w:r w:rsidRPr="00CB093C">
        <w:rPr>
          <w:rFonts w:ascii="Arial" w:hAnsi="Arial" w:cs="Arial"/>
          <w:szCs w:val="22"/>
          <w:lang w:val="en-GB"/>
        </w:rPr>
      </w:r>
      <w:r w:rsidRPr="00CB093C">
        <w:rPr>
          <w:rFonts w:ascii="Arial" w:hAnsi="Arial" w:cs="Arial"/>
          <w:szCs w:val="22"/>
          <w:lang w:val="en-GB"/>
        </w:rPr>
        <w:fldChar w:fldCharType="separate"/>
      </w:r>
      <w:r w:rsidR="005F00D4" w:rsidRPr="00CB093C">
        <w:rPr>
          <w:rFonts w:ascii="Arial" w:hAnsi="Arial" w:cs="Arial"/>
          <w:szCs w:val="22"/>
        </w:rPr>
        <w:t xml:space="preserve">Figure </w:t>
      </w:r>
      <w:r w:rsidR="005F00D4">
        <w:rPr>
          <w:rFonts w:ascii="Arial" w:hAnsi="Arial" w:cs="Arial"/>
          <w:noProof/>
          <w:szCs w:val="22"/>
        </w:rPr>
        <w:t>85</w:t>
      </w:r>
      <w:r w:rsidRPr="00CB093C">
        <w:rPr>
          <w:rFonts w:ascii="Arial" w:hAnsi="Arial" w:cs="Arial"/>
          <w:szCs w:val="22"/>
          <w:lang w:val="en-GB"/>
        </w:rPr>
        <w:fldChar w:fldCharType="end"/>
      </w:r>
      <w:r w:rsidRPr="00CB093C">
        <w:rPr>
          <w:rFonts w:ascii="Arial" w:hAnsi="Arial" w:cs="Arial"/>
          <w:szCs w:val="22"/>
          <w:lang w:val="en-GB"/>
        </w:rPr>
        <w:t xml:space="preserve">), no interpretation can be provided. </w:t>
      </w:r>
    </w:p>
    <w:p w14:paraId="7188909B" w14:textId="1A366108" w:rsidR="003E1D94" w:rsidRPr="00CB093C" w:rsidRDefault="00B802FF" w:rsidP="00DD3BAE">
      <w:pPr>
        <w:autoSpaceDE w:val="0"/>
        <w:autoSpaceDN w:val="0"/>
        <w:adjustRightInd w:val="0"/>
        <w:rPr>
          <w:rFonts w:ascii="Arial" w:hAnsi="Arial" w:cs="Arial"/>
          <w:szCs w:val="22"/>
          <w:lang w:val="en-GB"/>
        </w:rPr>
      </w:pPr>
      <w:r w:rsidRPr="00CB093C">
        <w:rPr>
          <w:rFonts w:ascii="Arial" w:hAnsi="Arial" w:cs="Arial"/>
          <w:szCs w:val="22"/>
          <w:lang w:val="en-GB"/>
        </w:rPr>
        <w:t>From 2018</w:t>
      </w:r>
      <w:r w:rsidR="00A675DA" w:rsidRPr="00CB093C">
        <w:rPr>
          <w:rFonts w:ascii="Arial" w:hAnsi="Arial" w:cs="Arial"/>
          <w:szCs w:val="22"/>
          <w:lang w:val="en-GB"/>
        </w:rPr>
        <w:t>–</w:t>
      </w:r>
      <w:r w:rsidRPr="00CB093C">
        <w:rPr>
          <w:rFonts w:ascii="Arial" w:hAnsi="Arial" w:cs="Arial"/>
          <w:szCs w:val="22"/>
          <w:lang w:val="en-GB"/>
        </w:rPr>
        <w:t xml:space="preserve">19, coastal sites will be monitored under standard MMP protocols to match the indicators, frequency and timing of the estuarine site assessments in the region. </w:t>
      </w:r>
    </w:p>
    <w:p w14:paraId="65B2966E" w14:textId="77777777" w:rsidR="0030756A" w:rsidRPr="00CB093C" w:rsidRDefault="0030756A" w:rsidP="00DD3BAE">
      <w:pPr>
        <w:autoSpaceDE w:val="0"/>
        <w:autoSpaceDN w:val="0"/>
        <w:adjustRightInd w:val="0"/>
        <w:rPr>
          <w:rFonts w:ascii="Arial" w:hAnsi="Arial" w:cs="Arial"/>
          <w:szCs w:val="22"/>
          <w:lang w:val="en-GB"/>
        </w:rPr>
      </w:pPr>
    </w:p>
    <w:p w14:paraId="39F04FD3" w14:textId="77777777" w:rsidR="003E1D94" w:rsidRPr="00CB093C" w:rsidRDefault="005B1EEC" w:rsidP="00DD3BAE">
      <w:pPr>
        <w:autoSpaceDE w:val="0"/>
        <w:autoSpaceDN w:val="0"/>
        <w:adjustRightInd w:val="0"/>
        <w:spacing w:before="0" w:after="0"/>
        <w:jc w:val="center"/>
        <w:rPr>
          <w:rFonts w:ascii="Arial" w:hAnsi="Arial" w:cs="Arial"/>
          <w:iCs/>
          <w:szCs w:val="22"/>
        </w:rPr>
      </w:pPr>
      <w:r w:rsidRPr="00CB093C">
        <w:rPr>
          <w:rFonts w:ascii="Arial" w:hAnsi="Arial" w:cs="Arial"/>
          <w:iCs/>
          <w:noProof/>
          <w:szCs w:val="22"/>
          <w:lang w:val="en-US"/>
        </w:rPr>
        <w:drawing>
          <wp:inline distT="0" distB="0" distL="0" distR="0" wp14:anchorId="707556E1" wp14:editId="461FF1DD">
            <wp:extent cx="5616858" cy="1936305"/>
            <wp:effectExtent l="0" t="0" r="3175" b="6985"/>
            <wp:docPr id="521" name="Picture 521" descr="Panel of two composite bar and scatter plot graphs showing seed banks (bars) and reproductive effort (dots) at inshore intertidal habitats in the Burnett Mar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 name="BM_repro16.png"/>
                    <pic:cNvPicPr/>
                  </pic:nvPicPr>
                  <pic:blipFill>
                    <a:blip r:embed="rId128">
                      <a:extLst>
                        <a:ext uri="{28A0092B-C50C-407E-A947-70E740481C1C}">
                          <a14:useLocalDpi xmlns:a14="http://schemas.microsoft.com/office/drawing/2010/main" val="0"/>
                        </a:ext>
                      </a:extLst>
                    </a:blip>
                    <a:stretch>
                      <a:fillRect/>
                    </a:stretch>
                  </pic:blipFill>
                  <pic:spPr>
                    <a:xfrm>
                      <a:off x="0" y="0"/>
                      <a:ext cx="5616858" cy="1936305"/>
                    </a:xfrm>
                    <a:prstGeom prst="rect">
                      <a:avLst/>
                    </a:prstGeom>
                  </pic:spPr>
                </pic:pic>
              </a:graphicData>
            </a:graphic>
          </wp:inline>
        </w:drawing>
      </w:r>
    </w:p>
    <w:p w14:paraId="533317DC" w14:textId="23514B3A" w:rsidR="00DE3A36" w:rsidRPr="00CB093C" w:rsidRDefault="005132EF" w:rsidP="00DD3BAE">
      <w:pPr>
        <w:spacing w:before="0"/>
        <w:rPr>
          <w:rFonts w:ascii="Arial" w:hAnsi="Arial" w:cs="Arial"/>
          <w:i/>
          <w:vanish/>
          <w:color w:val="000000"/>
          <w:szCs w:val="22"/>
          <w:specVanish/>
        </w:rPr>
      </w:pPr>
      <w:bookmarkStart w:id="528" w:name="_Ref318458630"/>
      <w:bookmarkStart w:id="529" w:name="_Toc431493904"/>
      <w:bookmarkStart w:id="530" w:name="_Toc6402850"/>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85</w:t>
      </w:r>
      <w:r w:rsidR="00C506C7" w:rsidRPr="00CB093C">
        <w:rPr>
          <w:rFonts w:ascii="Arial" w:hAnsi="Arial" w:cs="Arial"/>
          <w:noProof/>
          <w:szCs w:val="22"/>
        </w:rPr>
        <w:fldChar w:fldCharType="end"/>
      </w:r>
      <w:bookmarkEnd w:id="528"/>
      <w:r w:rsidRPr="00CB093C">
        <w:rPr>
          <w:rFonts w:ascii="Arial" w:hAnsi="Arial" w:cs="Arial"/>
          <w:szCs w:val="22"/>
        </w:rPr>
        <w:t xml:space="preserve">. </w:t>
      </w:r>
      <w:r w:rsidR="008C23B1" w:rsidRPr="00CB093C">
        <w:rPr>
          <w:rFonts w:ascii="Arial" w:hAnsi="Arial" w:cs="Arial"/>
          <w:i/>
          <w:szCs w:val="22"/>
        </w:rPr>
        <w:t>Burnett Mary estuary seed bank and reproductive effort</w:t>
      </w:r>
      <w:r w:rsidR="00C73F73" w:rsidRPr="00CB093C">
        <w:rPr>
          <w:rFonts w:ascii="Arial" w:hAnsi="Arial" w:cs="Arial"/>
          <w:i/>
          <w:szCs w:val="22"/>
        </w:rPr>
        <w:t>.</w:t>
      </w:r>
      <w:bookmarkEnd w:id="529"/>
      <w:bookmarkEnd w:id="530"/>
      <w:r w:rsidR="00C73F73" w:rsidRPr="00CB093C">
        <w:rPr>
          <w:rFonts w:ascii="Arial" w:hAnsi="Arial" w:cs="Arial"/>
          <w:i/>
          <w:vanish/>
          <w:szCs w:val="22"/>
          <w:specVanish/>
        </w:rPr>
        <w:t xml:space="preserve"> </w:t>
      </w:r>
    </w:p>
    <w:p w14:paraId="6A273454" w14:textId="77777777" w:rsidR="004926CE" w:rsidRPr="00CB093C" w:rsidRDefault="00C73F73" w:rsidP="00DD3BAE">
      <w:pPr>
        <w:spacing w:before="0"/>
        <w:rPr>
          <w:rFonts w:ascii="Arial" w:hAnsi="Arial" w:cs="Arial"/>
          <w:szCs w:val="22"/>
        </w:rPr>
      </w:pPr>
      <w:r w:rsidRPr="00CB093C">
        <w:rPr>
          <w:rFonts w:ascii="Arial" w:hAnsi="Arial" w:cs="Arial"/>
          <w:i/>
          <w:szCs w:val="22"/>
        </w:rPr>
        <w:t>Seed bank presented as the total number of seeds per m</w:t>
      </w:r>
      <w:r w:rsidRPr="00CB093C">
        <w:rPr>
          <w:rFonts w:ascii="Arial" w:hAnsi="Arial" w:cs="Arial"/>
          <w:i/>
          <w:szCs w:val="22"/>
          <w:vertAlign w:val="superscript"/>
        </w:rPr>
        <w:t>2</w:t>
      </w:r>
      <w:r w:rsidRPr="00CB093C">
        <w:rPr>
          <w:rFonts w:ascii="Arial" w:hAnsi="Arial" w:cs="Arial"/>
          <w:i/>
          <w:szCs w:val="22"/>
        </w:rPr>
        <w:t xml:space="preserve"> sediment surface and reproductive effort</w:t>
      </w:r>
      <w:r w:rsidR="008C23B1" w:rsidRPr="00CB093C">
        <w:rPr>
          <w:rFonts w:ascii="Arial" w:hAnsi="Arial" w:cs="Arial"/>
          <w:i/>
          <w:szCs w:val="22"/>
        </w:rPr>
        <w:t xml:space="preserve"> presented as the average number of reproductive structures per c</w:t>
      </w:r>
      <w:r w:rsidR="002C16F4" w:rsidRPr="00CB093C">
        <w:rPr>
          <w:rFonts w:ascii="Arial" w:hAnsi="Arial" w:cs="Arial"/>
          <w:i/>
          <w:szCs w:val="22"/>
        </w:rPr>
        <w:t>ore (species and sites pooled)</w:t>
      </w:r>
      <w:r w:rsidR="008C23B1" w:rsidRPr="00CB093C">
        <w:rPr>
          <w:rFonts w:ascii="Arial" w:hAnsi="Arial" w:cs="Arial"/>
          <w:i/>
          <w:szCs w:val="22"/>
        </w:rPr>
        <w:t>.</w:t>
      </w:r>
      <w:r w:rsidRPr="00CB093C">
        <w:rPr>
          <w:rFonts w:ascii="Arial" w:hAnsi="Arial" w:cs="Arial"/>
          <w:szCs w:val="22"/>
        </w:rPr>
        <w:t xml:space="preserve"> </w:t>
      </w:r>
    </w:p>
    <w:p w14:paraId="6787EF70" w14:textId="214D99AA" w:rsidR="00364338" w:rsidRPr="00CB093C" w:rsidRDefault="00364338" w:rsidP="000F3AC4">
      <w:pPr>
        <w:pStyle w:val="Heading3"/>
        <w:numPr>
          <w:ilvl w:val="3"/>
          <w:numId w:val="4"/>
        </w:numPr>
        <w:rPr>
          <w:rFonts w:ascii="Arial" w:hAnsi="Arial" w:cs="Arial"/>
          <w:b w:val="0"/>
          <w:i/>
          <w:color w:val="000000"/>
          <w:sz w:val="22"/>
          <w:szCs w:val="22"/>
        </w:rPr>
      </w:pPr>
      <w:bookmarkStart w:id="531" w:name="_Toc11394776"/>
      <w:r w:rsidRPr="00CB093C">
        <w:rPr>
          <w:rFonts w:ascii="Arial" w:hAnsi="Arial" w:cs="Arial"/>
          <w:b w:val="0"/>
          <w:i/>
          <w:color w:val="000000"/>
          <w:sz w:val="22"/>
          <w:szCs w:val="22"/>
        </w:rPr>
        <w:t>Seagrass leaf tissue nutrients</w:t>
      </w:r>
      <w:bookmarkEnd w:id="531"/>
    </w:p>
    <w:p w14:paraId="78A5D6B7" w14:textId="362D9F45" w:rsidR="00F86DA0" w:rsidRPr="00CB093C" w:rsidRDefault="005132EF" w:rsidP="00E964D0">
      <w:pPr>
        <w:rPr>
          <w:rFonts w:ascii="Arial" w:hAnsi="Arial" w:cs="Arial"/>
          <w:iCs/>
          <w:color w:val="000000" w:themeColor="text1"/>
          <w:szCs w:val="22"/>
        </w:rPr>
      </w:pPr>
      <w:r w:rsidRPr="00CB093C">
        <w:rPr>
          <w:rFonts w:ascii="Arial" w:hAnsi="Arial" w:cs="Arial"/>
          <w:iCs/>
          <w:color w:val="000000" w:themeColor="text1"/>
          <w:szCs w:val="22"/>
        </w:rPr>
        <w:t>In 201</w:t>
      </w:r>
      <w:r w:rsidR="006F2136" w:rsidRPr="00CB093C">
        <w:rPr>
          <w:rFonts w:ascii="Arial" w:hAnsi="Arial" w:cs="Arial"/>
          <w:iCs/>
          <w:color w:val="000000" w:themeColor="text1"/>
          <w:szCs w:val="22"/>
        </w:rPr>
        <w:t>7</w:t>
      </w:r>
      <w:r w:rsidRPr="00CB093C">
        <w:rPr>
          <w:rFonts w:ascii="Arial" w:hAnsi="Arial" w:cs="Arial"/>
          <w:iCs/>
          <w:color w:val="000000" w:themeColor="text1"/>
          <w:szCs w:val="22"/>
        </w:rPr>
        <w:t xml:space="preserve">, </w:t>
      </w:r>
      <w:r w:rsidR="00B55FCB" w:rsidRPr="00CB093C">
        <w:rPr>
          <w:rFonts w:ascii="Arial" w:hAnsi="Arial" w:cs="Arial"/>
          <w:i/>
          <w:color w:val="000000" w:themeColor="text1"/>
          <w:szCs w:val="22"/>
        </w:rPr>
        <w:t>Zostera muelleri</w:t>
      </w:r>
      <w:r w:rsidR="00B55FCB" w:rsidRPr="00CB093C">
        <w:rPr>
          <w:rFonts w:ascii="Arial" w:hAnsi="Arial" w:cs="Arial"/>
          <w:color w:val="000000" w:themeColor="text1"/>
          <w:szCs w:val="22"/>
        </w:rPr>
        <w:t xml:space="preserve"> </w:t>
      </w:r>
      <w:r w:rsidR="00B55FCB" w:rsidRPr="00CB093C">
        <w:rPr>
          <w:rFonts w:ascii="Arial" w:hAnsi="Arial" w:cs="Arial"/>
          <w:iCs/>
          <w:color w:val="000000" w:themeColor="text1"/>
          <w:szCs w:val="22"/>
        </w:rPr>
        <w:t xml:space="preserve">leaf molar C:N ratios </w:t>
      </w:r>
      <w:r w:rsidR="00E964D0" w:rsidRPr="00CB093C">
        <w:rPr>
          <w:rFonts w:ascii="Arial" w:hAnsi="Arial" w:cs="Arial"/>
          <w:iCs/>
          <w:color w:val="000000" w:themeColor="text1"/>
          <w:szCs w:val="22"/>
        </w:rPr>
        <w:t>marginally</w:t>
      </w:r>
      <w:r w:rsidR="006F2136" w:rsidRPr="00CB093C">
        <w:rPr>
          <w:rFonts w:ascii="Arial" w:hAnsi="Arial" w:cs="Arial"/>
          <w:iCs/>
          <w:color w:val="000000" w:themeColor="text1"/>
          <w:szCs w:val="22"/>
        </w:rPr>
        <w:t xml:space="preserve"> reduced</w:t>
      </w:r>
      <w:r w:rsidR="004529C1" w:rsidRPr="00CB093C">
        <w:rPr>
          <w:rFonts w:ascii="Arial" w:hAnsi="Arial" w:cs="Arial"/>
          <w:iCs/>
          <w:color w:val="000000" w:themeColor="text1"/>
          <w:szCs w:val="22"/>
        </w:rPr>
        <w:t xml:space="preserve"> at the estuary sites compared to the previous two years</w:t>
      </w:r>
      <w:r w:rsidR="00EF7400" w:rsidRPr="00CB093C">
        <w:rPr>
          <w:rFonts w:ascii="Arial" w:hAnsi="Arial" w:cs="Arial"/>
          <w:iCs/>
          <w:color w:val="000000" w:themeColor="text1"/>
          <w:szCs w:val="22"/>
        </w:rPr>
        <w:t xml:space="preserve"> </w:t>
      </w:r>
      <w:r w:rsidR="00830213" w:rsidRPr="00CB093C">
        <w:rPr>
          <w:rFonts w:ascii="Arial" w:hAnsi="Arial" w:cs="Arial"/>
          <w:iCs/>
          <w:color w:val="000000" w:themeColor="text1"/>
          <w:szCs w:val="22"/>
        </w:rPr>
        <w:t>(</w:t>
      </w:r>
      <w:r w:rsidR="00E964D0" w:rsidRPr="00CB093C">
        <w:rPr>
          <w:rFonts w:ascii="Arial" w:hAnsi="Arial" w:cs="Arial"/>
          <w:iCs/>
          <w:szCs w:val="22"/>
        </w:rPr>
        <w:fldChar w:fldCharType="begin"/>
      </w:r>
      <w:r w:rsidR="00E964D0" w:rsidRPr="00CB093C">
        <w:rPr>
          <w:rFonts w:ascii="Arial" w:hAnsi="Arial" w:cs="Arial"/>
          <w:iCs/>
          <w:szCs w:val="22"/>
        </w:rPr>
        <w:instrText xml:space="preserve"> REF _Ref410308585 \h </w:instrText>
      </w:r>
      <w:r w:rsidR="00CB093C" w:rsidRPr="00CB093C">
        <w:rPr>
          <w:rFonts w:ascii="Arial" w:hAnsi="Arial" w:cs="Arial"/>
          <w:iCs/>
          <w:szCs w:val="22"/>
        </w:rPr>
        <w:instrText xml:space="preserve"> \* MERGEFORMAT </w:instrText>
      </w:r>
      <w:r w:rsidR="00E964D0" w:rsidRPr="00CB093C">
        <w:rPr>
          <w:rFonts w:ascii="Arial" w:hAnsi="Arial" w:cs="Arial"/>
          <w:iCs/>
          <w:szCs w:val="22"/>
        </w:rPr>
      </w:r>
      <w:r w:rsidR="00E964D0" w:rsidRPr="00CB093C">
        <w:rPr>
          <w:rFonts w:ascii="Arial" w:hAnsi="Arial" w:cs="Arial"/>
          <w:iCs/>
          <w:szCs w:val="22"/>
        </w:rPr>
        <w:fldChar w:fldCharType="separate"/>
      </w:r>
      <w:r w:rsidR="005F00D4" w:rsidRPr="00CB093C">
        <w:rPr>
          <w:rFonts w:ascii="Arial" w:hAnsi="Arial" w:cs="Arial"/>
          <w:szCs w:val="22"/>
        </w:rPr>
        <w:t xml:space="preserve">Figure </w:t>
      </w:r>
      <w:r w:rsidR="005F00D4">
        <w:rPr>
          <w:rFonts w:ascii="Arial" w:hAnsi="Arial" w:cs="Arial"/>
          <w:noProof/>
          <w:szCs w:val="22"/>
        </w:rPr>
        <w:t>86</w:t>
      </w:r>
      <w:r w:rsidR="00E964D0" w:rsidRPr="00CB093C">
        <w:rPr>
          <w:rFonts w:ascii="Arial" w:hAnsi="Arial" w:cs="Arial"/>
          <w:iCs/>
          <w:szCs w:val="22"/>
        </w:rPr>
        <w:fldChar w:fldCharType="end"/>
      </w:r>
      <w:r w:rsidR="00830213" w:rsidRPr="00CB093C">
        <w:rPr>
          <w:rFonts w:ascii="Arial" w:hAnsi="Arial" w:cs="Arial"/>
          <w:iCs/>
          <w:color w:val="000000" w:themeColor="text1"/>
          <w:szCs w:val="22"/>
        </w:rPr>
        <w:t>)</w:t>
      </w:r>
      <w:r w:rsidR="001E1D1D" w:rsidRPr="00CB093C">
        <w:rPr>
          <w:rFonts w:ascii="Arial" w:hAnsi="Arial" w:cs="Arial"/>
          <w:iCs/>
          <w:color w:val="000000" w:themeColor="text1"/>
          <w:szCs w:val="22"/>
        </w:rPr>
        <w:t xml:space="preserve">. </w:t>
      </w:r>
      <w:r w:rsidR="00DE6DCE" w:rsidRPr="00CB093C">
        <w:rPr>
          <w:rFonts w:ascii="Arial" w:hAnsi="Arial" w:cs="Arial"/>
          <w:iCs/>
          <w:color w:val="000000" w:themeColor="text1"/>
          <w:szCs w:val="22"/>
        </w:rPr>
        <w:t>The C:P ratio declined more substantially overall at estuarine sites</w:t>
      </w:r>
      <w:r w:rsidR="006F2136" w:rsidRPr="00CB093C">
        <w:rPr>
          <w:rFonts w:ascii="Arial" w:hAnsi="Arial" w:cs="Arial"/>
          <w:iCs/>
          <w:color w:val="000000" w:themeColor="text1"/>
          <w:szCs w:val="22"/>
        </w:rPr>
        <w:t xml:space="preserve">. This would appear to be due </w:t>
      </w:r>
      <w:r w:rsidR="00DE6DCE" w:rsidRPr="00CB093C">
        <w:rPr>
          <w:rFonts w:ascii="Arial" w:hAnsi="Arial" w:cs="Arial"/>
          <w:iCs/>
          <w:color w:val="000000" w:themeColor="text1"/>
          <w:szCs w:val="22"/>
        </w:rPr>
        <w:t>to a</w:t>
      </w:r>
      <w:r w:rsidR="006F2136" w:rsidRPr="00CB093C">
        <w:rPr>
          <w:rFonts w:ascii="Arial" w:hAnsi="Arial" w:cs="Arial"/>
          <w:iCs/>
          <w:color w:val="000000" w:themeColor="text1"/>
          <w:szCs w:val="22"/>
        </w:rPr>
        <w:t xml:space="preserve">n increase in P at all </w:t>
      </w:r>
      <w:r w:rsidR="00E964D0" w:rsidRPr="00CB093C">
        <w:rPr>
          <w:rFonts w:ascii="Arial" w:hAnsi="Arial" w:cs="Arial"/>
          <w:iCs/>
          <w:color w:val="000000" w:themeColor="text1"/>
          <w:szCs w:val="22"/>
        </w:rPr>
        <w:t xml:space="preserve">estuarine </w:t>
      </w:r>
      <w:r w:rsidR="006F2136" w:rsidRPr="00CB093C">
        <w:rPr>
          <w:rFonts w:ascii="Arial" w:hAnsi="Arial" w:cs="Arial"/>
          <w:iCs/>
          <w:color w:val="000000" w:themeColor="text1"/>
          <w:szCs w:val="22"/>
        </w:rPr>
        <w:t xml:space="preserve">sites, while the </w:t>
      </w:r>
      <w:r w:rsidR="00E964D0" w:rsidRPr="00CB093C">
        <w:rPr>
          <w:rFonts w:ascii="Arial" w:hAnsi="Arial" w:cs="Arial"/>
          <w:iCs/>
          <w:color w:val="000000" w:themeColor="text1"/>
          <w:szCs w:val="22"/>
        </w:rPr>
        <w:t>lower</w:t>
      </w:r>
      <w:r w:rsidR="006F2136" w:rsidRPr="00CB093C">
        <w:rPr>
          <w:rFonts w:ascii="Arial" w:hAnsi="Arial" w:cs="Arial"/>
          <w:iCs/>
          <w:color w:val="000000" w:themeColor="text1"/>
          <w:szCs w:val="22"/>
        </w:rPr>
        <w:t xml:space="preserve"> </w:t>
      </w:r>
      <w:r w:rsidR="006F2136" w:rsidRPr="00CB093C">
        <w:rPr>
          <w:rFonts w:ascii="Arial" w:hAnsi="Arial" w:cs="Arial"/>
          <w:iCs/>
          <w:color w:val="000000" w:themeColor="text1"/>
          <w:szCs w:val="22"/>
        </w:rPr>
        <w:sym w:font="Symbol" w:char="F064"/>
      </w:r>
      <w:r w:rsidR="006F2136" w:rsidRPr="00CB093C">
        <w:rPr>
          <w:rFonts w:ascii="Arial" w:hAnsi="Arial" w:cs="Arial"/>
          <w:iCs/>
          <w:color w:val="000000" w:themeColor="text1"/>
          <w:szCs w:val="22"/>
          <w:vertAlign w:val="superscript"/>
        </w:rPr>
        <w:t>13</w:t>
      </w:r>
      <w:r w:rsidR="006F2136" w:rsidRPr="00CB093C">
        <w:rPr>
          <w:rFonts w:ascii="Arial" w:hAnsi="Arial" w:cs="Arial"/>
          <w:iCs/>
          <w:color w:val="000000" w:themeColor="text1"/>
          <w:szCs w:val="22"/>
        </w:rPr>
        <w:t xml:space="preserve">C indicates </w:t>
      </w:r>
      <w:r w:rsidR="00E964D0" w:rsidRPr="00CB093C">
        <w:rPr>
          <w:rFonts w:ascii="Arial" w:hAnsi="Arial" w:cs="Arial"/>
          <w:iCs/>
          <w:color w:val="000000" w:themeColor="text1"/>
          <w:szCs w:val="22"/>
        </w:rPr>
        <w:t>improved</w:t>
      </w:r>
      <w:r w:rsidR="006F2136" w:rsidRPr="00CB093C">
        <w:rPr>
          <w:rFonts w:ascii="Arial" w:hAnsi="Arial" w:cs="Arial"/>
          <w:iCs/>
          <w:color w:val="000000" w:themeColor="text1"/>
          <w:szCs w:val="22"/>
        </w:rPr>
        <w:t xml:space="preserve"> light availability</w:t>
      </w:r>
      <w:r w:rsidR="00DE6DCE" w:rsidRPr="00CB093C">
        <w:rPr>
          <w:rFonts w:ascii="Arial" w:hAnsi="Arial" w:cs="Arial"/>
          <w:iCs/>
          <w:color w:val="000000" w:themeColor="text1"/>
          <w:szCs w:val="22"/>
        </w:rPr>
        <w:t xml:space="preserve">. </w:t>
      </w:r>
    </w:p>
    <w:p w14:paraId="4DC91975" w14:textId="0F43DD6E" w:rsidR="00F86DA0" w:rsidRPr="00CB093C" w:rsidRDefault="00257FE0" w:rsidP="00E964D0">
      <w:pPr>
        <w:rPr>
          <w:rFonts w:ascii="Arial" w:hAnsi="Arial" w:cs="Arial"/>
          <w:iCs/>
          <w:szCs w:val="22"/>
        </w:rPr>
      </w:pPr>
      <w:r w:rsidRPr="00CB093C">
        <w:rPr>
          <w:rFonts w:ascii="Arial" w:hAnsi="Arial" w:cs="Arial"/>
          <w:iCs/>
          <w:color w:val="000000" w:themeColor="text1"/>
          <w:szCs w:val="22"/>
        </w:rPr>
        <w:t xml:space="preserve">At the coastal sites, </w:t>
      </w:r>
      <w:r w:rsidR="00E964D0" w:rsidRPr="00CB093C">
        <w:rPr>
          <w:rFonts w:ascii="Arial" w:hAnsi="Arial" w:cs="Arial"/>
          <w:iCs/>
          <w:color w:val="000000" w:themeColor="text1"/>
          <w:szCs w:val="22"/>
        </w:rPr>
        <w:t xml:space="preserve">seagrass </w:t>
      </w:r>
      <w:r w:rsidR="001836C3" w:rsidRPr="00CB093C">
        <w:rPr>
          <w:rFonts w:ascii="Arial" w:hAnsi="Arial" w:cs="Arial"/>
          <w:iCs/>
          <w:color w:val="000000" w:themeColor="text1"/>
          <w:szCs w:val="22"/>
        </w:rPr>
        <w:t>(</w:t>
      </w:r>
      <w:r w:rsidR="001836C3" w:rsidRPr="00CB093C">
        <w:rPr>
          <w:rFonts w:ascii="Arial" w:hAnsi="Arial" w:cs="Arial"/>
          <w:i/>
          <w:iCs/>
          <w:color w:val="000000" w:themeColor="text1"/>
          <w:szCs w:val="22"/>
        </w:rPr>
        <w:t>Halodule uninervis</w:t>
      </w:r>
      <w:r w:rsidR="001836C3" w:rsidRPr="00CB093C">
        <w:rPr>
          <w:rFonts w:ascii="Arial" w:hAnsi="Arial" w:cs="Arial"/>
          <w:iCs/>
          <w:color w:val="000000" w:themeColor="text1"/>
          <w:szCs w:val="22"/>
        </w:rPr>
        <w:t xml:space="preserve"> and </w:t>
      </w:r>
      <w:r w:rsidR="001836C3" w:rsidRPr="00CB093C">
        <w:rPr>
          <w:rFonts w:ascii="Arial" w:hAnsi="Arial" w:cs="Arial"/>
          <w:i/>
          <w:color w:val="000000" w:themeColor="text1"/>
          <w:szCs w:val="22"/>
        </w:rPr>
        <w:t>Zostera muelleri</w:t>
      </w:r>
      <w:r w:rsidR="001836C3" w:rsidRPr="00CB093C">
        <w:rPr>
          <w:rFonts w:ascii="Arial" w:hAnsi="Arial" w:cs="Arial"/>
          <w:iCs/>
          <w:color w:val="000000" w:themeColor="text1"/>
          <w:szCs w:val="22"/>
        </w:rPr>
        <w:t xml:space="preserve">) </w:t>
      </w:r>
      <w:r w:rsidRPr="00CB093C">
        <w:rPr>
          <w:rFonts w:ascii="Arial" w:hAnsi="Arial" w:cs="Arial"/>
          <w:iCs/>
          <w:color w:val="000000" w:themeColor="text1"/>
          <w:szCs w:val="22"/>
        </w:rPr>
        <w:t>leaf molar C:N ratios</w:t>
      </w:r>
      <w:r w:rsidR="00E964D0" w:rsidRPr="00CB093C">
        <w:rPr>
          <w:rFonts w:ascii="Arial" w:hAnsi="Arial" w:cs="Arial"/>
          <w:iCs/>
          <w:color w:val="000000" w:themeColor="text1"/>
          <w:szCs w:val="22"/>
        </w:rPr>
        <w:t xml:space="preserve"> were </w:t>
      </w:r>
      <w:r w:rsidR="00E964D0" w:rsidRPr="00CB093C">
        <w:rPr>
          <w:rFonts w:ascii="Arial" w:hAnsi="Arial" w:cs="Arial"/>
          <w:iCs/>
          <w:szCs w:val="22"/>
        </w:rPr>
        <w:t>similar to the previous year, remaining below 20 (</w:t>
      </w:r>
      <w:r w:rsidR="00E964D0" w:rsidRPr="00CB093C">
        <w:rPr>
          <w:rFonts w:ascii="Arial" w:hAnsi="Arial" w:cs="Arial"/>
          <w:iCs/>
          <w:szCs w:val="22"/>
        </w:rPr>
        <w:fldChar w:fldCharType="begin"/>
      </w:r>
      <w:r w:rsidR="00E964D0" w:rsidRPr="00CB093C">
        <w:rPr>
          <w:rFonts w:ascii="Arial" w:hAnsi="Arial" w:cs="Arial"/>
          <w:iCs/>
          <w:szCs w:val="22"/>
        </w:rPr>
        <w:instrText xml:space="preserve"> REF _Ref410308585 \h </w:instrText>
      </w:r>
      <w:r w:rsidR="00CB093C" w:rsidRPr="00CB093C">
        <w:rPr>
          <w:rFonts w:ascii="Arial" w:hAnsi="Arial" w:cs="Arial"/>
          <w:iCs/>
          <w:szCs w:val="22"/>
        </w:rPr>
        <w:instrText xml:space="preserve"> \* MERGEFORMAT </w:instrText>
      </w:r>
      <w:r w:rsidR="00E964D0" w:rsidRPr="00CB093C">
        <w:rPr>
          <w:rFonts w:ascii="Arial" w:hAnsi="Arial" w:cs="Arial"/>
          <w:iCs/>
          <w:szCs w:val="22"/>
        </w:rPr>
      </w:r>
      <w:r w:rsidR="00E964D0" w:rsidRPr="00CB093C">
        <w:rPr>
          <w:rFonts w:ascii="Arial" w:hAnsi="Arial" w:cs="Arial"/>
          <w:iCs/>
          <w:szCs w:val="22"/>
        </w:rPr>
        <w:fldChar w:fldCharType="separate"/>
      </w:r>
      <w:r w:rsidR="005F00D4" w:rsidRPr="00CB093C">
        <w:rPr>
          <w:rFonts w:ascii="Arial" w:hAnsi="Arial" w:cs="Arial"/>
          <w:szCs w:val="22"/>
        </w:rPr>
        <w:t xml:space="preserve">Figure </w:t>
      </w:r>
      <w:r w:rsidR="005F00D4">
        <w:rPr>
          <w:rFonts w:ascii="Arial" w:hAnsi="Arial" w:cs="Arial"/>
          <w:noProof/>
          <w:szCs w:val="22"/>
        </w:rPr>
        <w:t>86</w:t>
      </w:r>
      <w:r w:rsidR="00E964D0" w:rsidRPr="00CB093C">
        <w:rPr>
          <w:rFonts w:ascii="Arial" w:hAnsi="Arial" w:cs="Arial"/>
          <w:iCs/>
          <w:szCs w:val="22"/>
        </w:rPr>
        <w:fldChar w:fldCharType="end"/>
      </w:r>
      <w:r w:rsidR="00E964D0" w:rsidRPr="00CB093C">
        <w:rPr>
          <w:rFonts w:ascii="Arial" w:hAnsi="Arial" w:cs="Arial"/>
          <w:iCs/>
          <w:szCs w:val="22"/>
        </w:rPr>
        <w:t xml:space="preserve">), indicating a surplus of N relative to photosynthetic C incorporation. </w:t>
      </w:r>
    </w:p>
    <w:p w14:paraId="352DF479" w14:textId="399283C0" w:rsidR="00E964D0" w:rsidRPr="00CB093C" w:rsidRDefault="00E964D0" w:rsidP="00E964D0">
      <w:pPr>
        <w:rPr>
          <w:rFonts w:ascii="Arial" w:hAnsi="Arial" w:cs="Arial"/>
          <w:iCs/>
          <w:szCs w:val="22"/>
        </w:rPr>
      </w:pPr>
      <w:r w:rsidRPr="00CB093C">
        <w:rPr>
          <w:rFonts w:ascii="Arial" w:hAnsi="Arial" w:cs="Arial"/>
          <w:iCs/>
          <w:szCs w:val="22"/>
        </w:rPr>
        <w:t xml:space="preserve">N:P ratios remained very high (above 40), which </w:t>
      </w:r>
      <w:r w:rsidR="00F86DA0" w:rsidRPr="00CB093C">
        <w:rPr>
          <w:rFonts w:ascii="Arial" w:hAnsi="Arial" w:cs="Arial"/>
          <w:iCs/>
          <w:szCs w:val="22"/>
        </w:rPr>
        <w:t>is</w:t>
      </w:r>
      <w:r w:rsidRPr="00CB093C">
        <w:rPr>
          <w:rFonts w:ascii="Arial" w:hAnsi="Arial" w:cs="Arial"/>
          <w:iCs/>
          <w:szCs w:val="22"/>
        </w:rPr>
        <w:t xml:space="preserve"> higher than global median %N, indicat</w:t>
      </w:r>
      <w:r w:rsidR="00F86DA0" w:rsidRPr="00CB093C">
        <w:rPr>
          <w:rFonts w:ascii="Arial" w:hAnsi="Arial" w:cs="Arial"/>
          <w:iCs/>
          <w:szCs w:val="22"/>
        </w:rPr>
        <w:t>ing</w:t>
      </w:r>
      <w:r w:rsidRPr="00CB093C">
        <w:rPr>
          <w:rFonts w:ascii="Arial" w:hAnsi="Arial" w:cs="Arial"/>
          <w:iCs/>
          <w:szCs w:val="22"/>
        </w:rPr>
        <w:t xml:space="preserve"> surplus (elevated) availability of N</w:t>
      </w:r>
      <w:r w:rsidR="00FA75F8" w:rsidRPr="00CB093C">
        <w:rPr>
          <w:rFonts w:ascii="Arial" w:hAnsi="Arial" w:cs="Arial"/>
          <w:iCs/>
          <w:szCs w:val="22"/>
        </w:rPr>
        <w:t xml:space="preserve"> </w:t>
      </w:r>
      <w:r w:rsidRPr="00CB093C">
        <w:rPr>
          <w:rFonts w:ascii="Arial" w:hAnsi="Arial" w:cs="Arial"/>
          <w:iCs/>
          <w:szCs w:val="22"/>
        </w:rPr>
        <w:t>(</w:t>
      </w:r>
      <w:r w:rsidRPr="00CB093C">
        <w:rPr>
          <w:rFonts w:ascii="Arial" w:hAnsi="Arial" w:cs="Arial"/>
          <w:iCs/>
          <w:szCs w:val="22"/>
        </w:rPr>
        <w:fldChar w:fldCharType="begin"/>
      </w:r>
      <w:r w:rsidRPr="00CB093C">
        <w:rPr>
          <w:rFonts w:ascii="Arial" w:hAnsi="Arial" w:cs="Arial"/>
          <w:iCs/>
          <w:szCs w:val="22"/>
        </w:rPr>
        <w:instrText xml:space="preserve"> REF _Ref410308585 \h </w:instrText>
      </w:r>
      <w:r w:rsidR="00CB093C" w:rsidRPr="00CB093C">
        <w:rPr>
          <w:rFonts w:ascii="Arial" w:hAnsi="Arial" w:cs="Arial"/>
          <w:iCs/>
          <w:szCs w:val="22"/>
        </w:rPr>
        <w:instrText xml:space="preserve"> \* MERGEFORMAT </w:instrText>
      </w:r>
      <w:r w:rsidRPr="00CB093C">
        <w:rPr>
          <w:rFonts w:ascii="Arial" w:hAnsi="Arial" w:cs="Arial"/>
          <w:iCs/>
          <w:szCs w:val="22"/>
        </w:rPr>
      </w:r>
      <w:r w:rsidRPr="00CB093C">
        <w:rPr>
          <w:rFonts w:ascii="Arial" w:hAnsi="Arial" w:cs="Arial"/>
          <w:iCs/>
          <w:szCs w:val="22"/>
        </w:rPr>
        <w:fldChar w:fldCharType="separate"/>
      </w:r>
      <w:r w:rsidR="005F00D4" w:rsidRPr="00CB093C">
        <w:rPr>
          <w:rFonts w:ascii="Arial" w:hAnsi="Arial" w:cs="Arial"/>
          <w:szCs w:val="22"/>
        </w:rPr>
        <w:t xml:space="preserve">Figure </w:t>
      </w:r>
      <w:r w:rsidR="005F00D4">
        <w:rPr>
          <w:rFonts w:ascii="Arial" w:hAnsi="Arial" w:cs="Arial"/>
          <w:noProof/>
          <w:szCs w:val="22"/>
        </w:rPr>
        <w:t>86</w:t>
      </w:r>
      <w:r w:rsidRPr="00CB093C">
        <w:rPr>
          <w:rFonts w:ascii="Arial" w:hAnsi="Arial" w:cs="Arial"/>
          <w:iCs/>
          <w:szCs w:val="22"/>
        </w:rPr>
        <w:fldChar w:fldCharType="end"/>
      </w:r>
      <w:r w:rsidRPr="00CB093C">
        <w:rPr>
          <w:rFonts w:ascii="Arial" w:hAnsi="Arial" w:cs="Arial"/>
          <w:iCs/>
          <w:szCs w:val="22"/>
        </w:rPr>
        <w:t>)</w:t>
      </w:r>
      <w:r w:rsidRPr="00CB093C">
        <w:rPr>
          <w:rFonts w:ascii="Arial" w:hAnsi="Arial" w:cs="Arial"/>
          <w:szCs w:val="22"/>
          <w:lang w:val="en-GB"/>
        </w:rPr>
        <w:t>.</w:t>
      </w:r>
    </w:p>
    <w:p w14:paraId="45F3CDE0" w14:textId="77777777" w:rsidR="00E964D0" w:rsidRPr="00CB093C" w:rsidRDefault="00E964D0" w:rsidP="00034AD4">
      <w:pPr>
        <w:rPr>
          <w:rFonts w:ascii="Arial" w:hAnsi="Arial" w:cs="Arial"/>
          <w:iCs/>
          <w:color w:val="000000" w:themeColor="text1"/>
          <w:szCs w:val="22"/>
        </w:rPr>
      </w:pPr>
    </w:p>
    <w:p w14:paraId="44EED2DD" w14:textId="77777777" w:rsidR="003E1D94" w:rsidRPr="00CB093C" w:rsidRDefault="005B1EEC" w:rsidP="00DE2FE4">
      <w:pPr>
        <w:jc w:val="center"/>
        <w:rPr>
          <w:rFonts w:ascii="Arial" w:hAnsi="Arial" w:cs="Arial"/>
          <w:iCs/>
          <w:color w:val="000000"/>
          <w:szCs w:val="22"/>
        </w:rPr>
      </w:pPr>
      <w:r w:rsidRPr="00CB093C">
        <w:rPr>
          <w:rFonts w:ascii="Arial" w:hAnsi="Arial" w:cs="Arial"/>
          <w:iCs/>
          <w:noProof/>
          <w:color w:val="000000"/>
          <w:szCs w:val="22"/>
          <w:lang w:val="en-US"/>
        </w:rPr>
        <w:drawing>
          <wp:inline distT="0" distB="0" distL="0" distR="0" wp14:anchorId="006DB640" wp14:editId="27CDF0FA">
            <wp:extent cx="5082745" cy="6682157"/>
            <wp:effectExtent l="0" t="0" r="3810" b="4445"/>
            <wp:docPr id="522" name="Picture 522" descr="Set of fourteen scatter plots, displayed in seven by two matrix, with straight lines and markers showing annual elemental ratios (atomic) of seagrass leaf tissue C:N, N:P, C:P, percent Nitrogen, percent Phosphorous, delta 13 Carbon and delta 15 Nitrogen concentrations for the three seagrass habitats in the Burnett Mary NRM region from 2006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 name="BM_CNP_Dec16.png"/>
                    <pic:cNvPicPr/>
                  </pic:nvPicPr>
                  <pic:blipFill>
                    <a:blip r:embed="rId129"/>
                    <a:stretch>
                      <a:fillRect/>
                    </a:stretch>
                  </pic:blipFill>
                  <pic:spPr>
                    <a:xfrm>
                      <a:off x="0" y="0"/>
                      <a:ext cx="5082745" cy="6682157"/>
                    </a:xfrm>
                    <a:prstGeom prst="rect">
                      <a:avLst/>
                    </a:prstGeom>
                  </pic:spPr>
                </pic:pic>
              </a:graphicData>
            </a:graphic>
          </wp:inline>
        </w:drawing>
      </w:r>
    </w:p>
    <w:p w14:paraId="491F82B6" w14:textId="533C75F1" w:rsidR="004E65AD" w:rsidRPr="00CB093C" w:rsidRDefault="00830213" w:rsidP="004E65AD">
      <w:pPr>
        <w:pStyle w:val="Caption"/>
        <w:rPr>
          <w:rFonts w:ascii="Arial" w:hAnsi="Arial" w:cs="Arial"/>
          <w:i/>
          <w:vanish/>
          <w:color w:val="000000" w:themeColor="text1"/>
          <w:szCs w:val="22"/>
          <w:specVanish/>
        </w:rPr>
      </w:pPr>
      <w:bookmarkStart w:id="532" w:name="_Ref410308585"/>
      <w:bookmarkStart w:id="533" w:name="_Toc431493906"/>
      <w:bookmarkStart w:id="534" w:name="_Toc6402851"/>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86</w:t>
      </w:r>
      <w:r w:rsidR="00C506C7" w:rsidRPr="00CB093C">
        <w:rPr>
          <w:rFonts w:ascii="Arial" w:hAnsi="Arial" w:cs="Arial"/>
          <w:noProof/>
          <w:szCs w:val="22"/>
        </w:rPr>
        <w:fldChar w:fldCharType="end"/>
      </w:r>
      <w:bookmarkEnd w:id="532"/>
      <w:r w:rsidRPr="00CB093C">
        <w:rPr>
          <w:rFonts w:ascii="Arial" w:hAnsi="Arial" w:cs="Arial"/>
          <w:szCs w:val="22"/>
        </w:rPr>
        <w:t xml:space="preserve">. </w:t>
      </w:r>
      <w:bookmarkEnd w:id="533"/>
      <w:r w:rsidR="004E65AD" w:rsidRPr="00CB093C">
        <w:rPr>
          <w:rFonts w:ascii="Arial" w:hAnsi="Arial" w:cs="Arial"/>
          <w:i/>
          <w:color w:val="000000"/>
          <w:szCs w:val="22"/>
          <w:lang w:eastAsia="en-AU"/>
        </w:rPr>
        <w:t xml:space="preserve">Seagrass leaf tissue nutrient elemental ratios (C:N:P) and </w:t>
      </w:r>
      <w:r w:rsidR="004E65AD" w:rsidRPr="00CB093C">
        <w:rPr>
          <w:rFonts w:ascii="Arial" w:hAnsi="Arial" w:cs="Arial"/>
          <w:i/>
          <w:color w:val="000000"/>
          <w:szCs w:val="22"/>
          <w:lang w:val="en-US"/>
        </w:rPr>
        <w:t>concentrations (</w:t>
      </w:r>
      <w:r w:rsidR="004E65AD" w:rsidRPr="00CB093C">
        <w:rPr>
          <w:rFonts w:ascii="Arial" w:hAnsi="Arial" w:cs="Arial"/>
          <w:i/>
          <w:color w:val="000000"/>
          <w:szCs w:val="22"/>
          <w:lang w:eastAsia="en-AU"/>
        </w:rPr>
        <w:t xml:space="preserve">%N, %P, </w:t>
      </w:r>
      <w:r w:rsidR="004E65AD" w:rsidRPr="00CB093C">
        <w:rPr>
          <w:rFonts w:ascii="Arial" w:hAnsi="Arial" w:cs="Arial"/>
          <w:i/>
          <w:color w:val="000000"/>
          <w:szCs w:val="22"/>
        </w:rPr>
        <w:t>δ</w:t>
      </w:r>
      <w:r w:rsidR="004E65AD" w:rsidRPr="00CB093C">
        <w:rPr>
          <w:rFonts w:ascii="Arial" w:hAnsi="Arial" w:cs="Arial"/>
          <w:i/>
          <w:color w:val="000000"/>
          <w:szCs w:val="22"/>
          <w:vertAlign w:val="superscript"/>
        </w:rPr>
        <w:t>13</w:t>
      </w:r>
      <w:r w:rsidR="004E65AD" w:rsidRPr="00CB093C">
        <w:rPr>
          <w:rFonts w:ascii="Arial" w:hAnsi="Arial" w:cs="Arial"/>
          <w:i/>
          <w:color w:val="000000"/>
          <w:szCs w:val="22"/>
        </w:rPr>
        <w:t>C</w:t>
      </w:r>
      <w:r w:rsidR="004E65AD" w:rsidRPr="00CB093C">
        <w:rPr>
          <w:rFonts w:ascii="Arial" w:hAnsi="Arial" w:cs="Arial"/>
          <w:i/>
          <w:color w:val="000000"/>
          <w:szCs w:val="22"/>
          <w:lang w:val="en-US"/>
        </w:rPr>
        <w:t xml:space="preserve"> and </w:t>
      </w:r>
      <w:r w:rsidR="004E65AD" w:rsidRPr="00CB093C">
        <w:rPr>
          <w:rFonts w:ascii="Arial" w:hAnsi="Arial" w:cs="Arial"/>
          <w:i/>
          <w:color w:val="000000"/>
          <w:szCs w:val="22"/>
        </w:rPr>
        <w:t>δ</w:t>
      </w:r>
      <w:r w:rsidR="004E65AD" w:rsidRPr="00CB093C">
        <w:rPr>
          <w:rFonts w:ascii="Arial" w:hAnsi="Arial" w:cs="Arial"/>
          <w:i/>
          <w:color w:val="000000"/>
          <w:szCs w:val="22"/>
          <w:vertAlign w:val="superscript"/>
        </w:rPr>
        <w:t>15</w:t>
      </w:r>
      <w:r w:rsidR="004E65AD" w:rsidRPr="00CB093C">
        <w:rPr>
          <w:rFonts w:ascii="Arial" w:hAnsi="Arial" w:cs="Arial"/>
          <w:i/>
          <w:color w:val="000000"/>
          <w:szCs w:val="22"/>
        </w:rPr>
        <w:t>N)</w:t>
      </w:r>
      <w:r w:rsidR="004E65AD" w:rsidRPr="00CB093C">
        <w:rPr>
          <w:rFonts w:ascii="Arial" w:hAnsi="Arial" w:cs="Arial"/>
          <w:i/>
          <w:color w:val="000000"/>
          <w:szCs w:val="22"/>
          <w:lang w:val="en-US"/>
        </w:rPr>
        <w:t xml:space="preserve"> </w:t>
      </w:r>
      <w:r w:rsidR="004E65AD" w:rsidRPr="00CB093C">
        <w:rPr>
          <w:rFonts w:ascii="Arial" w:hAnsi="Arial" w:cs="Arial"/>
          <w:i/>
          <w:color w:val="000000"/>
          <w:szCs w:val="22"/>
          <w:lang w:eastAsia="en-AU"/>
        </w:rPr>
        <w:t>for each habitat in the Burnett Mary region</w:t>
      </w:r>
      <w:bookmarkEnd w:id="534"/>
    </w:p>
    <w:p w14:paraId="6CEACE3E" w14:textId="58915496" w:rsidR="00830213" w:rsidRPr="00CB093C" w:rsidRDefault="004E65AD" w:rsidP="004E65AD">
      <w:pPr>
        <w:rPr>
          <w:rFonts w:ascii="Arial" w:hAnsi="Arial" w:cs="Arial"/>
          <w:iCs/>
          <w:szCs w:val="22"/>
        </w:rPr>
      </w:pPr>
      <w:r w:rsidRPr="00CB093C">
        <w:rPr>
          <w:rFonts w:ascii="Arial" w:hAnsi="Arial" w:cs="Arial"/>
          <w:i/>
          <w:color w:val="000000"/>
          <w:szCs w:val="22"/>
          <w:lang w:eastAsia="en-AU"/>
        </w:rPr>
        <w:t xml:space="preserve"> (± SE) (foundation species pooled). Horizontal shaded bands or dashed lines represents the accepted seagrass </w:t>
      </w:r>
      <w:r w:rsidRPr="00CB093C">
        <w:rPr>
          <w:rFonts w:ascii="Arial" w:hAnsi="Arial" w:cs="Arial"/>
          <w:i/>
          <w:color w:val="000000"/>
          <w:szCs w:val="22"/>
        </w:rPr>
        <w:t xml:space="preserve">guideline </w:t>
      </w:r>
      <w:r w:rsidRPr="00CB093C">
        <w:rPr>
          <w:rFonts w:ascii="Arial" w:hAnsi="Arial" w:cs="Arial"/>
          <w:i/>
          <w:color w:val="000000"/>
          <w:szCs w:val="22"/>
          <w:lang w:eastAsia="en-AU"/>
        </w:rPr>
        <w:t xml:space="preserve">values, where: C:N ratios within the band may </w:t>
      </w:r>
      <w:r w:rsidRPr="00CB093C">
        <w:rPr>
          <w:rFonts w:ascii="Arial" w:hAnsi="Arial" w:cs="Arial"/>
          <w:i/>
          <w:color w:val="000000"/>
          <w:szCs w:val="22"/>
        </w:rPr>
        <w:t xml:space="preserve">indicate reduced light availability and/or N enrichment; </w:t>
      </w:r>
      <w:r w:rsidRPr="00CB093C">
        <w:rPr>
          <w:rFonts w:ascii="Arial" w:hAnsi="Arial" w:cs="Arial"/>
          <w:i/>
          <w:color w:val="000000"/>
          <w:szCs w:val="22"/>
          <w:lang w:eastAsia="en-AU"/>
        </w:rPr>
        <w:t xml:space="preserve">N:P ratios above the band indicate P limitation, below indicate N limitation and within indicates replete, and; C:P ratios within the band may </w:t>
      </w:r>
      <w:r w:rsidRPr="00CB093C">
        <w:rPr>
          <w:rFonts w:ascii="Arial" w:hAnsi="Arial" w:cs="Arial"/>
          <w:i/>
          <w:color w:val="000000"/>
          <w:szCs w:val="22"/>
        </w:rPr>
        <w:t xml:space="preserve">indicate </w:t>
      </w:r>
      <w:r w:rsidRPr="00CB093C">
        <w:rPr>
          <w:rFonts w:ascii="Arial" w:hAnsi="Arial" w:cs="Arial"/>
          <w:i/>
          <w:color w:val="000000"/>
          <w:szCs w:val="22"/>
          <w:lang w:eastAsia="en-AU"/>
        </w:rPr>
        <w:t>nutrient rich habitats (large P pool).</w:t>
      </w:r>
      <w:r w:rsidRPr="00CB093C">
        <w:rPr>
          <w:rFonts w:ascii="Arial" w:hAnsi="Arial" w:cs="Arial"/>
          <w:color w:val="000000"/>
          <w:szCs w:val="22"/>
          <w:lang w:eastAsia="en-AU"/>
        </w:rPr>
        <w:t xml:space="preserve"> </w:t>
      </w:r>
      <w:r w:rsidRPr="00CB093C">
        <w:rPr>
          <w:rFonts w:ascii="Arial" w:hAnsi="Arial" w:cs="Arial"/>
          <w:i/>
          <w:color w:val="000000"/>
          <w:szCs w:val="22"/>
        </w:rPr>
        <w:t xml:space="preserve">Dashed lines in %N and %P indicate global median values of 1.8 </w:t>
      </w:r>
      <w:r w:rsidR="00882B72" w:rsidRPr="00CB093C">
        <w:rPr>
          <w:rFonts w:ascii="Arial" w:hAnsi="Arial" w:cs="Arial"/>
          <w:i/>
          <w:color w:val="000000"/>
          <w:szCs w:val="22"/>
        </w:rPr>
        <w:t>%</w:t>
      </w:r>
      <w:r w:rsidRPr="00CB093C">
        <w:rPr>
          <w:rFonts w:ascii="Arial" w:hAnsi="Arial" w:cs="Arial"/>
          <w:i/>
          <w:color w:val="000000"/>
          <w:szCs w:val="22"/>
        </w:rPr>
        <w:t xml:space="preserve"> and 0.2 </w:t>
      </w:r>
      <w:r w:rsidR="00882B72" w:rsidRPr="00CB093C">
        <w:rPr>
          <w:rFonts w:ascii="Arial" w:hAnsi="Arial" w:cs="Arial"/>
          <w:i/>
          <w:color w:val="000000"/>
          <w:szCs w:val="22"/>
        </w:rPr>
        <w:t>%</w:t>
      </w:r>
      <w:r w:rsidRPr="00CB093C">
        <w:rPr>
          <w:rFonts w:ascii="Arial" w:hAnsi="Arial" w:cs="Arial"/>
          <w:i/>
          <w:color w:val="000000"/>
          <w:szCs w:val="22"/>
        </w:rPr>
        <w:t xml:space="preserve"> for tissue nitrogen and phosphorus, respectively (</w:t>
      </w:r>
      <w:hyperlink w:anchor="_ENREF_50" w:tooltip="Duarte, 1990 #1954" w:history="1">
        <w:r w:rsidR="00513C39" w:rsidRPr="00CB093C">
          <w:rPr>
            <w:rFonts w:ascii="Arial" w:hAnsi="Arial" w:cs="Arial"/>
            <w:i/>
            <w:color w:val="000000"/>
            <w:szCs w:val="22"/>
          </w:rPr>
          <w:fldChar w:fldCharType="begin"/>
        </w:r>
        <w:r w:rsidR="00513C39" w:rsidRPr="00CB093C">
          <w:rPr>
            <w:rFonts w:ascii="Arial" w:hAnsi="Arial" w:cs="Arial"/>
            <w:i/>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513C39" w:rsidRPr="00CB093C">
          <w:rPr>
            <w:rFonts w:ascii="Arial" w:hAnsi="Arial" w:cs="Arial"/>
            <w:i/>
            <w:color w:val="000000"/>
            <w:szCs w:val="22"/>
          </w:rPr>
          <w:fldChar w:fldCharType="separate"/>
        </w:r>
        <w:r w:rsidR="00513C39" w:rsidRPr="00CB093C">
          <w:rPr>
            <w:rFonts w:ascii="Arial" w:hAnsi="Arial" w:cs="Arial"/>
            <w:i/>
            <w:noProof/>
            <w:color w:val="000000"/>
            <w:szCs w:val="22"/>
          </w:rPr>
          <w:t>Duarte 1990</w:t>
        </w:r>
        <w:r w:rsidR="00513C39" w:rsidRPr="00CB093C">
          <w:rPr>
            <w:rFonts w:ascii="Arial" w:hAnsi="Arial" w:cs="Arial"/>
            <w:i/>
            <w:color w:val="000000"/>
            <w:szCs w:val="22"/>
          </w:rPr>
          <w:fldChar w:fldCharType="end"/>
        </w:r>
      </w:hyperlink>
      <w:r w:rsidRPr="00CB093C">
        <w:rPr>
          <w:rFonts w:ascii="Arial" w:hAnsi="Arial" w:cs="Arial"/>
          <w:i/>
          <w:color w:val="000000"/>
          <w:szCs w:val="22"/>
        </w:rPr>
        <w:t>).</w:t>
      </w:r>
    </w:p>
    <w:p w14:paraId="4EA1747E" w14:textId="77777777" w:rsidR="00BC4EC5" w:rsidRPr="00CB093C" w:rsidRDefault="00BC4EC5" w:rsidP="00B55FCB">
      <w:pPr>
        <w:spacing w:before="0" w:after="0"/>
        <w:rPr>
          <w:rFonts w:ascii="Arial" w:hAnsi="Arial" w:cs="Arial"/>
          <w:szCs w:val="22"/>
        </w:rPr>
      </w:pPr>
    </w:p>
    <w:p w14:paraId="5E939A04" w14:textId="08953E41" w:rsidR="005132EF" w:rsidRPr="00CB093C" w:rsidRDefault="005132EF" w:rsidP="000F3AC4">
      <w:pPr>
        <w:pStyle w:val="Heading3"/>
        <w:numPr>
          <w:ilvl w:val="3"/>
          <w:numId w:val="4"/>
        </w:numPr>
        <w:rPr>
          <w:rFonts w:ascii="Arial" w:hAnsi="Arial" w:cs="Arial"/>
          <w:b w:val="0"/>
          <w:i/>
          <w:color w:val="000000"/>
          <w:sz w:val="22"/>
          <w:szCs w:val="22"/>
        </w:rPr>
      </w:pPr>
      <w:bookmarkStart w:id="535" w:name="_Toc232845938"/>
      <w:bookmarkStart w:id="536" w:name="_Toc184102045"/>
      <w:bookmarkStart w:id="537" w:name="_Toc11394777"/>
      <w:r w:rsidRPr="00CB093C">
        <w:rPr>
          <w:rFonts w:ascii="Arial" w:hAnsi="Arial" w:cs="Arial"/>
          <w:b w:val="0"/>
          <w:i/>
          <w:color w:val="000000"/>
          <w:sz w:val="22"/>
          <w:szCs w:val="22"/>
        </w:rPr>
        <w:t>Epiphytes and macroalgae</w:t>
      </w:r>
      <w:bookmarkEnd w:id="535"/>
      <w:bookmarkEnd w:id="536"/>
      <w:bookmarkEnd w:id="537"/>
    </w:p>
    <w:p w14:paraId="59CA47A0" w14:textId="10A2CB3D" w:rsidR="00F86DA0" w:rsidRPr="00CB093C" w:rsidRDefault="00D473A4" w:rsidP="00DD3BAE">
      <w:pPr>
        <w:rPr>
          <w:rFonts w:ascii="Arial" w:hAnsi="Arial" w:cs="Arial"/>
          <w:szCs w:val="22"/>
          <w:lang w:val="en-US"/>
        </w:rPr>
      </w:pPr>
      <w:r w:rsidRPr="00CB093C">
        <w:rPr>
          <w:rFonts w:ascii="Arial" w:hAnsi="Arial" w:cs="Arial"/>
          <w:szCs w:val="22"/>
          <w:lang w:val="en-US"/>
        </w:rPr>
        <w:t xml:space="preserve">Epiphyte cover on seagrass leaf blades was </w:t>
      </w:r>
      <w:r w:rsidR="00601547" w:rsidRPr="00CB093C">
        <w:rPr>
          <w:rFonts w:ascii="Arial" w:hAnsi="Arial" w:cs="Arial"/>
          <w:szCs w:val="22"/>
          <w:lang w:val="en-US"/>
        </w:rPr>
        <w:t xml:space="preserve">similar </w:t>
      </w:r>
      <w:r w:rsidR="003E080E" w:rsidRPr="00CB093C">
        <w:rPr>
          <w:rFonts w:ascii="Arial" w:hAnsi="Arial" w:cs="Arial"/>
          <w:szCs w:val="22"/>
          <w:lang w:val="en-US"/>
        </w:rPr>
        <w:t>in</w:t>
      </w:r>
      <w:r w:rsidR="004807AA" w:rsidRPr="00CB093C">
        <w:rPr>
          <w:rFonts w:ascii="Arial" w:hAnsi="Arial" w:cs="Arial"/>
          <w:szCs w:val="22"/>
          <w:lang w:val="en-US"/>
        </w:rPr>
        <w:t xml:space="preserve"> the wet </w:t>
      </w:r>
      <w:r w:rsidR="00601547" w:rsidRPr="00CB093C">
        <w:rPr>
          <w:rFonts w:ascii="Arial" w:hAnsi="Arial" w:cs="Arial"/>
          <w:szCs w:val="22"/>
          <w:lang w:val="en-US"/>
        </w:rPr>
        <w:t xml:space="preserve">and dry seasons, </w:t>
      </w:r>
      <w:r w:rsidR="0030756A" w:rsidRPr="00CB093C">
        <w:rPr>
          <w:rFonts w:ascii="Arial" w:hAnsi="Arial" w:cs="Arial"/>
          <w:szCs w:val="22"/>
          <w:lang w:val="en-US"/>
        </w:rPr>
        <w:t xml:space="preserve">and in </w:t>
      </w:r>
      <w:r w:rsidR="003654C6">
        <w:rPr>
          <w:rFonts w:ascii="Arial" w:hAnsi="Arial" w:cs="Arial"/>
          <w:szCs w:val="22"/>
          <w:lang w:val="en-US"/>
        </w:rPr>
        <w:t>2017–18</w:t>
      </w:r>
      <w:r w:rsidR="0030756A" w:rsidRPr="00CB093C">
        <w:rPr>
          <w:rFonts w:ascii="Arial" w:hAnsi="Arial" w:cs="Arial"/>
          <w:szCs w:val="22"/>
          <w:lang w:val="en-US"/>
        </w:rPr>
        <w:t xml:space="preserve"> remained higher than the long-term average for the fourth consecutive year at estuarine habitats (</w:t>
      </w:r>
      <w:r w:rsidR="0030756A" w:rsidRPr="00CB093C">
        <w:rPr>
          <w:rFonts w:ascii="Arial" w:hAnsi="Arial" w:cs="Arial"/>
          <w:szCs w:val="22"/>
          <w:lang w:val="en-US"/>
        </w:rPr>
        <w:fldChar w:fldCharType="begin"/>
      </w:r>
      <w:r w:rsidR="0030756A" w:rsidRPr="00CB093C">
        <w:rPr>
          <w:rFonts w:ascii="Arial" w:hAnsi="Arial" w:cs="Arial"/>
          <w:szCs w:val="22"/>
          <w:lang w:val="en-US"/>
        </w:rPr>
        <w:instrText xml:space="preserve"> REF _Ref211937738 \h </w:instrText>
      </w:r>
      <w:r w:rsidR="00CB093C" w:rsidRPr="00CB093C">
        <w:rPr>
          <w:rFonts w:ascii="Arial" w:hAnsi="Arial" w:cs="Arial"/>
          <w:szCs w:val="22"/>
          <w:lang w:val="en-US"/>
        </w:rPr>
        <w:instrText xml:space="preserve"> \* MERGEFORMAT </w:instrText>
      </w:r>
      <w:r w:rsidR="0030756A" w:rsidRPr="00CB093C">
        <w:rPr>
          <w:rFonts w:ascii="Arial" w:hAnsi="Arial" w:cs="Arial"/>
          <w:szCs w:val="22"/>
          <w:lang w:val="en-US"/>
        </w:rPr>
      </w:r>
      <w:r w:rsidR="0030756A"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87</w:t>
      </w:r>
      <w:r w:rsidR="0030756A" w:rsidRPr="00CB093C">
        <w:rPr>
          <w:rFonts w:ascii="Arial" w:hAnsi="Arial" w:cs="Arial"/>
          <w:szCs w:val="22"/>
          <w:lang w:val="en-US"/>
        </w:rPr>
        <w:fldChar w:fldCharType="end"/>
      </w:r>
      <w:r w:rsidR="0030756A" w:rsidRPr="00CB093C">
        <w:rPr>
          <w:rFonts w:ascii="Arial" w:hAnsi="Arial" w:cs="Arial"/>
          <w:szCs w:val="22"/>
          <w:lang w:val="en-US"/>
        </w:rPr>
        <w:t xml:space="preserve">). Alternatively, at coastal habitats, the epiphyte abundance has remained below the long-term average for the second consecutive year </w:t>
      </w:r>
      <w:r w:rsidRPr="00CB093C">
        <w:rPr>
          <w:rFonts w:ascii="Arial" w:hAnsi="Arial" w:cs="Arial"/>
          <w:szCs w:val="22"/>
          <w:lang w:val="en-US"/>
        </w:rPr>
        <w:t>(</w:t>
      </w:r>
      <w:r w:rsidR="0030756A" w:rsidRPr="00CB093C">
        <w:rPr>
          <w:rFonts w:ascii="Arial" w:hAnsi="Arial" w:cs="Arial"/>
          <w:szCs w:val="22"/>
          <w:lang w:val="en-US"/>
        </w:rPr>
        <w:fldChar w:fldCharType="begin"/>
      </w:r>
      <w:r w:rsidR="0030756A" w:rsidRPr="00CB093C">
        <w:rPr>
          <w:rFonts w:ascii="Arial" w:hAnsi="Arial" w:cs="Arial"/>
          <w:szCs w:val="22"/>
          <w:lang w:val="en-US"/>
        </w:rPr>
        <w:instrText xml:space="preserve"> REF _Ref211937738 \h </w:instrText>
      </w:r>
      <w:r w:rsidR="00CB093C" w:rsidRPr="00CB093C">
        <w:rPr>
          <w:rFonts w:ascii="Arial" w:hAnsi="Arial" w:cs="Arial"/>
          <w:szCs w:val="22"/>
          <w:lang w:val="en-US"/>
        </w:rPr>
        <w:instrText xml:space="preserve"> \* MERGEFORMAT </w:instrText>
      </w:r>
      <w:r w:rsidR="0030756A" w:rsidRPr="00CB093C">
        <w:rPr>
          <w:rFonts w:ascii="Arial" w:hAnsi="Arial" w:cs="Arial"/>
          <w:szCs w:val="22"/>
          <w:lang w:val="en-US"/>
        </w:rPr>
      </w:r>
      <w:r w:rsidR="0030756A"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87</w:t>
      </w:r>
      <w:r w:rsidR="0030756A" w:rsidRPr="00CB093C">
        <w:rPr>
          <w:rFonts w:ascii="Arial" w:hAnsi="Arial" w:cs="Arial"/>
          <w:szCs w:val="22"/>
          <w:lang w:val="en-US"/>
        </w:rPr>
        <w:fldChar w:fldCharType="end"/>
      </w:r>
      <w:r w:rsidRPr="00CB093C">
        <w:rPr>
          <w:rFonts w:ascii="Arial" w:hAnsi="Arial" w:cs="Arial"/>
          <w:szCs w:val="22"/>
          <w:lang w:val="en-US"/>
        </w:rPr>
        <w:t xml:space="preserve">). </w:t>
      </w:r>
    </w:p>
    <w:p w14:paraId="5F88734D" w14:textId="3D6EF12B" w:rsidR="00D473A4" w:rsidRPr="00CB093C" w:rsidRDefault="004807AA" w:rsidP="00DD3BAE">
      <w:pPr>
        <w:rPr>
          <w:rFonts w:ascii="Arial" w:hAnsi="Arial" w:cs="Arial"/>
          <w:szCs w:val="22"/>
          <w:lang w:val="en-US"/>
        </w:rPr>
      </w:pPr>
      <w:r w:rsidRPr="00CB093C">
        <w:rPr>
          <w:rFonts w:ascii="Arial" w:hAnsi="Arial" w:cs="Arial"/>
          <w:szCs w:val="22"/>
          <w:lang w:val="en-US"/>
        </w:rPr>
        <w:t>P</w:t>
      </w:r>
      <w:r w:rsidR="00D473A4" w:rsidRPr="00CB093C">
        <w:rPr>
          <w:rFonts w:ascii="Arial" w:hAnsi="Arial" w:cs="Arial"/>
          <w:szCs w:val="22"/>
          <w:lang w:val="en-US"/>
        </w:rPr>
        <w:t>er</w:t>
      </w:r>
      <w:r w:rsidR="00185978" w:rsidRPr="00CB093C">
        <w:rPr>
          <w:rFonts w:ascii="Arial" w:hAnsi="Arial" w:cs="Arial"/>
          <w:szCs w:val="22"/>
          <w:lang w:val="en-US"/>
        </w:rPr>
        <w:t> </w:t>
      </w:r>
      <w:r w:rsidR="00D473A4" w:rsidRPr="00CB093C">
        <w:rPr>
          <w:rFonts w:ascii="Arial" w:hAnsi="Arial" w:cs="Arial"/>
          <w:szCs w:val="22"/>
          <w:lang w:val="en-US"/>
        </w:rPr>
        <w:t xml:space="preserve">cent cover of macroalgae </w:t>
      </w:r>
      <w:r w:rsidR="0030756A" w:rsidRPr="00CB093C">
        <w:rPr>
          <w:rFonts w:ascii="Arial" w:hAnsi="Arial" w:cs="Arial"/>
          <w:szCs w:val="22"/>
          <w:lang w:val="en-US"/>
        </w:rPr>
        <w:t xml:space="preserve">has remained low and below the long-term average at across all habitats </w:t>
      </w:r>
      <w:r w:rsidR="007A70FE" w:rsidRPr="00CB093C">
        <w:rPr>
          <w:rFonts w:ascii="Arial" w:hAnsi="Arial" w:cs="Arial"/>
          <w:szCs w:val="22"/>
          <w:lang w:val="en-US"/>
        </w:rPr>
        <w:t>monitored</w:t>
      </w:r>
      <w:r w:rsidR="0030756A" w:rsidRPr="00CB093C">
        <w:rPr>
          <w:rFonts w:ascii="Arial" w:hAnsi="Arial" w:cs="Arial"/>
          <w:szCs w:val="22"/>
          <w:lang w:val="en-US"/>
        </w:rPr>
        <w:t xml:space="preserve"> </w:t>
      </w:r>
      <w:r w:rsidR="00272AAD" w:rsidRPr="00CB093C">
        <w:rPr>
          <w:rFonts w:ascii="Arial" w:hAnsi="Arial" w:cs="Arial"/>
          <w:szCs w:val="22"/>
          <w:lang w:val="en-US"/>
        </w:rPr>
        <w:t>(</w:t>
      </w:r>
      <w:r w:rsidR="00272AAD" w:rsidRPr="00CB093C">
        <w:rPr>
          <w:rFonts w:ascii="Arial" w:hAnsi="Arial" w:cs="Arial"/>
          <w:szCs w:val="22"/>
          <w:lang w:val="en-US"/>
        </w:rPr>
        <w:fldChar w:fldCharType="begin"/>
      </w:r>
      <w:r w:rsidR="00272AAD" w:rsidRPr="00CB093C">
        <w:rPr>
          <w:rFonts w:ascii="Arial" w:hAnsi="Arial" w:cs="Arial"/>
          <w:szCs w:val="22"/>
          <w:lang w:val="en-US"/>
        </w:rPr>
        <w:instrText xml:space="preserve"> REF _Ref211937738 \h </w:instrText>
      </w:r>
      <w:r w:rsidR="00015190" w:rsidRPr="00CB093C">
        <w:rPr>
          <w:rFonts w:ascii="Arial" w:hAnsi="Arial" w:cs="Arial"/>
          <w:szCs w:val="22"/>
          <w:lang w:val="en-US"/>
        </w:rPr>
        <w:instrText xml:space="preserve"> \* MERGEFORMAT </w:instrText>
      </w:r>
      <w:r w:rsidR="00272AAD" w:rsidRPr="00CB093C">
        <w:rPr>
          <w:rFonts w:ascii="Arial" w:hAnsi="Arial" w:cs="Arial"/>
          <w:szCs w:val="22"/>
          <w:lang w:val="en-US"/>
        </w:rPr>
      </w:r>
      <w:r w:rsidR="00272AAD" w:rsidRPr="00CB093C">
        <w:rPr>
          <w:rFonts w:ascii="Arial" w:hAnsi="Arial" w:cs="Arial"/>
          <w:szCs w:val="22"/>
          <w:lang w:val="en-US"/>
        </w:rPr>
        <w:fldChar w:fldCharType="separate"/>
      </w:r>
      <w:r w:rsidR="005F00D4" w:rsidRPr="00CB093C">
        <w:rPr>
          <w:rFonts w:ascii="Arial" w:hAnsi="Arial" w:cs="Arial"/>
          <w:szCs w:val="22"/>
        </w:rPr>
        <w:t xml:space="preserve">Figure </w:t>
      </w:r>
      <w:r w:rsidR="005F00D4">
        <w:rPr>
          <w:rFonts w:ascii="Arial" w:hAnsi="Arial" w:cs="Arial"/>
          <w:noProof/>
          <w:szCs w:val="22"/>
        </w:rPr>
        <w:t>87</w:t>
      </w:r>
      <w:r w:rsidR="00272AAD" w:rsidRPr="00CB093C">
        <w:rPr>
          <w:rFonts w:ascii="Arial" w:hAnsi="Arial" w:cs="Arial"/>
          <w:szCs w:val="22"/>
          <w:lang w:val="en-US"/>
        </w:rPr>
        <w:fldChar w:fldCharType="end"/>
      </w:r>
      <w:r w:rsidR="00272AAD" w:rsidRPr="00CB093C">
        <w:rPr>
          <w:rFonts w:ascii="Arial" w:hAnsi="Arial" w:cs="Arial"/>
          <w:szCs w:val="22"/>
          <w:lang w:val="en-US"/>
        </w:rPr>
        <w:t>)</w:t>
      </w:r>
      <w:r w:rsidR="00D473A4" w:rsidRPr="00CB093C">
        <w:rPr>
          <w:rFonts w:ascii="Arial" w:hAnsi="Arial" w:cs="Arial"/>
          <w:szCs w:val="22"/>
          <w:lang w:val="en-US"/>
        </w:rPr>
        <w:t>.</w:t>
      </w:r>
    </w:p>
    <w:p w14:paraId="2218CD51" w14:textId="77777777" w:rsidR="003E1D94" w:rsidRPr="00CB093C" w:rsidRDefault="005B1EEC" w:rsidP="00DD3BAE">
      <w:pPr>
        <w:keepNext/>
        <w:widowControl w:val="0"/>
        <w:spacing w:after="0"/>
        <w:jc w:val="center"/>
        <w:rPr>
          <w:rFonts w:ascii="Arial" w:hAnsi="Arial" w:cs="Arial"/>
          <w:szCs w:val="22"/>
          <w:lang w:val="en-US"/>
        </w:rPr>
      </w:pPr>
      <w:r w:rsidRPr="00CB093C">
        <w:rPr>
          <w:rFonts w:ascii="Arial" w:hAnsi="Arial" w:cs="Arial"/>
          <w:noProof/>
          <w:szCs w:val="22"/>
          <w:lang w:val="en-US"/>
        </w:rPr>
        <w:drawing>
          <wp:inline distT="0" distB="0" distL="0" distR="0" wp14:anchorId="616351DF" wp14:editId="2775E863">
            <wp:extent cx="5760000" cy="2228400"/>
            <wp:effectExtent l="0" t="0" r="0" b="635"/>
            <wp:docPr id="525" name="Picture 525" descr="Panel of four bar charts showing long-term trend in mean epiphyte and macroalgae abundance (% cover) at inshore estuarine habitats in the Burnett Mary NRM region, relative to the GBR long-term ave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BM_epi_algae_change_2016.png"/>
                    <pic:cNvPicPr/>
                  </pic:nvPicPr>
                  <pic:blipFill>
                    <a:blip r:embed="rId130">
                      <a:extLst>
                        <a:ext uri="{28A0092B-C50C-407E-A947-70E740481C1C}">
                          <a14:useLocalDpi xmlns:a14="http://schemas.microsoft.com/office/drawing/2010/main" val="0"/>
                        </a:ext>
                      </a:extLst>
                    </a:blip>
                    <a:stretch>
                      <a:fillRect/>
                    </a:stretch>
                  </pic:blipFill>
                  <pic:spPr>
                    <a:xfrm>
                      <a:off x="0" y="0"/>
                      <a:ext cx="5760000" cy="2228400"/>
                    </a:xfrm>
                    <a:prstGeom prst="rect">
                      <a:avLst/>
                    </a:prstGeom>
                  </pic:spPr>
                </pic:pic>
              </a:graphicData>
            </a:graphic>
          </wp:inline>
        </w:drawing>
      </w:r>
    </w:p>
    <w:p w14:paraId="2C8963FC" w14:textId="657235E6" w:rsidR="00A0429A" w:rsidRPr="00CB093C" w:rsidRDefault="005132EF" w:rsidP="00DD3BAE">
      <w:pPr>
        <w:rPr>
          <w:rFonts w:ascii="Arial" w:hAnsi="Arial" w:cs="Arial"/>
          <w:i/>
          <w:vanish/>
          <w:szCs w:val="22"/>
          <w:specVanish/>
        </w:rPr>
      </w:pPr>
      <w:bookmarkStart w:id="538" w:name="_Ref211937738"/>
      <w:bookmarkStart w:id="539" w:name="_Toc232846030"/>
      <w:bookmarkStart w:id="540" w:name="_Toc431493907"/>
      <w:bookmarkStart w:id="541" w:name="_Toc6402852"/>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87</w:t>
      </w:r>
      <w:r w:rsidR="00C506C7" w:rsidRPr="00CB093C">
        <w:rPr>
          <w:rFonts w:ascii="Arial" w:hAnsi="Arial" w:cs="Arial"/>
          <w:noProof/>
          <w:szCs w:val="22"/>
        </w:rPr>
        <w:fldChar w:fldCharType="end"/>
      </w:r>
      <w:bookmarkEnd w:id="538"/>
      <w:r w:rsidRPr="00CB093C">
        <w:rPr>
          <w:rFonts w:ascii="Arial" w:hAnsi="Arial" w:cs="Arial"/>
          <w:szCs w:val="22"/>
        </w:rPr>
        <w:t xml:space="preserve">. </w:t>
      </w:r>
      <w:bookmarkEnd w:id="539"/>
      <w:r w:rsidR="003126B8" w:rsidRPr="00CB093C">
        <w:rPr>
          <w:rFonts w:ascii="Arial" w:hAnsi="Arial" w:cs="Arial"/>
          <w:i/>
          <w:szCs w:val="22"/>
        </w:rPr>
        <w:t>Long-term trend in mean epiphyte and macroalgae abundance (</w:t>
      </w:r>
      <w:r w:rsidR="00882B72" w:rsidRPr="00CB093C">
        <w:rPr>
          <w:rFonts w:ascii="Arial" w:hAnsi="Arial" w:cs="Arial"/>
          <w:i/>
          <w:szCs w:val="22"/>
        </w:rPr>
        <w:t>%</w:t>
      </w:r>
      <w:r w:rsidR="003126B8" w:rsidRPr="00CB093C">
        <w:rPr>
          <w:rFonts w:ascii="Arial" w:hAnsi="Arial" w:cs="Arial"/>
          <w:i/>
          <w:szCs w:val="22"/>
        </w:rPr>
        <w:t xml:space="preserve"> cover) relative to the long-term average for each seagrass habitat in the </w:t>
      </w:r>
      <w:r w:rsidR="001C18DD" w:rsidRPr="00CB093C">
        <w:rPr>
          <w:rFonts w:ascii="Arial" w:hAnsi="Arial" w:cs="Arial"/>
          <w:i/>
          <w:szCs w:val="22"/>
        </w:rPr>
        <w:t xml:space="preserve">Burnett </w:t>
      </w:r>
      <w:r w:rsidR="00A0429A" w:rsidRPr="00CB093C">
        <w:rPr>
          <w:rFonts w:ascii="Arial" w:hAnsi="Arial" w:cs="Arial"/>
          <w:i/>
          <w:szCs w:val="22"/>
        </w:rPr>
        <w:t>Mary</w:t>
      </w:r>
      <w:r w:rsidR="003126B8" w:rsidRPr="00CB093C">
        <w:rPr>
          <w:rFonts w:ascii="Arial" w:hAnsi="Arial" w:cs="Arial"/>
          <w:i/>
          <w:szCs w:val="22"/>
        </w:rPr>
        <w:t xml:space="preserve"> NRM region</w:t>
      </w:r>
      <w:bookmarkEnd w:id="540"/>
      <w:bookmarkEnd w:id="541"/>
    </w:p>
    <w:p w14:paraId="2DCD7FEF" w14:textId="77777777" w:rsidR="00A0429A" w:rsidRPr="00CB093C" w:rsidRDefault="00A0429A" w:rsidP="00DD3BAE">
      <w:pPr>
        <w:rPr>
          <w:rFonts w:ascii="Arial" w:hAnsi="Arial" w:cs="Arial"/>
          <w:i/>
          <w:szCs w:val="22"/>
        </w:rPr>
      </w:pPr>
      <w:r w:rsidRPr="00CB093C">
        <w:rPr>
          <w:rFonts w:ascii="Arial" w:hAnsi="Arial" w:cs="Arial"/>
          <w:i/>
          <w:szCs w:val="22"/>
        </w:rPr>
        <w:t xml:space="preserve"> </w:t>
      </w:r>
      <w:r w:rsidR="003126B8" w:rsidRPr="00CB093C">
        <w:rPr>
          <w:rFonts w:ascii="Arial" w:hAnsi="Arial" w:cs="Arial"/>
          <w:i/>
          <w:szCs w:val="22"/>
        </w:rPr>
        <w:t xml:space="preserve">(sites pooled, ±SE). </w:t>
      </w:r>
    </w:p>
    <w:p w14:paraId="06C64248" w14:textId="77777777" w:rsidR="006E4A42" w:rsidRPr="00CB093C" w:rsidRDefault="006E4A42" w:rsidP="00DD3BAE">
      <w:pPr>
        <w:rPr>
          <w:rFonts w:ascii="Arial" w:hAnsi="Arial" w:cs="Arial"/>
          <w:i/>
          <w:szCs w:val="22"/>
        </w:rPr>
      </w:pPr>
    </w:p>
    <w:p w14:paraId="4BEB4B7C" w14:textId="1CBBA605" w:rsidR="00C13AAA" w:rsidRPr="00CB093C" w:rsidRDefault="00C13AAA">
      <w:pPr>
        <w:spacing w:before="0" w:after="0"/>
        <w:rPr>
          <w:rFonts w:ascii="Arial" w:hAnsi="Arial" w:cs="Arial"/>
          <w:szCs w:val="22"/>
          <w:lang w:val="en-US"/>
        </w:rPr>
      </w:pPr>
      <w:r w:rsidRPr="00CB093C">
        <w:rPr>
          <w:rFonts w:ascii="Arial" w:hAnsi="Arial" w:cs="Arial"/>
          <w:szCs w:val="22"/>
          <w:lang w:val="en-US"/>
        </w:rPr>
        <w:br w:type="page"/>
      </w:r>
    </w:p>
    <w:p w14:paraId="165FBA6B" w14:textId="555F2C88" w:rsidR="0034410E" w:rsidRPr="00CB093C" w:rsidRDefault="0034410E" w:rsidP="0015509E">
      <w:pPr>
        <w:pStyle w:val="Heading1"/>
      </w:pPr>
      <w:bookmarkStart w:id="542" w:name="_Toc11394778"/>
      <w:bookmarkStart w:id="543" w:name="_Ref354905017"/>
      <w:bookmarkStart w:id="544" w:name="_Toc170191672"/>
      <w:bookmarkStart w:id="545" w:name="_Toc175991100"/>
      <w:bookmarkStart w:id="546" w:name="_Toc176079593"/>
      <w:bookmarkStart w:id="547" w:name="_Toc232845951"/>
      <w:r w:rsidRPr="00CB093C">
        <w:t>Discussion</w:t>
      </w:r>
      <w:bookmarkEnd w:id="542"/>
    </w:p>
    <w:p w14:paraId="3697252F" w14:textId="0BC12D63" w:rsidR="00245B1F" w:rsidRPr="00CB093C" w:rsidRDefault="00245B1F" w:rsidP="0015509E">
      <w:pPr>
        <w:pStyle w:val="Heading2"/>
      </w:pPr>
      <w:bookmarkStart w:id="548" w:name="_Toc11394779"/>
      <w:r w:rsidRPr="00CB093C">
        <w:t xml:space="preserve">Seagrass </w:t>
      </w:r>
      <w:r w:rsidR="00A63AA4" w:rsidRPr="00CB093C">
        <w:t>resilience</w:t>
      </w:r>
      <w:bookmarkEnd w:id="548"/>
    </w:p>
    <w:p w14:paraId="7BDA4C17" w14:textId="1D9D1BD1" w:rsidR="00932564" w:rsidRPr="00CB093C" w:rsidRDefault="00932564" w:rsidP="00D2585E">
      <w:pPr>
        <w:rPr>
          <w:rFonts w:ascii="Arial" w:hAnsi="Arial" w:cs="Arial"/>
          <w:szCs w:val="22"/>
        </w:rPr>
      </w:pPr>
      <w:r w:rsidRPr="00CB093C">
        <w:rPr>
          <w:rFonts w:ascii="Arial" w:hAnsi="Arial" w:cs="Arial"/>
          <w:szCs w:val="22"/>
        </w:rPr>
        <w:t>While seagrass meadows of the Reef are inherently dynamic, poor recovery rates at many locations and poor resilience (e.g. reproductive effort and seed density), suggest that capacity to recover from future impacts is compromised. This, coupled with intensifying disturbances present</w:t>
      </w:r>
      <w:r w:rsidR="00A069C6" w:rsidRPr="00CB093C">
        <w:rPr>
          <w:rFonts w:ascii="Arial" w:hAnsi="Arial" w:cs="Arial"/>
          <w:szCs w:val="22"/>
        </w:rPr>
        <w:t>s a concerning outlook.</w:t>
      </w:r>
    </w:p>
    <w:p w14:paraId="00A5FED4" w14:textId="443E9813" w:rsidR="00932564" w:rsidRPr="00CB093C" w:rsidRDefault="00932564" w:rsidP="00D2585E">
      <w:pPr>
        <w:rPr>
          <w:rFonts w:ascii="Arial" w:hAnsi="Arial" w:cs="Arial"/>
          <w:szCs w:val="22"/>
        </w:rPr>
      </w:pPr>
      <w:r w:rsidRPr="00CB093C">
        <w:rPr>
          <w:rFonts w:ascii="Arial" w:hAnsi="Arial" w:cs="Arial"/>
          <w:szCs w:val="22"/>
        </w:rPr>
        <w:t xml:space="preserve">Throughout the inshore </w:t>
      </w:r>
      <w:r w:rsidR="003158FC" w:rsidRPr="00CB093C">
        <w:rPr>
          <w:rFonts w:ascii="Arial" w:hAnsi="Arial" w:cs="Arial"/>
          <w:szCs w:val="22"/>
        </w:rPr>
        <w:t>Reef</w:t>
      </w:r>
      <w:r w:rsidRPr="00CB093C">
        <w:rPr>
          <w:rFonts w:ascii="Arial" w:hAnsi="Arial" w:cs="Arial"/>
          <w:szCs w:val="22"/>
        </w:rPr>
        <w:t>, the rate of seagrass recovery since 2011 has been protracted in some locations compared to previous reports (e.g. Birch and Birch, 1984; Campbell and McKenzie 2004b), particularly at reef habitats. Low reproductive effort may be a contributing factor. At some of the reef sites reproductive structures are never observed for some species, while at others there is some reproductive effort but seed banks are not forming or persisting either because no seeds are being produced, or seeds are lost through other processes, such as predation (</w:t>
      </w:r>
      <w:hyperlink w:anchor="_ENREF_120" w:tooltip="Orth, 2006 #735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&lt;EndNote&gt;&lt;Cite&gt;&lt;Author&gt;Orth&lt;/Author&gt;&lt;Year&gt;2006&lt;/Year&gt;&lt;RecNum&gt;7350&lt;/RecNum&gt;&lt;DisplayText&gt;Orth&lt;style face="italic"&gt; et al.&lt;/style&gt; 2006&lt;/DisplayText&gt;&lt;record&gt;&lt;rec-number&gt;7350&lt;/rec-number&gt;&lt;foreign-keys&gt;&lt;key app="EN" db-id="0eve55x9y5vfd6e9dacxtew4eatve2dzds9a" timestamp="0"&gt;7350&lt;/key&gt;&lt;/foreign-keys&gt;&lt;ref-type name="Book Section"&gt;5&lt;/ref-type&gt;&lt;contributors&gt;&lt;authors&gt;&lt;author&gt;Orth, Robert J.&lt;/author&gt;&lt;author&gt;Harwell, Matthew C.&lt;/author&gt;&lt;author&gt;Inglis, Graeme J.&lt;/author&gt;&lt;/authors&gt;&lt;secondary-authors&gt;&lt;author&gt;Larkum, Anthony W. D.&lt;/author&gt;&lt;author&gt;Orth, Robert J.&lt;/author&gt;&lt;author&gt;Duarte, Carlos M.&lt;/author&gt;&lt;/secondary-authors&gt;&lt;/contributors&gt;&lt;titles&gt;&lt;title&gt;Ecology of seagrass seeds and dispersal strategies&lt;/title&gt;&lt;secondary-title&gt;Seagrasses: biology, ecology and conservation&lt;/secondary-title&gt;&lt;/titles&gt;&lt;periodical&gt;&lt;full-title&gt;Seagrasses: Biology, Ecology and Conservation&lt;/full-title&gt;&lt;/periodical&gt;&lt;pages&gt;113-133&lt;/pages&gt;&lt;section&gt;5&lt;/section&gt;&lt;dates&gt;&lt;year&gt;2006&lt;/year&gt;&lt;/dates&gt;&lt;pub-location&gt;Dordrecht&lt;/pub-location&gt;&lt;publisher&gt;Springer&lt;/publisher&gt;&lt;isbn&gt;10 1-4020-2942-X&lt;/isbn&gt;&lt;urls&gt;&lt;/urls&gt;&lt;/record&gt;&lt;/Cite&gt;&lt;/EndNote&gt;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Orth</w:t>
        </w:r>
        <w:r w:rsidR="00513C39" w:rsidRPr="00CB093C">
          <w:rPr>
            <w:rFonts w:ascii="Arial" w:hAnsi="Arial" w:cs="Arial"/>
            <w:i/>
            <w:noProof/>
            <w:szCs w:val="22"/>
          </w:rPr>
          <w:t xml:space="preserve"> et al.</w:t>
        </w:r>
        <w:r w:rsidR="00513C39" w:rsidRPr="00CB093C">
          <w:rPr>
            <w:rFonts w:ascii="Arial" w:hAnsi="Arial" w:cs="Arial"/>
            <w:noProof/>
            <w:szCs w:val="22"/>
          </w:rPr>
          <w:t xml:space="preserve"> 2006</w:t>
        </w:r>
        <w:r w:rsidR="00513C39" w:rsidRPr="00CB093C">
          <w:rPr>
            <w:rFonts w:ascii="Arial" w:hAnsi="Arial" w:cs="Arial"/>
            <w:szCs w:val="22"/>
          </w:rPr>
          <w:fldChar w:fldCharType="end"/>
        </w:r>
      </w:hyperlink>
      <w:r w:rsidRPr="00CB093C">
        <w:rPr>
          <w:rFonts w:ascii="Arial" w:hAnsi="Arial" w:cs="Arial"/>
          <w:szCs w:val="22"/>
        </w:rPr>
        <w:t>). The presence of seeds is fundamental to building resilience at reef sites, as without them the meadows remain vulnerable to large disturbances and would need to rely on recruitment of propagules from other meadows. This external recruitment process may operate at timescales ranging up to centuries or millennia depending on whether the propagules are reproductive or through clonal expansion (</w:t>
      </w:r>
      <w:hyperlink w:anchor="_ENREF_61" w:tooltip="Grech, 2016 #1076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&lt;EndNote&gt;&lt;Cite&gt;&lt;Author&gt;Grech&lt;/Author&gt;&lt;Year&gt;2016&lt;/Year&gt;&lt;RecNum&gt;10760&lt;/RecNum&gt;&lt;DisplayText&gt;Grech&lt;style face="italic"&gt; et al.&lt;/style&gt; 2016a&lt;/DisplayText&gt;&lt;record&gt;&lt;rec-number&gt;10760&lt;/rec-number&gt;&lt;foreign-keys&gt;&lt;key app="EN" db-id="0eve55x9y5vfd6e9dacxtew4eatve2dzds9a" timestamp="1473804420"&gt;10760&lt;/key&gt;&lt;/foreign-keys&gt;&lt;ref-type name="Journal Article"&gt;17&lt;/ref-type&gt;&lt;contributors&gt;&lt;authors&gt;&lt;author&gt;Grech, Alana&lt;/author&gt;&lt;author&gt;Wolter, Jolan&lt;/author&gt;&lt;author&gt;Coles, Rob&lt;/author&gt;&lt;author&gt;McKenzie, Len&lt;/author&gt;&lt;author&gt;Rasheed, Michael&lt;/author&gt;&lt;author&gt;Thomas, Christopher&lt;/author&gt;&lt;author&gt;Waycott, Michelle&lt;/author&gt;&lt;author&gt;Hanert, Emmanuel&lt;/author&gt;&lt;/authors&gt;&lt;/contributors&gt;&lt;titles&gt;&lt;title&gt;Spatial patterns of seagrass dispersal and settlement&lt;/title&gt;&lt;secondary-title&gt;Diversity and Distributions&lt;/secondary-title&gt;&lt;/titles&gt;&lt;periodical&gt;&lt;full-title&gt;Diversity and Distributions&lt;/full-title&gt;&lt;/periodical&gt;&lt;pages&gt;n/a-n/a&lt;/pages&gt;&lt;keywords&gt;&lt;keyword&gt;dispersal&lt;/keyword&gt;&lt;keyword&gt;Great Barrier Reef&lt;/keyword&gt;&lt;keyword&gt;hydrodynamics&lt;/keyword&gt;&lt;keyword&gt;recovery&lt;/keyword&gt;&lt;keyword&gt;resilience&lt;/keyword&gt;&lt;keyword&gt;seagrass&lt;/keyword&gt;&lt;/keywords&gt;&lt;dates&gt;&lt;year&gt;2016&lt;/year&gt;&lt;/dates&gt;&lt;isbn&gt;1472-4642&lt;/isbn&gt;&lt;urls&gt;&lt;related-urls&gt;&lt;url&gt;http://dx.doi.org/10.1111/ddi.12479&lt;/url&gt;&lt;/related-urls&gt;&lt;/urls&gt;&lt;electronic-resource-num&gt;10.1111/ddi.12479&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Grech</w:t>
        </w:r>
        <w:r w:rsidR="00513C39" w:rsidRPr="00CB093C">
          <w:rPr>
            <w:rFonts w:ascii="Arial" w:hAnsi="Arial" w:cs="Arial"/>
            <w:i/>
            <w:noProof/>
            <w:szCs w:val="22"/>
          </w:rPr>
          <w:t xml:space="preserve"> et al.</w:t>
        </w:r>
        <w:r w:rsidR="00513C39" w:rsidRPr="00CB093C">
          <w:rPr>
            <w:rFonts w:ascii="Arial" w:hAnsi="Arial" w:cs="Arial"/>
            <w:noProof/>
            <w:szCs w:val="22"/>
          </w:rPr>
          <w:t xml:space="preserve"> 2016a</w:t>
        </w:r>
        <w:r w:rsidR="00513C39" w:rsidRPr="00CB093C">
          <w:rPr>
            <w:rFonts w:ascii="Arial" w:hAnsi="Arial" w:cs="Arial"/>
            <w:szCs w:val="22"/>
          </w:rPr>
          <w:fldChar w:fldCharType="end"/>
        </w:r>
      </w:hyperlink>
      <w:r w:rsidRPr="00CB093C">
        <w:rPr>
          <w:rFonts w:ascii="Arial" w:hAnsi="Arial" w:cs="Arial"/>
          <w:szCs w:val="22"/>
        </w:rPr>
        <w:t xml:space="preserve">, </w:t>
      </w:r>
      <w:hyperlink w:anchor="_ENREF_111" w:tooltip="McMahon, 2014 #10411"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&lt;EndNote&gt;&lt;Cite&gt;&lt;Author&gt;McMahon&lt;/Author&gt;&lt;Year&gt;2014&lt;/Year&gt;&lt;RecNum&gt;10411&lt;/RecNum&gt;&lt;DisplayText&gt;McMahon&lt;style face="italic"&gt; et al.&lt;/style&gt; 2014a&lt;/DisplayText&gt;&lt;record&gt;&lt;rec-number&gt;10411&lt;/rec-number&gt;&lt;foreign-keys&gt;&lt;key app="EN" db-id="0eve55x9y5vfd6e9dacxtew4eatve2dzds9a" timestamp="1449181902"&gt;10411&lt;/key&gt;&lt;/foreign-keys&gt;&lt;ref-type name="Journal Article"&gt;17&lt;/ref-type&gt;&lt;contributors&gt;&lt;authors&gt;&lt;author&gt;McMahon, Kathryn&lt;/author&gt;&lt;author&gt;van Dijk, Kor-jent&lt;/author&gt;&lt;author&gt;Ruiz-Montoya, Leonardo&lt;/author&gt;&lt;author&gt;Kendrick, Gary A.&lt;/author&gt;&lt;author&gt;Krauss, Siegfried L.&lt;/author&gt;&lt;author&gt;Waycott, Michelle&lt;/author&gt;&lt;author&gt;Verduin, Jennifer&lt;/author&gt;&lt;author&gt;Lowe, Ryan&lt;/author&gt;&lt;author&gt;Statton, John&lt;/author&gt;&lt;author&gt;Brown, Eloise&lt;/author&gt;&lt;author&gt;Duarte, Carlos&lt;/author&gt;&lt;/authors&gt;&lt;/contributors&gt;&lt;titles&gt;&lt;title&gt;The movement ecology of seagrasses&lt;/title&gt;&lt;secondary-title&gt;Proceedings of the Royal Society of London B: Biological Sciences&lt;/secondary-title&gt;&lt;/titles&gt;&lt;periodical&gt;&lt;full-title&gt;Proceedings of the Royal Society of London B: Biological Sciences&lt;/full-title&gt;&lt;/periodical&gt;&lt;volume&gt;281&lt;/volume&gt;&lt;number&gt;1795&lt;/number&gt;&lt;dates&gt;&lt;year&gt;2014&lt;/year&gt;&lt;pub-dates&gt;&lt;date&gt;2014-11-22 00:00:00&lt;/date&gt;&lt;/pub-dates&gt;&lt;/dates&gt;&lt;urls&gt;&lt;related-urls&gt;&lt;url&gt;http://rspb.royalsocietypublishing.org/royprsb/281/1795/20140878.full.pdf&lt;/url&gt;&lt;/related-urls&gt;&lt;/urls&gt;&lt;electronic-resource-num&gt;10.1098/rspb.2014.0878&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McMahon</w:t>
        </w:r>
        <w:r w:rsidR="00513C39" w:rsidRPr="00CB093C">
          <w:rPr>
            <w:rFonts w:ascii="Arial" w:hAnsi="Arial" w:cs="Arial"/>
            <w:i/>
            <w:noProof/>
            <w:szCs w:val="22"/>
          </w:rPr>
          <w:t xml:space="preserve"> et al.</w:t>
        </w:r>
        <w:r w:rsidR="00513C39" w:rsidRPr="00CB093C">
          <w:rPr>
            <w:rFonts w:ascii="Arial" w:hAnsi="Arial" w:cs="Arial"/>
            <w:noProof/>
            <w:szCs w:val="22"/>
          </w:rPr>
          <w:t xml:space="preserve"> 2014a</w:t>
        </w:r>
        <w:r w:rsidR="00513C39" w:rsidRPr="00CB093C">
          <w:rPr>
            <w:rFonts w:ascii="Arial" w:hAnsi="Arial" w:cs="Arial"/>
            <w:szCs w:val="22"/>
          </w:rPr>
          <w:fldChar w:fldCharType="end"/>
        </w:r>
      </w:hyperlink>
      <w:r w:rsidRPr="00CB093C">
        <w:rPr>
          <w:rFonts w:ascii="Arial" w:hAnsi="Arial" w:cs="Arial"/>
          <w:szCs w:val="22"/>
        </w:rPr>
        <w:t xml:space="preserve">). Absence of a seed bank at some sites and poor reproductive effort across the </w:t>
      </w:r>
      <w:r w:rsidR="003158FC" w:rsidRPr="00CB093C">
        <w:rPr>
          <w:rFonts w:ascii="Arial" w:hAnsi="Arial" w:cs="Arial"/>
          <w:szCs w:val="22"/>
        </w:rPr>
        <w:t>Reef</w:t>
      </w:r>
      <w:r w:rsidRPr="00CB093C">
        <w:rPr>
          <w:rFonts w:ascii="Arial" w:hAnsi="Arial" w:cs="Arial"/>
          <w:szCs w:val="22"/>
        </w:rPr>
        <w:t>, has left most of the MMP meadows vulnerable to further environmental pertu</w:t>
      </w:r>
      <w:r w:rsidR="00A069C6" w:rsidRPr="00CB093C">
        <w:rPr>
          <w:rFonts w:ascii="Arial" w:hAnsi="Arial" w:cs="Arial"/>
          <w:szCs w:val="22"/>
        </w:rPr>
        <w:t>rbations.</w:t>
      </w:r>
    </w:p>
    <w:p w14:paraId="7B2DB0DA" w14:textId="694FEAD5" w:rsidR="00932564" w:rsidRPr="00CB093C" w:rsidRDefault="00932564" w:rsidP="00D2585E">
      <w:pPr>
        <w:rPr>
          <w:rFonts w:ascii="Arial" w:hAnsi="Arial" w:cs="Arial"/>
          <w:szCs w:val="22"/>
        </w:rPr>
      </w:pPr>
      <w:r w:rsidRPr="00CB093C">
        <w:rPr>
          <w:rFonts w:ascii="Arial" w:hAnsi="Arial" w:cs="Arial"/>
          <w:szCs w:val="22"/>
        </w:rPr>
        <w:t xml:space="preserve">The basis of poor and variable reproductive effort should be investigated as a matter of priority. For example, the lack of flowers, fruits and seeds may be due to sampling artefact (e.g. timing and frequency of sampling may miss short flowering periods). Alternatively, are these communities unable to reproduce due to their effective population size being reduced to a critical threshold. This is known to have happened for </w:t>
      </w:r>
      <w:r w:rsidRPr="00CB093C">
        <w:rPr>
          <w:rFonts w:ascii="Arial" w:hAnsi="Arial" w:cs="Arial"/>
          <w:i/>
          <w:szCs w:val="22"/>
        </w:rPr>
        <w:t>Cymodocea serrulata</w:t>
      </w:r>
      <w:r w:rsidRPr="00CB093C">
        <w:rPr>
          <w:rFonts w:ascii="Arial" w:hAnsi="Arial" w:cs="Arial"/>
          <w:szCs w:val="22"/>
        </w:rPr>
        <w:t xml:space="preserve"> </w:t>
      </w:r>
      <w:r w:rsidR="00EA1371" w:rsidRPr="00CB093C">
        <w:rPr>
          <w:rFonts w:ascii="Arial" w:hAnsi="Arial" w:cs="Arial"/>
          <w:szCs w:val="22"/>
        </w:rPr>
        <w:t xml:space="preserve">and </w:t>
      </w:r>
      <w:r w:rsidR="00EA1371" w:rsidRPr="00CB093C">
        <w:rPr>
          <w:rFonts w:ascii="Arial" w:hAnsi="Arial" w:cs="Arial"/>
          <w:i/>
          <w:szCs w:val="22"/>
        </w:rPr>
        <w:t>Syringodium isoetifolium</w:t>
      </w:r>
      <w:r w:rsidR="00EA1371" w:rsidRPr="00CB093C">
        <w:rPr>
          <w:rFonts w:ascii="Arial" w:hAnsi="Arial" w:cs="Arial"/>
          <w:szCs w:val="22"/>
        </w:rPr>
        <w:t xml:space="preserve"> </w:t>
      </w:r>
      <w:r w:rsidRPr="00CB093C">
        <w:rPr>
          <w:rFonts w:ascii="Arial" w:hAnsi="Arial" w:cs="Arial"/>
          <w:szCs w:val="22"/>
        </w:rPr>
        <w:t xml:space="preserve">on Green Island where the meadows are made up of a single clone (and therefore a single sex as this species is dioecious) leading to their inability to set seed. If such factors are known, improved management strategies can be developed to accommodate processes that enhance seed bank formation (e.g. adjusting light or nutrient thresholds), or enhancement of resilience (e.g. introduction of new clones or seeds in the seed bank). </w:t>
      </w:r>
    </w:p>
    <w:p w14:paraId="22E690FC" w14:textId="77777777" w:rsidR="00932564" w:rsidRPr="00CB093C" w:rsidRDefault="00932564" w:rsidP="00D2585E">
      <w:pPr>
        <w:rPr>
          <w:rFonts w:ascii="Arial" w:hAnsi="Arial" w:cs="Arial"/>
          <w:szCs w:val="22"/>
        </w:rPr>
      </w:pPr>
      <w:r w:rsidRPr="00CB093C">
        <w:rPr>
          <w:rFonts w:ascii="Arial" w:hAnsi="Arial" w:cs="Arial"/>
          <w:szCs w:val="22"/>
        </w:rPr>
        <w:t xml:space="preserve">Recovery of seagrass meadows proceeding slower than expected might also be due to the frequent and repeated disturbances occurring over the past decade. The capacity of seagrass meadows to naturally recover requires environmental conditions that will enable expansion, sexual reproduction and seed bank formation. The environmental requirements for these recovery processes are not quantitatively described (by contrast thresholds leading to loss, such as light thresholds have been quantified for a number of species) and represent a research priority so that accurate recovery models can be developed. </w:t>
      </w:r>
    </w:p>
    <w:p w14:paraId="29F2C418" w14:textId="653E766B" w:rsidR="00415782" w:rsidRPr="00CB093C" w:rsidRDefault="00932564" w:rsidP="000C4660">
      <w:pPr>
        <w:rPr>
          <w:rFonts w:ascii="Arial" w:hAnsi="Arial" w:cs="Arial"/>
          <w:szCs w:val="22"/>
        </w:rPr>
      </w:pPr>
      <w:r w:rsidRPr="00CB093C">
        <w:rPr>
          <w:rFonts w:ascii="Arial" w:hAnsi="Arial" w:cs="Arial"/>
          <w:szCs w:val="22"/>
        </w:rPr>
        <w:t xml:space="preserve">The high energy demands of seagrass meadow recovery processes are likely to require optimum conditions of light and nutrient availability and the absence of major physical disturbances such as cyclones or even excessive sediment resuspension. For example, the low and variable light availability across the </w:t>
      </w:r>
      <w:r w:rsidR="003158FC" w:rsidRPr="00CB093C">
        <w:rPr>
          <w:rFonts w:ascii="Arial" w:hAnsi="Arial" w:cs="Arial"/>
          <w:szCs w:val="22"/>
        </w:rPr>
        <w:t>Reef</w:t>
      </w:r>
      <w:r w:rsidRPr="00CB093C">
        <w:rPr>
          <w:rFonts w:ascii="Arial" w:hAnsi="Arial" w:cs="Arial"/>
          <w:szCs w:val="22"/>
        </w:rPr>
        <w:t xml:space="preserve"> habitats in 2014</w:t>
      </w:r>
      <w:r w:rsidR="003158FC" w:rsidRPr="00CB093C">
        <w:rPr>
          <w:rFonts w:ascii="Arial" w:hAnsi="Arial" w:cs="Arial"/>
          <w:szCs w:val="22"/>
        </w:rPr>
        <w:t>–</w:t>
      </w:r>
      <w:r w:rsidR="00C26801" w:rsidRPr="00CB093C">
        <w:rPr>
          <w:rFonts w:ascii="Arial" w:hAnsi="Arial" w:cs="Arial"/>
          <w:szCs w:val="22"/>
        </w:rPr>
        <w:t>20</w:t>
      </w:r>
      <w:r w:rsidRPr="00CB093C">
        <w:rPr>
          <w:rFonts w:ascii="Arial" w:hAnsi="Arial" w:cs="Arial"/>
          <w:szCs w:val="22"/>
        </w:rPr>
        <w:t>15, 2016</w:t>
      </w:r>
      <w:r w:rsidR="003158FC" w:rsidRPr="00CB093C">
        <w:rPr>
          <w:rFonts w:ascii="Arial" w:hAnsi="Arial" w:cs="Arial"/>
          <w:szCs w:val="22"/>
        </w:rPr>
        <w:t>–</w:t>
      </w:r>
      <w:r w:rsidR="00C26801" w:rsidRPr="00CB093C">
        <w:rPr>
          <w:rFonts w:ascii="Arial" w:hAnsi="Arial" w:cs="Arial"/>
          <w:szCs w:val="22"/>
        </w:rPr>
        <w:t>20</w:t>
      </w:r>
      <w:r w:rsidRPr="00CB093C">
        <w:rPr>
          <w:rFonts w:ascii="Arial" w:hAnsi="Arial" w:cs="Arial"/>
          <w:szCs w:val="22"/>
        </w:rPr>
        <w:t xml:space="preserve">17 and </w:t>
      </w:r>
      <w:r w:rsidR="003654C6">
        <w:rPr>
          <w:rFonts w:ascii="Arial" w:hAnsi="Arial" w:cs="Arial"/>
          <w:szCs w:val="22"/>
        </w:rPr>
        <w:t>2017–18</w:t>
      </w:r>
      <w:r w:rsidRPr="00CB093C">
        <w:rPr>
          <w:rFonts w:ascii="Arial" w:hAnsi="Arial" w:cs="Arial"/>
          <w:szCs w:val="22"/>
        </w:rPr>
        <w:t xml:space="preserve"> appear</w:t>
      </w:r>
      <w:r w:rsidR="00C26801" w:rsidRPr="00CB093C">
        <w:rPr>
          <w:rFonts w:ascii="Arial" w:hAnsi="Arial" w:cs="Arial"/>
          <w:szCs w:val="22"/>
        </w:rPr>
        <w:t>s</w:t>
      </w:r>
      <w:r w:rsidRPr="00CB093C">
        <w:rPr>
          <w:rFonts w:ascii="Arial" w:hAnsi="Arial" w:cs="Arial"/>
          <w:szCs w:val="22"/>
        </w:rPr>
        <w:t xml:space="preserve"> to have slowed and abated recovery, which in turn may reduce capacity to produce a viable seed banks in some locations (</w:t>
      </w:r>
      <w:hyperlink w:anchor="_ENREF_146" w:tooltip="van Katwijk, 2010 #924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&lt;EndNote&gt;&lt;Cite&gt;&lt;Author&gt;van Katwijk&lt;/Author&gt;&lt;Year&gt;2010&lt;/Year&gt;&lt;RecNum&gt;9240&lt;/RecNum&gt;&lt;DisplayText&gt;van Katwijk&lt;style face="italic"&gt; et al.&lt;/style&gt; 2010&lt;/DisplayText&gt;&lt;record&gt;&lt;rec-number&gt;9240&lt;/rec-number&gt;&lt;foreign-keys&gt;&lt;key app="EN" db-id="0eve55x9y5vfd6e9dacxtew4eatve2dzds9a" timestamp="1375003730"&gt;9240&lt;/key&gt;&lt;/foreign-keys&gt;&lt;ref-type name="Journal Article"&gt;17&lt;/ref-type&gt;&lt;contributors&gt;&lt;authors&gt;&lt;author&gt;van Katwijk, M. M.&lt;/author&gt;&lt;author&gt;Bos, A. R.&lt;/author&gt;&lt;author&gt;Hermus, D. C. R.&lt;/author&gt;&lt;author&gt;Suykerbuyk, W.&lt;/author&gt;&lt;/authors&gt;&lt;/contributors&gt;&lt;titles&gt;&lt;title&gt;Sediment modification by seagrass beds: Muddification and sandification induced by plant cover and environmental conditions&lt;/title&gt;&lt;secondary-title&gt;Estuarine Coastal And Shelf Science&lt;/secondary-title&gt;&lt;/titles&gt;&lt;periodical&gt;&lt;full-title&gt;Estuarine Coastal And Shelf Science&lt;/full-title&gt;&lt;/periodical&gt;&lt;pages&gt;175-181&lt;/pages&gt;&lt;volume&gt;89&lt;/volume&gt;&lt;number&gt;2&lt;/number&gt;&lt;dates&gt;&lt;year&gt;2010&lt;/year&gt;&lt;pub-dates&gt;&lt;date&gt;Sep&lt;/date&gt;&lt;/pub-dates&gt;&lt;/dates&gt;&lt;isbn&gt;0272-7714&lt;/isbn&gt;&lt;accession-num&gt;WOS:000281501000006&lt;/accession-num&gt;&lt;urls&gt;&lt;related-urls&gt;&lt;url&gt;&amp;lt;Go to ISI&amp;gt;://WOS:000281501000006&lt;/url&gt;&lt;/related-urls&gt;&lt;/urls&gt;&lt;electronic-resource-num&gt;10.1016/j.ecss.2010.06.008&lt;/electronic-resource-num&gt;&lt;/record&gt;&lt;/Cite&gt;&lt;/EndNote&gt;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van Katwijk</w:t>
        </w:r>
        <w:r w:rsidR="00513C39" w:rsidRPr="00CB093C">
          <w:rPr>
            <w:rFonts w:ascii="Arial" w:hAnsi="Arial" w:cs="Arial"/>
            <w:i/>
            <w:noProof/>
            <w:szCs w:val="22"/>
          </w:rPr>
          <w:t xml:space="preserve"> et al.</w:t>
        </w:r>
        <w:r w:rsidR="00513C39" w:rsidRPr="00CB093C">
          <w:rPr>
            <w:rFonts w:ascii="Arial" w:hAnsi="Arial" w:cs="Arial"/>
            <w:noProof/>
            <w:szCs w:val="22"/>
          </w:rPr>
          <w:t xml:space="preserve"> 2010</w:t>
        </w:r>
        <w:r w:rsidR="00513C39" w:rsidRPr="00CB093C">
          <w:rPr>
            <w:rFonts w:ascii="Arial" w:hAnsi="Arial" w:cs="Arial"/>
            <w:szCs w:val="22"/>
          </w:rPr>
          <w:fldChar w:fldCharType="end"/>
        </w:r>
      </w:hyperlink>
      <w:r w:rsidRPr="00CB093C">
        <w:rPr>
          <w:rFonts w:ascii="Arial" w:hAnsi="Arial" w:cs="Arial"/>
          <w:szCs w:val="22"/>
        </w:rPr>
        <w:t xml:space="preserve">). </w:t>
      </w:r>
      <w:r w:rsidRPr="00CB093C">
        <w:rPr>
          <w:rFonts w:ascii="Arial" w:hAnsi="Arial" w:cs="Arial"/>
          <w:szCs w:val="22"/>
          <w:lang w:val="en-US"/>
        </w:rPr>
        <w:t>Continued strategic monitoring through programs such as the MMP, as well as integration with complementary monitoring programs through the</w:t>
      </w:r>
      <w:r w:rsidR="00FA75F8" w:rsidRPr="00CB093C">
        <w:rPr>
          <w:rFonts w:ascii="Arial" w:hAnsi="Arial" w:cs="Arial"/>
          <w:szCs w:val="22"/>
          <w:lang w:val="en-US"/>
        </w:rPr>
        <w:t xml:space="preserve"> Reef Integrated Monitoring and Reporting Program (</w:t>
      </w:r>
      <w:r w:rsidRPr="00CB093C">
        <w:rPr>
          <w:rFonts w:ascii="Arial" w:hAnsi="Arial" w:cs="Arial"/>
          <w:szCs w:val="22"/>
          <w:lang w:val="en-US"/>
        </w:rPr>
        <w:t>RIMReP</w:t>
      </w:r>
      <w:r w:rsidR="00FA75F8" w:rsidRPr="00CB093C">
        <w:rPr>
          <w:rFonts w:ascii="Arial" w:hAnsi="Arial" w:cs="Arial"/>
          <w:szCs w:val="22"/>
          <w:lang w:val="en-US"/>
        </w:rPr>
        <w:t>)</w:t>
      </w:r>
      <w:r w:rsidRPr="00CB093C">
        <w:rPr>
          <w:rFonts w:ascii="Arial" w:hAnsi="Arial" w:cs="Arial"/>
          <w:szCs w:val="22"/>
          <w:lang w:val="en-US"/>
        </w:rPr>
        <w:t>, will enable continued assessment of their trajectories</w:t>
      </w:r>
      <w:r w:rsidR="002F711F" w:rsidRPr="00CB093C">
        <w:rPr>
          <w:rFonts w:ascii="Arial" w:hAnsi="Arial" w:cs="Arial"/>
          <w:szCs w:val="22"/>
          <w:lang w:val="en-US"/>
        </w:rPr>
        <w:t>.</w:t>
      </w:r>
    </w:p>
    <w:p w14:paraId="6159A31C" w14:textId="0D61FCF8" w:rsidR="00415782" w:rsidRPr="00CB093C" w:rsidRDefault="00415782" w:rsidP="0015509E">
      <w:pPr>
        <w:pStyle w:val="Heading2"/>
      </w:pPr>
      <w:bookmarkStart w:id="549" w:name="_Toc11394780"/>
      <w:r w:rsidRPr="00CB093C">
        <w:t>Seagrass ecosystem service</w:t>
      </w:r>
      <w:r w:rsidR="00801892" w:rsidRPr="00CB093C">
        <w:t xml:space="preserve"> provisioning</w:t>
      </w:r>
      <w:bookmarkEnd w:id="549"/>
    </w:p>
    <w:p w14:paraId="55744A03" w14:textId="7C042DDE" w:rsidR="005306B4" w:rsidRPr="00CB093C" w:rsidRDefault="0034410E" w:rsidP="005306B4">
      <w:pPr>
        <w:spacing w:before="240"/>
        <w:rPr>
          <w:rFonts w:ascii="Arial" w:hAnsi="Arial" w:cs="Arial"/>
          <w:color w:val="000000" w:themeColor="text1"/>
          <w:szCs w:val="22"/>
          <w:lang w:eastAsia="en-AU"/>
        </w:rPr>
      </w:pPr>
      <w:r w:rsidRPr="00CB093C">
        <w:rPr>
          <w:rFonts w:ascii="Arial" w:hAnsi="Arial" w:cs="Arial"/>
          <w:color w:val="000000" w:themeColor="text1"/>
          <w:szCs w:val="22"/>
        </w:rPr>
        <w:t>Seagrasses are an important component of the</w:t>
      </w:r>
      <w:r w:rsidR="00801892" w:rsidRPr="00CB093C">
        <w:rPr>
          <w:rFonts w:ascii="Arial" w:hAnsi="Arial" w:cs="Arial"/>
          <w:color w:val="000000" w:themeColor="text1"/>
          <w:szCs w:val="22"/>
        </w:rPr>
        <w:t xml:space="preserve"> marine ecosystem of the Reef. </w:t>
      </w:r>
      <w:r w:rsidR="005306B4" w:rsidRPr="00CB093C">
        <w:rPr>
          <w:rFonts w:ascii="Arial" w:hAnsi="Arial" w:cs="Arial"/>
          <w:color w:val="000000" w:themeColor="text1"/>
          <w:szCs w:val="22"/>
          <w:lang w:eastAsia="en-AU"/>
        </w:rPr>
        <w:t xml:space="preserve">Although inshore seagrass meadows represent only 10 </w:t>
      </w:r>
      <w:r w:rsidR="00882B72" w:rsidRPr="00CB093C">
        <w:rPr>
          <w:rFonts w:ascii="Arial" w:hAnsi="Arial" w:cs="Arial"/>
          <w:color w:val="000000" w:themeColor="text1"/>
          <w:szCs w:val="22"/>
          <w:lang w:eastAsia="en-AU"/>
        </w:rPr>
        <w:t>%</w:t>
      </w:r>
      <w:r w:rsidR="005306B4" w:rsidRPr="00CB093C">
        <w:rPr>
          <w:rFonts w:ascii="Arial" w:hAnsi="Arial" w:cs="Arial"/>
          <w:color w:val="000000" w:themeColor="text1"/>
          <w:szCs w:val="22"/>
          <w:lang w:eastAsia="en-AU"/>
        </w:rPr>
        <w:t xml:space="preserve"> of the total seagrass area estimated within the </w:t>
      </w:r>
      <w:r w:rsidR="00C26801" w:rsidRPr="00CB093C">
        <w:rPr>
          <w:rFonts w:ascii="Arial" w:hAnsi="Arial" w:cs="Arial"/>
          <w:color w:val="000000" w:themeColor="text1"/>
          <w:szCs w:val="22"/>
          <w:lang w:eastAsia="en-AU"/>
        </w:rPr>
        <w:t>World Heritage Area</w:t>
      </w:r>
      <w:r w:rsidR="005306B4" w:rsidRPr="00CB093C">
        <w:rPr>
          <w:rFonts w:ascii="Arial" w:hAnsi="Arial" w:cs="Arial"/>
          <w:color w:val="000000" w:themeColor="text1"/>
          <w:szCs w:val="22"/>
          <w:lang w:eastAsia="en-AU"/>
        </w:rPr>
        <w:t xml:space="preserve"> (</w:t>
      </w:r>
      <w:hyperlink w:anchor="_ENREF_108" w:tooltip="McKenzie, 2010 #9646" w:history="1">
        <w:r w:rsidR="00513C39" w:rsidRPr="00CB093C">
          <w:rPr>
            <w:rFonts w:ascii="Arial" w:hAnsi="Arial" w:cs="Arial"/>
            <w:color w:val="000000" w:themeColor="text1"/>
            <w:szCs w:val="22"/>
            <w:lang w:eastAsia="en-AU"/>
          </w:rPr>
          <w:fldChar w:fldCharType="begin"/>
        </w:r>
        <w:r w:rsidR="00513C39" w:rsidRPr="00CB093C">
          <w:rPr>
            <w:rFonts w:ascii="Arial" w:hAnsi="Arial" w:cs="Arial"/>
            <w:color w:val="000000" w:themeColor="text1"/>
            <w:szCs w:val="22"/>
            <w:lang w:eastAsia="en-AU"/>
          </w:rPr>
          <w:instrText xml:space="preserve"> ADDIN EN.CITE &lt;EndNote&gt;&lt;Cite&gt;&lt;Author&gt;McKenzie&lt;/Author&gt;&lt;Year&gt;2010&lt;/Year&gt;&lt;RecNum&gt;9646&lt;/RecNum&gt;&lt;DisplayText&gt;McKenzie&lt;style face="italic"&gt; et al.&lt;/style&gt; 2010b&lt;/DisplayText&gt;&lt;record&gt;&lt;rec-number&gt;9646&lt;/rec-number&gt;&lt;foreign-keys&gt;&lt;key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513C39" w:rsidRPr="00CB093C">
          <w:rPr>
            <w:rFonts w:ascii="Arial" w:hAnsi="Arial" w:cs="Arial"/>
            <w:color w:val="000000" w:themeColor="text1"/>
            <w:szCs w:val="22"/>
            <w:lang w:eastAsia="en-AU"/>
          </w:rPr>
          <w:fldChar w:fldCharType="separate"/>
        </w:r>
        <w:r w:rsidR="00513C39" w:rsidRPr="00CB093C">
          <w:rPr>
            <w:rFonts w:ascii="Arial" w:hAnsi="Arial" w:cs="Arial"/>
            <w:noProof/>
            <w:color w:val="000000" w:themeColor="text1"/>
            <w:szCs w:val="22"/>
            <w:lang w:eastAsia="en-AU"/>
          </w:rPr>
          <w:t>McKenzie</w:t>
        </w:r>
        <w:r w:rsidR="00513C39" w:rsidRPr="00CB093C">
          <w:rPr>
            <w:rFonts w:ascii="Arial" w:hAnsi="Arial" w:cs="Arial"/>
            <w:i/>
            <w:noProof/>
            <w:color w:val="000000" w:themeColor="text1"/>
            <w:szCs w:val="22"/>
            <w:lang w:eastAsia="en-AU"/>
          </w:rPr>
          <w:t xml:space="preserve"> et al.</w:t>
        </w:r>
        <w:r w:rsidR="00513C39" w:rsidRPr="00CB093C">
          <w:rPr>
            <w:rFonts w:ascii="Arial" w:hAnsi="Arial" w:cs="Arial"/>
            <w:noProof/>
            <w:color w:val="000000" w:themeColor="text1"/>
            <w:szCs w:val="22"/>
            <w:lang w:eastAsia="en-AU"/>
          </w:rPr>
          <w:t xml:space="preserve"> 2010b</w:t>
        </w:r>
        <w:r w:rsidR="00513C39" w:rsidRPr="00CB093C">
          <w:rPr>
            <w:rFonts w:ascii="Arial" w:hAnsi="Arial" w:cs="Arial"/>
            <w:color w:val="000000" w:themeColor="text1"/>
            <w:szCs w:val="22"/>
            <w:lang w:eastAsia="en-AU"/>
          </w:rPr>
          <w:fldChar w:fldCharType="end"/>
        </w:r>
      </w:hyperlink>
      <w:r w:rsidR="005306B4" w:rsidRPr="00CB093C">
        <w:rPr>
          <w:rFonts w:ascii="Arial" w:hAnsi="Arial" w:cs="Arial"/>
          <w:color w:val="000000" w:themeColor="text1"/>
          <w:szCs w:val="22"/>
          <w:lang w:eastAsia="en-AU"/>
        </w:rPr>
        <w:t xml:space="preserve">), the ecosystem services inshore seagrass meadows provide are of </w:t>
      </w:r>
      <w:r w:rsidR="000230D1" w:rsidRPr="00CB093C">
        <w:rPr>
          <w:rFonts w:ascii="Arial" w:hAnsi="Arial" w:cs="Arial"/>
          <w:color w:val="000000" w:themeColor="text1"/>
          <w:szCs w:val="22"/>
          <w:lang w:eastAsia="en-AU"/>
        </w:rPr>
        <w:t>great importance</w:t>
      </w:r>
      <w:r w:rsidR="005306B4" w:rsidRPr="00CB093C">
        <w:rPr>
          <w:rFonts w:ascii="Arial" w:hAnsi="Arial" w:cs="Arial"/>
          <w:color w:val="000000" w:themeColor="text1"/>
          <w:szCs w:val="22"/>
          <w:lang w:eastAsia="en-AU"/>
        </w:rPr>
        <w:t xml:space="preserve">. </w:t>
      </w:r>
      <w:r w:rsidR="005306B4" w:rsidRPr="00CB093C">
        <w:rPr>
          <w:rFonts w:ascii="Arial" w:hAnsi="Arial" w:cs="Arial"/>
          <w:color w:val="000000" w:themeColor="text1"/>
          <w:szCs w:val="22"/>
        </w:rPr>
        <w:t>Inshore seagrass meadows can be composed of foundational (opportunistic and persistent) species that are structurally large (</w:t>
      </w:r>
      <w:hyperlink w:anchor="_ENREF_108" w:tooltip="McKenzie, 2010 #9646"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&lt;EndNote&gt;&lt;Cite&gt;&lt;Author&gt;McKenzie&lt;/Author&gt;&lt;Year&gt;2010&lt;/Year&gt;&lt;RecNum&gt;9646&lt;/RecNum&gt;&lt;DisplayText&gt;McKenzie&lt;style face="italic"&gt; et al.&lt;/style&gt; 2010b&lt;/DisplayText&gt;&lt;record&gt;&lt;rec-number&gt;9646&lt;/rec-number&gt;&lt;foreign-keys&gt;&lt;key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McKenzie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2010b</w:t>
        </w:r>
        <w:r w:rsidR="00513C39" w:rsidRPr="00CB093C">
          <w:rPr>
            <w:rFonts w:ascii="Arial" w:hAnsi="Arial" w:cs="Arial"/>
            <w:color w:val="000000" w:themeColor="text1"/>
            <w:szCs w:val="22"/>
          </w:rPr>
          <w:fldChar w:fldCharType="end"/>
        </w:r>
      </w:hyperlink>
      <w:r w:rsidR="005306B4" w:rsidRPr="00CB093C">
        <w:rPr>
          <w:rFonts w:ascii="Arial" w:hAnsi="Arial" w:cs="Arial"/>
          <w:color w:val="000000" w:themeColor="text1"/>
          <w:szCs w:val="22"/>
        </w:rPr>
        <w:t>). Inshore meadows also store more carbon in their sediments (</w:t>
      </w:r>
      <w:hyperlink w:anchor="_ENREF_81" w:tooltip="Lavery, 2013 #9707"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&lt;EndNote&gt;&lt;Cite&gt;&lt;Author&gt;Lavery&lt;/Author&gt;&lt;Year&gt;2013&lt;/Year&gt;&lt;RecNum&gt;9707&lt;/RecNum&gt;&lt;DisplayText&gt;Lavery&lt;style face="italic"&gt; et al.&lt;/style&gt; 2013&lt;/DisplayText&gt;&lt;record&gt;&lt;rec-number&gt;9707&lt;/rec-number&gt;&lt;foreign-keys&gt;&lt;key app="EN" db-id="0eve55x9y5vfd6e9dacxtew4eatve2dzds9a" timestamp="1393111007"&gt;9707&lt;/key&gt;&lt;/foreign-keys&gt;&lt;ref-type name="Journal Article"&gt;17&lt;/ref-type&gt;&lt;contributors&gt;&lt;authors&gt;&lt;author&gt;Lavery, Paul S.&lt;/author&gt;&lt;author&gt;Mateo, Miguel-Ángel&lt;/author&gt;&lt;author&gt;Serrano, Oscar&lt;/author&gt;&lt;author&gt;Rozaimi, Mohammad&lt;/author&gt;&lt;/authors&gt;&lt;/contributors&gt;&lt;titles&gt;&lt;title&gt;Variability in the Carbon Storage of Seagrass Habitats and Its Implications for Global Estimates of Blue Carbon Ecosystem Service&lt;/title&gt;&lt;secondary-title&gt;Plos One&lt;/secondary-title&gt;&lt;/titles&gt;&lt;periodical&gt;&lt;full-title&gt;Plos One&lt;/full-title&gt;&lt;/periodical&gt;&lt;pages&gt;e73748&lt;/pages&gt;&lt;volume&gt;8&lt;/volume&gt;&lt;number&gt;9&lt;/number&gt;&lt;dates&gt;&lt;year&gt;2013&lt;/year&gt;&lt;/dates&gt;&lt;publisher&gt;Public Library of Science&lt;/publisher&gt;&lt;urls&gt;&lt;related-urls&gt;&lt;url&gt;http://dx.doi.org/10.1371%2Fjournal.pone.0073748&lt;/url&gt;&lt;/related-urls&gt;&lt;/urls&gt;&lt;electronic-resource-num&gt;10.1371/journal.pone.0073748&lt;/electronic-resource-num&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Lavery</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2013</w:t>
        </w:r>
        <w:r w:rsidR="00513C39" w:rsidRPr="00CB093C">
          <w:rPr>
            <w:rFonts w:ascii="Arial" w:hAnsi="Arial" w:cs="Arial"/>
            <w:color w:val="000000" w:themeColor="text1"/>
            <w:szCs w:val="22"/>
          </w:rPr>
          <w:fldChar w:fldCharType="end"/>
        </w:r>
      </w:hyperlink>
      <w:r w:rsidR="005306B4" w:rsidRPr="00CB093C">
        <w:rPr>
          <w:rFonts w:ascii="Arial" w:hAnsi="Arial" w:cs="Arial"/>
          <w:color w:val="000000" w:themeColor="text1"/>
          <w:szCs w:val="22"/>
        </w:rPr>
        <w:t>), are of higher fisheries importance (</w:t>
      </w:r>
      <w:hyperlink w:anchor="_ENREF_149" w:tooltip="Watson, 1993 #292"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&lt;EndNote&gt;&lt;Cite&gt;&lt;Author&gt;Watson&lt;/Author&gt;&lt;Year&gt;1993&lt;/Year&gt;&lt;RecNum&gt;292&lt;/RecNum&gt;&lt;DisplayText&gt;Watson&lt;style face="italic"&gt; et al.&lt;/style&gt; 1993&lt;/DisplayText&gt;&lt;record&gt;&lt;rec-number&gt;292&lt;/rec-number&gt;&lt;foreign-keys&gt;&lt;key app="EN" db-id="0eve55x9y5vfd6e9dacxtew4eatve2dzds9a" timestamp="0"&gt;292&lt;/key&gt;&lt;/foreign-keys&gt;&lt;ref-type name="Journal Article"&gt;17&lt;/ref-type&gt;&lt;contributors&gt;&lt;authors&gt;&lt;author&gt;Watson, Reg A.&lt;/author&gt;&lt;author&gt;Coles, Robert G.&lt;/author&gt;&lt;author&gt;Lee Long, Warren J.&lt;/author&gt;&lt;/authors&gt;&lt;/contributors&gt;&lt;titles&gt;&lt;title&gt;Simulation estimates of annual yield and landed value for commercial penaeid prawns from a tropical seagrass habitat, northern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211-220&lt;/pages&gt;&lt;volume&gt;44&lt;/volume&gt;&lt;number&gt;1&lt;/number&gt;&lt;dates&gt;&lt;year&gt;1993&lt;/year&gt;&lt;/dates&gt;&lt;label&gt;253&lt;/label&gt;&lt;urls&gt;&lt;/urls&gt;&lt;custom1&gt;Annex&lt;/custom1&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Watson</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1993</w:t>
        </w:r>
        <w:r w:rsidR="00513C39" w:rsidRPr="00CB093C">
          <w:rPr>
            <w:rFonts w:ascii="Arial" w:hAnsi="Arial" w:cs="Arial"/>
            <w:color w:val="000000" w:themeColor="text1"/>
            <w:szCs w:val="22"/>
          </w:rPr>
          <w:fldChar w:fldCharType="end"/>
        </w:r>
      </w:hyperlink>
      <w:r w:rsidR="005306B4" w:rsidRPr="00CB093C">
        <w:rPr>
          <w:rFonts w:ascii="Arial" w:hAnsi="Arial" w:cs="Arial"/>
          <w:color w:val="000000" w:themeColor="text1"/>
          <w:szCs w:val="22"/>
        </w:rPr>
        <w:t>), and the main feeding pastures for dugong and green sea turtle (</w:t>
      </w:r>
      <w:r w:rsidR="005306B4" w:rsidRPr="00CB093C">
        <w:rPr>
          <w:rFonts w:ascii="Arial" w:hAnsi="Arial" w:cs="Arial"/>
          <w:color w:val="000000" w:themeColor="text1"/>
          <w:szCs w:val="22"/>
        </w:rPr>
        <w:fldChar w:fldCharType="begin">
          <w:fldData xml:space="preserve">PEVuZE5vdGU+PENpdGU+PEF1dGhvcj5TaGVwcGFyZDwvQXV0aG9yPjxZZWFyPjIwMDk8L1llYXI+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</w:fldData>
        </w:fldChar>
      </w:r>
      <w:r w:rsidR="005306B4" w:rsidRPr="00CB093C">
        <w:rPr>
          <w:rFonts w:ascii="Arial" w:hAnsi="Arial" w:cs="Arial"/>
          <w:color w:val="000000" w:themeColor="text1"/>
          <w:szCs w:val="22"/>
        </w:rPr>
        <w:instrText xml:space="preserve"> ADDIN EN.CITE </w:instrText>
      </w:r>
      <w:r w:rsidR="005306B4" w:rsidRPr="00CB093C">
        <w:rPr>
          <w:rFonts w:ascii="Arial" w:hAnsi="Arial" w:cs="Arial"/>
          <w:color w:val="000000" w:themeColor="text1"/>
          <w:szCs w:val="22"/>
        </w:rPr>
        <w:fldChar w:fldCharType="begin">
          <w:fldData xml:space="preserve">PEVuZE5vdGU+PENpdGU+PEF1dGhvcj5TaGVwcGFyZDwvQXV0aG9yPjxZZWFyPjIwMDk8L1llYXI+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</w:fldData>
        </w:fldChar>
      </w:r>
      <w:r w:rsidR="005306B4" w:rsidRPr="00CB093C">
        <w:rPr>
          <w:rFonts w:ascii="Arial" w:hAnsi="Arial" w:cs="Arial"/>
          <w:color w:val="000000" w:themeColor="text1"/>
          <w:szCs w:val="22"/>
        </w:rPr>
        <w:instrText xml:space="preserve"> ADDIN EN.CITE.DATA </w:instrText>
      </w:r>
      <w:r w:rsidR="005306B4" w:rsidRPr="00CB093C">
        <w:rPr>
          <w:rFonts w:ascii="Arial" w:hAnsi="Arial" w:cs="Arial"/>
          <w:color w:val="000000" w:themeColor="text1"/>
          <w:szCs w:val="22"/>
        </w:rPr>
      </w:r>
      <w:r w:rsidR="005306B4" w:rsidRPr="00CB093C">
        <w:rPr>
          <w:rFonts w:ascii="Arial" w:hAnsi="Arial" w:cs="Arial"/>
          <w:color w:val="000000" w:themeColor="text1"/>
          <w:szCs w:val="22"/>
        </w:rPr>
        <w:fldChar w:fldCharType="end"/>
      </w:r>
      <w:r w:rsidR="005306B4" w:rsidRPr="00CB093C">
        <w:rPr>
          <w:rFonts w:ascii="Arial" w:hAnsi="Arial" w:cs="Arial"/>
          <w:color w:val="000000" w:themeColor="text1"/>
          <w:szCs w:val="22"/>
        </w:rPr>
      </w:r>
      <w:r w:rsidR="005306B4" w:rsidRPr="00CB093C">
        <w:rPr>
          <w:rFonts w:ascii="Arial" w:hAnsi="Arial" w:cs="Arial"/>
          <w:color w:val="000000" w:themeColor="text1"/>
          <w:szCs w:val="22"/>
        </w:rPr>
        <w:fldChar w:fldCharType="separate"/>
      </w:r>
      <w:hyperlink w:anchor="_ENREF_79" w:tooltip="Lanyon, 1989 #1247" w:history="1">
        <w:r w:rsidR="00513C39" w:rsidRPr="00CB093C">
          <w:rPr>
            <w:rFonts w:ascii="Arial" w:hAnsi="Arial" w:cs="Arial"/>
            <w:noProof/>
            <w:color w:val="000000" w:themeColor="text1"/>
            <w:szCs w:val="22"/>
          </w:rPr>
          <w:t>Lanyon</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1989</w:t>
        </w:r>
      </w:hyperlink>
      <w:r w:rsidR="005306B4" w:rsidRPr="00CB093C">
        <w:rPr>
          <w:rFonts w:ascii="Arial" w:hAnsi="Arial" w:cs="Arial"/>
          <w:noProof/>
          <w:color w:val="000000" w:themeColor="text1"/>
          <w:szCs w:val="22"/>
        </w:rPr>
        <w:t xml:space="preserve">; </w:t>
      </w:r>
      <w:hyperlink w:anchor="_ENREF_138" w:tooltip="Sheppard, 2009 #9704" w:history="1">
        <w:r w:rsidR="00513C39" w:rsidRPr="00CB093C">
          <w:rPr>
            <w:rFonts w:ascii="Arial" w:hAnsi="Arial" w:cs="Arial"/>
            <w:noProof/>
            <w:color w:val="000000" w:themeColor="text1"/>
            <w:szCs w:val="22"/>
          </w:rPr>
          <w:t>Sheppard</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2009</w:t>
        </w:r>
      </w:hyperlink>
      <w:r w:rsidR="005306B4" w:rsidRPr="00CB093C">
        <w:rPr>
          <w:rFonts w:ascii="Arial" w:hAnsi="Arial" w:cs="Arial"/>
          <w:color w:val="000000" w:themeColor="text1"/>
          <w:szCs w:val="22"/>
        </w:rPr>
        <w:fldChar w:fldCharType="end"/>
      </w:r>
      <w:r w:rsidR="005306B4" w:rsidRPr="00CB093C">
        <w:rPr>
          <w:rFonts w:ascii="Arial" w:hAnsi="Arial" w:cs="Arial"/>
          <w:color w:val="000000" w:themeColor="text1"/>
          <w:szCs w:val="22"/>
        </w:rPr>
        <w:t>). It is these meadows that occur at the frontline of runoff and inshore water quality deterioration</w:t>
      </w:r>
      <w:r w:rsidR="005306B4" w:rsidRPr="00CB093C">
        <w:rPr>
          <w:rFonts w:ascii="Arial" w:hAnsi="Arial" w:cs="Arial"/>
          <w:color w:val="000000" w:themeColor="text1"/>
          <w:szCs w:val="22"/>
          <w:lang w:eastAsia="en-AU"/>
        </w:rPr>
        <w:t xml:space="preserve"> (</w:t>
      </w:r>
      <w:hyperlink w:anchor="_ENREF_108" w:tooltip="McKenzie, 2010 #9646"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&lt;EndNote&gt;&lt;Cite&gt;&lt;Author&gt;McKenzie&lt;/Author&gt;&lt;Year&gt;2010&lt;/Year&gt;&lt;RecNum&gt;9646&lt;/RecNum&gt;&lt;DisplayText&gt;McKenzie&lt;style face="italic"&gt; et al.&lt;/style&gt; 2010b&lt;/DisplayText&gt;&lt;record&gt;&lt;rec-number&gt;9646&lt;/rec-number&gt;&lt;foreign-keys&gt;&lt;key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McKenzie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2010b</w:t>
        </w:r>
        <w:r w:rsidR="00513C39" w:rsidRPr="00CB093C">
          <w:rPr>
            <w:rFonts w:ascii="Arial" w:hAnsi="Arial" w:cs="Arial"/>
            <w:color w:val="000000" w:themeColor="text1"/>
            <w:szCs w:val="22"/>
          </w:rPr>
          <w:fldChar w:fldCharType="end"/>
        </w:r>
      </w:hyperlink>
      <w:r w:rsidR="005306B4" w:rsidRPr="00CB093C">
        <w:rPr>
          <w:rFonts w:ascii="Arial" w:hAnsi="Arial" w:cs="Arial"/>
          <w:color w:val="000000" w:themeColor="text1"/>
          <w:szCs w:val="22"/>
          <w:lang w:eastAsia="en-AU"/>
        </w:rPr>
        <w:t xml:space="preserve">). </w:t>
      </w:r>
    </w:p>
    <w:p w14:paraId="03972088" w14:textId="4A9B5157" w:rsidR="0034410E" w:rsidRPr="00CB093C" w:rsidRDefault="0034410E" w:rsidP="0034410E">
      <w:pPr>
        <w:spacing w:before="240"/>
        <w:rPr>
          <w:rFonts w:ascii="Arial" w:hAnsi="Arial" w:cs="Arial"/>
          <w:color w:val="000000" w:themeColor="text1"/>
          <w:szCs w:val="22"/>
        </w:rPr>
      </w:pPr>
      <w:r w:rsidRPr="00CB093C">
        <w:rPr>
          <w:rFonts w:ascii="Arial" w:hAnsi="Arial" w:cs="Arial"/>
          <w:color w:val="000000" w:themeColor="text1"/>
          <w:szCs w:val="22"/>
        </w:rPr>
        <w:t>The ecosystem services provided by seagrass ecosystems makes them a high conservation priority (</w:t>
      </w:r>
      <w:r w:rsidRPr="00CB093C">
        <w:rPr>
          <w:rFonts w:ascii="Arial" w:hAnsi="Arial" w:cs="Arial"/>
          <w:color w:val="000000" w:themeColor="text1"/>
          <w:szCs w:val="22"/>
        </w:rPr>
        <w:fldChar w:fldCharType="begin">
          <w:fldData xml:space="preserve">PEVuZE5vdGU+PENpdGU+PEF1dGhvcj5DdWxsZW4tVW5zd29ydGg8L0F1dGhvcj48WWVhcj4yMDEz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</w:fldData>
        </w:fldChar>
      </w:r>
      <w:r w:rsidRPr="00CB093C">
        <w:rPr>
          <w:rFonts w:ascii="Arial" w:hAnsi="Arial" w:cs="Arial"/>
          <w:color w:val="000000" w:themeColor="text1"/>
          <w:szCs w:val="22"/>
        </w:rPr>
        <w:instrText xml:space="preserve"> ADDIN EN.CITE </w:instrText>
      </w:r>
      <w:r w:rsidRPr="00CB093C">
        <w:rPr>
          <w:rFonts w:ascii="Arial" w:hAnsi="Arial" w:cs="Arial"/>
          <w:color w:val="000000" w:themeColor="text1"/>
          <w:szCs w:val="22"/>
        </w:rPr>
        <w:fldChar w:fldCharType="begin">
          <w:fldData xml:space="preserve">PEVuZE5vdGU+PENpdGU+PEF1dGhvcj5DdWxsZW4tVW5zd29ydGg8L0F1dGhvcj48WWVhcj4yMDEz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</w:fldData>
        </w:fldChar>
      </w:r>
      <w:r w:rsidRPr="00CB093C">
        <w:rPr>
          <w:rFonts w:ascii="Arial" w:hAnsi="Arial" w:cs="Arial"/>
          <w:color w:val="000000" w:themeColor="text1"/>
          <w:szCs w:val="22"/>
        </w:rPr>
        <w:instrText xml:space="preserve"> ADDIN EN.CITE.DATA </w:instrText>
      </w:r>
      <w:r w:rsidRPr="00CB093C">
        <w:rPr>
          <w:rFonts w:ascii="Arial" w:hAnsi="Arial" w:cs="Arial"/>
          <w:color w:val="000000" w:themeColor="text1"/>
          <w:szCs w:val="22"/>
        </w:rPr>
      </w:r>
      <w:r w:rsidRPr="00CB093C">
        <w:rPr>
          <w:rFonts w:ascii="Arial" w:hAnsi="Arial" w:cs="Arial"/>
          <w:color w:val="000000" w:themeColor="text1"/>
          <w:szCs w:val="22"/>
        </w:rPr>
        <w:fldChar w:fldCharType="end"/>
      </w:r>
      <w:r w:rsidRPr="00CB093C">
        <w:rPr>
          <w:rFonts w:ascii="Arial" w:hAnsi="Arial" w:cs="Arial"/>
          <w:color w:val="000000" w:themeColor="text1"/>
          <w:szCs w:val="22"/>
        </w:rPr>
      </w:r>
      <w:r w:rsidRPr="00CB093C">
        <w:rPr>
          <w:rFonts w:ascii="Arial" w:hAnsi="Arial" w:cs="Arial"/>
          <w:color w:val="000000" w:themeColor="text1"/>
          <w:szCs w:val="22"/>
        </w:rPr>
        <w:fldChar w:fldCharType="separate"/>
      </w:r>
      <w:hyperlink w:anchor="_ENREF_40" w:tooltip="Cullen-Unsworth, 2013 #9553" w:history="1">
        <w:r w:rsidR="00513C39" w:rsidRPr="00CB093C">
          <w:rPr>
            <w:rFonts w:ascii="Arial" w:hAnsi="Arial" w:cs="Arial"/>
            <w:noProof/>
            <w:color w:val="000000" w:themeColor="text1"/>
            <w:szCs w:val="22"/>
          </w:rPr>
          <w:t>Cullen-Unsworth and Unsworth 2013</w:t>
        </w:r>
      </w:hyperlink>
      <w:r w:rsidRPr="00CB093C">
        <w:rPr>
          <w:rFonts w:ascii="Arial" w:hAnsi="Arial" w:cs="Arial"/>
          <w:noProof/>
          <w:color w:val="000000" w:themeColor="text1"/>
          <w:szCs w:val="22"/>
        </w:rPr>
        <w:t xml:space="preserve">; </w:t>
      </w:r>
      <w:hyperlink w:anchor="_ENREF_143" w:tooltip="Unsworth, 2018 #11857" w:history="1">
        <w:r w:rsidR="00513C39" w:rsidRPr="00CB093C">
          <w:rPr>
            <w:rFonts w:ascii="Arial" w:hAnsi="Arial" w:cs="Arial"/>
            <w:noProof/>
            <w:color w:val="000000" w:themeColor="text1"/>
            <w:szCs w:val="22"/>
          </w:rPr>
          <w:t>Unsworth</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2018a</w:t>
        </w:r>
      </w:hyperlink>
      <w:r w:rsidRPr="00CB093C">
        <w:rPr>
          <w:rFonts w:ascii="Arial" w:hAnsi="Arial" w:cs="Arial"/>
          <w:color w:val="000000" w:themeColor="text1"/>
          <w:szCs w:val="22"/>
        </w:rPr>
        <w:fldChar w:fldCharType="end"/>
      </w:r>
      <w:r w:rsidRPr="00CB093C">
        <w:rPr>
          <w:rFonts w:ascii="Arial" w:hAnsi="Arial" w:cs="Arial"/>
          <w:color w:val="000000" w:themeColor="text1"/>
          <w:szCs w:val="22"/>
        </w:rPr>
        <w:t>). Certain seagrasses are the primary food for marine green turtles and dugongs, which are seagrass specialists (</w:t>
      </w:r>
      <w:r w:rsidRPr="00CB093C">
        <w:rPr>
          <w:rFonts w:ascii="Arial" w:hAnsi="Arial" w:cs="Arial"/>
          <w:color w:val="000000" w:themeColor="text1"/>
          <w:szCs w:val="22"/>
        </w:rPr>
        <w:fldChar w:fldCharType="begin">
          <w:fldData xml:space="preserve">PEVuZE5vdGU+PENpdGU+PEF1dGhvcj5NYXJzaDwvQXV0aG9yPjxZZWFyPjIwMTE8L1llYXI+PFJl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</w:fldData>
        </w:fldChar>
      </w:r>
      <w:r w:rsidRPr="00CB093C">
        <w:rPr>
          <w:rFonts w:ascii="Arial" w:hAnsi="Arial" w:cs="Arial"/>
          <w:color w:val="000000" w:themeColor="text1"/>
          <w:szCs w:val="22"/>
        </w:rPr>
        <w:instrText xml:space="preserve"> ADDIN EN.CITE </w:instrText>
      </w:r>
      <w:r w:rsidRPr="00CB093C">
        <w:rPr>
          <w:rFonts w:ascii="Arial" w:hAnsi="Arial" w:cs="Arial"/>
          <w:color w:val="000000" w:themeColor="text1"/>
          <w:szCs w:val="22"/>
        </w:rPr>
        <w:fldChar w:fldCharType="begin">
          <w:fldData xml:space="preserve">PEVuZE5vdGU+PENpdGU+PEF1dGhvcj5NYXJzaDwvQXV0aG9yPjxZZWFyPjIwMTE8L1llYXI+PFJl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</w:fldData>
        </w:fldChar>
      </w:r>
      <w:r w:rsidRPr="00CB093C">
        <w:rPr>
          <w:rFonts w:ascii="Arial" w:hAnsi="Arial" w:cs="Arial"/>
          <w:color w:val="000000" w:themeColor="text1"/>
          <w:szCs w:val="22"/>
        </w:rPr>
        <w:instrText xml:space="preserve"> ADDIN EN.CITE.DATA </w:instrText>
      </w:r>
      <w:r w:rsidRPr="00CB093C">
        <w:rPr>
          <w:rFonts w:ascii="Arial" w:hAnsi="Arial" w:cs="Arial"/>
          <w:color w:val="000000" w:themeColor="text1"/>
          <w:szCs w:val="22"/>
        </w:rPr>
      </w:r>
      <w:r w:rsidRPr="00CB093C">
        <w:rPr>
          <w:rFonts w:ascii="Arial" w:hAnsi="Arial" w:cs="Arial"/>
          <w:color w:val="000000" w:themeColor="text1"/>
          <w:szCs w:val="22"/>
        </w:rPr>
        <w:fldChar w:fldCharType="end"/>
      </w:r>
      <w:r w:rsidRPr="00CB093C">
        <w:rPr>
          <w:rFonts w:ascii="Arial" w:hAnsi="Arial" w:cs="Arial"/>
          <w:color w:val="000000" w:themeColor="text1"/>
          <w:szCs w:val="22"/>
        </w:rPr>
      </w:r>
      <w:r w:rsidRPr="00CB093C">
        <w:rPr>
          <w:rFonts w:ascii="Arial" w:hAnsi="Arial" w:cs="Arial"/>
          <w:color w:val="000000" w:themeColor="text1"/>
          <w:szCs w:val="22"/>
        </w:rPr>
        <w:fldChar w:fldCharType="separate"/>
      </w:r>
      <w:hyperlink w:anchor="_ENREF_131" w:tooltip="Read, 2002 #10319" w:history="1">
        <w:r w:rsidR="00513C39" w:rsidRPr="00CB093C">
          <w:rPr>
            <w:rFonts w:ascii="Arial" w:hAnsi="Arial" w:cs="Arial"/>
            <w:noProof/>
            <w:color w:val="000000" w:themeColor="text1"/>
            <w:szCs w:val="22"/>
          </w:rPr>
          <w:t>Read and Limpus 2002</w:t>
        </w:r>
      </w:hyperlink>
      <w:r w:rsidRPr="00CB093C">
        <w:rPr>
          <w:rFonts w:ascii="Arial" w:hAnsi="Arial" w:cs="Arial"/>
          <w:noProof/>
          <w:color w:val="000000" w:themeColor="text1"/>
          <w:szCs w:val="22"/>
        </w:rPr>
        <w:t xml:space="preserve">; </w:t>
      </w:r>
      <w:hyperlink w:anchor="_ENREF_5" w:tooltip="Arthur, 2008 #10320" w:history="1">
        <w:r w:rsidR="00513C39" w:rsidRPr="00CB093C">
          <w:rPr>
            <w:rFonts w:ascii="Arial" w:hAnsi="Arial" w:cs="Arial"/>
            <w:noProof/>
            <w:color w:val="000000" w:themeColor="text1"/>
            <w:szCs w:val="22"/>
          </w:rPr>
          <w:t>Arthur</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2008</w:t>
        </w:r>
      </w:hyperlink>
      <w:r w:rsidRPr="00CB093C">
        <w:rPr>
          <w:rFonts w:ascii="Arial" w:hAnsi="Arial" w:cs="Arial"/>
          <w:noProof/>
          <w:color w:val="000000" w:themeColor="text1"/>
          <w:szCs w:val="22"/>
        </w:rPr>
        <w:t xml:space="preserve">; </w:t>
      </w:r>
      <w:hyperlink w:anchor="_ENREF_90" w:tooltip="Marsh, 2011 #9179" w:history="1">
        <w:r w:rsidR="00513C39" w:rsidRPr="00CB093C">
          <w:rPr>
            <w:rFonts w:ascii="Arial" w:hAnsi="Arial" w:cs="Arial"/>
            <w:noProof/>
            <w:color w:val="000000" w:themeColor="text1"/>
            <w:szCs w:val="22"/>
          </w:rPr>
          <w:t>Marsh</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2011</w:t>
        </w:r>
      </w:hyperlink>
      <w:r w:rsidRPr="00CB093C">
        <w:rPr>
          <w:rFonts w:ascii="Arial" w:hAnsi="Arial" w:cs="Arial"/>
          <w:color w:val="000000" w:themeColor="text1"/>
          <w:szCs w:val="22"/>
        </w:rPr>
        <w:fldChar w:fldCharType="end"/>
      </w:r>
      <w:r w:rsidRPr="00CB093C">
        <w:rPr>
          <w:rFonts w:ascii="Arial" w:hAnsi="Arial" w:cs="Arial"/>
          <w:color w:val="000000" w:themeColor="text1"/>
          <w:szCs w:val="22"/>
        </w:rPr>
        <w:t xml:space="preserve">;). Seagrass form highly productive habitats for a large number of invertebrates, fish and algal species </w:t>
      </w:r>
      <w:r w:rsidRPr="00CB093C">
        <w:rPr>
          <w:rFonts w:ascii="Arial" w:hAnsi="Arial" w:cs="Arial"/>
          <w:noProof/>
          <w:color w:val="000000" w:themeColor="text1"/>
          <w:szCs w:val="22"/>
        </w:rPr>
        <w:t>(</w:t>
      </w:r>
      <w:hyperlink w:anchor="_ENREF_21" w:tooltip="Carruthers, 2002 #8021" w:history="1">
        <w:r w:rsidR="00513C39" w:rsidRPr="00CB093C">
          <w:rPr>
            <w:rFonts w:ascii="Arial" w:hAnsi="Arial" w:cs="Arial"/>
            <w:noProof/>
            <w:color w:val="000000" w:themeColor="text1"/>
            <w:szCs w:val="22"/>
          </w:rPr>
          <w:fldChar w:fldCharType="begin"/>
        </w:r>
        <w:r w:rsidR="00513C39" w:rsidRPr="00CB093C">
          <w:rPr>
            <w:rFonts w:ascii="Arial" w:hAnsi="Arial" w:cs="Arial"/>
            <w:noProof/>
            <w:color w:val="000000" w:themeColor="text1"/>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513C39" w:rsidRPr="00CB093C">
          <w:rPr>
            <w:rFonts w:ascii="Arial" w:hAnsi="Arial" w:cs="Arial"/>
            <w:noProof/>
            <w:color w:val="000000" w:themeColor="text1"/>
            <w:szCs w:val="22"/>
          </w:rPr>
          <w:fldChar w:fldCharType="separate"/>
        </w:r>
        <w:r w:rsidR="00513C39" w:rsidRPr="00CB093C">
          <w:rPr>
            <w:rFonts w:ascii="Arial" w:hAnsi="Arial" w:cs="Arial"/>
            <w:noProof/>
            <w:color w:val="000000" w:themeColor="text1"/>
            <w:szCs w:val="22"/>
          </w:rPr>
          <w:t>Carruthers</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2002</w:t>
        </w:r>
        <w:r w:rsidR="00513C39" w:rsidRPr="00CB093C">
          <w:rPr>
            <w:rFonts w:ascii="Arial" w:hAnsi="Arial" w:cs="Arial"/>
            <w:noProof/>
            <w:color w:val="000000" w:themeColor="text1"/>
            <w:szCs w:val="22"/>
          </w:rPr>
          <w:fldChar w:fldCharType="end"/>
        </w:r>
      </w:hyperlink>
      <w:r w:rsidRPr="00CB093C">
        <w:rPr>
          <w:rFonts w:ascii="Arial" w:hAnsi="Arial" w:cs="Arial"/>
          <w:noProof/>
          <w:color w:val="000000" w:themeColor="text1"/>
          <w:szCs w:val="22"/>
        </w:rPr>
        <w:t xml:space="preserve">), which are important to </w:t>
      </w:r>
      <w:r w:rsidRPr="00CB093C">
        <w:rPr>
          <w:rFonts w:ascii="Arial" w:hAnsi="Arial" w:cs="Arial"/>
          <w:color w:val="000000" w:themeColor="text1"/>
          <w:szCs w:val="22"/>
        </w:rPr>
        <w:t>commercial (e.g. prawns) and subsistence fisheries (</w:t>
      </w:r>
      <w:r w:rsidRPr="00CB093C">
        <w:rPr>
          <w:rFonts w:ascii="Arial" w:hAnsi="Arial" w:cs="Arial"/>
          <w:color w:val="000000" w:themeColor="text1"/>
          <w:szCs w:val="22"/>
        </w:rPr>
        <w:fldChar w:fldCharType="begin">
          <w:fldData xml:space="preserve">PEVuZE5vdGU+PENpdGU+PEF1dGhvcj5DdWxsZW4tVW5zd29ydGg8L0F1dGhvcj48WWVhcj4yMDEz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</w:fldData>
        </w:fldChar>
      </w:r>
      <w:r w:rsidRPr="00CB093C">
        <w:rPr>
          <w:rFonts w:ascii="Arial" w:hAnsi="Arial" w:cs="Arial"/>
          <w:color w:val="000000" w:themeColor="text1"/>
          <w:szCs w:val="22"/>
        </w:rPr>
        <w:instrText xml:space="preserve"> ADDIN EN.CITE </w:instrText>
      </w:r>
      <w:r w:rsidRPr="00CB093C">
        <w:rPr>
          <w:rFonts w:ascii="Arial" w:hAnsi="Arial" w:cs="Arial"/>
          <w:color w:val="000000" w:themeColor="text1"/>
          <w:szCs w:val="22"/>
        </w:rPr>
        <w:fldChar w:fldCharType="begin">
          <w:fldData xml:space="preserve">PEVuZE5vdGU+PENpdGU+PEF1dGhvcj5DdWxsZW4tVW5zd29ydGg8L0F1dGhvcj48WWVhcj4yMDEz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</w:fldData>
        </w:fldChar>
      </w:r>
      <w:r w:rsidRPr="00CB093C">
        <w:rPr>
          <w:rFonts w:ascii="Arial" w:hAnsi="Arial" w:cs="Arial"/>
          <w:color w:val="000000" w:themeColor="text1"/>
          <w:szCs w:val="22"/>
        </w:rPr>
        <w:instrText xml:space="preserve"> ADDIN EN.CITE.DATA </w:instrText>
      </w:r>
      <w:r w:rsidRPr="00CB093C">
        <w:rPr>
          <w:rFonts w:ascii="Arial" w:hAnsi="Arial" w:cs="Arial"/>
          <w:color w:val="000000" w:themeColor="text1"/>
          <w:szCs w:val="22"/>
        </w:rPr>
      </w:r>
      <w:r w:rsidRPr="00CB093C">
        <w:rPr>
          <w:rFonts w:ascii="Arial" w:hAnsi="Arial" w:cs="Arial"/>
          <w:color w:val="000000" w:themeColor="text1"/>
          <w:szCs w:val="22"/>
        </w:rPr>
        <w:fldChar w:fldCharType="end"/>
      </w:r>
      <w:r w:rsidRPr="00CB093C">
        <w:rPr>
          <w:rFonts w:ascii="Arial" w:hAnsi="Arial" w:cs="Arial"/>
          <w:color w:val="000000" w:themeColor="text1"/>
          <w:szCs w:val="22"/>
        </w:rPr>
      </w:r>
      <w:r w:rsidRPr="00CB093C">
        <w:rPr>
          <w:rFonts w:ascii="Arial" w:hAnsi="Arial" w:cs="Arial"/>
          <w:color w:val="000000" w:themeColor="text1"/>
          <w:szCs w:val="22"/>
        </w:rPr>
        <w:fldChar w:fldCharType="separate"/>
      </w:r>
      <w:hyperlink w:anchor="_ENREF_25" w:tooltip="Coles, 1993 #522" w:history="1">
        <w:r w:rsidR="00513C39" w:rsidRPr="00CB093C">
          <w:rPr>
            <w:rFonts w:ascii="Arial" w:hAnsi="Arial" w:cs="Arial"/>
            <w:noProof/>
            <w:color w:val="000000" w:themeColor="text1"/>
            <w:szCs w:val="22"/>
          </w:rPr>
          <w:t>Coles</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1993</w:t>
        </w:r>
      </w:hyperlink>
      <w:r w:rsidRPr="00CB093C">
        <w:rPr>
          <w:rFonts w:ascii="Arial" w:hAnsi="Arial" w:cs="Arial"/>
          <w:noProof/>
          <w:color w:val="000000" w:themeColor="text1"/>
          <w:szCs w:val="22"/>
        </w:rPr>
        <w:t xml:space="preserve">; </w:t>
      </w:r>
      <w:hyperlink w:anchor="_ENREF_40" w:tooltip="Cullen-Unsworth, 2013 #9553" w:history="1">
        <w:r w:rsidR="00513C39" w:rsidRPr="00CB093C">
          <w:rPr>
            <w:rFonts w:ascii="Arial" w:hAnsi="Arial" w:cs="Arial"/>
            <w:noProof/>
            <w:color w:val="000000" w:themeColor="text1"/>
            <w:szCs w:val="22"/>
          </w:rPr>
          <w:t>Cullen-Unsworth and Unsworth 2013</w:t>
        </w:r>
      </w:hyperlink>
      <w:r w:rsidRPr="00CB093C">
        <w:rPr>
          <w:rFonts w:ascii="Arial" w:hAnsi="Arial" w:cs="Arial"/>
          <w:color w:val="000000" w:themeColor="text1"/>
          <w:szCs w:val="22"/>
        </w:rPr>
        <w:fldChar w:fldCharType="end"/>
      </w:r>
      <w:r w:rsidRPr="00CB093C">
        <w:rPr>
          <w:rFonts w:ascii="Arial" w:hAnsi="Arial" w:cs="Arial"/>
          <w:color w:val="000000" w:themeColor="text1"/>
          <w:szCs w:val="22"/>
        </w:rPr>
        <w:t>). Seagrass also produce natural biocides and improve water quality by controlling pathogenic bacteria to the benefit of humans, fishes, and marine invertebrates such as coral (</w:t>
      </w:r>
      <w:hyperlink w:anchor="_ENREF_78" w:tooltip="Lamb, 2017 #10905"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&lt;EndNote&gt;&lt;Cite&gt;&lt;Author&gt;Lamb&lt;/Author&gt;&lt;Year&gt;2017&lt;/Year&gt;&lt;RecNum&gt;10905&lt;/RecNum&gt;&lt;DisplayText&gt;Lamb&lt;style face="italic"&gt; et al.&lt;/style&gt; 2017&lt;/DisplayText&gt;&lt;record&gt;&lt;rec-number&gt;10905&lt;/rec-number&gt;&lt;foreign-keys&gt;&lt;key app="EN" db-id="0eve55x9y5vfd6e9dacxtew4eatve2dzds9a" timestamp="1487903175"&gt;10905&lt;/key&gt;&lt;/foreign-keys&gt;&lt;ref-type name="Journal Article"&gt;17&lt;/ref-type&gt;&lt;contributors&gt;&lt;authors&gt;&lt;author&gt;Lamb, Joleah B.&lt;/author&gt;&lt;author&gt;van de Water, Jeroen A. J. M.&lt;/author&gt;&lt;author&gt;Bourne, David G.&lt;/author&gt;&lt;author&gt;Altier, Craig&lt;/author&gt;&lt;author&gt;Hein, Margaux Y.&lt;/author&gt;&lt;author&gt;Fiorenza, Evan A.&lt;/author&gt;&lt;author&gt;Abu, Nur&lt;/author&gt;&lt;author&gt;Jompa, Jamaluddin&lt;/author&gt;&lt;author&gt;Harvell, C. Drew&lt;/author&gt;&lt;/authors&gt;&lt;/contributors&gt;&lt;titles&gt;&lt;title&gt;Seagrass ecosystems reduce exposure to bacterial pathogens of humans, fishes, and invertebrates&lt;/title&gt;&lt;secondary-title&gt;Science&lt;/secondary-title&gt;&lt;/titles&gt;&lt;periodical&gt;&lt;full-title&gt;Science&lt;/full-title&gt;&lt;/periodical&gt;&lt;pages&gt;731-733&lt;/pages&gt;&lt;volume&gt;355&lt;/volume&gt;&lt;number&gt;6326&lt;/number&gt;&lt;dates&gt;&lt;year&gt;2017&lt;/year&gt;&lt;/dates&gt;&lt;urls&gt;&lt;/urls&gt;&lt;electronic-resource-num&gt;10.1126/science.aal1956&lt;/electronic-resource-num&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Lamb</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2017</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Nutrient cycling in seagrass meadows makes them one of the most economically valuable ecosystems in the world (</w:t>
      </w:r>
      <w:hyperlink w:anchor="_ENREF_38" w:tooltip="Costanza, 1997 #1765"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&lt;EndNote&gt;&lt;Cite&gt;&lt;Author&gt;Costanza&lt;/Author&gt;&lt;Year&gt;1997&lt;/Year&gt;&lt;RecNum&gt;1765&lt;/RecNum&gt;&lt;DisplayText&gt;Costanza&lt;style face="italic"&gt; et al.&lt;/style&gt; 1997&lt;/DisplayText&gt;&lt;record&gt;&lt;rec-number&gt;1765&lt;/rec-number&gt;&lt;foreign-keys&gt;&lt;key app="EN" db-id="0eve55x9y5vfd6e9dacxtew4eatve2dzds9a" timestamp="0"&gt;1765&lt;/key&gt;&lt;/foreign-keys&gt;&lt;ref-type name="Journal Article"&gt;17&lt;/ref-type&gt;&lt;contributors&gt;&lt;authors&gt;&lt;author&gt;Costanza, Robert&lt;/author&gt;&lt;author&gt;d&amp;apos;Arge, Ralph&lt;/author&gt;&lt;author&gt;de Groot, Rudolf&lt;/author&gt;&lt;author&gt;Farber, Stephen&lt;/author&gt;&lt;author&gt;Grasso, Monica&lt;/author&gt;&lt;author&gt;Hannon, Bruce&lt;/author&gt;&lt;author&gt;Limburg, Karin&lt;/author&gt;&lt;author&gt;Naeem, Shahid&lt;/author&gt;&lt;author&gt;O&amp;apos;Neil, Robert V.&lt;/author&gt;&lt;author&gt;Paruelo, Jose&lt;/author&gt;&lt;author&gt;Raskin, Robert G.&lt;/author&gt;&lt;author&gt;Sutton, Paul&lt;/author&gt;&lt;author&gt;van der Belt, Marjan&lt;/author&gt;&lt;/authors&gt;&lt;/contributors&gt;&lt;titles&gt;&lt;title&gt;The Value of the world&amp;apos;s ecosystem services and natural capital&lt;/title&gt;&lt;secondary-title&gt;Nature&lt;/secondary-title&gt;&lt;alt-title&gt;Nature&lt;/alt-title&gt;&lt;/titles&gt;&lt;periodical&gt;&lt;full-title&gt;Nature&lt;/full-title&gt;&lt;/periodical&gt;&lt;alt-periodical&gt;&lt;full-title&gt;Nature&lt;/full-title&gt;&lt;/alt-periodical&gt;&lt;pages&gt;253-260&lt;/pages&gt;&lt;volume&gt;387&lt;/volume&gt;&lt;number&gt;15&lt;/number&gt;&lt;keywords&gt;&lt;keyword&gt;ECONOMICS&lt;/keyword&gt;&lt;keyword&gt;ENVIRONMENTAL VALUE&lt;/keyword&gt;&lt;keyword&gt;NATURAL CAPITAL&lt;/keyword&gt;&lt;/keywords&gt;&lt;dates&gt;&lt;year&gt;1997&lt;/year&gt;&lt;/dates&gt;&lt;label&gt;1857&lt;/label&gt;&lt;urls&gt;&lt;/urls&gt;&lt;custom1&gt;Annex&lt;/custom1&gt;&lt;/record&gt;&lt;/Cite&gt;&lt;/EndNote&gt;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Costanza</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1997</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and the retention of carbon within their sediments contributes significantly to Blue Carbon sequestration (</w:t>
      </w:r>
      <w:r w:rsidRPr="00CB093C">
        <w:rPr>
          <w:rFonts w:ascii="Arial" w:hAnsi="Arial" w:cs="Arial"/>
          <w:color w:val="000000" w:themeColor="text1"/>
          <w:szCs w:val="22"/>
        </w:rPr>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aWMiPiBldCBhbC48L3N0eWxlPiAyMDEyYTsgRHVhcnRlIGFuZCBLcmF1c2UtSmVuc2VuIDIwMTc7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</w:fldData>
        </w:fldChar>
      </w:r>
      <w:r w:rsidR="00305A14" w:rsidRPr="00CB093C">
        <w:rPr>
          <w:rFonts w:ascii="Arial" w:hAnsi="Arial" w:cs="Arial"/>
          <w:color w:val="000000" w:themeColor="text1"/>
          <w:szCs w:val="22"/>
        </w:rPr>
        <w:instrText xml:space="preserve"> ADDIN EN.CITE </w:instrText>
      </w:r>
      <w:r w:rsidR="00305A14" w:rsidRPr="00CB093C">
        <w:rPr>
          <w:rFonts w:ascii="Arial" w:hAnsi="Arial" w:cs="Arial"/>
          <w:color w:val="000000" w:themeColor="text1"/>
          <w:szCs w:val="22"/>
        </w:rPr>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aWMiPiBldCBhbC48L3N0eWxlPiAyMDEyYTsgRHVhcnRlIGFuZCBLcmF1c2UtSmVuc2VuIDIwMTc7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</w:fldData>
        </w:fldChar>
      </w:r>
      <w:r w:rsidR="00305A14" w:rsidRPr="00CB093C">
        <w:rPr>
          <w:rFonts w:ascii="Arial" w:hAnsi="Arial" w:cs="Arial"/>
          <w:color w:val="000000" w:themeColor="text1"/>
          <w:szCs w:val="22"/>
        </w:rPr>
        <w:instrText xml:space="preserve"> ADDIN EN.CITE.DATA </w:instrText>
      </w:r>
      <w:r w:rsidR="00305A14" w:rsidRPr="00CB093C">
        <w:rPr>
          <w:rFonts w:ascii="Arial" w:hAnsi="Arial" w:cs="Arial"/>
          <w:color w:val="000000" w:themeColor="text1"/>
          <w:szCs w:val="22"/>
        </w:rPr>
      </w:r>
      <w:r w:rsidR="00305A14" w:rsidRPr="00CB093C">
        <w:rPr>
          <w:rFonts w:ascii="Arial" w:hAnsi="Arial" w:cs="Arial"/>
          <w:color w:val="000000" w:themeColor="text1"/>
          <w:szCs w:val="22"/>
        </w:rPr>
        <w:fldChar w:fldCharType="end"/>
      </w:r>
      <w:r w:rsidRPr="00CB093C">
        <w:rPr>
          <w:rFonts w:ascii="Arial" w:hAnsi="Arial" w:cs="Arial"/>
          <w:color w:val="000000" w:themeColor="text1"/>
          <w:szCs w:val="22"/>
        </w:rPr>
      </w:r>
      <w:r w:rsidRPr="00CB093C">
        <w:rPr>
          <w:rFonts w:ascii="Arial" w:hAnsi="Arial" w:cs="Arial"/>
          <w:color w:val="000000" w:themeColor="text1"/>
          <w:szCs w:val="22"/>
        </w:rPr>
        <w:fldChar w:fldCharType="separate"/>
      </w:r>
      <w:hyperlink w:anchor="_ENREF_55" w:tooltip="Fourqurean, 2012 #9186" w:history="1">
        <w:r w:rsidR="00513C39" w:rsidRPr="00CB093C">
          <w:rPr>
            <w:rFonts w:ascii="Arial" w:hAnsi="Arial" w:cs="Arial"/>
            <w:noProof/>
            <w:color w:val="000000" w:themeColor="text1"/>
            <w:szCs w:val="22"/>
          </w:rPr>
          <w:t>Fourqurean</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2012</w:t>
        </w:r>
      </w:hyperlink>
      <w:r w:rsidR="00305A14" w:rsidRPr="00CB093C">
        <w:rPr>
          <w:rFonts w:ascii="Arial" w:hAnsi="Arial" w:cs="Arial"/>
          <w:noProof/>
          <w:color w:val="000000" w:themeColor="text1"/>
          <w:szCs w:val="22"/>
        </w:rPr>
        <w:t xml:space="preserve">; </w:t>
      </w:r>
      <w:hyperlink w:anchor="_ENREF_141" w:tooltip="Unsworth, 2012 #9352" w:history="1">
        <w:r w:rsidR="00513C39" w:rsidRPr="00CB093C">
          <w:rPr>
            <w:rFonts w:ascii="Arial" w:hAnsi="Arial" w:cs="Arial"/>
            <w:noProof/>
            <w:color w:val="000000" w:themeColor="text1"/>
            <w:szCs w:val="22"/>
          </w:rPr>
          <w:t>Unsworth</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2012a</w:t>
        </w:r>
      </w:hyperlink>
      <w:r w:rsidR="00305A14" w:rsidRPr="00CB093C">
        <w:rPr>
          <w:rFonts w:ascii="Arial" w:hAnsi="Arial" w:cs="Arial"/>
          <w:noProof/>
          <w:color w:val="000000" w:themeColor="text1"/>
          <w:szCs w:val="22"/>
        </w:rPr>
        <w:t xml:space="preserve">; </w:t>
      </w:r>
      <w:hyperlink w:anchor="_ENREF_51" w:tooltip="Duarte, 2017 #10919" w:history="1">
        <w:r w:rsidR="00513C39" w:rsidRPr="00CB093C">
          <w:rPr>
            <w:rFonts w:ascii="Arial" w:hAnsi="Arial" w:cs="Arial"/>
            <w:noProof/>
            <w:color w:val="000000" w:themeColor="text1"/>
            <w:szCs w:val="22"/>
          </w:rPr>
          <w:t>Duarte and Krause-Jensen 2017</w:t>
        </w:r>
      </w:hyperlink>
      <w:r w:rsidR="00305A14" w:rsidRPr="00CB093C">
        <w:rPr>
          <w:rFonts w:ascii="Arial" w:hAnsi="Arial" w:cs="Arial"/>
          <w:noProof/>
          <w:color w:val="000000" w:themeColor="text1"/>
          <w:szCs w:val="22"/>
        </w:rPr>
        <w:t xml:space="preserve">; </w:t>
      </w:r>
      <w:hyperlink w:anchor="_ENREF_89" w:tooltip="Macreadie, 2017 #11522" w:history="1">
        <w:r w:rsidR="00513C39" w:rsidRPr="00CB093C">
          <w:rPr>
            <w:rFonts w:ascii="Arial" w:hAnsi="Arial" w:cs="Arial"/>
            <w:noProof/>
            <w:color w:val="000000" w:themeColor="text1"/>
            <w:szCs w:val="22"/>
          </w:rPr>
          <w:t>Macreadie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2017</w:t>
        </w:r>
      </w:hyperlink>
      <w:r w:rsidRPr="00CB093C">
        <w:rPr>
          <w:rFonts w:ascii="Arial" w:hAnsi="Arial" w:cs="Arial"/>
          <w:color w:val="000000" w:themeColor="text1"/>
          <w:szCs w:val="22"/>
        </w:rPr>
        <w:fldChar w:fldCharType="end"/>
      </w:r>
      <w:r w:rsidRPr="00CB093C">
        <w:rPr>
          <w:rFonts w:ascii="Arial" w:hAnsi="Arial" w:cs="Arial"/>
          <w:color w:val="000000" w:themeColor="text1"/>
          <w:szCs w:val="22"/>
        </w:rPr>
        <w:t>).</w:t>
      </w:r>
    </w:p>
    <w:p w14:paraId="57C7A6DF" w14:textId="40198583" w:rsidR="0034410E" w:rsidRPr="00CB093C" w:rsidRDefault="0034410E" w:rsidP="0034410E">
      <w:pPr>
        <w:spacing w:before="240"/>
        <w:rPr>
          <w:rFonts w:ascii="Arial" w:hAnsi="Arial" w:cs="Arial"/>
          <w:color w:val="000000" w:themeColor="text1"/>
          <w:szCs w:val="22"/>
        </w:rPr>
      </w:pPr>
      <w:r w:rsidRPr="00CB093C">
        <w:rPr>
          <w:rFonts w:ascii="Arial" w:hAnsi="Arial" w:cs="Arial"/>
          <w:color w:val="000000" w:themeColor="text1"/>
          <w:szCs w:val="22"/>
        </w:rPr>
        <w:t>Much of the connectivity in reef ecosystems depends on intact and healthy non-reef habitats, such as seagrass meadows (</w:t>
      </w:r>
      <w:hyperlink w:anchor="_ENREF_151" w:tooltip="Waycott, 2011 #9279"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&lt;EndNote&gt;&lt;Cite&gt;&lt;Author&gt;Waycott&lt;/Author&gt;&lt;Year&gt;2011&lt;/Year&gt;&lt;RecNum&gt;9279&lt;/RecNum&gt;&lt;DisplayText&gt;Waycott&lt;style face="italic"&gt; et al.&lt;/style&gt; 2011&lt;/DisplayText&gt;&lt;record&gt;&lt;rec-number&gt;9279&lt;/rec-number&gt;&lt;foreign-keys&gt;&lt;key app="EN" db-id="0eve55x9y5vfd6e9dacxtew4eatve2dzds9a" timestamp="1375005080"&gt;9279&lt;/key&gt;&lt;/foreign-keys&gt;&lt;ref-type name="Book Section"&gt;5&lt;/ref-type&gt;&lt;contributors&gt;&lt;authors&gt;&lt;author&gt;Waycott, M.&lt;/author&gt;&lt;author&gt;McKenzie, Len J.&lt;/author&gt;&lt;author&gt;Mellors, J.E.&lt;/author&gt;&lt;author&gt;Ellison, J.C.&lt;/author&gt;&lt;author&gt;Sheaves, M.T.&lt;/author&gt;&lt;author&gt;Collier, C.&lt;/author&gt;&lt;author&gt;Schwarz, A-M.&lt;/author&gt;&lt;author&gt;Webb, A.&lt;/author&gt;&lt;author&gt;Johnson, J.&lt;/author&gt;&lt;author&gt;Payri, C.E.&lt;/author&gt;&lt;/authors&gt;&lt;secondary-authors&gt;&lt;author&gt;Bell, J.D.&lt;/author&gt;&lt;author&gt;Johnson, J.E.&lt;/author&gt;&lt;author&gt;Hobday, A.J.&lt;/author&gt;&lt;/secondary-authors&gt;&lt;/contributors&gt;&lt;titles&gt;&lt;title&gt;Vulnerability of mangroves, seagrasses and intertidal flats in the tropical Pacific to climate change&lt;/title&gt;&lt;secondary-title&gt;Vulnerability of fisheries and aquaculture in the Pacific to climate change&lt;/secondary-title&gt;&lt;/titles&gt;&lt;pages&gt;97-168&lt;/pages&gt;&lt;section&gt;6&lt;/section&gt;&lt;dates&gt;&lt;year&gt;2011&lt;/year&gt;&lt;/dates&gt;&lt;pub-location&gt;Noumea, New Caledonia&lt;/pub-location&gt;&lt;publisher&gt;Secretariat of the Pacific Community&lt;/publisher&gt;&lt;urls&gt;&lt;/urls&gt;&lt;/record&gt;&lt;/Cite&gt;&lt;/EndNote&gt;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Waycott</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2011</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These non-reef habitats are particularly important to the maintenance and regeneration of populations of reef fish such as Emperor fish (</w:t>
      </w:r>
      <w:r w:rsidRPr="00CB093C">
        <w:rPr>
          <w:rFonts w:ascii="Arial" w:hAnsi="Arial" w:cs="Arial"/>
          <w:i/>
          <w:color w:val="000000" w:themeColor="text1"/>
          <w:szCs w:val="22"/>
        </w:rPr>
        <w:t>Lethrinus spp</w:t>
      </w:r>
      <w:r w:rsidRPr="00CB093C">
        <w:rPr>
          <w:rFonts w:ascii="Arial" w:hAnsi="Arial" w:cs="Arial"/>
          <w:color w:val="000000" w:themeColor="text1"/>
          <w:szCs w:val="22"/>
        </w:rPr>
        <w:t>) and Tuskfish (</w:t>
      </w:r>
      <w:r w:rsidRPr="00CB093C">
        <w:rPr>
          <w:rFonts w:ascii="Arial" w:hAnsi="Arial" w:cs="Arial"/>
          <w:i/>
          <w:color w:val="000000" w:themeColor="text1"/>
          <w:szCs w:val="22"/>
        </w:rPr>
        <w:t>Choerodon spp</w:t>
      </w:r>
      <w:r w:rsidRPr="00CB093C">
        <w:rPr>
          <w:rFonts w:ascii="Arial" w:hAnsi="Arial" w:cs="Arial"/>
          <w:color w:val="000000" w:themeColor="text1"/>
          <w:szCs w:val="22"/>
        </w:rPr>
        <w:t>) (</w:t>
      </w:r>
      <w:hyperlink w:anchor="_ENREF_41" w:tooltip="Cullen-Unsworth, 2014 #9996"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&lt;EndNote&gt;&lt;Cite&gt;&lt;Author&gt;Cullen-Unsworth&lt;/Author&gt;&lt;Year&gt;2014&lt;/Year&gt;&lt;RecNum&gt;9996&lt;/RecNum&gt;&lt;DisplayText&gt;Cullen-Unsworth&lt;style face="italic"&gt; et al.&lt;/style&gt; 2014&lt;/DisplayText&gt;&lt;record&gt;&lt;rec-number&gt;9996&lt;/rec-number&gt;&lt;foreign-keys&gt;&lt;key app="EN" db-id="0eve55x9y5vfd6e9dacxtew4eatve2dzds9a" timestamp="1414622891"&gt;9996&lt;/key&gt;&lt;/foreign-keys&gt;&lt;ref-type name="Journal Article"&gt;17&lt;/ref-type&gt;&lt;contributors&gt;&lt;authors&gt;&lt;author&gt;Cullen-Unsworth, Leanne C.&lt;/author&gt;&lt;author&gt;Nordlund, Lina Mtwana&lt;/author&gt;&lt;author&gt;Paddock, Jessica&lt;/author&gt;&lt;author&gt;Baker, Susan&lt;/author&gt;&lt;author&gt;McKenzie, Len J.&lt;/author&gt;&lt;author&gt;Unsworth, Richard K. F.&lt;/author&gt;&lt;/authors&gt;&lt;/contributors&gt;&lt;titles&gt;&lt;title&gt;Seagrass meadows globally as a coupled social–ecological system: Implications for human wellbeing&lt;/title&gt;&lt;secondary-title&gt;Marine Pollution Bulletin&lt;/secondary-title&gt;&lt;/titles&gt;&lt;periodical&gt;&lt;full-title&gt;Marine Pollution Bulletin&lt;/full-title&gt;&lt;/periodical&gt;&lt;pages&gt;387-397&lt;/pages&gt;&lt;volume&gt;83&lt;/volume&gt;&lt;number&gt;2&lt;/number&gt;&lt;keywords&gt;&lt;keyword&gt;Ecosystem services&lt;/keyword&gt;&lt;keyword&gt;Human wellbeing&lt;/keyword&gt;&lt;keyword&gt;Seagrass meadows&lt;/keyword&gt;&lt;keyword&gt;Coupled social–ecological system&lt;/keyword&gt;&lt;keyword&gt;Ecological systems&lt;/keyword&gt;&lt;keyword&gt;Social processes&lt;/keyword&gt;&lt;/keywords&gt;&lt;dates&gt;&lt;year&gt;2014&lt;/year&gt;&lt;/dates&gt;&lt;isbn&gt;0025-326X&lt;/isbn&gt;&lt;urls&gt;&lt;related-urls&gt;&lt;url&gt;http://www.sciencedirect.com/science/article/pii/S0025326X13002919&lt;/url&gt;&lt;/related-urls&gt;&lt;/urls&gt;&lt;electronic-resource-num&gt;http://dx.doi.org/10.1016/j.marpolbul.2013.06.001&lt;/electronic-resource-num&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Cullen-Unsworth</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2014</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In addition, the incorporation of carbon within seagrass tissues can affect local pH and increase calcification of coral reefs, thereby mitigating the effects of ocean acidification (</w:t>
      </w:r>
      <w:r w:rsidRPr="00CB093C">
        <w:rPr>
          <w:rFonts w:ascii="Arial" w:hAnsi="Arial" w:cs="Arial"/>
          <w:color w:val="000000" w:themeColor="text1"/>
          <w:szCs w:val="22"/>
        </w:rPr>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aWMiPiBldCBhbC48L3N0eWxlPiAyMDEyYTwvRGlzcGxheVRleHQ+PHJlY29yZD48cmVjLW51bWJl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</w:fldData>
        </w:fldChar>
      </w:r>
      <w:r w:rsidR="00305A14" w:rsidRPr="00CB093C">
        <w:rPr>
          <w:rFonts w:ascii="Arial" w:hAnsi="Arial" w:cs="Arial"/>
          <w:color w:val="000000" w:themeColor="text1"/>
          <w:szCs w:val="22"/>
        </w:rPr>
        <w:instrText xml:space="preserve"> ADDIN EN.CITE </w:instrText>
      </w:r>
      <w:r w:rsidR="00305A14" w:rsidRPr="00CB093C">
        <w:rPr>
          <w:rFonts w:ascii="Arial" w:hAnsi="Arial" w:cs="Arial"/>
          <w:color w:val="000000" w:themeColor="text1"/>
          <w:szCs w:val="22"/>
        </w:rPr>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aWMiPiBldCBhbC48L3N0eWxlPiAyMDEyYTwvRGlzcGxheVRleHQ+PHJlY29yZD48cmVjLW51bWJl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</w:fldData>
        </w:fldChar>
      </w:r>
      <w:r w:rsidR="00305A14" w:rsidRPr="00CB093C">
        <w:rPr>
          <w:rFonts w:ascii="Arial" w:hAnsi="Arial" w:cs="Arial"/>
          <w:color w:val="000000" w:themeColor="text1"/>
          <w:szCs w:val="22"/>
        </w:rPr>
        <w:instrText xml:space="preserve"> ADDIN EN.CITE.DATA </w:instrText>
      </w:r>
      <w:r w:rsidR="00305A14" w:rsidRPr="00CB093C">
        <w:rPr>
          <w:rFonts w:ascii="Arial" w:hAnsi="Arial" w:cs="Arial"/>
          <w:color w:val="000000" w:themeColor="text1"/>
          <w:szCs w:val="22"/>
        </w:rPr>
      </w:r>
      <w:r w:rsidR="00305A14" w:rsidRPr="00CB093C">
        <w:rPr>
          <w:rFonts w:ascii="Arial" w:hAnsi="Arial" w:cs="Arial"/>
          <w:color w:val="000000" w:themeColor="text1"/>
          <w:szCs w:val="22"/>
        </w:rPr>
        <w:fldChar w:fldCharType="end"/>
      </w:r>
      <w:r w:rsidRPr="00CB093C">
        <w:rPr>
          <w:rFonts w:ascii="Arial" w:hAnsi="Arial" w:cs="Arial"/>
          <w:color w:val="000000" w:themeColor="text1"/>
          <w:szCs w:val="22"/>
        </w:rPr>
      </w:r>
      <w:r w:rsidRPr="00CB093C">
        <w:rPr>
          <w:rFonts w:ascii="Arial" w:hAnsi="Arial" w:cs="Arial"/>
          <w:color w:val="000000" w:themeColor="text1"/>
          <w:szCs w:val="22"/>
        </w:rPr>
        <w:fldChar w:fldCharType="separate"/>
      </w:r>
      <w:hyperlink w:anchor="_ENREF_55" w:tooltip="Fourqurean, 2012 #9186" w:history="1">
        <w:r w:rsidR="00513C39" w:rsidRPr="00CB093C">
          <w:rPr>
            <w:rFonts w:ascii="Arial" w:hAnsi="Arial" w:cs="Arial"/>
            <w:noProof/>
            <w:color w:val="000000" w:themeColor="text1"/>
            <w:szCs w:val="22"/>
          </w:rPr>
          <w:t>Fourqurean</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2012</w:t>
        </w:r>
      </w:hyperlink>
      <w:r w:rsidR="00305A14" w:rsidRPr="00CB093C">
        <w:rPr>
          <w:rFonts w:ascii="Arial" w:hAnsi="Arial" w:cs="Arial"/>
          <w:noProof/>
          <w:color w:val="000000" w:themeColor="text1"/>
          <w:szCs w:val="22"/>
        </w:rPr>
        <w:t xml:space="preserve">; </w:t>
      </w:r>
      <w:hyperlink w:anchor="_ENREF_141" w:tooltip="Unsworth, 2012 #9352" w:history="1">
        <w:r w:rsidR="00513C39" w:rsidRPr="00CB093C">
          <w:rPr>
            <w:rFonts w:ascii="Arial" w:hAnsi="Arial" w:cs="Arial"/>
            <w:noProof/>
            <w:color w:val="000000" w:themeColor="text1"/>
            <w:szCs w:val="22"/>
          </w:rPr>
          <w:t>Unsworth</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2012a</w:t>
        </w:r>
      </w:hyperlink>
      <w:r w:rsidRPr="00CB093C">
        <w:rPr>
          <w:rFonts w:ascii="Arial" w:hAnsi="Arial" w:cs="Arial"/>
          <w:color w:val="000000" w:themeColor="text1"/>
          <w:szCs w:val="22"/>
        </w:rPr>
        <w:fldChar w:fldCharType="end"/>
      </w:r>
      <w:r w:rsidRPr="00CB093C">
        <w:rPr>
          <w:rFonts w:ascii="Arial" w:hAnsi="Arial" w:cs="Arial"/>
          <w:color w:val="000000" w:themeColor="text1"/>
          <w:szCs w:val="22"/>
        </w:rPr>
        <w:t>). Therefore, monitoring changes in seagrasses meadows not only provides an indication of coastal ecosystem health, but also improves our capacity to predict changes to adjacent reefs, mangroves and associated resources upon which coastal communities depend (</w:t>
      </w:r>
      <w:hyperlink w:anchor="_ENREF_70" w:tooltip="Heck, 2008 #7826" w:history="1">
        <w:r w:rsidR="00513C39" w:rsidRPr="00CB093C">
          <w:rPr>
            <w:rFonts w:ascii="Arial" w:hAnsi="Arial" w:cs="Arial"/>
            <w:color w:val="000000" w:themeColor="text1"/>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dmZkNmU5ZGFjeHRldzRlYXR2ZTJkemRzOWEiIHRpbWVzdGFtcD0iMCI+NzgyNjwva2V5PjwvZm9y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</w:fldData>
          </w:fldChar>
        </w:r>
        <w:r w:rsidR="00513C39" w:rsidRPr="00CB093C">
          <w:rPr>
            <w:rFonts w:ascii="Arial" w:hAnsi="Arial" w:cs="Arial"/>
            <w:color w:val="000000" w:themeColor="text1"/>
            <w:szCs w:val="22"/>
          </w:rPr>
          <w:instrText xml:space="preserve"> ADDIN EN.CITE </w:instrText>
        </w:r>
        <w:r w:rsidR="00513C39" w:rsidRPr="00CB093C">
          <w:rPr>
            <w:rFonts w:ascii="Arial" w:hAnsi="Arial" w:cs="Arial"/>
            <w:color w:val="000000" w:themeColor="text1"/>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dmZkNmU5ZGFjeHRldzRlYXR2ZTJkemRzOWEiIHRpbWVzdGFtcD0iMCI+NzgyNjwva2V5PjwvZm9y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</w:fldData>
          </w:fldChar>
        </w:r>
        <w:r w:rsidR="00513C39" w:rsidRPr="00CB093C">
          <w:rPr>
            <w:rFonts w:ascii="Arial" w:hAnsi="Arial" w:cs="Arial"/>
            <w:color w:val="000000" w:themeColor="text1"/>
            <w:szCs w:val="22"/>
          </w:rPr>
          <w:instrText xml:space="preserve"> ADDIN EN.CITE.DATA </w:instrText>
        </w:r>
        <w:r w:rsidR="00513C39" w:rsidRPr="00CB093C">
          <w:rPr>
            <w:rFonts w:ascii="Arial" w:hAnsi="Arial" w:cs="Arial"/>
            <w:color w:val="000000" w:themeColor="text1"/>
            <w:szCs w:val="22"/>
          </w:rPr>
        </w:r>
        <w:r w:rsidR="00513C39" w:rsidRPr="00CB093C">
          <w:rPr>
            <w:rFonts w:ascii="Arial" w:hAnsi="Arial" w:cs="Arial"/>
            <w:color w:val="000000" w:themeColor="text1"/>
            <w:szCs w:val="22"/>
          </w:rPr>
          <w:fldChar w:fldCharType="end"/>
        </w:r>
        <w:r w:rsidR="00513C39" w:rsidRPr="00CB093C">
          <w:rPr>
            <w:rFonts w:ascii="Arial" w:hAnsi="Arial" w:cs="Arial"/>
            <w:color w:val="000000" w:themeColor="text1"/>
            <w:szCs w:val="22"/>
          </w:rPr>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Heck</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2008</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w:t>
      </w:r>
    </w:p>
    <w:p w14:paraId="21598BF6" w14:textId="48668600" w:rsidR="0034410E" w:rsidRPr="00CB093C" w:rsidRDefault="0034410E" w:rsidP="0034410E">
      <w:pPr>
        <w:spacing w:before="240"/>
        <w:rPr>
          <w:rFonts w:ascii="Arial" w:hAnsi="Arial" w:cs="Arial"/>
          <w:color w:val="000000" w:themeColor="text1"/>
          <w:szCs w:val="22"/>
        </w:rPr>
      </w:pPr>
      <w:r w:rsidRPr="00CB093C">
        <w:rPr>
          <w:rFonts w:ascii="Arial" w:hAnsi="Arial" w:cs="Arial"/>
          <w:color w:val="000000" w:themeColor="text1"/>
          <w:szCs w:val="22"/>
        </w:rPr>
        <w:t xml:space="preserve">Chronic declines in inshore water quality in the Reef since European settlement have led to major ecological shifts in many </w:t>
      </w:r>
      <w:r w:rsidR="003158FC" w:rsidRPr="00CB093C">
        <w:rPr>
          <w:rFonts w:ascii="Arial" w:hAnsi="Arial" w:cs="Arial"/>
          <w:color w:val="000000" w:themeColor="text1"/>
          <w:szCs w:val="22"/>
        </w:rPr>
        <w:t>Reef</w:t>
      </w:r>
      <w:r w:rsidRPr="00CB093C">
        <w:rPr>
          <w:rFonts w:ascii="Arial" w:hAnsi="Arial" w:cs="Arial"/>
          <w:color w:val="000000" w:themeColor="text1"/>
          <w:szCs w:val="22"/>
        </w:rPr>
        <w:t xml:space="preserve"> marine ecosystems (</w:t>
      </w:r>
      <w:r w:rsidRPr="00CB093C">
        <w:rPr>
          <w:rFonts w:ascii="Arial" w:hAnsi="Arial" w:cs="Arial"/>
          <w:color w:val="000000" w:themeColor="text1"/>
          <w:szCs w:val="22"/>
        </w:rPr>
        <w:fldChar w:fldCharType="begin">
          <w:fldData xml:space="preserve">PEVuZE5vdGU+PENpdGU+PEF1dGhvcj5EZSZhcG9zO2F0aDwvQXV0aG9yPjxZZWFyPjIwMTA8L1ll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</w:fldData>
        </w:fldChar>
      </w:r>
      <w:r w:rsidRPr="00CB093C">
        <w:rPr>
          <w:rFonts w:ascii="Arial" w:hAnsi="Arial" w:cs="Arial"/>
          <w:color w:val="000000" w:themeColor="text1"/>
          <w:szCs w:val="22"/>
        </w:rPr>
        <w:instrText xml:space="preserve"> ADDIN EN.CITE </w:instrText>
      </w:r>
      <w:r w:rsidRPr="00CB093C">
        <w:rPr>
          <w:rFonts w:ascii="Arial" w:hAnsi="Arial" w:cs="Arial"/>
          <w:color w:val="000000" w:themeColor="text1"/>
          <w:szCs w:val="22"/>
        </w:rPr>
        <w:fldChar w:fldCharType="begin">
          <w:fldData xml:space="preserve">PEVuZE5vdGU+PENpdGU+PEF1dGhvcj5EZSZhcG9zO2F0aDwvQXV0aG9yPjxZZWFyPjIwMTA8L1ll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</w:fldData>
        </w:fldChar>
      </w:r>
      <w:r w:rsidRPr="00CB093C">
        <w:rPr>
          <w:rFonts w:ascii="Arial" w:hAnsi="Arial" w:cs="Arial"/>
          <w:color w:val="000000" w:themeColor="text1"/>
          <w:szCs w:val="22"/>
        </w:rPr>
        <w:instrText xml:space="preserve"> ADDIN EN.CITE.DATA </w:instrText>
      </w:r>
      <w:r w:rsidRPr="00CB093C">
        <w:rPr>
          <w:rFonts w:ascii="Arial" w:hAnsi="Arial" w:cs="Arial"/>
          <w:color w:val="000000" w:themeColor="text1"/>
          <w:szCs w:val="22"/>
        </w:rPr>
      </w:r>
      <w:r w:rsidRPr="00CB093C">
        <w:rPr>
          <w:rFonts w:ascii="Arial" w:hAnsi="Arial" w:cs="Arial"/>
          <w:color w:val="000000" w:themeColor="text1"/>
          <w:szCs w:val="22"/>
        </w:rPr>
        <w:fldChar w:fldCharType="end"/>
      </w:r>
      <w:r w:rsidRPr="00CB093C">
        <w:rPr>
          <w:rFonts w:ascii="Arial" w:hAnsi="Arial" w:cs="Arial"/>
          <w:color w:val="000000" w:themeColor="text1"/>
          <w:szCs w:val="22"/>
        </w:rPr>
      </w:r>
      <w:r w:rsidRPr="00CB093C">
        <w:rPr>
          <w:rFonts w:ascii="Arial" w:hAnsi="Arial" w:cs="Arial"/>
          <w:color w:val="000000" w:themeColor="text1"/>
          <w:szCs w:val="22"/>
        </w:rPr>
        <w:fldChar w:fldCharType="separate"/>
      </w:r>
      <w:hyperlink w:anchor="_ENREF_42" w:tooltip="De'ath, 2010 #10485" w:history="1">
        <w:r w:rsidR="00513C39" w:rsidRPr="00CB093C">
          <w:rPr>
            <w:rFonts w:ascii="Arial" w:hAnsi="Arial" w:cs="Arial"/>
            <w:noProof/>
            <w:color w:val="000000" w:themeColor="text1"/>
            <w:szCs w:val="22"/>
          </w:rPr>
          <w:t>De'ath and Fabricius 2010</w:t>
        </w:r>
      </w:hyperlink>
      <w:r w:rsidRPr="00CB093C">
        <w:rPr>
          <w:rFonts w:ascii="Arial" w:hAnsi="Arial" w:cs="Arial"/>
          <w:noProof/>
          <w:color w:val="000000" w:themeColor="text1"/>
          <w:szCs w:val="22"/>
        </w:rPr>
        <w:t xml:space="preserve">; </w:t>
      </w:r>
      <w:hyperlink w:anchor="_ENREF_133" w:tooltip="Roff, 2013 #10583" w:history="1">
        <w:r w:rsidR="00513C39" w:rsidRPr="00CB093C">
          <w:rPr>
            <w:rFonts w:ascii="Arial" w:hAnsi="Arial" w:cs="Arial"/>
            <w:noProof/>
            <w:color w:val="000000" w:themeColor="text1"/>
            <w:szCs w:val="22"/>
          </w:rPr>
          <w:t>Roff</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2013</w:t>
        </w:r>
      </w:hyperlink>
      <w:r w:rsidRPr="00CB093C">
        <w:rPr>
          <w:rFonts w:ascii="Arial" w:hAnsi="Arial" w:cs="Arial"/>
          <w:color w:val="000000" w:themeColor="text1"/>
          <w:szCs w:val="22"/>
        </w:rPr>
        <w:fldChar w:fldCharType="end"/>
      </w:r>
      <w:r w:rsidRPr="00CB093C">
        <w:rPr>
          <w:rFonts w:ascii="Arial" w:hAnsi="Arial" w:cs="Arial"/>
          <w:color w:val="000000" w:themeColor="text1"/>
          <w:szCs w:val="22"/>
        </w:rPr>
        <w:t>). Multiple pressures are the cause of this decline, including intensive use of the catchments for agriculture and grazing, and coastal development for urban centres and commercial ports (</w:t>
      </w:r>
      <w:hyperlink w:anchor="_ENREF_12" w:tooltip="Brodie, 2013 #9501"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&lt;EndNote&gt;&lt;Cite&gt;&lt;Author&gt;Brodie&lt;/Author&gt;&lt;Year&gt;2013&lt;/Year&gt;&lt;RecNum&gt;9501&lt;/RecNum&gt;&lt;DisplayText&gt;Brodie&lt;style face="italic"&gt; et al.&lt;/style&gt; 2013&lt;/DisplayText&gt;&lt;record&gt;&lt;rec-number&gt;9501&lt;/rec-number&gt;&lt;foreign-keys&gt;&lt;key app="EN" db-id="0eve55x9y5vfd6e9dacxtew4eatve2dzds9a" timestamp="1375854876"&gt;9501&lt;/key&gt;&lt;/foreign-keys&gt;&lt;ref-type name="Book"&gt;6&lt;/ref-type&gt;&lt;contributors&gt;&lt;authors&gt;&lt;author&gt;Brodie, J&lt;/author&gt;&lt;author&gt;Waterhouse, J&lt;/author&gt;&lt;author&gt;Schaffelke, B&lt;/author&gt;&lt;author&gt;Johnson, J&lt;/author&gt;&lt;author&gt;Kroon, F.&lt;/author&gt;&lt;author&gt;Thorburn, P.&lt;/author&gt;&lt;author&gt;Rolfe, J.&lt;/author&gt;&lt;author&gt;Lewis, S.&lt;/author&gt;&lt;author&gt;Warne, M.&lt;/author&gt;&lt;author&gt;Fabricius, K&lt;/author&gt;&lt;author&gt;McKenzie, Len J&lt;/author&gt;&lt;author&gt;Devlin, M. &lt;/author&gt;&lt;/authors&gt;&lt;/contributors&gt;&lt;titles&gt;&lt;title&gt;Reef Water Quality Scientific Consensus Statement 2013&lt;/title&gt;&lt;/titles&gt;&lt;pages&gt;10&lt;/pages&gt;&lt;dates&gt;&lt;year&gt;2013&lt;/year&gt;&lt;/dates&gt;&lt;pub-location&gt;Brisbane&lt;/pub-location&gt;&lt;publisher&gt;Department of the Premier and Cabinet, Queensland Government&lt;/publisher&gt;&lt;urls&gt;&lt;/urls&gt;&lt;/record&gt;&lt;/Cite&gt;&lt;/EndNote&gt;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Brodie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2013</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Flood waters deliver terrestrially sourced pollutants (e.g. sediments, nutrients, pesticides) dispersing them over the sensitive ecosystems including seagrass meadows (</w:t>
      </w:r>
      <w:hyperlink w:anchor="_ENREF_136" w:tooltip="Schaffelke, 2013 #9502" w:history="1">
        <w:r w:rsidR="00513C39" w:rsidRPr="00CB093C">
          <w:rPr>
            <w:rFonts w:ascii="Arial" w:hAnsi="Arial" w:cs="Arial"/>
            <w:color w:val="000000" w:themeColor="text1"/>
            <w:szCs w:val="22"/>
          </w:rPr>
          <w:fldChar w:fldCharType="begin"/>
        </w:r>
        <w:r w:rsidR="00513C39" w:rsidRPr="00CB093C">
          <w:rPr>
            <w:rFonts w:ascii="Arial" w:hAnsi="Arial" w:cs="Arial"/>
            <w:color w:val="000000" w:themeColor="text1"/>
            <w:szCs w:val="22"/>
          </w:rPr>
          <w:instrText xml:space="preserve"> ADDIN EN.CITE &lt;EndNote&gt;&lt;Cite&gt;&lt;Author&gt;Schaffelke&lt;/Author&gt;&lt;Year&gt;2013&lt;/Year&gt;&lt;RecNum&gt;9502&lt;/RecNum&gt;&lt;Prefix&gt;summarised in &lt;/Prefix&gt;&lt;DisplayText&gt;summarised in Schaffelke&lt;style face="italic"&gt; et al.&lt;/style&gt; 2013&lt;/DisplayText&gt;&lt;record&gt;&lt;rec-number&gt;9502&lt;/rec-number&gt;&lt;foreign-keys&gt;&lt;key app="EN" db-id="0eve55x9y5vfd6e9dacxtew4eatve2dzds9a" timestamp="1375855083"&gt;9502&lt;/key&gt;&lt;/foreign-keys&gt;&lt;ref-type name="Book Section"&gt;5&lt;/ref-type&gt;&lt;contributors&gt;&lt;authors&gt;&lt;author&gt;Schaffelke, B&lt;/author&gt;&lt;author&gt;Anthony, K&lt;/author&gt;&lt;author&gt;Blake, J&lt;/author&gt;&lt;author&gt;Brodie, J&lt;/author&gt;&lt;author&gt;Collier, C&lt;/author&gt;&lt;author&gt;Devlin, M&lt;/author&gt;&lt;author&gt;Fabricius, K&lt;/author&gt;&lt;author&gt;Martin, K&lt;/author&gt;&lt;author&gt;McKenzie, Len J&lt;/author&gt;&lt;author&gt;Negri, A&lt;/author&gt;&lt;author&gt;Ronan, M&lt;/author&gt;&lt;author&gt;Thompson, A&lt;/author&gt;&lt;author&gt;Warne, M&lt;/author&gt;&lt;/authors&gt;&lt;/contributors&gt;&lt;titles&gt;&lt;title&gt;Marine and coastal ecosystem impacts&lt;/title&gt;&lt;secondary-title&gt;Synthesis of evidence to support the Reef Water Quality Scientific Consensus Statement 2013&lt;/secondary-title&gt;&lt;/titles&gt;&lt;pages&gt;47&lt;/pages&gt;&lt;section&gt;1&lt;/section&gt;&lt;dates&gt;&lt;year&gt;2013&lt;/year&gt;&lt;/dates&gt;&lt;pub-location&gt;Brisbane&lt;/pub-location&gt;&lt;publisher&gt;Department of the Premier and Cabinet, Queensland Government&lt;/publisher&gt;&lt;urls&gt;&lt;/urls&gt;&lt;/record&gt;&lt;/Cite&gt;&lt;/EndNote&gt;</w:instrText>
        </w:r>
        <w:r w:rsidR="00513C39" w:rsidRPr="00CB093C">
          <w:rPr>
            <w:rFonts w:ascii="Arial" w:hAnsi="Arial" w:cs="Arial"/>
            <w:color w:val="000000" w:themeColor="text1"/>
            <w:szCs w:val="22"/>
          </w:rPr>
          <w:fldChar w:fldCharType="separate"/>
        </w:r>
        <w:r w:rsidR="00513C39" w:rsidRPr="00CB093C">
          <w:rPr>
            <w:rFonts w:ascii="Arial" w:hAnsi="Arial" w:cs="Arial"/>
            <w:noProof/>
            <w:color w:val="000000" w:themeColor="text1"/>
            <w:szCs w:val="22"/>
          </w:rPr>
          <w:t>summarised in Schaffelke</w:t>
        </w:r>
        <w:r w:rsidR="00513C39" w:rsidRPr="00CB093C">
          <w:rPr>
            <w:rFonts w:ascii="Arial" w:hAnsi="Arial" w:cs="Arial"/>
            <w:i/>
            <w:noProof/>
            <w:color w:val="000000" w:themeColor="text1"/>
            <w:szCs w:val="22"/>
          </w:rPr>
          <w:t xml:space="preserve"> et al.</w:t>
        </w:r>
        <w:r w:rsidR="00513C39" w:rsidRPr="00CB093C">
          <w:rPr>
            <w:rFonts w:ascii="Arial" w:hAnsi="Arial" w:cs="Arial"/>
            <w:noProof/>
            <w:color w:val="000000" w:themeColor="text1"/>
            <w:szCs w:val="22"/>
          </w:rPr>
          <w:t xml:space="preserve"> 2013</w:t>
        </w:r>
        <w:r w:rsidR="00513C39" w:rsidRPr="00CB093C">
          <w:rPr>
            <w:rFonts w:ascii="Arial" w:hAnsi="Arial" w:cs="Arial"/>
            <w:color w:val="000000" w:themeColor="text1"/>
            <w:szCs w:val="22"/>
          </w:rPr>
          <w:fldChar w:fldCharType="end"/>
        </w:r>
      </w:hyperlink>
      <w:r w:rsidRPr="00CB093C">
        <w:rPr>
          <w:rFonts w:ascii="Arial" w:hAnsi="Arial" w:cs="Arial"/>
          <w:color w:val="000000" w:themeColor="text1"/>
          <w:szCs w:val="22"/>
        </w:rPr>
        <w:t xml:space="preserve">). </w:t>
      </w:r>
    </w:p>
    <w:p w14:paraId="27CE17D3" w14:textId="77777777" w:rsidR="00932564" w:rsidRPr="00CB093C" w:rsidRDefault="00932564" w:rsidP="0015509E">
      <w:pPr>
        <w:pStyle w:val="Heading2"/>
      </w:pPr>
      <w:bookmarkStart w:id="550" w:name="_Toc11394781"/>
      <w:r w:rsidRPr="00CB093C">
        <w:t>Management Responses</w:t>
      </w:r>
      <w:bookmarkEnd w:id="550"/>
      <w:r w:rsidRPr="00CB093C">
        <w:t xml:space="preserve"> </w:t>
      </w:r>
    </w:p>
    <w:p w14:paraId="2874BDFD" w14:textId="41BE9033" w:rsidR="00932564" w:rsidRPr="00CB093C" w:rsidRDefault="00932564" w:rsidP="00932564">
      <w:pPr>
        <w:autoSpaceDE w:val="0"/>
        <w:autoSpaceDN w:val="0"/>
        <w:adjustRightInd w:val="0"/>
        <w:rPr>
          <w:rFonts w:ascii="Arial" w:hAnsi="Arial" w:cs="Arial"/>
          <w:szCs w:val="22"/>
        </w:rPr>
      </w:pPr>
      <w:r w:rsidRPr="00CB093C">
        <w:rPr>
          <w:rFonts w:ascii="Arial" w:hAnsi="Arial" w:cs="Arial"/>
          <w:szCs w:val="22"/>
          <w:lang w:val="en-US"/>
        </w:rPr>
        <w:t xml:space="preserve">As coral reef ecosystems across the broader </w:t>
      </w:r>
      <w:r w:rsidR="003158FC" w:rsidRPr="00CB093C">
        <w:rPr>
          <w:rFonts w:ascii="Arial" w:hAnsi="Arial" w:cs="Arial"/>
          <w:szCs w:val="22"/>
          <w:lang w:val="en-US"/>
        </w:rPr>
        <w:t>Reef</w:t>
      </w:r>
      <w:r w:rsidRPr="00CB093C">
        <w:rPr>
          <w:rFonts w:ascii="Arial" w:hAnsi="Arial" w:cs="Arial"/>
          <w:szCs w:val="22"/>
          <w:lang w:val="en-US"/>
        </w:rPr>
        <w:t xml:space="preserve"> continue to decline (with an uncertain future) primarily as a consequence of </w:t>
      </w:r>
      <w:r w:rsidRPr="00CB093C">
        <w:rPr>
          <w:rFonts w:ascii="Arial" w:hAnsi="Arial" w:cs="Arial"/>
          <w:szCs w:val="22"/>
        </w:rPr>
        <w:t>increasing rates of climate change and rising global temperatures</w:t>
      </w:r>
      <w:r w:rsidRPr="00CB093C">
        <w:rPr>
          <w:rFonts w:ascii="Arial" w:hAnsi="Arial" w:cs="Arial"/>
          <w:szCs w:val="22"/>
          <w:lang w:val="en-US"/>
        </w:rPr>
        <w:t xml:space="preserve">, they remain the priority of conservation resources and efforts. Despite their critical value, for a suite of economic, ecological, cultural and intrinsic reasons, there is also an urgent need to broaden the focus of tropical marine conservation focus to other threatened ecosystems. </w:t>
      </w:r>
      <w:r w:rsidR="000C4660" w:rsidRPr="00CB093C">
        <w:rPr>
          <w:rFonts w:ascii="Arial" w:hAnsi="Arial" w:cs="Arial"/>
          <w:szCs w:val="22"/>
          <w:lang w:val="en-US"/>
        </w:rPr>
        <w:t>As s</w:t>
      </w:r>
      <w:r w:rsidRPr="00CB093C">
        <w:rPr>
          <w:rFonts w:ascii="Arial" w:hAnsi="Arial" w:cs="Arial"/>
          <w:szCs w:val="22"/>
          <w:lang w:val="en-US"/>
        </w:rPr>
        <w:t xml:space="preserve">eagrasses within the </w:t>
      </w:r>
      <w:r w:rsidR="00C26801" w:rsidRPr="00CB093C">
        <w:rPr>
          <w:rFonts w:ascii="Arial" w:hAnsi="Arial" w:cs="Arial"/>
          <w:color w:val="000000" w:themeColor="text1"/>
          <w:szCs w:val="22"/>
          <w:lang w:eastAsia="en-AU"/>
        </w:rPr>
        <w:t>World Heritage Area</w:t>
      </w:r>
      <w:r w:rsidR="00C26801" w:rsidRPr="00CB093C">
        <w:rPr>
          <w:rFonts w:ascii="Arial" w:hAnsi="Arial" w:cs="Arial"/>
          <w:szCs w:val="22"/>
          <w:lang w:val="en-US"/>
        </w:rPr>
        <w:t xml:space="preserve"> </w:t>
      </w:r>
      <w:r w:rsidRPr="00CB093C">
        <w:rPr>
          <w:rFonts w:ascii="Arial" w:hAnsi="Arial" w:cs="Arial"/>
          <w:szCs w:val="22"/>
          <w:lang w:val="en-US"/>
        </w:rPr>
        <w:t xml:space="preserve">provide considerable ecosystem services, </w:t>
      </w:r>
      <w:r w:rsidR="000C4660" w:rsidRPr="00CB093C">
        <w:rPr>
          <w:rFonts w:ascii="Arial" w:hAnsi="Arial" w:cs="Arial"/>
          <w:szCs w:val="22"/>
          <w:lang w:val="en-US"/>
        </w:rPr>
        <w:t>they</w:t>
      </w:r>
      <w:r w:rsidRPr="00CB093C">
        <w:rPr>
          <w:rFonts w:ascii="Arial" w:hAnsi="Arial" w:cs="Arial"/>
          <w:szCs w:val="22"/>
        </w:rPr>
        <w:t xml:space="preserve"> are becoming ever more important for people and planet as coral reef health declines (</w:t>
      </w:r>
      <w:hyperlink w:anchor="_ENREF_144" w:tooltip="Unsworth, 2018 #11853"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&lt;EndNote&gt;&lt;Cite&gt;&lt;Author&gt;Unsworth&lt;/Author&gt;&lt;Year&gt;2018&lt;/Year&gt;&lt;RecNum&gt;11853&lt;/RecNum&gt;&lt;DisplayText&gt;Unsworth&lt;style face="italic"&gt; et al.&lt;/style&gt; 2018b&lt;/DisplayText&gt;&lt;record&gt;&lt;rec-number&gt;11853&lt;/rec-number&gt;&lt;foreign-keys&gt;&lt;key app="EN" db-id="0eve55x9y5vfd6e9dacxtew4eatve2dzds9a" timestamp="1541453471"&gt;11853&lt;/key&gt;&lt;/foreign-keys&gt;&lt;ref-type name="Journal Article"&gt;17&lt;/ref-type&gt;&lt;contributors&gt;&lt;authors&gt;&lt;author&gt;Unsworth, Richard K. F.&lt;/author&gt;&lt;author&gt;McKenzie, Len J.&lt;/author&gt;&lt;author&gt;Nordlund, Lina M.&lt;/author&gt;&lt;author&gt;Cullen-Unsworth, Leanne C.&lt;/author&gt;&lt;/authors&gt;&lt;/contributors&gt;&lt;titles&gt;&lt;title&gt;A changing climate for seagrass conservation?&lt;/title&gt;&lt;secondary-title&gt;Current Biology&lt;/secondary-title&gt;&lt;/titles&gt;&lt;periodical&gt;&lt;full-title&gt;Current Biology&lt;/full-title&gt;&lt;/periodical&gt;&lt;pages&gt;R1229-R1232&lt;/pages&gt;&lt;volume&gt;28&lt;/volume&gt;&lt;number&gt;21&lt;/number&gt;&lt;dates&gt;&lt;year&gt;2018&lt;/year&gt;&lt;pub-dates&gt;&lt;date&gt;2018/11/05/&lt;/date&gt;&lt;/pub-dates&gt;&lt;/dates&gt;&lt;isbn&gt;0960-9822&lt;/isbn&gt;&lt;urls&gt;&lt;related-urls&gt;&lt;url&gt;http://www.sciencedirect.com/science/article/pii/S0960982218312223&lt;/url&gt;&lt;/related-urls&gt;&lt;/urls&gt;&lt;electronic-resource-num&gt;https://doi.org/10.1016/j.cub.2018.09.027&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Unsworth</w:t>
        </w:r>
        <w:r w:rsidR="00513C39" w:rsidRPr="00CB093C">
          <w:rPr>
            <w:rFonts w:ascii="Arial" w:hAnsi="Arial" w:cs="Arial"/>
            <w:i/>
            <w:noProof/>
            <w:szCs w:val="22"/>
          </w:rPr>
          <w:t xml:space="preserve"> et al.</w:t>
        </w:r>
        <w:r w:rsidR="00513C39" w:rsidRPr="00CB093C">
          <w:rPr>
            <w:rFonts w:ascii="Arial" w:hAnsi="Arial" w:cs="Arial"/>
            <w:noProof/>
            <w:szCs w:val="22"/>
          </w:rPr>
          <w:t xml:space="preserve"> 2018b</w:t>
        </w:r>
        <w:r w:rsidR="00513C39" w:rsidRPr="00CB093C">
          <w:rPr>
            <w:rFonts w:ascii="Arial" w:hAnsi="Arial" w:cs="Arial"/>
            <w:szCs w:val="22"/>
          </w:rPr>
          <w:fldChar w:fldCharType="end"/>
        </w:r>
      </w:hyperlink>
      <w:r w:rsidRPr="00CB093C">
        <w:rPr>
          <w:rFonts w:ascii="Arial" w:hAnsi="Arial" w:cs="Arial"/>
          <w:szCs w:val="22"/>
        </w:rPr>
        <w:t xml:space="preserve">). </w:t>
      </w:r>
    </w:p>
    <w:p w14:paraId="21A95F90" w14:textId="17ABE908" w:rsidR="00932564" w:rsidRPr="00CB093C" w:rsidRDefault="00932564" w:rsidP="00932564">
      <w:pPr>
        <w:autoSpaceDE w:val="0"/>
        <w:autoSpaceDN w:val="0"/>
        <w:adjustRightInd w:val="0"/>
        <w:rPr>
          <w:rFonts w:ascii="Arial" w:hAnsi="Arial" w:cs="Arial"/>
          <w:szCs w:val="22"/>
          <w:lang w:val="en-US"/>
        </w:rPr>
      </w:pPr>
      <w:r w:rsidRPr="00CB093C">
        <w:rPr>
          <w:rFonts w:ascii="Arial" w:hAnsi="Arial" w:cs="Arial"/>
          <w:szCs w:val="22"/>
          <w:lang w:val="en-US"/>
        </w:rPr>
        <w:t xml:space="preserve">Although climate change is an underlying concern for seagrass ecosystems of the </w:t>
      </w:r>
      <w:r w:rsidR="003158FC" w:rsidRPr="00CB093C">
        <w:rPr>
          <w:rFonts w:ascii="Arial" w:hAnsi="Arial" w:cs="Arial"/>
          <w:szCs w:val="22"/>
          <w:lang w:val="en-US"/>
        </w:rPr>
        <w:t>Reef</w:t>
      </w:r>
      <w:r w:rsidRPr="00CB093C">
        <w:rPr>
          <w:rFonts w:ascii="Arial" w:hAnsi="Arial" w:cs="Arial"/>
          <w:szCs w:val="22"/>
          <w:lang w:val="en-US"/>
        </w:rPr>
        <w:t xml:space="preserve">, they remain </w:t>
      </w:r>
      <w:r w:rsidRPr="00CB093C">
        <w:rPr>
          <w:rFonts w:ascii="Arial" w:hAnsi="Arial" w:cs="Arial"/>
          <w:szCs w:val="22"/>
        </w:rPr>
        <w:t xml:space="preserve">under </w:t>
      </w:r>
      <w:r w:rsidRPr="00CB093C">
        <w:rPr>
          <w:rFonts w:ascii="Arial" w:hAnsi="Arial" w:cs="Arial"/>
          <w:szCs w:val="22"/>
          <w:lang w:val="en-US"/>
        </w:rPr>
        <w:t xml:space="preserve">greater pressure from </w:t>
      </w:r>
      <w:r w:rsidRPr="00CB093C">
        <w:rPr>
          <w:rFonts w:ascii="Arial" w:hAnsi="Arial" w:cs="Arial"/>
          <w:szCs w:val="22"/>
        </w:rPr>
        <w:t xml:space="preserve">increasing anthropogenic threats </w:t>
      </w:r>
      <w:r w:rsidRPr="00CB093C">
        <w:rPr>
          <w:rFonts w:ascii="Arial" w:hAnsi="Arial" w:cs="Arial"/>
          <w:szCs w:val="22"/>
          <w:lang w:val="en-US"/>
        </w:rPr>
        <w:t>including runoff from modified catchments, urban and industrial runoff, and coastal development (</w:t>
      </w:r>
      <w:hyperlink w:anchor="_ENREF_60" w:tooltip="Grech, 2010 #9344"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&lt;EndNote&gt;&lt;Cite&gt;&lt;Author&gt;Grech&lt;/Author&gt;&lt;Year&gt;2010&lt;/Year&gt;&lt;RecNum&gt;9344&lt;/RecNum&gt;&lt;DisplayText&gt;Grech&lt;style face="italic"&gt; et al.&lt;/style&gt; 2010&lt;/DisplayText&gt;&lt;record&gt;&lt;rec-number&gt;9344&lt;/rec-number&gt;&lt;foreign-keys&gt;&lt;key app="EN" db-id="0eve55x9y5vfd6e9dacxtew4eatve2dzds9a" timestamp="1375052478"&gt;9344&lt;/key&gt;&lt;/foreign-keys&gt;&lt;ref-type name="Journal Article"&gt;17&lt;/ref-type&gt;&lt;contributors&gt;&lt;authors&gt;&lt;author&gt;Grech, Alana&lt;/author&gt;&lt;author&gt;Coles, Rob&lt;/author&gt;&lt;author&gt;Waycott, Michelle&lt;/author&gt;&lt;author&gt;Rasheed, Michael&lt;/author&gt;&lt;author&gt;McKenzie, Len&lt;/author&gt;&lt;/authors&gt;&lt;/contributors&gt;&lt;titles&gt;&lt;title&gt;Risk Assessment for Coastal Seagrass Habitats of the Great Barrier Reef World Heritage Area: Outputs from the Risk Assessment Working Group&lt;/title&gt;&lt;/titles&gt;&lt;dates&gt;&lt;year&gt;2010&lt;/year&gt;&lt;/dates&gt;&lt;urls&gt;&lt;/urls&gt;&lt;/record&gt;&lt;/Cite&gt;&lt;/EndNote&gt;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Grech</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2010</w:t>
        </w:r>
        <w:r w:rsidR="00513C39" w:rsidRPr="00CB093C">
          <w:rPr>
            <w:rFonts w:ascii="Arial" w:hAnsi="Arial" w:cs="Arial"/>
            <w:szCs w:val="22"/>
            <w:lang w:val="en-US"/>
          </w:rPr>
          <w:fldChar w:fldCharType="end"/>
        </w:r>
      </w:hyperlink>
      <w:r w:rsidRPr="00CB093C">
        <w:rPr>
          <w:rFonts w:ascii="Arial" w:hAnsi="Arial" w:cs="Arial"/>
          <w:szCs w:val="22"/>
          <w:lang w:val="en-US"/>
        </w:rPr>
        <w:t xml:space="preserve">). </w:t>
      </w:r>
      <w:r w:rsidRPr="00CB093C">
        <w:rPr>
          <w:rFonts w:ascii="Arial" w:hAnsi="Arial" w:cs="Arial"/>
          <w:szCs w:val="22"/>
        </w:rPr>
        <w:t>There is a need to broaden the focus, increase and reprioritize conservation efforts, and use the limited conservation resources in a more targeted manner in order to attain sustainable systems (</w:t>
      </w:r>
      <w:hyperlink w:anchor="_ENREF_143" w:tooltip="Unsworth, 2018 #1185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&lt;EndNote&gt;&lt;Cite&gt;&lt;Author&gt;Unsworth&lt;/Author&gt;&lt;Year&gt;2018&lt;/Year&gt;&lt;RecNum&gt;11857&lt;/RecNum&gt;&lt;DisplayText&gt;Unsworth&lt;style face="italic"&gt; et al.&lt;/style&gt; 2018a&lt;/DisplayText&gt;&lt;record&gt;&lt;rec-number&gt;11857&lt;/rec-number&gt;&lt;foreign-keys&gt;&lt;key app="EN" db-id="0eve55x9y5vfd6e9dacxtew4eatve2dzds9a" timestamp="1542672410"&gt;11857&lt;/key&gt;&lt;/foreign-keys&gt;&lt;ref-type name="Journal Article"&gt;17&lt;/ref-type&gt;&lt;contributors&gt;&lt;authors&gt;&lt;author&gt;Unsworth, Richard K. F.&lt;/author&gt;&lt;author&gt;McKenzie, Len J.&lt;/author&gt;&lt;author&gt;Collier, Catherine J.&lt;/author&gt;&lt;author&gt;Cullen-Unsworth, Leanne C.&lt;/author&gt;&lt;author&gt;Duarte, Carlos M.&lt;/author&gt;&lt;author&gt;Eklöf, Johan S.&lt;/author&gt;&lt;author&gt;Jarvis, Jessie C.&lt;/author&gt;&lt;author&gt;Jones, Benjamin L.&lt;/author&gt;&lt;author&gt;Nordlund, Lina M.&lt;/author&gt;&lt;/authors&gt;&lt;/contributors&gt;&lt;titles&gt;&lt;title&gt;Global challenges for seagrass conservation&lt;/title&gt;&lt;secondary-title&gt;Ambio&lt;/secondary-title&gt;&lt;/titles&gt;&lt;periodical&gt;&lt;full-title&gt;Ambio&lt;/full-title&gt;&lt;/periodical&gt;&lt;dates&gt;&lt;year&gt;2018&lt;/year&gt;&lt;pub-dates&gt;&lt;date&gt;November 19&lt;/date&gt;&lt;/pub-dates&gt;&lt;/dates&gt;&lt;isbn&gt;1654-7209&lt;/isbn&gt;&lt;label&gt;Unsworth2018&lt;/label&gt;&lt;work-type&gt;journal article&lt;/work-type&gt;&lt;urls&gt;&lt;related-urls&gt;&lt;url&gt;https://doi.org/10.1007/s13280-018-1115-y&lt;/url&gt;&lt;/related-urls&gt;&lt;/urls&gt;&lt;electronic-resource-num&gt;10.1007/s13280-018-1115-y&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Unsworth</w:t>
        </w:r>
        <w:r w:rsidR="00513C39" w:rsidRPr="00CB093C">
          <w:rPr>
            <w:rFonts w:ascii="Arial" w:hAnsi="Arial" w:cs="Arial"/>
            <w:i/>
            <w:noProof/>
            <w:szCs w:val="22"/>
          </w:rPr>
          <w:t xml:space="preserve"> et al.</w:t>
        </w:r>
        <w:r w:rsidR="00513C39" w:rsidRPr="00CB093C">
          <w:rPr>
            <w:rFonts w:ascii="Arial" w:hAnsi="Arial" w:cs="Arial"/>
            <w:noProof/>
            <w:szCs w:val="22"/>
          </w:rPr>
          <w:t xml:space="preserve"> 2018a</w:t>
        </w:r>
        <w:r w:rsidR="00513C39" w:rsidRPr="00CB093C">
          <w:rPr>
            <w:rFonts w:ascii="Arial" w:hAnsi="Arial" w:cs="Arial"/>
            <w:szCs w:val="22"/>
          </w:rPr>
          <w:fldChar w:fldCharType="end"/>
        </w:r>
      </w:hyperlink>
      <w:r w:rsidRPr="00CB093C">
        <w:rPr>
          <w:rFonts w:ascii="Arial" w:hAnsi="Arial" w:cs="Arial"/>
          <w:szCs w:val="22"/>
        </w:rPr>
        <w:t xml:space="preserve">). </w:t>
      </w:r>
      <w:r w:rsidRPr="00CB093C">
        <w:rPr>
          <w:rFonts w:ascii="Arial" w:hAnsi="Arial" w:cs="Arial"/>
          <w:szCs w:val="22"/>
          <w:lang w:val="en-US"/>
        </w:rPr>
        <w:t xml:space="preserve">For seagrass, practicable conservation opportunities exist which can make substantial and quantifiable improvements to seagrass condition. While minimising localised pressures from coastal and urban runoff will reduce cumulative stress, management initiatives that target reversing wider-scale catchment degradation and poor water quality (i.e. Paddock 2 Reef) will have the greatest benefit to inshore seagrass by reducing overall stress and improving resilience. </w:t>
      </w:r>
    </w:p>
    <w:p w14:paraId="79C3EA2E" w14:textId="7AF1BB55" w:rsidR="00932564" w:rsidRPr="00CB093C" w:rsidRDefault="00932564" w:rsidP="00932564">
      <w:pPr>
        <w:autoSpaceDE w:val="0"/>
        <w:autoSpaceDN w:val="0"/>
        <w:adjustRightInd w:val="0"/>
        <w:rPr>
          <w:rFonts w:ascii="Arial" w:hAnsi="Arial" w:cs="Arial"/>
          <w:szCs w:val="22"/>
          <w:lang w:val="en-US"/>
        </w:rPr>
      </w:pPr>
      <w:r w:rsidRPr="00CB093C">
        <w:rPr>
          <w:rFonts w:ascii="Arial" w:hAnsi="Arial" w:cs="Arial"/>
          <w:szCs w:val="22"/>
          <w:lang w:val="en-US"/>
        </w:rPr>
        <w:t xml:space="preserve">Implementing strategies to improve recovery and ultimately resilience of seagrass ecosystems across the </w:t>
      </w:r>
      <w:r w:rsidR="003158FC" w:rsidRPr="00CB093C">
        <w:rPr>
          <w:rFonts w:ascii="Arial" w:hAnsi="Arial" w:cs="Arial"/>
          <w:szCs w:val="22"/>
          <w:lang w:val="en-US"/>
        </w:rPr>
        <w:t>Reef</w:t>
      </w:r>
      <w:r w:rsidRPr="00CB093C">
        <w:rPr>
          <w:rFonts w:ascii="Arial" w:hAnsi="Arial" w:cs="Arial"/>
          <w:szCs w:val="22"/>
          <w:lang w:val="en-US"/>
        </w:rPr>
        <w:t xml:space="preserve"> will also need to account for rising temperatures and changing disturbance regimes in attempting to avert any future losses due to reduced water quality. To do this, managers must increase their water quality targets at the local and regional levels to offset losses caused by global factors outside their immediate control (see Lefcheck et al. 2017). </w:t>
      </w:r>
    </w:p>
    <w:p w14:paraId="6BFBE2DD" w14:textId="4F6E0DA6" w:rsidR="00932564" w:rsidRPr="00CB093C" w:rsidRDefault="00932564" w:rsidP="00932564">
      <w:pPr>
        <w:autoSpaceDE w:val="0"/>
        <w:autoSpaceDN w:val="0"/>
        <w:adjustRightInd w:val="0"/>
        <w:rPr>
          <w:rFonts w:ascii="Arial" w:hAnsi="Arial" w:cs="Arial"/>
          <w:szCs w:val="22"/>
          <w:lang w:val="en-US"/>
        </w:rPr>
      </w:pPr>
      <w:r w:rsidRPr="00CB093C">
        <w:rPr>
          <w:rFonts w:ascii="Arial" w:hAnsi="Arial" w:cs="Arial"/>
          <w:szCs w:val="22"/>
          <w:lang w:val="en-US"/>
        </w:rPr>
        <w:t>Active restoration or enhancement of resilience may be required in some instances (</w:t>
      </w:r>
      <w:hyperlink w:anchor="_ENREF_147" w:tooltip="van Oppen, 2017 #11468" w:history="1">
        <w:r w:rsidR="00513C39" w:rsidRPr="00CB093C">
          <w:rPr>
            <w:rFonts w:ascii="Arial" w:hAnsi="Arial" w:cs="Arial"/>
            <w:szCs w:val="22"/>
            <w:lang w:val="en-US"/>
          </w:rPr>
          <w:fldChar w:fldCharType="begin"/>
        </w:r>
        <w:r w:rsidR="00513C39" w:rsidRPr="00CB093C">
          <w:rPr>
            <w:rFonts w:ascii="Arial" w:hAnsi="Arial" w:cs="Arial"/>
            <w:szCs w:val="22"/>
            <w:lang w:val="en-US"/>
          </w:rPr>
          <w:instrText xml:space="preserve"> ADDIN EN.CITE &lt;EndNote&gt;&lt;Cite&gt;&lt;Author&gt;van Oppen&lt;/Author&gt;&lt;Year&gt;2017&lt;/Year&gt;&lt;RecNum&gt;11468&lt;/RecNum&gt;&lt;DisplayText&gt;van Oppen&lt;style face="italic"&gt; et al.&lt;/style&gt; 2017&lt;/DisplayText&gt;&lt;record&gt;&lt;rec-number&gt;11468&lt;/rec-number&gt;&lt;foreign-keys&gt;&lt;key app="EN" db-id="0eve55x9y5vfd6e9dacxtew4eatve2dzds9a" timestamp="1523400267"&gt;11468&lt;/key&gt;&lt;/foreign-keys&gt;&lt;ref-type name="Journal Article"&gt;17&lt;/ref-type&gt;&lt;contributors&gt;&lt;authors&gt;&lt;author&gt;van Oppen, MJH&lt;/author&gt;&lt;author&gt;Gates, R. D. &lt;/author&gt;&lt;author&gt;Blackall, L. L. &lt;/author&gt;&lt;author&gt;Cantin, N. &lt;/author&gt;&lt;author&gt;Chakravarti, L. J. &lt;/author&gt;&lt;author&gt;Chan, W. Y. &lt;/author&gt;&lt;author&gt;Cormick, C&lt;/author&gt;&lt;author&gt;Crean, A. &lt;/author&gt;&lt;author&gt;Damjanovic, K. &lt;/author&gt;&lt;author&gt;Epstein, H. &lt;/author&gt;&lt;author&gt;Harrison, P. L. &lt;/author&gt;&lt;author&gt;Jones, T. A.&lt;/author&gt;&lt;author&gt;Miller, M. &lt;/author&gt;&lt;author&gt;Pears, R. J. &lt;/author&gt;&lt;author&gt;Peplow, L. M. &lt;/author&gt;&lt;author&gt;Raftos, D. A. &lt;/author&gt;&lt;author&gt;Schaffelke, B. &lt;/author&gt;&lt;author&gt;Stewart, K. &lt;/author&gt;&lt;author&gt;Torda, G. &lt;/author&gt;&lt;author&gt;Wachenfeld, D. &lt;/author&gt;&lt;author&gt;Weeks, A. R. &lt;/author&gt;&lt;author&gt;Putnam, H. M. &lt;/author&gt;&lt;/authors&gt;&lt;/contributors&gt;&lt;titles&gt;&lt;title&gt;Shifting paradigms in restoration of the world&amp;apos;s coral reefs.&lt;/title&gt;&lt;secondary-title&gt;Global Change Biology&lt;/secondary-title&gt;&lt;/titles&gt;&lt;periodical&gt;&lt;full-title&gt;Global Change Biology&lt;/full-title&gt;&lt;/periodical&gt;&lt;pages&gt;3437-3448&lt;/pages&gt;&lt;volume&gt;23&lt;/volume&gt;&lt;dates&gt;&lt;year&gt;2017&lt;/year&gt;&lt;/dates&gt;&lt;urls&gt;&lt;/urls&gt;&lt;/record&gt;&lt;/Cite&gt;&lt;/EndNote&gt;</w:instrText>
        </w:r>
        <w:r w:rsidR="00513C39" w:rsidRPr="00CB093C">
          <w:rPr>
            <w:rFonts w:ascii="Arial" w:hAnsi="Arial" w:cs="Arial"/>
            <w:szCs w:val="22"/>
            <w:lang w:val="en-US"/>
          </w:rPr>
          <w:fldChar w:fldCharType="separate"/>
        </w:r>
        <w:r w:rsidR="00513C39" w:rsidRPr="00CB093C">
          <w:rPr>
            <w:rFonts w:ascii="Arial" w:hAnsi="Arial" w:cs="Arial"/>
            <w:noProof/>
            <w:szCs w:val="22"/>
            <w:lang w:val="en-US"/>
          </w:rPr>
          <w:t>van Oppen</w:t>
        </w:r>
        <w:r w:rsidR="00513C39" w:rsidRPr="00CB093C">
          <w:rPr>
            <w:rFonts w:ascii="Arial" w:hAnsi="Arial" w:cs="Arial"/>
            <w:i/>
            <w:noProof/>
            <w:szCs w:val="22"/>
            <w:lang w:val="en-US"/>
          </w:rPr>
          <w:t xml:space="preserve"> et al.</w:t>
        </w:r>
        <w:r w:rsidR="00513C39" w:rsidRPr="00CB093C">
          <w:rPr>
            <w:rFonts w:ascii="Arial" w:hAnsi="Arial" w:cs="Arial"/>
            <w:noProof/>
            <w:szCs w:val="22"/>
            <w:lang w:val="en-US"/>
          </w:rPr>
          <w:t xml:space="preserve"> 2017</w:t>
        </w:r>
        <w:r w:rsidR="00513C39" w:rsidRPr="00CB093C">
          <w:rPr>
            <w:rFonts w:ascii="Arial" w:hAnsi="Arial" w:cs="Arial"/>
            <w:szCs w:val="22"/>
            <w:lang w:val="en-US"/>
          </w:rPr>
          <w:fldChar w:fldCharType="end"/>
        </w:r>
      </w:hyperlink>
      <w:r w:rsidRPr="00CB093C">
        <w:rPr>
          <w:rFonts w:ascii="Arial" w:hAnsi="Arial" w:cs="Arial"/>
          <w:szCs w:val="22"/>
          <w:lang w:val="en-US"/>
        </w:rPr>
        <w:t xml:space="preserve">). The current focus of restoration is sharply on reef restoration, however, the poor signs of seagrass recovery on the </w:t>
      </w:r>
      <w:r w:rsidR="003158FC" w:rsidRPr="00CB093C">
        <w:rPr>
          <w:rFonts w:ascii="Arial" w:hAnsi="Arial" w:cs="Arial"/>
          <w:szCs w:val="22"/>
          <w:lang w:val="en-US"/>
        </w:rPr>
        <w:t>Reef</w:t>
      </w:r>
      <w:r w:rsidRPr="00CB093C">
        <w:rPr>
          <w:rFonts w:ascii="Arial" w:hAnsi="Arial" w:cs="Arial"/>
          <w:szCs w:val="22"/>
          <w:lang w:val="en-US"/>
        </w:rPr>
        <w:t>, in combination with increasing numbers of seagrass restoration success stories from elsewhere, indicates that restoration strategies to enhance resilience and promote recovery could be a viable option if trajectories do not improve. These restoration options, will require research and feasibility analysis. Targeted action now could restore and protect seagrass meadows to maintain the suite of ecosystem services they provide in to the future.</w:t>
      </w:r>
    </w:p>
    <w:p w14:paraId="717F4953" w14:textId="77777777" w:rsidR="0034410E" w:rsidRPr="00CB093C" w:rsidRDefault="0034410E" w:rsidP="00250AD6">
      <w:pPr>
        <w:autoSpaceDE w:val="0"/>
        <w:autoSpaceDN w:val="0"/>
        <w:adjustRightInd w:val="0"/>
        <w:rPr>
          <w:rFonts w:ascii="Arial" w:hAnsi="Arial" w:cs="Arial"/>
          <w:szCs w:val="22"/>
        </w:rPr>
      </w:pPr>
    </w:p>
    <w:p w14:paraId="29245E17" w14:textId="77777777" w:rsidR="00932564" w:rsidRPr="00CB093C" w:rsidRDefault="00932564" w:rsidP="00932564">
      <w:pPr>
        <w:autoSpaceDE w:val="0"/>
        <w:autoSpaceDN w:val="0"/>
        <w:adjustRightInd w:val="0"/>
        <w:rPr>
          <w:rFonts w:ascii="Arial" w:hAnsi="Arial" w:cs="Arial"/>
          <w:szCs w:val="22"/>
          <w:lang w:val="en-US"/>
        </w:rPr>
      </w:pPr>
    </w:p>
    <w:p w14:paraId="733A618F" w14:textId="77777777" w:rsidR="00932564" w:rsidRPr="00CB093C" w:rsidRDefault="00932564" w:rsidP="00932564">
      <w:pPr>
        <w:autoSpaceDE w:val="0"/>
        <w:autoSpaceDN w:val="0"/>
        <w:adjustRightInd w:val="0"/>
        <w:rPr>
          <w:rFonts w:ascii="Arial" w:hAnsi="Arial" w:cs="Arial"/>
          <w:szCs w:val="22"/>
          <w:lang w:val="en-US"/>
        </w:rPr>
      </w:pPr>
    </w:p>
    <w:p w14:paraId="21BD968C" w14:textId="77777777" w:rsidR="00932564" w:rsidRPr="00CB093C" w:rsidRDefault="00932564" w:rsidP="00AD06D4">
      <w:pPr>
        <w:pStyle w:val="ListParagraph"/>
        <w:numPr>
          <w:ilvl w:val="0"/>
          <w:numId w:val="4"/>
        </w:numPr>
        <w:rPr>
          <w:rFonts w:ascii="Arial" w:hAnsi="Arial" w:cs="Arial"/>
          <w:szCs w:val="22"/>
          <w:lang w:val="en-US"/>
        </w:rPr>
        <w:sectPr w:rsidR="00932564" w:rsidRPr="00CB093C" w:rsidSect="00250AD6">
          <w:pgSz w:w="11900" w:h="16840"/>
          <w:pgMar w:top="1440" w:right="1440" w:bottom="1440" w:left="1440" w:header="708" w:footer="708" w:gutter="0"/>
          <w:cols w:space="708"/>
          <w:docGrid w:linePitch="360"/>
        </w:sectPr>
      </w:pPr>
    </w:p>
    <w:p w14:paraId="29901AEE" w14:textId="113227B7" w:rsidR="00932564" w:rsidRPr="00CB093C" w:rsidRDefault="00D71261" w:rsidP="0015509E">
      <w:pPr>
        <w:pStyle w:val="Heading1"/>
      </w:pPr>
      <w:bookmarkStart w:id="551" w:name="_Toc11394782"/>
      <w:r w:rsidRPr="00CB093C">
        <w:t>Conclus</w:t>
      </w:r>
      <w:r w:rsidR="00932564" w:rsidRPr="00CB093C">
        <w:t>ion</w:t>
      </w:r>
      <w:bookmarkEnd w:id="551"/>
    </w:p>
    <w:p w14:paraId="5BBB22BD" w14:textId="3A32E833" w:rsidR="003C10EC" w:rsidRPr="00CB093C" w:rsidRDefault="003C10EC" w:rsidP="003C10EC">
      <w:pPr>
        <w:rPr>
          <w:rFonts w:ascii="Arial" w:hAnsi="Arial" w:cs="Arial"/>
          <w:szCs w:val="22"/>
        </w:rPr>
      </w:pPr>
      <w:r w:rsidRPr="00CB093C">
        <w:rPr>
          <w:rFonts w:ascii="Arial" w:hAnsi="Arial" w:cs="Arial"/>
          <w:szCs w:val="22"/>
        </w:rPr>
        <w:t xml:space="preserve">This year inshore seagrass meadows across the </w:t>
      </w:r>
      <w:r w:rsidRPr="00CB093C">
        <w:rPr>
          <w:rFonts w:ascii="Arial" w:hAnsi="Arial" w:cs="Arial"/>
          <w:color w:val="000000" w:themeColor="text1"/>
          <w:szCs w:val="22"/>
        </w:rPr>
        <w:t xml:space="preserve">Reef </w:t>
      </w:r>
      <w:r w:rsidRPr="00CB093C">
        <w:rPr>
          <w:rFonts w:ascii="Arial" w:hAnsi="Arial" w:cs="Arial"/>
          <w:szCs w:val="22"/>
        </w:rPr>
        <w:t xml:space="preserve">declined in overall condition, </w:t>
      </w:r>
      <w:r w:rsidRPr="00CB093C">
        <w:rPr>
          <w:rFonts w:ascii="Arial" w:hAnsi="Arial" w:cs="Arial"/>
          <w:color w:val="000000" w:themeColor="text1"/>
          <w:szCs w:val="22"/>
        </w:rPr>
        <w:t xml:space="preserve">with the condition grade remaining </w:t>
      </w:r>
      <w:r w:rsidRPr="00CB093C">
        <w:rPr>
          <w:rFonts w:ascii="Arial" w:hAnsi="Arial" w:cs="Arial"/>
          <w:b/>
          <w:color w:val="000000" w:themeColor="text1"/>
          <w:szCs w:val="22"/>
        </w:rPr>
        <w:t>poor</w:t>
      </w:r>
      <w:r w:rsidRPr="00CB093C">
        <w:rPr>
          <w:rFonts w:ascii="Arial" w:hAnsi="Arial" w:cs="Arial"/>
          <w:szCs w:val="22"/>
        </w:rPr>
        <w:t xml:space="preserve">. Declines were primarily as a result of continued exposure to brown and green waters and the legacy of severe climate events in the previous year, which </w:t>
      </w:r>
      <w:r w:rsidR="00152F1D" w:rsidRPr="00CB093C">
        <w:rPr>
          <w:rFonts w:ascii="Arial" w:hAnsi="Arial" w:cs="Arial"/>
          <w:szCs w:val="22"/>
        </w:rPr>
        <w:t xml:space="preserve">has </w:t>
      </w:r>
      <w:r w:rsidRPr="00CB093C">
        <w:rPr>
          <w:rFonts w:ascii="Arial" w:hAnsi="Arial" w:cs="Arial"/>
          <w:szCs w:val="22"/>
        </w:rPr>
        <w:t>reduced resilience and increased their vulnerability to adverse environmental conditions in the near future.</w:t>
      </w:r>
    </w:p>
    <w:p w14:paraId="005F4CD5" w14:textId="66E72EEC" w:rsidR="00C26C71" w:rsidRPr="00CB093C" w:rsidRDefault="00250AD6" w:rsidP="00250AD6">
      <w:pPr>
        <w:autoSpaceDE w:val="0"/>
        <w:autoSpaceDN w:val="0"/>
        <w:adjustRightInd w:val="0"/>
        <w:rPr>
          <w:rFonts w:ascii="Arial" w:hAnsi="Arial" w:cs="Arial"/>
          <w:szCs w:val="22"/>
        </w:rPr>
      </w:pPr>
      <w:r w:rsidRPr="00CB093C">
        <w:rPr>
          <w:rFonts w:ascii="Arial" w:hAnsi="Arial" w:cs="Arial"/>
          <w:szCs w:val="22"/>
        </w:rPr>
        <w:t xml:space="preserve">In </w:t>
      </w:r>
      <w:r w:rsidR="003654C6">
        <w:rPr>
          <w:rFonts w:ascii="Arial" w:hAnsi="Arial" w:cs="Arial"/>
          <w:szCs w:val="22"/>
        </w:rPr>
        <w:t>2017–18</w:t>
      </w:r>
      <w:r w:rsidRPr="00CB093C">
        <w:rPr>
          <w:rFonts w:ascii="Arial" w:hAnsi="Arial" w:cs="Arial"/>
          <w:szCs w:val="22"/>
        </w:rPr>
        <w:t xml:space="preserve">, the inshore seagrass of the </w:t>
      </w:r>
      <w:r w:rsidR="003158FC" w:rsidRPr="00CB093C">
        <w:rPr>
          <w:rFonts w:ascii="Arial" w:hAnsi="Arial" w:cs="Arial"/>
          <w:szCs w:val="22"/>
        </w:rPr>
        <w:t>Reef</w:t>
      </w:r>
      <w:r w:rsidRPr="00CB093C">
        <w:rPr>
          <w:rFonts w:ascii="Arial" w:hAnsi="Arial" w:cs="Arial"/>
          <w:szCs w:val="22"/>
        </w:rPr>
        <w:t xml:space="preserve"> was </w:t>
      </w:r>
      <w:r w:rsidR="00F30B60" w:rsidRPr="00CB093C">
        <w:rPr>
          <w:rFonts w:ascii="Arial" w:hAnsi="Arial" w:cs="Arial"/>
          <w:szCs w:val="22"/>
        </w:rPr>
        <w:t>graded</w:t>
      </w:r>
      <w:r w:rsidRPr="00CB093C">
        <w:rPr>
          <w:rFonts w:ascii="Arial" w:hAnsi="Arial" w:cs="Arial"/>
          <w:szCs w:val="22"/>
        </w:rPr>
        <w:t xml:space="preserve"> in a </w:t>
      </w:r>
      <w:r w:rsidRPr="00CB093C">
        <w:rPr>
          <w:rFonts w:ascii="Arial" w:hAnsi="Arial" w:cs="Arial"/>
          <w:b/>
          <w:szCs w:val="22"/>
        </w:rPr>
        <w:t>poor</w:t>
      </w:r>
      <w:r w:rsidRPr="00CB093C">
        <w:rPr>
          <w:rFonts w:ascii="Arial" w:hAnsi="Arial" w:cs="Arial"/>
          <w:szCs w:val="22"/>
        </w:rPr>
        <w:t xml:space="preserve"> condition in </w:t>
      </w:r>
      <w:r w:rsidR="00F30B60" w:rsidRPr="00CB093C">
        <w:rPr>
          <w:rFonts w:ascii="Arial" w:hAnsi="Arial" w:cs="Arial"/>
          <w:szCs w:val="22"/>
        </w:rPr>
        <w:t>the majority of</w:t>
      </w:r>
      <w:r w:rsidRPr="00CB093C">
        <w:rPr>
          <w:rFonts w:ascii="Arial" w:hAnsi="Arial" w:cs="Arial"/>
          <w:szCs w:val="22"/>
        </w:rPr>
        <w:t xml:space="preserve"> NRM regions</w:t>
      </w:r>
      <w:r w:rsidR="00F30B60" w:rsidRPr="00CB093C">
        <w:rPr>
          <w:rFonts w:ascii="Arial" w:hAnsi="Arial" w:cs="Arial"/>
          <w:szCs w:val="22"/>
        </w:rPr>
        <w:t xml:space="preserve">; the exceptions </w:t>
      </w:r>
      <w:r w:rsidR="00C26C71" w:rsidRPr="00CB093C">
        <w:rPr>
          <w:rFonts w:ascii="Arial" w:hAnsi="Arial" w:cs="Arial"/>
          <w:szCs w:val="22"/>
        </w:rPr>
        <w:t xml:space="preserve">being </w:t>
      </w:r>
      <w:r w:rsidRPr="00CB093C">
        <w:rPr>
          <w:rFonts w:ascii="Arial" w:hAnsi="Arial" w:cs="Arial"/>
          <w:szCs w:val="22"/>
        </w:rPr>
        <w:t xml:space="preserve">the Burdekin region which was </w:t>
      </w:r>
      <w:r w:rsidR="00F30B60" w:rsidRPr="00CB093C">
        <w:rPr>
          <w:rFonts w:ascii="Arial" w:hAnsi="Arial" w:cs="Arial"/>
          <w:szCs w:val="22"/>
        </w:rPr>
        <w:t>graded</w:t>
      </w:r>
      <w:r w:rsidRPr="00CB093C">
        <w:rPr>
          <w:rFonts w:ascii="Arial" w:hAnsi="Arial" w:cs="Arial"/>
          <w:szCs w:val="22"/>
        </w:rPr>
        <w:t xml:space="preserve"> </w:t>
      </w:r>
      <w:r w:rsidRPr="00CB093C">
        <w:rPr>
          <w:rFonts w:ascii="Arial" w:hAnsi="Arial" w:cs="Arial"/>
          <w:b/>
          <w:szCs w:val="22"/>
        </w:rPr>
        <w:t>moderate</w:t>
      </w:r>
      <w:r w:rsidR="00F30B60" w:rsidRPr="00CB093C">
        <w:rPr>
          <w:rFonts w:ascii="Arial" w:hAnsi="Arial" w:cs="Arial"/>
          <w:b/>
          <w:szCs w:val="22"/>
        </w:rPr>
        <w:t xml:space="preserve"> </w:t>
      </w:r>
      <w:r w:rsidR="00F30B60" w:rsidRPr="00CB093C">
        <w:rPr>
          <w:rFonts w:ascii="Arial" w:hAnsi="Arial" w:cs="Arial"/>
          <w:szCs w:val="22"/>
        </w:rPr>
        <w:t xml:space="preserve">and the Burnett Mary graded as </w:t>
      </w:r>
      <w:r w:rsidR="00F30B60" w:rsidRPr="00CB093C">
        <w:rPr>
          <w:rFonts w:ascii="Arial" w:hAnsi="Arial" w:cs="Arial"/>
          <w:b/>
          <w:szCs w:val="22"/>
        </w:rPr>
        <w:t>very poor</w:t>
      </w:r>
      <w:r w:rsidRPr="00CB093C">
        <w:rPr>
          <w:rFonts w:ascii="Arial" w:hAnsi="Arial" w:cs="Arial"/>
          <w:szCs w:val="22"/>
        </w:rPr>
        <w:t xml:space="preserve">. </w:t>
      </w:r>
    </w:p>
    <w:p w14:paraId="125A8066" w14:textId="622F3EFD" w:rsidR="00C26C71" w:rsidRPr="00CB093C" w:rsidRDefault="00C26C71" w:rsidP="00250AD6">
      <w:pPr>
        <w:autoSpaceDE w:val="0"/>
        <w:autoSpaceDN w:val="0"/>
        <w:adjustRightInd w:val="0"/>
        <w:rPr>
          <w:rFonts w:ascii="Arial" w:hAnsi="Arial" w:cs="Arial"/>
          <w:szCs w:val="22"/>
        </w:rPr>
      </w:pPr>
      <w:r w:rsidRPr="00CB093C">
        <w:rPr>
          <w:rFonts w:ascii="Arial" w:hAnsi="Arial" w:cs="Arial"/>
          <w:szCs w:val="22"/>
        </w:rPr>
        <w:t>S</w:t>
      </w:r>
      <w:r w:rsidR="00EC56A0" w:rsidRPr="00CB093C">
        <w:rPr>
          <w:rFonts w:ascii="Arial" w:hAnsi="Arial" w:cs="Arial"/>
          <w:szCs w:val="22"/>
        </w:rPr>
        <w:t xml:space="preserve">eagrass condition in the </w:t>
      </w:r>
      <w:r w:rsidR="00250AD6" w:rsidRPr="00CB093C">
        <w:rPr>
          <w:rFonts w:ascii="Arial" w:hAnsi="Arial" w:cs="Arial"/>
          <w:szCs w:val="22"/>
        </w:rPr>
        <w:t>Fitzr</w:t>
      </w:r>
      <w:r w:rsidR="00EC56A0" w:rsidRPr="00CB093C">
        <w:rPr>
          <w:rFonts w:ascii="Arial" w:hAnsi="Arial" w:cs="Arial"/>
          <w:szCs w:val="22"/>
        </w:rPr>
        <w:t>oy and southern Wet Tropics has</w:t>
      </w:r>
      <w:r w:rsidR="00250AD6" w:rsidRPr="00CB093C">
        <w:rPr>
          <w:rFonts w:ascii="Arial" w:hAnsi="Arial" w:cs="Arial"/>
          <w:szCs w:val="22"/>
        </w:rPr>
        <w:t xml:space="preserve"> maintained low overall condition </w:t>
      </w:r>
      <w:r w:rsidR="00C13889" w:rsidRPr="00CB093C">
        <w:rPr>
          <w:rFonts w:ascii="Arial" w:hAnsi="Arial" w:cs="Arial"/>
          <w:szCs w:val="22"/>
        </w:rPr>
        <w:t xml:space="preserve">for </w:t>
      </w:r>
      <w:r w:rsidR="0038518E" w:rsidRPr="00CB093C">
        <w:rPr>
          <w:rFonts w:ascii="Arial" w:hAnsi="Arial" w:cs="Arial"/>
          <w:szCs w:val="22"/>
        </w:rPr>
        <w:t>seven years</w:t>
      </w:r>
      <w:r w:rsidR="00C13889" w:rsidRPr="00CB093C">
        <w:rPr>
          <w:rFonts w:ascii="Arial" w:hAnsi="Arial" w:cs="Arial"/>
          <w:szCs w:val="22"/>
        </w:rPr>
        <w:t xml:space="preserve"> </w:t>
      </w:r>
      <w:r w:rsidR="00250AD6" w:rsidRPr="00CB093C">
        <w:rPr>
          <w:rFonts w:ascii="Arial" w:hAnsi="Arial" w:cs="Arial"/>
          <w:szCs w:val="22"/>
        </w:rPr>
        <w:t>including abundance and reproduction</w:t>
      </w:r>
      <w:r w:rsidRPr="00CB093C">
        <w:rPr>
          <w:rFonts w:ascii="Arial" w:hAnsi="Arial" w:cs="Arial"/>
          <w:szCs w:val="22"/>
        </w:rPr>
        <w:t xml:space="preserve"> indicators</w:t>
      </w:r>
      <w:r w:rsidR="00EC56A0" w:rsidRPr="00CB093C">
        <w:rPr>
          <w:rFonts w:ascii="Arial" w:hAnsi="Arial" w:cs="Arial"/>
          <w:szCs w:val="22"/>
        </w:rPr>
        <w:t>. Seagrass in these regions</w:t>
      </w:r>
      <w:r w:rsidR="00250AD6" w:rsidRPr="00CB093C">
        <w:rPr>
          <w:rFonts w:ascii="Arial" w:hAnsi="Arial" w:cs="Arial"/>
          <w:szCs w:val="22"/>
        </w:rPr>
        <w:t xml:space="preserve"> </w:t>
      </w:r>
      <w:r w:rsidR="00EC56A0" w:rsidRPr="00CB093C">
        <w:rPr>
          <w:rFonts w:ascii="Arial" w:hAnsi="Arial" w:cs="Arial"/>
          <w:szCs w:val="22"/>
        </w:rPr>
        <w:t>continue to be</w:t>
      </w:r>
      <w:r w:rsidR="00250AD6" w:rsidRPr="00CB093C">
        <w:rPr>
          <w:rFonts w:ascii="Arial" w:hAnsi="Arial" w:cs="Arial"/>
          <w:szCs w:val="22"/>
        </w:rPr>
        <w:t xml:space="preserve"> highly vulnerable </w:t>
      </w:r>
      <w:r w:rsidR="00C34E54" w:rsidRPr="00CB093C">
        <w:rPr>
          <w:rFonts w:ascii="Arial" w:hAnsi="Arial" w:cs="Arial"/>
          <w:szCs w:val="22"/>
        </w:rPr>
        <w:t>in some habitats</w:t>
      </w:r>
      <w:r w:rsidR="00250AD6" w:rsidRPr="00CB093C">
        <w:rPr>
          <w:rFonts w:ascii="Arial" w:hAnsi="Arial" w:cs="Arial"/>
          <w:szCs w:val="22"/>
        </w:rPr>
        <w:t>.</w:t>
      </w:r>
      <w:r w:rsidR="00C34E54" w:rsidRPr="00CB093C">
        <w:rPr>
          <w:rFonts w:ascii="Arial" w:hAnsi="Arial" w:cs="Arial"/>
          <w:szCs w:val="22"/>
        </w:rPr>
        <w:t xml:space="preserve"> </w:t>
      </w:r>
    </w:p>
    <w:p w14:paraId="2EAEBF69" w14:textId="006F7CE5" w:rsidR="00D71261" w:rsidRPr="00CB093C" w:rsidRDefault="00D71261" w:rsidP="00D71261">
      <w:pPr>
        <w:autoSpaceDE w:val="0"/>
        <w:autoSpaceDN w:val="0"/>
        <w:adjustRightInd w:val="0"/>
        <w:rPr>
          <w:rFonts w:ascii="Arial" w:hAnsi="Arial" w:cs="Arial"/>
          <w:szCs w:val="22"/>
        </w:rPr>
      </w:pPr>
      <w:r w:rsidRPr="00CB093C">
        <w:rPr>
          <w:rFonts w:ascii="Arial" w:hAnsi="Arial" w:cs="Arial"/>
          <w:szCs w:val="22"/>
        </w:rPr>
        <w:t xml:space="preserve">The </w:t>
      </w:r>
      <w:r w:rsidR="003158FC" w:rsidRPr="00CB093C">
        <w:rPr>
          <w:rFonts w:ascii="Arial" w:hAnsi="Arial" w:cs="Arial"/>
          <w:szCs w:val="22"/>
        </w:rPr>
        <w:t>Reef</w:t>
      </w:r>
      <w:r w:rsidRPr="00CB093C">
        <w:rPr>
          <w:rFonts w:ascii="Arial" w:hAnsi="Arial" w:cs="Arial"/>
          <w:szCs w:val="22"/>
        </w:rPr>
        <w:t xml:space="preserve"> occurs in a climate belt where variable rainfall patterns and cyclones, and increasingly in recent years </w:t>
      </w:r>
      <w:r w:rsidR="003158FC" w:rsidRPr="00CB093C">
        <w:rPr>
          <w:rFonts w:ascii="Arial" w:hAnsi="Arial" w:cs="Arial"/>
          <w:szCs w:val="22"/>
        </w:rPr>
        <w:t>—</w:t>
      </w:r>
      <w:r w:rsidRPr="00CB093C">
        <w:rPr>
          <w:rFonts w:ascii="Arial" w:hAnsi="Arial" w:cs="Arial"/>
          <w:szCs w:val="22"/>
        </w:rPr>
        <w:t xml:space="preserve"> marine heatwaves </w:t>
      </w:r>
      <w:r w:rsidR="003158FC" w:rsidRPr="00CB093C">
        <w:rPr>
          <w:rFonts w:ascii="Arial" w:hAnsi="Arial" w:cs="Arial"/>
          <w:szCs w:val="22"/>
        </w:rPr>
        <w:t>—</w:t>
      </w:r>
      <w:r w:rsidRPr="00CB093C">
        <w:rPr>
          <w:rFonts w:ascii="Arial" w:hAnsi="Arial" w:cs="Arial"/>
          <w:szCs w:val="22"/>
        </w:rPr>
        <w:t xml:space="preserve"> creates frequent disturbances moving up and down the 2,300 kilometre coastline creating complex and varied environmental conditions. </w:t>
      </w:r>
    </w:p>
    <w:p w14:paraId="110D9D86" w14:textId="6E892F3A" w:rsidR="00D71261" w:rsidRPr="00CB093C" w:rsidRDefault="00D71261" w:rsidP="00D71261">
      <w:pPr>
        <w:autoSpaceDE w:val="0"/>
        <w:autoSpaceDN w:val="0"/>
        <w:adjustRightInd w:val="0"/>
        <w:rPr>
          <w:rFonts w:ascii="Arial" w:hAnsi="Arial" w:cs="Arial"/>
          <w:szCs w:val="22"/>
        </w:rPr>
      </w:pPr>
      <w:r w:rsidRPr="00CB093C">
        <w:rPr>
          <w:rFonts w:ascii="Arial" w:hAnsi="Arial" w:cs="Arial"/>
          <w:szCs w:val="22"/>
        </w:rPr>
        <w:t xml:space="preserve">Climatic conditions across the Reef are highly seasonal and highly variable from year to year, and in 2017-18 were near the long-term average. The rainfall and river discharge across all basins of the </w:t>
      </w:r>
      <w:r w:rsidR="003158FC" w:rsidRPr="00CB093C">
        <w:rPr>
          <w:rFonts w:ascii="Arial" w:hAnsi="Arial" w:cs="Arial"/>
          <w:szCs w:val="22"/>
        </w:rPr>
        <w:t>Reef</w:t>
      </w:r>
      <w:r w:rsidRPr="00CB093C">
        <w:rPr>
          <w:rFonts w:ascii="Arial" w:hAnsi="Arial" w:cs="Arial"/>
          <w:szCs w:val="22"/>
        </w:rPr>
        <w:t xml:space="preserve"> during the </w:t>
      </w:r>
      <w:r w:rsidR="003654C6">
        <w:rPr>
          <w:rFonts w:ascii="Arial" w:hAnsi="Arial" w:cs="Arial"/>
          <w:szCs w:val="22"/>
        </w:rPr>
        <w:t>2017–18</w:t>
      </w:r>
      <w:r w:rsidRPr="00CB093C">
        <w:rPr>
          <w:rFonts w:ascii="Arial" w:hAnsi="Arial" w:cs="Arial"/>
          <w:szCs w:val="22"/>
        </w:rPr>
        <w:t xml:space="preserve"> wet season was close to the long-term median, with the greatest differences of below median discharges in the </w:t>
      </w:r>
      <w:r w:rsidR="00637325">
        <w:rPr>
          <w:rFonts w:ascii="Arial" w:hAnsi="Arial" w:cs="Arial"/>
          <w:szCs w:val="22"/>
        </w:rPr>
        <w:t>Mackay-Whitsunday</w:t>
      </w:r>
      <w:r w:rsidRPr="00CB093C">
        <w:rPr>
          <w:rFonts w:ascii="Arial" w:hAnsi="Arial" w:cs="Arial"/>
          <w:szCs w:val="22"/>
        </w:rPr>
        <w:t xml:space="preserve"> and Fitzroy regions. The only regions with above median discharges were in southern Wet Tropics and Burnett Mary. </w:t>
      </w:r>
    </w:p>
    <w:p w14:paraId="2EC6AF01" w14:textId="79BD03EC" w:rsidR="00A63AA4" w:rsidRPr="00CB093C" w:rsidRDefault="00D71261" w:rsidP="00A63AA4">
      <w:pPr>
        <w:autoSpaceDE w:val="0"/>
        <w:autoSpaceDN w:val="0"/>
        <w:adjustRightInd w:val="0"/>
        <w:rPr>
          <w:rFonts w:ascii="Arial" w:hAnsi="Arial" w:cs="Arial"/>
          <w:szCs w:val="22"/>
        </w:rPr>
      </w:pPr>
      <w:r w:rsidRPr="00CB093C">
        <w:rPr>
          <w:rFonts w:ascii="Arial" w:hAnsi="Arial" w:cs="Arial"/>
          <w:szCs w:val="22"/>
        </w:rPr>
        <w:t xml:space="preserve">Although no </w:t>
      </w:r>
      <w:r w:rsidRPr="00CB093C">
        <w:rPr>
          <w:rFonts w:ascii="Arial" w:hAnsi="Arial" w:cs="Arial"/>
          <w:szCs w:val="22"/>
          <w:lang w:val="en-US"/>
        </w:rPr>
        <w:t xml:space="preserve">cyclones crossed the inshore areas of the </w:t>
      </w:r>
      <w:r w:rsidR="003158FC" w:rsidRPr="00CB093C">
        <w:rPr>
          <w:rFonts w:ascii="Arial" w:hAnsi="Arial" w:cs="Arial"/>
          <w:szCs w:val="22"/>
          <w:lang w:val="en-US"/>
        </w:rPr>
        <w:t>Reef</w:t>
      </w:r>
      <w:r w:rsidRPr="00CB093C">
        <w:rPr>
          <w:rFonts w:ascii="Arial" w:hAnsi="Arial" w:cs="Arial"/>
          <w:szCs w:val="22"/>
          <w:lang w:val="en-US"/>
        </w:rPr>
        <w:t xml:space="preserve"> in </w:t>
      </w:r>
      <w:r w:rsidR="003654C6">
        <w:rPr>
          <w:rFonts w:ascii="Arial" w:hAnsi="Arial" w:cs="Arial"/>
          <w:szCs w:val="22"/>
          <w:lang w:val="en-US"/>
        </w:rPr>
        <w:t>2017–18</w:t>
      </w:r>
      <w:r w:rsidRPr="00CB093C">
        <w:rPr>
          <w:rFonts w:ascii="Arial" w:hAnsi="Arial" w:cs="Arial"/>
          <w:szCs w:val="22"/>
          <w:lang w:val="en-US"/>
        </w:rPr>
        <w:t>, there were</w:t>
      </w:r>
      <w:r w:rsidRPr="00CB093C">
        <w:rPr>
          <w:rFonts w:ascii="Arial" w:hAnsi="Arial" w:cs="Arial"/>
          <w:szCs w:val="22"/>
        </w:rPr>
        <w:t xml:space="preserve"> above average winds, which may have exacerbated inshore turbidity, particularly in far northern and central regions.</w:t>
      </w:r>
      <w:r w:rsidR="00A63AA4" w:rsidRPr="00CB093C">
        <w:rPr>
          <w:rFonts w:ascii="Arial" w:hAnsi="Arial" w:cs="Arial"/>
          <w:szCs w:val="22"/>
        </w:rPr>
        <w:t xml:space="preserve"> </w:t>
      </w:r>
      <w:r w:rsidR="00A63AA4" w:rsidRPr="00CB093C">
        <w:rPr>
          <w:rFonts w:ascii="Arial" w:hAnsi="Arial" w:cs="Arial"/>
          <w:szCs w:val="22"/>
          <w:lang w:val="en-GB"/>
        </w:rPr>
        <w:t>T</w:t>
      </w:r>
      <w:r w:rsidR="00A63AA4" w:rsidRPr="00CB093C">
        <w:rPr>
          <w:rFonts w:ascii="Arial" w:hAnsi="Arial" w:cs="Arial"/>
          <w:szCs w:val="22"/>
        </w:rPr>
        <w:t>he most significant environmental conditions affecting inshore seagrasses</w:t>
      </w:r>
      <w:r w:rsidR="00A63AA4" w:rsidRPr="00CB093C">
        <w:rPr>
          <w:rFonts w:ascii="Arial" w:hAnsi="Arial" w:cs="Arial"/>
          <w:szCs w:val="22"/>
          <w:lang w:val="en-GB"/>
        </w:rPr>
        <w:t xml:space="preserve"> in </w:t>
      </w:r>
      <w:r w:rsidR="003654C6">
        <w:rPr>
          <w:rFonts w:ascii="Arial" w:hAnsi="Arial" w:cs="Arial"/>
          <w:szCs w:val="22"/>
          <w:lang w:val="en-GB"/>
        </w:rPr>
        <w:t>2017–18</w:t>
      </w:r>
      <w:r w:rsidR="00A63AA4" w:rsidRPr="00CB093C">
        <w:rPr>
          <w:rFonts w:ascii="Arial" w:hAnsi="Arial" w:cs="Arial"/>
          <w:szCs w:val="22"/>
        </w:rPr>
        <w:t xml:space="preserve"> were lower benthic light availability across nearly half the meadows monitored</w:t>
      </w:r>
      <w:r w:rsidR="00A63AA4" w:rsidRPr="00CB093C">
        <w:rPr>
          <w:rFonts w:ascii="Arial" w:hAnsi="Arial" w:cs="Arial"/>
          <w:szCs w:val="22"/>
          <w:lang w:val="en-GB"/>
        </w:rPr>
        <w:t xml:space="preserve">, coupled with </w:t>
      </w:r>
      <w:r w:rsidR="00A63AA4" w:rsidRPr="00CB093C">
        <w:rPr>
          <w:rFonts w:ascii="Arial" w:hAnsi="Arial" w:cs="Arial"/>
          <w:szCs w:val="22"/>
        </w:rPr>
        <w:t>above average</w:t>
      </w:r>
      <w:r w:rsidR="00A63AA4" w:rsidRPr="00CB093C">
        <w:rPr>
          <w:rFonts w:ascii="Arial" w:hAnsi="Arial" w:cs="Arial"/>
          <w:szCs w:val="22"/>
          <w:lang w:val="en-GB"/>
        </w:rPr>
        <w:t xml:space="preserve"> water temperatures</w:t>
      </w:r>
      <w:r w:rsidR="009D104D" w:rsidRPr="00CB093C">
        <w:rPr>
          <w:rFonts w:ascii="Arial" w:hAnsi="Arial" w:cs="Arial"/>
          <w:szCs w:val="22"/>
          <w:lang w:val="en-GB"/>
        </w:rPr>
        <w:t xml:space="preserve"> in the southern regions </w:t>
      </w:r>
      <w:r w:rsidR="00A63AA4" w:rsidRPr="00CB093C">
        <w:rPr>
          <w:rFonts w:ascii="Arial" w:hAnsi="Arial" w:cs="Arial"/>
          <w:szCs w:val="22"/>
          <w:lang w:val="en-GB"/>
        </w:rPr>
        <w:t xml:space="preserve"> for the </w:t>
      </w:r>
      <w:r w:rsidR="00A63AA4" w:rsidRPr="00CB093C">
        <w:rPr>
          <w:rFonts w:ascii="Arial" w:hAnsi="Arial" w:cs="Arial"/>
          <w:szCs w:val="22"/>
        </w:rPr>
        <w:t xml:space="preserve">the fifth consecutive year. </w:t>
      </w:r>
    </w:p>
    <w:p w14:paraId="65E32D1C" w14:textId="08B8BB25" w:rsidR="00D71261" w:rsidRPr="00CB093C" w:rsidRDefault="00D71261" w:rsidP="00D71261">
      <w:pPr>
        <w:rPr>
          <w:rFonts w:ascii="Arial" w:hAnsi="Arial" w:cs="Arial"/>
          <w:szCs w:val="22"/>
          <w:lang w:val="en-GB"/>
        </w:rPr>
      </w:pPr>
      <w:r w:rsidRPr="00CB093C">
        <w:rPr>
          <w:rFonts w:ascii="Arial" w:hAnsi="Arial" w:cs="Arial"/>
          <w:szCs w:val="22"/>
        </w:rPr>
        <w:t xml:space="preserve">Inshore seagrass condition </w:t>
      </w:r>
      <w:r w:rsidRPr="00CB093C">
        <w:rPr>
          <w:rFonts w:ascii="Arial" w:hAnsi="Arial" w:cs="Arial"/>
          <w:color w:val="000000" w:themeColor="text1"/>
          <w:szCs w:val="22"/>
        </w:rPr>
        <w:t xml:space="preserve">in </w:t>
      </w:r>
      <w:r w:rsidR="003654C6">
        <w:rPr>
          <w:rFonts w:ascii="Arial" w:hAnsi="Arial" w:cs="Arial"/>
          <w:color w:val="000000" w:themeColor="text1"/>
          <w:szCs w:val="22"/>
        </w:rPr>
        <w:t>2017–18</w:t>
      </w:r>
      <w:r w:rsidRPr="00CB093C">
        <w:rPr>
          <w:rFonts w:ascii="Arial" w:hAnsi="Arial" w:cs="Arial"/>
          <w:color w:val="000000" w:themeColor="text1"/>
          <w:szCs w:val="22"/>
        </w:rPr>
        <w:t xml:space="preserve"> </w:t>
      </w:r>
      <w:r w:rsidR="00152F1D" w:rsidRPr="00CB093C">
        <w:rPr>
          <w:rFonts w:ascii="Arial" w:hAnsi="Arial" w:cs="Arial"/>
          <w:color w:val="000000" w:themeColor="text1"/>
          <w:szCs w:val="22"/>
        </w:rPr>
        <w:t xml:space="preserve">appears to have </w:t>
      </w:r>
      <w:r w:rsidRPr="00CB093C">
        <w:rPr>
          <w:rFonts w:ascii="Arial" w:hAnsi="Arial" w:cs="Arial"/>
          <w:szCs w:val="22"/>
        </w:rPr>
        <w:t xml:space="preserve">declined as a result of exposure to brown and green waters reducing light required for growth, the legacy of severe climate events in the previous year (e.g. consequence of cyclone Debbie and associated flooding), coupled with elevated temperatures. </w:t>
      </w:r>
    </w:p>
    <w:p w14:paraId="273726BF" w14:textId="74D233BE" w:rsidR="0038518E" w:rsidRPr="00CB093C" w:rsidRDefault="00D71261" w:rsidP="00250AD6">
      <w:pPr>
        <w:autoSpaceDE w:val="0"/>
        <w:autoSpaceDN w:val="0"/>
        <w:adjustRightInd w:val="0"/>
        <w:rPr>
          <w:rFonts w:ascii="Arial" w:hAnsi="Arial" w:cs="Arial"/>
          <w:szCs w:val="22"/>
        </w:rPr>
      </w:pPr>
      <w:r w:rsidRPr="00CB093C">
        <w:rPr>
          <w:rFonts w:ascii="Arial" w:hAnsi="Arial" w:cs="Arial"/>
          <w:szCs w:val="22"/>
        </w:rPr>
        <w:t xml:space="preserve">Tropical seagrasses of the Reef are a mosaic of different habitat types with multiple seagrass species assemblages. </w:t>
      </w:r>
      <w:r w:rsidR="00250AD6" w:rsidRPr="00CB093C">
        <w:rPr>
          <w:rFonts w:ascii="Arial" w:hAnsi="Arial" w:cs="Arial"/>
          <w:szCs w:val="22"/>
        </w:rPr>
        <w:t xml:space="preserve">At a habitat level, </w:t>
      </w:r>
      <w:r w:rsidR="00523A8A" w:rsidRPr="00CB093C">
        <w:rPr>
          <w:rFonts w:ascii="Arial" w:hAnsi="Arial" w:cs="Arial"/>
          <w:szCs w:val="22"/>
        </w:rPr>
        <w:t>those</w:t>
      </w:r>
      <w:r w:rsidR="00250AD6" w:rsidRPr="00CB093C">
        <w:rPr>
          <w:rFonts w:ascii="Arial" w:hAnsi="Arial" w:cs="Arial"/>
          <w:szCs w:val="22"/>
        </w:rPr>
        <w:t xml:space="preserve"> in poorest condition were reef habitats: intertidal </w:t>
      </w:r>
      <w:r w:rsidR="0034784B" w:rsidRPr="00CB093C">
        <w:rPr>
          <w:rFonts w:ascii="Arial" w:hAnsi="Arial" w:cs="Arial"/>
          <w:szCs w:val="22"/>
        </w:rPr>
        <w:t xml:space="preserve">and subtidal </w:t>
      </w:r>
      <w:r w:rsidR="00AB6A10" w:rsidRPr="00CB093C">
        <w:rPr>
          <w:rFonts w:ascii="Arial" w:hAnsi="Arial" w:cs="Arial"/>
          <w:szCs w:val="22"/>
        </w:rPr>
        <w:t xml:space="preserve">reef </w:t>
      </w:r>
      <w:r w:rsidR="00250AD6" w:rsidRPr="00CB093C">
        <w:rPr>
          <w:rFonts w:ascii="Arial" w:hAnsi="Arial" w:cs="Arial"/>
          <w:szCs w:val="22"/>
        </w:rPr>
        <w:t xml:space="preserve">habitats </w:t>
      </w:r>
      <w:r w:rsidR="00C26C71" w:rsidRPr="00CB093C">
        <w:rPr>
          <w:rFonts w:ascii="Arial" w:hAnsi="Arial" w:cs="Arial"/>
          <w:szCs w:val="22"/>
        </w:rPr>
        <w:t xml:space="preserve">which </w:t>
      </w:r>
      <w:r w:rsidR="00250AD6" w:rsidRPr="00CB093C">
        <w:rPr>
          <w:rFonts w:ascii="Arial" w:hAnsi="Arial" w:cs="Arial"/>
          <w:szCs w:val="22"/>
        </w:rPr>
        <w:t xml:space="preserve">have consistently had very poor reproductive effort and low </w:t>
      </w:r>
      <w:r w:rsidR="0034784B" w:rsidRPr="00CB093C">
        <w:rPr>
          <w:rFonts w:ascii="Arial" w:hAnsi="Arial" w:cs="Arial"/>
          <w:szCs w:val="22"/>
        </w:rPr>
        <w:t xml:space="preserve">or no </w:t>
      </w:r>
      <w:r w:rsidR="00250AD6" w:rsidRPr="00CB093C">
        <w:rPr>
          <w:rFonts w:ascii="Arial" w:hAnsi="Arial" w:cs="Arial"/>
          <w:szCs w:val="22"/>
        </w:rPr>
        <w:t xml:space="preserve">seeds in the seed banks, while the subtidal </w:t>
      </w:r>
      <w:r w:rsidR="00AB6A10" w:rsidRPr="00CB093C">
        <w:rPr>
          <w:rFonts w:ascii="Arial" w:hAnsi="Arial" w:cs="Arial"/>
          <w:szCs w:val="22"/>
        </w:rPr>
        <w:t xml:space="preserve">reef </w:t>
      </w:r>
      <w:r w:rsidR="00250AD6" w:rsidRPr="00CB093C">
        <w:rPr>
          <w:rFonts w:ascii="Arial" w:hAnsi="Arial" w:cs="Arial"/>
          <w:szCs w:val="22"/>
        </w:rPr>
        <w:t xml:space="preserve">habitats have shown </w:t>
      </w:r>
      <w:r w:rsidR="0038518E" w:rsidRPr="00CB093C">
        <w:rPr>
          <w:rFonts w:ascii="Arial" w:hAnsi="Arial" w:cs="Arial"/>
          <w:szCs w:val="22"/>
        </w:rPr>
        <w:t xml:space="preserve">variable or </w:t>
      </w:r>
      <w:r w:rsidR="00250AD6" w:rsidRPr="00CB093C">
        <w:rPr>
          <w:rFonts w:ascii="Arial" w:hAnsi="Arial" w:cs="Arial"/>
          <w:szCs w:val="22"/>
        </w:rPr>
        <w:t>little sign of recovery in abundance following 2011.</w:t>
      </w:r>
    </w:p>
    <w:p w14:paraId="70B669F5" w14:textId="77777777" w:rsidR="00FD7498" w:rsidRPr="00CB093C" w:rsidRDefault="00FD7498" w:rsidP="00523A8A">
      <w:pPr>
        <w:autoSpaceDE w:val="0"/>
        <w:autoSpaceDN w:val="0"/>
        <w:adjustRightInd w:val="0"/>
        <w:rPr>
          <w:rFonts w:ascii="Arial" w:hAnsi="Arial" w:cs="Arial"/>
          <w:i/>
          <w:szCs w:val="22"/>
        </w:rPr>
      </w:pPr>
      <w:r w:rsidRPr="00CB093C">
        <w:rPr>
          <w:rFonts w:ascii="Arial" w:hAnsi="Arial" w:cs="Arial"/>
          <w:i/>
          <w:szCs w:val="22"/>
        </w:rPr>
        <w:t>Trends</w:t>
      </w:r>
    </w:p>
    <w:p w14:paraId="568FABCD" w14:textId="12A20B9D" w:rsidR="00523A8A" w:rsidRPr="00CB093C" w:rsidRDefault="00523A8A" w:rsidP="00523A8A">
      <w:pPr>
        <w:autoSpaceDE w:val="0"/>
        <w:autoSpaceDN w:val="0"/>
        <w:adjustRightInd w:val="0"/>
        <w:rPr>
          <w:rFonts w:ascii="Arial" w:hAnsi="Arial" w:cs="Arial"/>
          <w:szCs w:val="22"/>
        </w:rPr>
      </w:pPr>
      <w:r w:rsidRPr="00CB093C">
        <w:rPr>
          <w:rFonts w:ascii="Arial" w:hAnsi="Arial" w:cs="Arial"/>
          <w:szCs w:val="22"/>
        </w:rPr>
        <w:t xml:space="preserve">Seagrass meadows </w:t>
      </w:r>
      <w:r w:rsidR="00D45F8F" w:rsidRPr="00CB093C">
        <w:rPr>
          <w:rFonts w:ascii="Arial" w:hAnsi="Arial" w:cs="Arial"/>
          <w:szCs w:val="22"/>
        </w:rPr>
        <w:t xml:space="preserve">of the Reef </w:t>
      </w:r>
      <w:r w:rsidRPr="00CB093C">
        <w:rPr>
          <w:rFonts w:ascii="Arial" w:hAnsi="Arial" w:cs="Arial"/>
          <w:szCs w:val="22"/>
        </w:rPr>
        <w:t xml:space="preserve">are dynamic, with large changes in abundance being seemingly typical (e.g. </w:t>
      </w:r>
      <w:r w:rsidRPr="00CB093C">
        <w:rPr>
          <w:rFonts w:ascii="Arial" w:hAnsi="Arial" w:cs="Arial"/>
          <w:szCs w:val="22"/>
        </w:rPr>
        <w:fldChar w:fldCharType="begin">
          <w:fldData xml:space="preserve">PEVuZE5vdGU+PENpdGU+PEF1dGhvcj5CaXJjaDwvQXV0aG9yPjxZZWFyPjE5ODQ8L1llYXI+PFJl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</w:fldData>
        </w:fldChar>
      </w:r>
      <w:r w:rsidRPr="00CB093C">
        <w:rPr>
          <w:rFonts w:ascii="Arial" w:hAnsi="Arial" w:cs="Arial"/>
          <w:szCs w:val="22"/>
        </w:rPr>
        <w:instrText xml:space="preserve"> ADDIN EN.CITE </w:instrText>
      </w:r>
      <w:r w:rsidRPr="00CB093C">
        <w:rPr>
          <w:rFonts w:ascii="Arial" w:hAnsi="Arial" w:cs="Arial"/>
          <w:szCs w:val="22"/>
        </w:rPr>
        <w:fldChar w:fldCharType="begin">
          <w:fldData xml:space="preserve">PEVuZE5vdGU+PENpdGU+PEF1dGhvcj5CaXJjaDwvQXV0aG9yPjxZZWFyPjE5ODQ8L1llYXI+PFJl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</w:fldData>
        </w:fldChar>
      </w:r>
      <w:r w:rsidRPr="00CB093C">
        <w:rPr>
          <w:rFonts w:ascii="Arial" w:hAnsi="Arial" w:cs="Arial"/>
          <w:szCs w:val="22"/>
        </w:rPr>
        <w:instrText xml:space="preserve"> ADDIN EN.CITE.DATA </w:instrText>
      </w:r>
      <w:r w:rsidRPr="00CB093C">
        <w:rPr>
          <w:rFonts w:ascii="Arial" w:hAnsi="Arial" w:cs="Arial"/>
          <w:szCs w:val="22"/>
        </w:rPr>
      </w:r>
      <w:r w:rsidRPr="00CB093C">
        <w:rPr>
          <w:rFonts w:ascii="Arial" w:hAnsi="Arial" w:cs="Arial"/>
          <w:szCs w:val="22"/>
        </w:rPr>
        <w:fldChar w:fldCharType="end"/>
      </w:r>
      <w:r w:rsidRPr="00CB093C">
        <w:rPr>
          <w:rFonts w:ascii="Arial" w:hAnsi="Arial" w:cs="Arial"/>
          <w:szCs w:val="22"/>
        </w:rPr>
      </w:r>
      <w:r w:rsidRPr="00CB093C">
        <w:rPr>
          <w:rFonts w:ascii="Arial" w:hAnsi="Arial" w:cs="Arial"/>
          <w:szCs w:val="22"/>
        </w:rPr>
        <w:fldChar w:fldCharType="separate"/>
      </w:r>
      <w:hyperlink w:anchor="_ENREF_10" w:tooltip="Birch, 1984 #177" w:history="1">
        <w:r w:rsidR="00513C39" w:rsidRPr="00CB093C">
          <w:rPr>
            <w:rFonts w:ascii="Arial" w:hAnsi="Arial" w:cs="Arial"/>
            <w:noProof/>
            <w:szCs w:val="22"/>
          </w:rPr>
          <w:t>Birch and Birch 1984</w:t>
        </w:r>
      </w:hyperlink>
      <w:r w:rsidRPr="00CB093C">
        <w:rPr>
          <w:rFonts w:ascii="Arial" w:hAnsi="Arial" w:cs="Arial"/>
          <w:noProof/>
          <w:szCs w:val="22"/>
        </w:rPr>
        <w:t xml:space="preserve">; </w:t>
      </w:r>
      <w:hyperlink w:anchor="_ENREF_126" w:tooltip="Preen, 1995 #950" w:history="1">
        <w:r w:rsidR="00513C39" w:rsidRPr="00CB093C">
          <w:rPr>
            <w:rFonts w:ascii="Arial" w:hAnsi="Arial" w:cs="Arial"/>
            <w:noProof/>
            <w:szCs w:val="22"/>
          </w:rPr>
          <w:t>Preen</w:t>
        </w:r>
        <w:r w:rsidR="00513C39" w:rsidRPr="00CB093C">
          <w:rPr>
            <w:rFonts w:ascii="Arial" w:hAnsi="Arial" w:cs="Arial"/>
            <w:i/>
            <w:noProof/>
            <w:szCs w:val="22"/>
          </w:rPr>
          <w:t xml:space="preserve"> et al.</w:t>
        </w:r>
        <w:r w:rsidR="00513C39" w:rsidRPr="00CB093C">
          <w:rPr>
            <w:rFonts w:ascii="Arial" w:hAnsi="Arial" w:cs="Arial"/>
            <w:noProof/>
            <w:szCs w:val="22"/>
          </w:rPr>
          <w:t xml:space="preserve"> 1995</w:t>
        </w:r>
      </w:hyperlink>
      <w:r w:rsidRPr="00CB093C">
        <w:rPr>
          <w:rFonts w:ascii="Arial" w:hAnsi="Arial" w:cs="Arial"/>
          <w:noProof/>
          <w:szCs w:val="22"/>
        </w:rPr>
        <w:t xml:space="preserve">; </w:t>
      </w:r>
      <w:hyperlink w:anchor="_ENREF_18" w:tooltip="Campbell, 2004 #2838" w:history="1">
        <w:r w:rsidR="00513C39" w:rsidRPr="00CB093C">
          <w:rPr>
            <w:rFonts w:ascii="Arial" w:hAnsi="Arial" w:cs="Arial"/>
            <w:noProof/>
            <w:szCs w:val="22"/>
          </w:rPr>
          <w:t>Campbell and McKenzie 2004</w:t>
        </w:r>
      </w:hyperlink>
      <w:r w:rsidRPr="00CB093C">
        <w:rPr>
          <w:rFonts w:ascii="Arial" w:hAnsi="Arial" w:cs="Arial"/>
          <w:noProof/>
          <w:szCs w:val="22"/>
        </w:rPr>
        <w:t xml:space="preserve">; </w:t>
      </w:r>
      <w:hyperlink w:anchor="_ENREF_150" w:tooltip="Waycott, 2007 #9133" w:history="1">
        <w:r w:rsidR="00513C39" w:rsidRPr="00CB093C">
          <w:rPr>
            <w:rFonts w:ascii="Arial" w:hAnsi="Arial" w:cs="Arial"/>
            <w:noProof/>
            <w:szCs w:val="22"/>
          </w:rPr>
          <w:t>Waycott</w:t>
        </w:r>
        <w:r w:rsidR="00513C39" w:rsidRPr="00CB093C">
          <w:rPr>
            <w:rFonts w:ascii="Arial" w:hAnsi="Arial" w:cs="Arial"/>
            <w:i/>
            <w:noProof/>
            <w:szCs w:val="22"/>
          </w:rPr>
          <w:t xml:space="preserve"> et al.</w:t>
        </w:r>
        <w:r w:rsidR="00513C39" w:rsidRPr="00CB093C">
          <w:rPr>
            <w:rFonts w:ascii="Arial" w:hAnsi="Arial" w:cs="Arial"/>
            <w:noProof/>
            <w:szCs w:val="22"/>
          </w:rPr>
          <w:t xml:space="preserve"> 2007</w:t>
        </w:r>
      </w:hyperlink>
      <w:r w:rsidRPr="00CB093C">
        <w:rPr>
          <w:rFonts w:ascii="Arial" w:hAnsi="Arial" w:cs="Arial"/>
          <w:szCs w:val="22"/>
        </w:rPr>
        <w:fldChar w:fldCharType="end"/>
      </w:r>
      <w:r w:rsidRPr="00CB093C">
        <w:rPr>
          <w:rFonts w:ascii="Arial" w:hAnsi="Arial" w:cs="Arial"/>
          <w:szCs w:val="22"/>
        </w:rPr>
        <w:t>), but the timing and mechanisms that cause their dynamism (i.e. declines and su</w:t>
      </w:r>
      <w:r w:rsidR="00D45F8F" w:rsidRPr="00CB093C">
        <w:rPr>
          <w:rFonts w:ascii="Arial" w:hAnsi="Arial" w:cs="Arial"/>
          <w:szCs w:val="22"/>
        </w:rPr>
        <w:t>bsequent recovery) are complex.</w:t>
      </w:r>
    </w:p>
    <w:p w14:paraId="455BE716" w14:textId="25B0F932" w:rsidR="00C26C71" w:rsidRPr="00CB093C" w:rsidRDefault="00250AD6" w:rsidP="00250AD6">
      <w:pPr>
        <w:autoSpaceDE w:val="0"/>
        <w:autoSpaceDN w:val="0"/>
        <w:adjustRightInd w:val="0"/>
        <w:rPr>
          <w:rFonts w:ascii="Arial" w:hAnsi="Arial" w:cs="Arial"/>
          <w:szCs w:val="22"/>
        </w:rPr>
      </w:pPr>
      <w:r w:rsidRPr="00CB093C">
        <w:rPr>
          <w:rFonts w:ascii="Arial" w:hAnsi="Arial" w:cs="Arial"/>
          <w:szCs w:val="22"/>
        </w:rPr>
        <w:t xml:space="preserve">Declines in seagrass abundance occurring in 2006 and then from 2009 to 2012 (from Cooktown south) abated in late 2012 and seagrass </w:t>
      </w:r>
      <w:r w:rsidR="00523A8A" w:rsidRPr="00CB093C">
        <w:rPr>
          <w:rFonts w:ascii="Arial" w:hAnsi="Arial" w:cs="Arial"/>
          <w:szCs w:val="22"/>
        </w:rPr>
        <w:t>condition</w:t>
      </w:r>
      <w:r w:rsidRPr="00CB093C">
        <w:rPr>
          <w:rFonts w:ascii="Arial" w:hAnsi="Arial" w:cs="Arial"/>
          <w:szCs w:val="22"/>
        </w:rPr>
        <w:t xml:space="preserve"> </w:t>
      </w:r>
      <w:r w:rsidR="00883A72" w:rsidRPr="00CB093C">
        <w:rPr>
          <w:rFonts w:ascii="Arial" w:hAnsi="Arial" w:cs="Arial"/>
          <w:szCs w:val="22"/>
        </w:rPr>
        <w:t xml:space="preserve">although </w:t>
      </w:r>
      <w:r w:rsidR="00C26C71" w:rsidRPr="00CB093C">
        <w:rPr>
          <w:rFonts w:ascii="Arial" w:hAnsi="Arial" w:cs="Arial"/>
          <w:szCs w:val="22"/>
        </w:rPr>
        <w:t xml:space="preserve">remaining </w:t>
      </w:r>
      <w:r w:rsidR="00883A72" w:rsidRPr="00CB093C">
        <w:rPr>
          <w:rFonts w:ascii="Arial" w:hAnsi="Arial" w:cs="Arial"/>
          <w:szCs w:val="22"/>
        </w:rPr>
        <w:t xml:space="preserve">poor had been </w:t>
      </w:r>
      <w:r w:rsidRPr="00CB093C">
        <w:rPr>
          <w:rFonts w:ascii="Arial" w:hAnsi="Arial" w:cs="Arial"/>
          <w:szCs w:val="22"/>
        </w:rPr>
        <w:t>improv</w:t>
      </w:r>
      <w:r w:rsidR="00883A72" w:rsidRPr="00CB093C">
        <w:rPr>
          <w:rFonts w:ascii="Arial" w:hAnsi="Arial" w:cs="Arial"/>
          <w:szCs w:val="22"/>
        </w:rPr>
        <w:t xml:space="preserve">ing until </w:t>
      </w:r>
      <w:r w:rsidR="00C26C71" w:rsidRPr="00CB093C">
        <w:rPr>
          <w:rFonts w:ascii="Arial" w:hAnsi="Arial" w:cs="Arial"/>
          <w:szCs w:val="22"/>
        </w:rPr>
        <w:t>this year</w:t>
      </w:r>
      <w:r w:rsidRPr="00CB093C">
        <w:rPr>
          <w:rFonts w:ascii="Arial" w:hAnsi="Arial" w:cs="Arial"/>
          <w:szCs w:val="22"/>
        </w:rPr>
        <w:t xml:space="preserve"> (</w:t>
      </w:r>
      <w:r w:rsidRPr="00CB093C">
        <w:rPr>
          <w:rFonts w:ascii="Arial" w:hAnsi="Arial" w:cs="Arial"/>
          <w:szCs w:val="22"/>
        </w:rPr>
        <w:fldChar w:fldCharType="begin"/>
      </w:r>
      <w:r w:rsidRPr="00CB093C">
        <w:rPr>
          <w:rFonts w:ascii="Arial" w:hAnsi="Arial" w:cs="Arial"/>
          <w:szCs w:val="22"/>
        </w:rPr>
        <w:instrText xml:space="preserve"> REF _Ref382211978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Figure </w:t>
      </w:r>
      <w:r w:rsidR="005F00D4">
        <w:rPr>
          <w:rFonts w:ascii="Arial" w:hAnsi="Arial" w:cs="Arial"/>
          <w:noProof/>
          <w:szCs w:val="22"/>
        </w:rPr>
        <w:t>88</w:t>
      </w:r>
      <w:r w:rsidRPr="00CB093C">
        <w:rPr>
          <w:rFonts w:ascii="Arial" w:hAnsi="Arial" w:cs="Arial"/>
          <w:szCs w:val="22"/>
        </w:rPr>
        <w:fldChar w:fldCharType="end"/>
      </w:r>
      <w:r w:rsidRPr="00CB093C">
        <w:rPr>
          <w:rFonts w:ascii="Arial" w:hAnsi="Arial" w:cs="Arial"/>
          <w:szCs w:val="22"/>
        </w:rPr>
        <w:t xml:space="preserve">). More specifically, although some locations in the Wet Tropics and Burdekin regions experienced declines in early 2006 as a consequence of </w:t>
      </w:r>
      <w:r w:rsidR="00C26C71" w:rsidRPr="00CB093C">
        <w:rPr>
          <w:rFonts w:ascii="Arial" w:hAnsi="Arial" w:cs="Arial"/>
          <w:szCs w:val="22"/>
        </w:rPr>
        <w:t xml:space="preserve">cyclone </w:t>
      </w:r>
      <w:r w:rsidRPr="00CB093C">
        <w:rPr>
          <w:rFonts w:ascii="Arial" w:hAnsi="Arial" w:cs="Arial"/>
          <w:szCs w:val="22"/>
        </w:rPr>
        <w:t>Larry, most recovered within 1</w:t>
      </w:r>
      <w:r w:rsidR="00C26C71" w:rsidRPr="00CB093C">
        <w:rPr>
          <w:rFonts w:ascii="Arial" w:hAnsi="Arial" w:cs="Arial"/>
          <w:szCs w:val="22"/>
        </w:rPr>
        <w:t>–</w:t>
      </w:r>
      <w:r w:rsidRPr="00CB093C">
        <w:rPr>
          <w:rFonts w:ascii="Arial" w:hAnsi="Arial" w:cs="Arial"/>
          <w:szCs w:val="22"/>
        </w:rPr>
        <w:t xml:space="preserve">2 years; with the exception of the coastal sites in southern Wet Tropics where recovery was protracted. </w:t>
      </w:r>
    </w:p>
    <w:p w14:paraId="14234C55" w14:textId="497B4A92" w:rsidR="00C26C71" w:rsidRPr="00CB093C" w:rsidRDefault="00250AD6" w:rsidP="00250AD6">
      <w:pPr>
        <w:autoSpaceDE w:val="0"/>
        <w:autoSpaceDN w:val="0"/>
        <w:adjustRightInd w:val="0"/>
        <w:rPr>
          <w:rFonts w:ascii="Arial" w:hAnsi="Arial" w:cs="Arial"/>
          <w:szCs w:val="22"/>
        </w:rPr>
      </w:pPr>
      <w:r w:rsidRPr="00CB093C">
        <w:rPr>
          <w:rFonts w:ascii="Arial" w:hAnsi="Arial" w:cs="Arial"/>
          <w:szCs w:val="22"/>
        </w:rPr>
        <w:t xml:space="preserve">In late 2008, locations in the northern Wet Tropics and Burdekin regions were in a moderate state of health with abundant seagrass and seed banks. In contrast, locations in the southern </w:t>
      </w:r>
      <w:r w:rsidR="00637325">
        <w:rPr>
          <w:rFonts w:ascii="Arial" w:hAnsi="Arial" w:cs="Arial"/>
          <w:szCs w:val="22"/>
        </w:rPr>
        <w:t>Mackay-Whitsunday</w:t>
      </w:r>
      <w:r w:rsidRPr="00CB093C">
        <w:rPr>
          <w:rFonts w:ascii="Arial" w:hAnsi="Arial" w:cs="Arial"/>
          <w:szCs w:val="22"/>
        </w:rPr>
        <w:t xml:space="preserve"> and Burnett Mary regions were in a poor state, with low abundance, reduced reproductive effort and small or absent seed banks. </w:t>
      </w:r>
    </w:p>
    <w:p w14:paraId="4C8B9393" w14:textId="735FACA2" w:rsidR="00C26C71" w:rsidRPr="00CB093C" w:rsidRDefault="00250AD6" w:rsidP="00250AD6">
      <w:pPr>
        <w:autoSpaceDE w:val="0"/>
        <w:autoSpaceDN w:val="0"/>
        <w:adjustRightInd w:val="0"/>
        <w:rPr>
          <w:rFonts w:ascii="Arial" w:hAnsi="Arial" w:cs="Arial"/>
          <w:szCs w:val="22"/>
        </w:rPr>
      </w:pPr>
      <w:r w:rsidRPr="00CB093C">
        <w:rPr>
          <w:rFonts w:ascii="Arial" w:hAnsi="Arial" w:cs="Arial"/>
          <w:szCs w:val="22"/>
        </w:rPr>
        <w:t>In 2009 with the onset of the La Niña, the decline in seagrass state steadily spread across the Burdekin region and to locations within the Fitzroy and Wet Tropics where discharges from large rivers and associated catchments occurred (</w:t>
      </w:r>
      <w:r w:rsidRPr="00CB093C">
        <w:rPr>
          <w:rFonts w:ascii="Arial" w:hAnsi="Arial" w:cs="Arial"/>
          <w:szCs w:val="22"/>
        </w:rPr>
        <w:fldChar w:fldCharType="begin"/>
      </w:r>
      <w:r w:rsidR="00A2551D" w:rsidRPr="00CB093C">
        <w:rPr>
          <w:rFonts w:ascii="Arial" w:hAnsi="Arial" w:cs="Arial"/>
          <w:szCs w:val="22"/>
        </w:rPr>
        <w:instrText xml:space="preserve"> ADDIN EN.CITE &lt;EndNote&gt;&lt;Cite&gt;&lt;Author&gt;McKenzie&lt;/Author&gt;&lt;Year&gt;2010&lt;/Year&gt;&lt;RecNum&gt;9605&lt;/RecNum&gt;&lt;DisplayText&gt;McKenzie&lt;style face="italic"&gt; et al.&lt;/style&gt; 2010a; McKenzie&lt;style face="italic"&gt; et al.&lt;/style&gt; 2012&lt;/DisplayText&gt;&lt;record&gt;&lt;rec-number&gt;9605&lt;/rec-number&gt;&lt;foreign-keys&gt;&lt;key app="EN" db-id="0eve55x9y5vfd6e9dacxtew4eatve2dzds9a" timestamp="1388454830"&gt;9605&lt;/key&gt;&lt;/foreign-keys&gt;&lt;ref-type name="Report"&gt;27&lt;/ref-type&gt;&lt;contributors&gt;&lt;authors&gt;&lt;author&gt;McKenzie, Len J&lt;/author&gt;&lt;author&gt;Unsworth, R.K.F&lt;/author&gt;&lt;author&gt;Waycott, M&lt;/author&gt;&lt;/authors&gt;&lt;/contributors&gt;&lt;titles&gt;&lt;title&gt;Reef Rescue Marine Monitoring Program: Intertidal Seagrass, Annual Report for the sampling period 1st September 2009 – 31st May 2010&lt;/title&gt;&lt;/titles&gt;&lt;pages&gt;136&lt;/pages&gt;&lt;dates&gt;&lt;year&gt;2010&lt;/year&gt;&lt;/dates&gt;&lt;pub-location&gt;Cairns &lt;/pub-location&gt;&lt;publisher&gt; Fisheries Queensland&lt;/publisher&gt;&lt;urls&gt;&lt;/urls&gt;&lt;/record&gt;&lt;/Cite&gt;&lt;Cite&gt;&lt;Author&gt;McKenzie&lt;/Author&gt;&lt;Year&gt;2012&lt;/Year&gt;&lt;RecNum&gt;9287&lt;/RecNum&gt;&lt;record&gt;&lt;rec-number&gt;9287&lt;/rec-number&gt;&lt;foreign-keys&gt;&lt;key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Pr="00CB093C">
        <w:rPr>
          <w:rFonts w:ascii="Arial" w:hAnsi="Arial" w:cs="Arial"/>
          <w:szCs w:val="22"/>
        </w:rPr>
        <w:fldChar w:fldCharType="separate"/>
      </w:r>
      <w:hyperlink w:anchor="_ENREF_105" w:tooltip="McKenzie, 2010 #9605" w:history="1">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2010a</w:t>
        </w:r>
      </w:hyperlink>
      <w:r w:rsidR="00A2551D" w:rsidRPr="00CB093C">
        <w:rPr>
          <w:rFonts w:ascii="Arial" w:hAnsi="Arial" w:cs="Arial"/>
          <w:noProof/>
          <w:szCs w:val="22"/>
        </w:rPr>
        <w:t xml:space="preserve">; </w:t>
      </w:r>
      <w:hyperlink w:anchor="_ENREF_99" w:tooltip="McKenzie, 2012 #9287" w:history="1">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2012</w:t>
        </w:r>
      </w:hyperlink>
      <w:r w:rsidRPr="00CB093C">
        <w:rPr>
          <w:rFonts w:ascii="Arial" w:hAnsi="Arial" w:cs="Arial"/>
          <w:szCs w:val="22"/>
        </w:rPr>
        <w:fldChar w:fldCharType="end"/>
      </w:r>
      <w:r w:rsidRPr="00CB093C">
        <w:rPr>
          <w:rFonts w:ascii="Arial" w:hAnsi="Arial" w:cs="Arial"/>
          <w:szCs w:val="22"/>
        </w:rPr>
        <w:t>). The only locations of better seagrass state were those with relatively little catchment input, such as Gladstone Harbour and Shoalwater Bay (Fitzroy region), Green Island (Wet Tropics), and Archer Point (Cape York) (</w:t>
      </w:r>
      <w:hyperlink w:anchor="_ENREF_99" w:tooltip="McKenzie, 2012 #928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&lt;EndNote&gt;&lt;Cite&gt;&lt;Author&gt;McKenzie&lt;/Author&gt;&lt;Year&gt;2012&lt;/Year&gt;&lt;RecNum&gt;9287&lt;/RecNum&gt;&lt;DisplayText&gt;McKenzie&lt;style face="italic"&gt; et al.&lt;/style&gt; 2012&lt;/DisplayText&gt;&lt;record&gt;&lt;rec-number&gt;9287&lt;/rec-number&gt;&lt;foreign-keys&gt;&lt;key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2012</w:t>
        </w:r>
        <w:r w:rsidR="00513C39" w:rsidRPr="00CB093C">
          <w:rPr>
            <w:rFonts w:ascii="Arial" w:hAnsi="Arial" w:cs="Arial"/>
            <w:szCs w:val="22"/>
          </w:rPr>
          <w:fldChar w:fldCharType="end"/>
        </w:r>
      </w:hyperlink>
      <w:r w:rsidRPr="00CB093C">
        <w:rPr>
          <w:rFonts w:ascii="Arial" w:hAnsi="Arial" w:cs="Arial"/>
          <w:szCs w:val="22"/>
        </w:rPr>
        <w:t xml:space="preserve">). </w:t>
      </w:r>
    </w:p>
    <w:p w14:paraId="00A6399E" w14:textId="08E91864" w:rsidR="00250AD6" w:rsidRPr="00CB093C" w:rsidRDefault="00250AD6" w:rsidP="00250AD6">
      <w:pPr>
        <w:autoSpaceDE w:val="0"/>
        <w:autoSpaceDN w:val="0"/>
        <w:adjustRightInd w:val="0"/>
        <w:rPr>
          <w:rFonts w:ascii="Arial" w:hAnsi="Arial" w:cs="Arial"/>
          <w:szCs w:val="22"/>
        </w:rPr>
      </w:pPr>
      <w:r w:rsidRPr="00CB093C">
        <w:rPr>
          <w:rFonts w:ascii="Arial" w:hAnsi="Arial" w:cs="Arial"/>
          <w:szCs w:val="22"/>
        </w:rPr>
        <w:t xml:space="preserve">By 2010, seagrasses of the </w:t>
      </w:r>
      <w:r w:rsidR="003158FC" w:rsidRPr="00CB093C">
        <w:rPr>
          <w:rFonts w:ascii="Arial" w:hAnsi="Arial" w:cs="Arial"/>
          <w:szCs w:val="22"/>
        </w:rPr>
        <w:t>Reef</w:t>
      </w:r>
      <w:r w:rsidRPr="00CB093C">
        <w:rPr>
          <w:rFonts w:ascii="Arial" w:hAnsi="Arial" w:cs="Arial"/>
          <w:szCs w:val="22"/>
        </w:rPr>
        <w:t xml:space="preserve"> were in a poor state with declining trajectories in seagrass abundance, reduced meadow extent, limited or absent seed production and increased epiphyte loads at most locations. These factors would have made the seagrass populations particularly vulnerable to large episodic disturbances, as demonstrated by the widespread and substantial losses documented after the floods and cyclones of early 2011. </w:t>
      </w:r>
    </w:p>
    <w:p w14:paraId="7AE041AC" w14:textId="0DD11EA7" w:rsidR="00701085" w:rsidRPr="00CB093C" w:rsidRDefault="00250AD6" w:rsidP="00250AD6">
      <w:pPr>
        <w:autoSpaceDE w:val="0"/>
        <w:autoSpaceDN w:val="0"/>
        <w:adjustRightInd w:val="0"/>
        <w:rPr>
          <w:rFonts w:ascii="Arial" w:hAnsi="Arial" w:cs="Arial"/>
          <w:szCs w:val="22"/>
        </w:rPr>
      </w:pPr>
      <w:r w:rsidRPr="00CB093C">
        <w:rPr>
          <w:rFonts w:ascii="Arial" w:hAnsi="Arial" w:cs="Arial"/>
          <w:szCs w:val="22"/>
        </w:rPr>
        <w:t xml:space="preserve">Following the extreme weather events of early 2011, seagrass habitats across the </w:t>
      </w:r>
      <w:r w:rsidR="003158FC" w:rsidRPr="00CB093C">
        <w:rPr>
          <w:rFonts w:ascii="Arial" w:hAnsi="Arial" w:cs="Arial"/>
          <w:szCs w:val="22"/>
        </w:rPr>
        <w:t>Reef</w:t>
      </w:r>
      <w:r w:rsidRPr="00CB093C">
        <w:rPr>
          <w:rFonts w:ascii="Arial" w:hAnsi="Arial" w:cs="Arial"/>
          <w:szCs w:val="22"/>
        </w:rPr>
        <w:t xml:space="preserve"> further declined, with severe losses reported from the Wet Tropics, Burdekin, </w:t>
      </w:r>
      <w:r w:rsidR="00637325">
        <w:rPr>
          <w:rFonts w:ascii="Arial" w:hAnsi="Arial" w:cs="Arial"/>
          <w:szCs w:val="22"/>
        </w:rPr>
        <w:t>Mackay-Whitsunday</w:t>
      </w:r>
      <w:r w:rsidRPr="00CB093C">
        <w:rPr>
          <w:rFonts w:ascii="Arial" w:hAnsi="Arial" w:cs="Arial"/>
          <w:szCs w:val="22"/>
        </w:rPr>
        <w:t xml:space="preserve"> and Burnett Mary regions. By 2011</w:t>
      </w:r>
      <w:r w:rsidR="003158FC" w:rsidRPr="00CB093C">
        <w:rPr>
          <w:rFonts w:ascii="Arial" w:hAnsi="Arial" w:cs="Arial"/>
          <w:szCs w:val="22"/>
        </w:rPr>
        <w:t>–</w:t>
      </w:r>
      <w:r w:rsidR="00801892" w:rsidRPr="00CB093C">
        <w:rPr>
          <w:rFonts w:ascii="Arial" w:hAnsi="Arial" w:cs="Arial"/>
          <w:szCs w:val="22"/>
        </w:rPr>
        <w:t>20</w:t>
      </w:r>
      <w:r w:rsidRPr="00CB093C">
        <w:rPr>
          <w:rFonts w:ascii="Arial" w:hAnsi="Arial" w:cs="Arial"/>
          <w:szCs w:val="22"/>
        </w:rPr>
        <w:t>12, the onset of seagrass recovery was observed across some regions, however a change had occurred in which colonising species dominated many habitats. The majority of meadows appeared to allocate resources to vegetative growth rather than reproduction, indicated by the lower reproductive effort and seed banks. In 2016</w:t>
      </w:r>
      <w:r w:rsidR="003158FC" w:rsidRPr="00CB093C">
        <w:rPr>
          <w:rFonts w:ascii="Arial" w:hAnsi="Arial" w:cs="Arial"/>
          <w:szCs w:val="22"/>
        </w:rPr>
        <w:t>–</w:t>
      </w:r>
      <w:r w:rsidR="00801892" w:rsidRPr="00CB093C">
        <w:rPr>
          <w:rFonts w:ascii="Arial" w:hAnsi="Arial" w:cs="Arial"/>
          <w:szCs w:val="22"/>
        </w:rPr>
        <w:t>20</w:t>
      </w:r>
      <w:r w:rsidRPr="00CB093C">
        <w:rPr>
          <w:rFonts w:ascii="Arial" w:hAnsi="Arial" w:cs="Arial"/>
          <w:szCs w:val="22"/>
        </w:rPr>
        <w:t>17, recovery ha</w:t>
      </w:r>
      <w:r w:rsidR="00883A72" w:rsidRPr="00CB093C">
        <w:rPr>
          <w:rFonts w:ascii="Arial" w:hAnsi="Arial" w:cs="Arial"/>
          <w:szCs w:val="22"/>
        </w:rPr>
        <w:t>d</w:t>
      </w:r>
      <w:r w:rsidRPr="00CB093C">
        <w:rPr>
          <w:rFonts w:ascii="Arial" w:hAnsi="Arial" w:cs="Arial"/>
          <w:szCs w:val="22"/>
        </w:rPr>
        <w:t xml:space="preserve"> slowed or stal</w:t>
      </w:r>
      <w:r w:rsidR="00D45F8F" w:rsidRPr="00CB093C">
        <w:rPr>
          <w:rFonts w:ascii="Arial" w:hAnsi="Arial" w:cs="Arial"/>
          <w:szCs w:val="22"/>
        </w:rPr>
        <w:t>led across most of the regions.</w:t>
      </w:r>
    </w:p>
    <w:p w14:paraId="1FF21BE7" w14:textId="77777777" w:rsidR="00250AD6" w:rsidRPr="00CB093C" w:rsidRDefault="00250AD6" w:rsidP="00A74064">
      <w:pPr>
        <w:autoSpaceDE w:val="0"/>
        <w:autoSpaceDN w:val="0"/>
        <w:adjustRightInd w:val="0"/>
        <w:spacing w:before="240"/>
        <w:rPr>
          <w:rFonts w:ascii="Arial" w:hAnsi="Arial" w:cs="Arial"/>
          <w:szCs w:val="22"/>
        </w:rPr>
      </w:pPr>
      <w:r w:rsidRPr="00CB093C">
        <w:rPr>
          <w:rFonts w:ascii="Arial" w:hAnsi="Arial" w:cs="Arial"/>
          <w:noProof/>
          <w:szCs w:val="22"/>
          <w:lang w:val="en-US"/>
        </w:rPr>
        <w:drawing>
          <wp:inline distT="0" distB="0" distL="0" distR="0" wp14:anchorId="44CBCF31" wp14:editId="0F7F9F17">
            <wp:extent cx="5441537" cy="3516437"/>
            <wp:effectExtent l="0" t="0" r="6985" b="8255"/>
            <wp:docPr id="292" name="Picture 292" descr="Summary of GBR MMP inshore seagrass state illustrating abundance of foundation / colonising species, seed banks and reproductive effort over the life of the Marin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ary figure_2015.png"/>
                    <pic:cNvPicPr/>
                  </pic:nvPicPr>
                  <pic:blipFill>
                    <a:blip r:embed="rId131">
                      <a:extLst>
                        <a:ext uri="{28A0092B-C50C-407E-A947-70E740481C1C}">
                          <a14:useLocalDpi xmlns:a14="http://schemas.microsoft.com/office/drawing/2010/main" val="0"/>
                        </a:ext>
                      </a:extLst>
                    </a:blip>
                    <a:stretch>
                      <a:fillRect/>
                    </a:stretch>
                  </pic:blipFill>
                  <pic:spPr>
                    <a:xfrm>
                      <a:off x="0" y="0"/>
                      <a:ext cx="5441537" cy="3516437"/>
                    </a:xfrm>
                    <a:prstGeom prst="rect">
                      <a:avLst/>
                    </a:prstGeom>
                  </pic:spPr>
                </pic:pic>
              </a:graphicData>
            </a:graphic>
          </wp:inline>
        </w:drawing>
      </w:r>
    </w:p>
    <w:p w14:paraId="256C044A" w14:textId="21B37626" w:rsidR="00D90552" w:rsidRPr="00CB093C" w:rsidRDefault="00250AD6" w:rsidP="00D90552">
      <w:pPr>
        <w:rPr>
          <w:rFonts w:ascii="Arial" w:hAnsi="Arial" w:cs="Arial"/>
          <w:i/>
          <w:iCs/>
          <w:vanish/>
          <w:szCs w:val="22"/>
          <w:lang w:eastAsia="en-AU"/>
          <w:specVanish/>
        </w:rPr>
      </w:pPr>
      <w:bookmarkStart w:id="552" w:name="_Ref382211978"/>
      <w:bookmarkStart w:id="553" w:name="_Toc6402853"/>
      <w:bookmarkStart w:id="554" w:name="_Toc431493912"/>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88</w:t>
      </w:r>
      <w:r w:rsidR="00C506C7" w:rsidRPr="00CB093C">
        <w:rPr>
          <w:rFonts w:ascii="Arial" w:hAnsi="Arial" w:cs="Arial"/>
          <w:noProof/>
          <w:szCs w:val="22"/>
        </w:rPr>
        <w:fldChar w:fldCharType="end"/>
      </w:r>
      <w:bookmarkEnd w:id="543"/>
      <w:bookmarkEnd w:id="552"/>
      <w:r w:rsidRPr="00CB093C">
        <w:rPr>
          <w:rFonts w:ascii="Arial" w:hAnsi="Arial" w:cs="Arial"/>
          <w:szCs w:val="22"/>
        </w:rPr>
        <w:t xml:space="preserve">. </w:t>
      </w:r>
      <w:r w:rsidRPr="00CB093C">
        <w:rPr>
          <w:rFonts w:ascii="Arial" w:hAnsi="Arial" w:cs="Arial"/>
          <w:i/>
          <w:szCs w:val="22"/>
        </w:rPr>
        <w:t xml:space="preserve">Summary of inshore seagrass state illustrating </w:t>
      </w:r>
      <w:r w:rsidR="007637A3" w:rsidRPr="00CB093C">
        <w:rPr>
          <w:rFonts w:ascii="Arial" w:hAnsi="Arial" w:cs="Arial"/>
          <w:i/>
          <w:szCs w:val="22"/>
        </w:rPr>
        <w:t xml:space="preserve">pressures, </w:t>
      </w:r>
      <w:r w:rsidRPr="00CB093C">
        <w:rPr>
          <w:rFonts w:ascii="Arial" w:hAnsi="Arial" w:cs="Arial"/>
          <w:i/>
          <w:szCs w:val="22"/>
        </w:rPr>
        <w:t>abundance of foundation / colonising species, seed banks and reproductive effort from 2005 to 201</w:t>
      </w:r>
      <w:r w:rsidR="007637A3" w:rsidRPr="00CB093C">
        <w:rPr>
          <w:rFonts w:ascii="Arial" w:hAnsi="Arial" w:cs="Arial"/>
          <w:i/>
          <w:szCs w:val="22"/>
        </w:rPr>
        <w:t>8</w:t>
      </w:r>
      <w:bookmarkEnd w:id="553"/>
    </w:p>
    <w:p w14:paraId="7C5673E3" w14:textId="74085AED" w:rsidR="00250AD6" w:rsidRPr="00CB093C" w:rsidRDefault="00250AD6" w:rsidP="00883A72">
      <w:pPr>
        <w:autoSpaceDE w:val="0"/>
        <w:autoSpaceDN w:val="0"/>
        <w:adjustRightInd w:val="0"/>
        <w:rPr>
          <w:rFonts w:ascii="Arial" w:hAnsi="Arial" w:cs="Arial"/>
          <w:szCs w:val="22"/>
        </w:rPr>
      </w:pPr>
      <w:r w:rsidRPr="00CB093C">
        <w:rPr>
          <w:rFonts w:ascii="Arial" w:hAnsi="Arial" w:cs="Arial"/>
          <w:i/>
          <w:szCs w:val="22"/>
        </w:rPr>
        <w:t>.</w:t>
      </w:r>
      <w:bookmarkEnd w:id="554"/>
      <w:r w:rsidRPr="00CB093C">
        <w:rPr>
          <w:rFonts w:ascii="Arial" w:hAnsi="Arial" w:cs="Arial"/>
          <w:i/>
          <w:szCs w:val="22"/>
          <w:specVanish/>
        </w:rPr>
        <w:t xml:space="preserve"> * colonising species are represented by the genus Halophila, however, Zostera and Halodule can be both colonising and foundational species depending on meadow state. ^ not conducted in 2005.</w:t>
      </w:r>
      <w:r w:rsidRPr="00CB093C">
        <w:rPr>
          <w:rFonts w:ascii="Arial" w:hAnsi="Arial" w:cs="Arial"/>
          <w:szCs w:val="22"/>
        </w:rPr>
        <w:t xml:space="preserve"> </w:t>
      </w:r>
    </w:p>
    <w:p w14:paraId="546BBE37" w14:textId="0762ABE7" w:rsidR="00D45F8F" w:rsidRPr="00CB093C" w:rsidRDefault="00D45F8F" w:rsidP="00D45F8F">
      <w:pPr>
        <w:autoSpaceDE w:val="0"/>
        <w:autoSpaceDN w:val="0"/>
        <w:adjustRightInd w:val="0"/>
        <w:rPr>
          <w:rFonts w:ascii="Arial" w:hAnsi="Arial" w:cs="Arial"/>
          <w:szCs w:val="22"/>
        </w:rPr>
      </w:pPr>
      <w:r w:rsidRPr="00CB093C">
        <w:rPr>
          <w:rFonts w:ascii="Arial" w:hAnsi="Arial" w:cs="Arial"/>
          <w:szCs w:val="22"/>
        </w:rPr>
        <w:t>The Wet Tropics and Fitzroy regions have shown the most protracted recovery rates, though the causes for this differ between the regions. In the Fitzroy region declines up to early 2011 were more moderate than in other regions, but the estuarine intertidal and coastal intertidal habitats declined further in 2013–</w:t>
      </w:r>
      <w:r w:rsidR="00152F1D" w:rsidRPr="00CB093C">
        <w:rPr>
          <w:rFonts w:ascii="Arial" w:hAnsi="Arial" w:cs="Arial"/>
          <w:szCs w:val="22"/>
        </w:rPr>
        <w:t>20</w:t>
      </w:r>
      <w:r w:rsidRPr="00CB093C">
        <w:rPr>
          <w:rFonts w:ascii="Arial" w:hAnsi="Arial" w:cs="Arial"/>
          <w:szCs w:val="22"/>
        </w:rPr>
        <w:t>15, and recovery had since been slow except in coastal habitats. Abundance in the Wet Tropics declined in early 2011, and recovery has been delayed. In the southern Wet Tropics, it appears that sediment scouring caused by cyclone Yasi in 2011 altered bed elevation and substrate composition, however the growth substrate is not routinely measured. By contrast, slow recovery in the northern Wet Tropics reef sites (Low Isles intertidal and subtidal and Green Island subtidal) ma</w:t>
      </w:r>
      <w:r w:rsidR="00152F1D" w:rsidRPr="00CB093C">
        <w:rPr>
          <w:rFonts w:ascii="Arial" w:hAnsi="Arial" w:cs="Arial"/>
          <w:szCs w:val="22"/>
        </w:rPr>
        <w:t>y be affected by water quality.</w:t>
      </w:r>
    </w:p>
    <w:p w14:paraId="7E26E24D" w14:textId="547BA7D4" w:rsidR="00C26C71" w:rsidRPr="00CB093C" w:rsidRDefault="00250AD6" w:rsidP="00250AD6">
      <w:pPr>
        <w:autoSpaceDE w:val="0"/>
        <w:autoSpaceDN w:val="0"/>
        <w:adjustRightInd w:val="0"/>
        <w:rPr>
          <w:rFonts w:ascii="Arial" w:hAnsi="Arial" w:cs="Arial"/>
          <w:szCs w:val="22"/>
        </w:rPr>
      </w:pPr>
      <w:r w:rsidRPr="00CB093C">
        <w:rPr>
          <w:rFonts w:ascii="Arial" w:hAnsi="Arial" w:cs="Arial"/>
          <w:szCs w:val="22"/>
        </w:rPr>
        <w:t xml:space="preserve">There was increasing evidence that water quality degradation within the seagrass meadows of the inshore </w:t>
      </w:r>
      <w:r w:rsidR="003158FC" w:rsidRPr="00CB093C">
        <w:rPr>
          <w:rFonts w:ascii="Arial" w:hAnsi="Arial" w:cs="Arial"/>
          <w:szCs w:val="22"/>
        </w:rPr>
        <w:t>Reef</w:t>
      </w:r>
      <w:r w:rsidRPr="00CB093C">
        <w:rPr>
          <w:rFonts w:ascii="Arial" w:hAnsi="Arial" w:cs="Arial"/>
          <w:szCs w:val="22"/>
        </w:rPr>
        <w:t xml:space="preserve"> prior to the episodic disturbances of 2011 may have reduced their resilience. Light availability is one of the primary driving factors in seagrass growth and persistence (</w:t>
      </w:r>
      <w:hyperlink w:anchor="_ENREF_31" w:tooltip="Collier, 2009 #9285"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Collier and Waycott 2009</w:t>
        </w:r>
        <w:r w:rsidR="00513C39" w:rsidRPr="00CB093C">
          <w:rPr>
            <w:rFonts w:ascii="Arial" w:hAnsi="Arial" w:cs="Arial"/>
            <w:szCs w:val="22"/>
          </w:rPr>
          <w:fldChar w:fldCharType="end"/>
        </w:r>
      </w:hyperlink>
      <w:r w:rsidRPr="00CB093C">
        <w:rPr>
          <w:rFonts w:ascii="Arial" w:hAnsi="Arial" w:cs="Arial"/>
          <w:szCs w:val="22"/>
        </w:rPr>
        <w:t xml:space="preserve">; </w:t>
      </w:r>
      <w:hyperlink w:anchor="_ENREF_12" w:tooltip="Brodie, 2013 #9501"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&lt;EndNote&gt;&lt;Cite&gt;&lt;Author&gt;Brodie&lt;/Author&gt;&lt;Year&gt;2013&lt;/Year&gt;&lt;RecNum&gt;9501&lt;/RecNum&gt;&lt;DisplayText&gt;Brodie&lt;style face="italic"&gt; et al.&lt;/style&gt; 2013&lt;/DisplayText&gt;&lt;record&gt;&lt;rec-number&gt;9501&lt;/rec-number&gt;&lt;foreign-keys&gt;&lt;key app="EN" db-id="0eve55x9y5vfd6e9dacxtew4eatve2dzds9a" timestamp="1375854876"&gt;9501&lt;/key&gt;&lt;/foreign-keys&gt;&lt;ref-type name="Book"&gt;6&lt;/ref-type&gt;&lt;contributors&gt;&lt;authors&gt;&lt;author&gt;Brodie, J&lt;/author&gt;&lt;author&gt;Waterhouse, J&lt;/author&gt;&lt;author&gt;Schaffelke, B&lt;/author&gt;&lt;author&gt;Johnson, J&lt;/author&gt;&lt;author&gt;Kroon, F.&lt;/author&gt;&lt;author&gt;Thorburn, P.&lt;/author&gt;&lt;author&gt;Rolfe, J.&lt;/author&gt;&lt;author&gt;Lewis, S.&lt;/author&gt;&lt;author&gt;Warne, M.&lt;/author&gt;&lt;author&gt;Fabricius, K&lt;/author&gt;&lt;author&gt;McKenzie, Len J&lt;/author&gt;&lt;author&gt;Devlin, M. &lt;/author&gt;&lt;/authors&gt;&lt;/contributors&gt;&lt;titles&gt;&lt;title&gt;Reef Water Quality Scientific Consensus Statement 2013&lt;/title&gt;&lt;/titles&gt;&lt;pages&gt;10&lt;/pages&gt;&lt;dates&gt;&lt;year&gt;2013&lt;/year&gt;&lt;/dates&gt;&lt;pub-location&gt;Brisbane&lt;/pub-location&gt;&lt;publisher&gt;Department of the Premier and Cabinet, Queensland Government&lt;/publisher&gt;&lt;urls&gt;&lt;/urls&gt;&lt;/record&gt;&lt;/Cite&gt;&lt;/EndNote&gt;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Brodie</w:t>
        </w:r>
        <w:r w:rsidR="00513C39" w:rsidRPr="00CB093C">
          <w:rPr>
            <w:rFonts w:ascii="Arial" w:hAnsi="Arial" w:cs="Arial"/>
            <w:i/>
            <w:noProof/>
            <w:szCs w:val="22"/>
          </w:rPr>
          <w:t xml:space="preserve"> et al.</w:t>
        </w:r>
        <w:r w:rsidR="00513C39" w:rsidRPr="00CB093C">
          <w:rPr>
            <w:rFonts w:ascii="Arial" w:hAnsi="Arial" w:cs="Arial"/>
            <w:noProof/>
            <w:szCs w:val="22"/>
          </w:rPr>
          <w:t xml:space="preserve"> 2013</w:t>
        </w:r>
        <w:r w:rsidR="00513C39" w:rsidRPr="00CB093C">
          <w:rPr>
            <w:rFonts w:ascii="Arial" w:hAnsi="Arial" w:cs="Arial"/>
            <w:szCs w:val="22"/>
          </w:rPr>
          <w:fldChar w:fldCharType="end"/>
        </w:r>
      </w:hyperlink>
      <w:r w:rsidRPr="00CB093C">
        <w:rPr>
          <w:rFonts w:ascii="Arial" w:hAnsi="Arial" w:cs="Arial"/>
          <w:szCs w:val="22"/>
        </w:rPr>
        <w:t>;</w:t>
      </w:r>
      <w:hyperlink w:anchor="_ENREF_37" w:tooltip="Collier, 2012 #9368"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&lt;EndNote&gt;&lt;Cite&gt;&lt;Author&gt;Collier&lt;/Author&gt;&lt;Year&gt;2012&lt;/Year&gt;&lt;RecNum&gt;9368&lt;/RecNum&gt;&lt;DisplayText&gt;Collier&lt;style face="italic"&gt; et al.&lt;/style&gt; 2012b&lt;/DisplayText&gt;&lt;record&gt;&lt;rec-number&gt;9368&lt;/rec-number&gt;&lt;foreign-keys&gt;&lt;key app="EN" db-id="0eve55x9y5vfd6e9dacxtew4eatve2dzds9a" timestamp="1375052483"&gt;9368&lt;/key&gt;&lt;/foreign-keys&gt;&lt;ref-type name="Journal Article"&gt;17&lt;/ref-type&gt;&lt;contributors&gt;&lt;authors&gt;&lt;author&gt;Collier, Catherine J.&lt;/author&gt;&lt;author&gt;Waycott, Michelle&lt;/author&gt;&lt;author&gt;Ospina, Ana Giraldo&lt;/author&gt;&lt;/authors&gt;&lt;/contributors&gt;&lt;titles&gt;&lt;title&gt;Responses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pub-dates&gt;&lt;date&gt;2012&lt;/date&gt;&lt;/pub-dates&gt;&lt;/dates&gt;&lt;isbn&gt;0025-326X&lt;/isbn&gt;&lt;accession-num&gt;WOS:000306249100023&lt;/accession-num&gt;&lt;urls&gt;&lt;related-urls&gt;&lt;url&gt;&amp;lt;Go to ISI&amp;gt;://WOS:000306249100023&lt;/url&gt;&lt;/related-urls&gt;&lt;/urls&gt;&lt;electronic-resource-num&gt;10.1016/j.marpolbul.2011.06.017&lt;/electronic-resource-num&gt;&lt;/record&gt;&lt;/Cite&gt;&lt;/EndNote&gt;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Collier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2012b</w:t>
        </w:r>
        <w:r w:rsidR="00513C39" w:rsidRPr="00CB093C">
          <w:rPr>
            <w:rFonts w:ascii="Arial" w:hAnsi="Arial" w:cs="Arial"/>
            <w:szCs w:val="22"/>
          </w:rPr>
          <w:fldChar w:fldCharType="end"/>
        </w:r>
      </w:hyperlink>
      <w:r w:rsidRPr="00CB093C">
        <w:rPr>
          <w:rFonts w:ascii="Arial" w:hAnsi="Arial" w:cs="Arial"/>
          <w:szCs w:val="22"/>
        </w:rPr>
        <w:t>). Seagrasses can survive in highly turbid sites if restricted to shallow areas where light reaches the canopy around low tide (</w:t>
      </w:r>
      <w:hyperlink w:anchor="_ENREF_123" w:tooltip="Petrou, 2013 #978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&lt;EndNote&gt;&lt;Cite&gt;&lt;Author&gt;Petrou&lt;/Author&gt;&lt;Year&gt;2013&lt;/Year&gt;&lt;RecNum&gt;9780&lt;/RecNum&gt;&lt;DisplayText&gt;Petrou&lt;style face="italic"&gt; et al.&lt;/style&gt; 2013&lt;/DisplayText&gt;&lt;record&gt;&lt;rec-number&gt;9780&lt;/rec-number&gt;&lt;foreign-keys&gt;&lt;key app="EN" db-id="0eve55x9y5vfd6e9dacxtew4eatve2dzds9a" timestamp="1394345478"&gt;9780&lt;/key&gt;&lt;/foreign-keys&gt;&lt;ref-type name="Journal Article"&gt;17&lt;/ref-type&gt;&lt;contributors&gt;&lt;authors&gt;&lt;author&gt;Petrou, K&lt;/author&gt;&lt;author&gt;Jimenez-Denness, I&lt;/author&gt;&lt;author&gt;Chartrand, K&lt;/author&gt;&lt;author&gt;McCormack, C&lt;/author&gt;&lt;author&gt;Rasheed, M&lt;/author&gt;&lt;author&gt;Ralph, PJ&lt;/author&gt;&lt;/authors&gt;&lt;/contributors&gt;&lt;titles&gt;&lt;title&gt;Seasonal heterogeneity in the photophysiological response to air exposure in two tropical intertidal seagrass species&lt;/title&gt;&lt;secondary-title&gt;Marine Ecology Progress Series&lt;/secondary-title&gt;&lt;/titles&gt;&lt;periodical&gt;&lt;full-title&gt;Marine Ecology Progress Series&lt;/full-title&gt;&lt;/periodical&gt;&lt;pages&gt;93-106&lt;/pages&gt;&lt;volume&gt;482&lt;/volume&gt;&lt;dates&gt;&lt;year&gt;2013&lt;/year&gt;&lt;pub-dates&gt;&lt;date&gt;May 22, 2013&lt;/date&gt;&lt;/pub-dates&gt;&lt;/dates&gt;&lt;urls&gt;&lt;related-urls&gt;&lt;url&gt;http://www.int-res.com/abstracts/meps/v482/p93-106/&lt;/url&gt;&lt;/related-urls&gt;&lt;/urls&gt;&lt;electronic-resource-num&gt;10.3354/meps10229&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Petrou</w:t>
        </w:r>
        <w:r w:rsidR="00513C39" w:rsidRPr="00CB093C">
          <w:rPr>
            <w:rFonts w:ascii="Arial" w:hAnsi="Arial" w:cs="Arial"/>
            <w:i/>
            <w:noProof/>
            <w:szCs w:val="22"/>
          </w:rPr>
          <w:t xml:space="preserve"> et al.</w:t>
        </w:r>
        <w:r w:rsidR="00513C39" w:rsidRPr="00CB093C">
          <w:rPr>
            <w:rFonts w:ascii="Arial" w:hAnsi="Arial" w:cs="Arial"/>
            <w:noProof/>
            <w:szCs w:val="22"/>
          </w:rPr>
          <w:t xml:space="preserve"> 2013</w:t>
        </w:r>
        <w:r w:rsidR="00513C39" w:rsidRPr="00CB093C">
          <w:rPr>
            <w:rFonts w:ascii="Arial" w:hAnsi="Arial" w:cs="Arial"/>
            <w:szCs w:val="22"/>
          </w:rPr>
          <w:fldChar w:fldCharType="end"/>
        </w:r>
      </w:hyperlink>
      <w:r w:rsidRPr="00CB093C">
        <w:rPr>
          <w:rFonts w:ascii="Arial" w:hAnsi="Arial" w:cs="Arial"/>
          <w:szCs w:val="22"/>
        </w:rPr>
        <w:t>).</w:t>
      </w:r>
      <w:r w:rsidR="00D45F8F" w:rsidRPr="00CB093C">
        <w:rPr>
          <w:rFonts w:ascii="Arial" w:hAnsi="Arial" w:cs="Arial"/>
          <w:szCs w:val="22"/>
        </w:rPr>
        <w:t xml:space="preserve"> </w:t>
      </w:r>
      <w:r w:rsidR="00701085" w:rsidRPr="00CB093C">
        <w:rPr>
          <w:rFonts w:ascii="Arial" w:hAnsi="Arial" w:cs="Arial"/>
          <w:szCs w:val="22"/>
        </w:rPr>
        <w:t>Conversely,</w:t>
      </w:r>
      <w:r w:rsidRPr="00CB093C">
        <w:rPr>
          <w:rFonts w:ascii="Arial" w:hAnsi="Arial" w:cs="Arial"/>
          <w:szCs w:val="22"/>
        </w:rPr>
        <w:t xml:space="preserve"> infrequent low tide exposure occurring in summer months when water can be very turbid</w:t>
      </w:r>
      <w:r w:rsidR="00701085" w:rsidRPr="00CB093C">
        <w:rPr>
          <w:rFonts w:ascii="Arial" w:hAnsi="Arial" w:cs="Arial"/>
          <w:szCs w:val="22"/>
        </w:rPr>
        <w:t>,</w:t>
      </w:r>
      <w:r w:rsidRPr="00CB093C">
        <w:rPr>
          <w:rFonts w:ascii="Arial" w:hAnsi="Arial" w:cs="Arial"/>
          <w:szCs w:val="22"/>
        </w:rPr>
        <w:t xml:space="preserve"> coincident with high water temperatures</w:t>
      </w:r>
      <w:r w:rsidR="00701085" w:rsidRPr="00CB093C">
        <w:rPr>
          <w:rFonts w:ascii="Arial" w:hAnsi="Arial" w:cs="Arial"/>
          <w:szCs w:val="22"/>
        </w:rPr>
        <w:t>,</w:t>
      </w:r>
      <w:r w:rsidRPr="00CB093C">
        <w:rPr>
          <w:rFonts w:ascii="Arial" w:hAnsi="Arial" w:cs="Arial"/>
          <w:szCs w:val="22"/>
        </w:rPr>
        <w:t xml:space="preserve"> drives faster rates of decline (</w:t>
      </w:r>
      <w:hyperlink w:anchor="_ENREF_32" w:tooltip="Collier, 2016 #10625"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&lt;EndNote&gt;&lt;Cite&gt;&lt;Author&gt;Collier&lt;/Author&gt;&lt;Year&gt;2016&lt;/Year&gt;&lt;RecNum&gt;10625&lt;/RecNum&gt;&lt;DisplayText&gt;Collier&lt;style face="italic"&gt; et al.&lt;/style&gt; 2016a&lt;/DisplayText&gt;&lt;record&gt;&lt;rec-number&gt;10625&lt;/rec-number&gt;&lt;foreign-keys&gt;&lt;key app="EN" db-id="0eve55x9y5vfd6e9dacxtew4eatve2dzds9a" timestamp="1463028163"&gt;10625&lt;/key&gt;&lt;/foreign-keys&gt;&lt;ref-type name="Journal Article"&gt;17&lt;/ref-type&gt;&lt;contributors&gt;&lt;authors&gt;&lt;author&gt;Collier, C. J.&lt;/author&gt;&lt;author&gt;Adams, M. P.&lt;/author&gt;&lt;author&gt;Langlois, L.&lt;/author&gt;&lt;author&gt;Waycott, M.&lt;/author&gt;&lt;author&gt;O’Brien, K. R.&lt;/author&gt;&lt;author&gt;Maxwell, P. S.&lt;/author&gt;&lt;author&gt;McKenzie, L.&lt;/author&gt;&lt;/authors&gt;&lt;/contributors&gt;&lt;titles&gt;&lt;title&gt;Thresholds for morphological response to light reduction for four tropical seagrass species&lt;/title&gt;&lt;secondary-title&gt;Ecological Indicators&lt;/secondary-title&gt;&lt;/titles&gt;&lt;periodical&gt;&lt;full-title&gt;Ecological Indicators&lt;/full-title&gt;&lt;/periodical&gt;&lt;pages&gt;358-366&lt;/pages&gt;&lt;volume&gt;67&lt;/volume&gt;&lt;keywords&gt;&lt;keyword&gt;Great Barrier Reef&lt;/keyword&gt;&lt;keyword&gt;Water quality&lt;/keyword&gt;&lt;keyword&gt;Photosynthetic photon flux density (PPFD)&lt;/keyword&gt;&lt;keyword&gt;Light thresholds&lt;/keyword&gt;&lt;keyword&gt;Temperature&lt;/keyword&gt;&lt;/keywords&gt;&lt;dates&gt;&lt;year&gt;2016&lt;/year&gt;&lt;/dates&gt;&lt;isbn&gt;1470-160X&lt;/isbn&gt;&lt;urls&gt;&lt;related-urls&gt;&lt;url&gt;http://www.sciencedirect.com/science/article/pii/S1470160X16300711&lt;/url&gt;&lt;/related-urls&gt;&lt;/urls&gt;&lt;electronic-resource-num&gt;http://dx.doi.org/10.1016/j.ecolind.2016.02.050&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Collier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2016a</w:t>
        </w:r>
        <w:r w:rsidR="00513C39" w:rsidRPr="00CB093C">
          <w:rPr>
            <w:rFonts w:ascii="Arial" w:hAnsi="Arial" w:cs="Arial"/>
            <w:szCs w:val="22"/>
          </w:rPr>
          <w:fldChar w:fldCharType="end"/>
        </w:r>
      </w:hyperlink>
      <w:r w:rsidR="00152F1D" w:rsidRPr="00CB093C">
        <w:rPr>
          <w:rFonts w:ascii="Arial" w:hAnsi="Arial" w:cs="Arial"/>
          <w:szCs w:val="22"/>
        </w:rPr>
        <w:t>).</w:t>
      </w:r>
    </w:p>
    <w:p w14:paraId="1BA8D872" w14:textId="0E275CA9" w:rsidR="00250AD6" w:rsidRPr="00CB093C" w:rsidRDefault="00250AD6" w:rsidP="00250AD6">
      <w:pPr>
        <w:autoSpaceDE w:val="0"/>
        <w:autoSpaceDN w:val="0"/>
        <w:adjustRightInd w:val="0"/>
        <w:rPr>
          <w:rFonts w:ascii="Arial" w:hAnsi="Arial" w:cs="Arial"/>
          <w:szCs w:val="22"/>
        </w:rPr>
      </w:pPr>
      <w:r w:rsidRPr="00CB093C">
        <w:rPr>
          <w:rFonts w:ascii="Arial" w:hAnsi="Arial" w:cs="Arial"/>
          <w:szCs w:val="22"/>
        </w:rPr>
        <w:t xml:space="preserve">From 2009, reduced canopy light to low and limiting light levels was reported in seagrass meadows across the </w:t>
      </w:r>
      <w:r w:rsidR="003158FC" w:rsidRPr="00CB093C">
        <w:rPr>
          <w:rFonts w:ascii="Arial" w:hAnsi="Arial" w:cs="Arial"/>
          <w:szCs w:val="22"/>
        </w:rPr>
        <w:t>Reef</w:t>
      </w:r>
      <w:r w:rsidRPr="00CB093C">
        <w:rPr>
          <w:rFonts w:ascii="Arial" w:hAnsi="Arial" w:cs="Arial"/>
          <w:szCs w:val="22"/>
        </w:rPr>
        <w:t xml:space="preserve">, and, coincident with this, nutrients (N and P) increased relative to plant requirements. </w:t>
      </w:r>
      <w:r w:rsidR="00701085" w:rsidRPr="00CB093C">
        <w:rPr>
          <w:rFonts w:ascii="Arial" w:hAnsi="Arial" w:cs="Arial"/>
          <w:szCs w:val="22"/>
        </w:rPr>
        <w:t>C</w:t>
      </w:r>
      <w:r w:rsidRPr="00CB093C">
        <w:rPr>
          <w:rFonts w:ascii="Arial" w:hAnsi="Arial" w:cs="Arial"/>
          <w:szCs w:val="22"/>
        </w:rPr>
        <w:t>onditions in the years leading up to 2011 were extremely turbid and were correlated with seagrass decline (e.g.</w:t>
      </w:r>
      <w:r w:rsidR="00513C39" w:rsidRPr="00CB093C">
        <w:rPr>
          <w:rFonts w:ascii="Arial" w:hAnsi="Arial" w:cs="Arial"/>
          <w:szCs w:val="22"/>
        </w:rPr>
        <w:t xml:space="preserve"> </w:t>
      </w:r>
      <w:r w:rsidR="00513C39" w:rsidRPr="00CB093C">
        <w:rPr>
          <w:rFonts w:ascii="Arial" w:hAnsi="Arial" w:cs="Arial"/>
          <w:szCs w:val="22"/>
        </w:rPr>
        <w:fldChar w:fldCharType="begin">
          <w:fldData xml:space="preserve">PEVuZE5vdGU+PENpdGU+PEF1dGhvcj5Db2xsaWVyPC9BdXRob3I+PFllYXI+MjAxMjwvWWVhcj48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</w:fldData>
        </w:fldChar>
      </w:r>
      <w:r w:rsidR="00513C39" w:rsidRPr="00CB093C">
        <w:rPr>
          <w:rFonts w:ascii="Arial" w:hAnsi="Arial" w:cs="Arial"/>
          <w:szCs w:val="22"/>
        </w:rPr>
        <w:instrText xml:space="preserve"> ADDIN EN.CITE </w:instrText>
      </w:r>
      <w:r w:rsidR="00513C39" w:rsidRPr="00CB093C">
        <w:rPr>
          <w:rFonts w:ascii="Arial" w:hAnsi="Arial" w:cs="Arial"/>
          <w:szCs w:val="22"/>
        </w:rPr>
        <w:fldChar w:fldCharType="begin">
          <w:fldData xml:space="preserve">PEVuZE5vdGU+PENpdGU+PEF1dGhvcj5Db2xsaWVyPC9BdXRob3I+PFllYXI+MjAxMjwvWWVhcj48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</w:fldData>
        </w:fldChar>
      </w:r>
      <w:r w:rsidR="00513C39" w:rsidRPr="00CB093C">
        <w:rPr>
          <w:rFonts w:ascii="Arial" w:hAnsi="Arial" w:cs="Arial"/>
          <w:szCs w:val="22"/>
        </w:rPr>
        <w:instrText xml:space="preserve"> ADDIN EN.CITE.DATA </w:instrText>
      </w:r>
      <w:r w:rsidR="00513C39" w:rsidRPr="00CB093C">
        <w:rPr>
          <w:rFonts w:ascii="Arial" w:hAnsi="Arial" w:cs="Arial"/>
          <w:szCs w:val="22"/>
        </w:rPr>
      </w:r>
      <w:r w:rsidR="00513C39" w:rsidRPr="00CB093C">
        <w:rPr>
          <w:rFonts w:ascii="Arial" w:hAnsi="Arial" w:cs="Arial"/>
          <w:szCs w:val="22"/>
        </w:rPr>
        <w:fldChar w:fldCharType="end"/>
      </w:r>
      <w:r w:rsidR="00513C39" w:rsidRPr="00CB093C">
        <w:rPr>
          <w:rFonts w:ascii="Arial" w:hAnsi="Arial" w:cs="Arial"/>
          <w:szCs w:val="22"/>
        </w:rPr>
      </w:r>
      <w:r w:rsidR="00513C39" w:rsidRPr="00CB093C">
        <w:rPr>
          <w:rFonts w:ascii="Arial" w:hAnsi="Arial" w:cs="Arial"/>
          <w:szCs w:val="22"/>
        </w:rPr>
        <w:fldChar w:fldCharType="separate"/>
      </w:r>
      <w:hyperlink w:anchor="_ENREF_37" w:tooltip="Collier, 2012 #9368" w:history="1">
        <w:r w:rsidR="00513C39" w:rsidRPr="00CB093C">
          <w:rPr>
            <w:rFonts w:ascii="Arial" w:hAnsi="Arial" w:cs="Arial"/>
            <w:noProof/>
            <w:szCs w:val="22"/>
          </w:rPr>
          <w:t>Collier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2012b</w:t>
        </w:r>
      </w:hyperlink>
      <w:r w:rsidR="00513C39" w:rsidRPr="00CB093C">
        <w:rPr>
          <w:rFonts w:ascii="Arial" w:hAnsi="Arial" w:cs="Arial"/>
          <w:noProof/>
          <w:szCs w:val="22"/>
        </w:rPr>
        <w:t xml:space="preserve">; </w:t>
      </w:r>
      <w:hyperlink w:anchor="_ENREF_124" w:tooltip="Petus, 2014 #10800" w:history="1">
        <w:r w:rsidR="00513C39" w:rsidRPr="00CB093C">
          <w:rPr>
            <w:rFonts w:ascii="Arial" w:hAnsi="Arial" w:cs="Arial"/>
            <w:noProof/>
            <w:szCs w:val="22"/>
          </w:rPr>
          <w:t>Petus</w:t>
        </w:r>
        <w:r w:rsidR="00513C39" w:rsidRPr="00CB093C">
          <w:rPr>
            <w:rFonts w:ascii="Arial" w:hAnsi="Arial" w:cs="Arial"/>
            <w:i/>
            <w:noProof/>
            <w:szCs w:val="22"/>
          </w:rPr>
          <w:t xml:space="preserve"> et al.</w:t>
        </w:r>
        <w:r w:rsidR="00513C39" w:rsidRPr="00CB093C">
          <w:rPr>
            <w:rFonts w:ascii="Arial" w:hAnsi="Arial" w:cs="Arial"/>
            <w:noProof/>
            <w:szCs w:val="22"/>
          </w:rPr>
          <w:t xml:space="preserve"> 2014</w:t>
        </w:r>
      </w:hyperlink>
      <w:r w:rsidR="00513C39" w:rsidRPr="00CB093C">
        <w:rPr>
          <w:rFonts w:ascii="Arial" w:hAnsi="Arial" w:cs="Arial"/>
          <w:szCs w:val="22"/>
        </w:rPr>
        <w:fldChar w:fldCharType="end"/>
      </w:r>
      <w:r w:rsidRPr="00CB093C">
        <w:rPr>
          <w:rFonts w:ascii="Arial" w:hAnsi="Arial" w:cs="Arial"/>
          <w:szCs w:val="22"/>
        </w:rPr>
        <w:t xml:space="preserve">). Since then, there have been periods of low light and exceedance of light thresholds, but the low light levels have not been as extreme (as low light, or for as long). </w:t>
      </w:r>
      <w:r w:rsidR="00297322" w:rsidRPr="00CB093C">
        <w:rPr>
          <w:rFonts w:ascii="Arial" w:hAnsi="Arial" w:cs="Arial"/>
          <w:szCs w:val="22"/>
        </w:rPr>
        <w:t>T</w:t>
      </w:r>
      <w:r w:rsidRPr="00CB093C">
        <w:rPr>
          <w:rFonts w:ascii="Arial" w:hAnsi="Arial" w:cs="Arial"/>
          <w:szCs w:val="22"/>
        </w:rPr>
        <w:t xml:space="preserve">he meadows have </w:t>
      </w:r>
      <w:r w:rsidR="00A034C8" w:rsidRPr="00CB093C">
        <w:rPr>
          <w:rFonts w:ascii="Arial" w:hAnsi="Arial" w:cs="Arial"/>
          <w:szCs w:val="22"/>
        </w:rPr>
        <w:t xml:space="preserve">continued in a state of </w:t>
      </w:r>
      <w:r w:rsidRPr="00CB093C">
        <w:rPr>
          <w:rFonts w:ascii="Arial" w:hAnsi="Arial" w:cs="Arial"/>
          <w:szCs w:val="22"/>
        </w:rPr>
        <w:t>recovery, and the biological processes of recovery appear</w:t>
      </w:r>
      <w:r w:rsidR="00F67D9A" w:rsidRPr="00CB093C">
        <w:rPr>
          <w:rFonts w:ascii="Arial" w:hAnsi="Arial" w:cs="Arial"/>
          <w:szCs w:val="22"/>
        </w:rPr>
        <w:t>s</w:t>
      </w:r>
      <w:r w:rsidRPr="00CB093C">
        <w:rPr>
          <w:rFonts w:ascii="Arial" w:hAnsi="Arial" w:cs="Arial"/>
          <w:szCs w:val="22"/>
        </w:rPr>
        <w:t xml:space="preserve"> to complicate the respo</w:t>
      </w:r>
      <w:r w:rsidR="00152F1D" w:rsidRPr="00CB093C">
        <w:rPr>
          <w:rFonts w:ascii="Arial" w:hAnsi="Arial" w:cs="Arial"/>
          <w:szCs w:val="22"/>
        </w:rPr>
        <w:t>nse to environmental stressors.</w:t>
      </w:r>
    </w:p>
    <w:p w14:paraId="649C0C6E" w14:textId="35802126" w:rsidR="00EC47B9" w:rsidRPr="00CB093C" w:rsidRDefault="00EC47B9" w:rsidP="00EC47B9">
      <w:pPr>
        <w:rPr>
          <w:rFonts w:ascii="Arial" w:hAnsi="Arial" w:cs="Arial"/>
          <w:szCs w:val="22"/>
          <w:lang w:val="en-GB"/>
        </w:rPr>
      </w:pPr>
      <w:r w:rsidRPr="00CB093C">
        <w:rPr>
          <w:rFonts w:ascii="Arial" w:hAnsi="Arial" w:cs="Arial"/>
          <w:szCs w:val="22"/>
          <w:lang w:val="en-GB"/>
        </w:rPr>
        <w:t xml:space="preserve">For the Reef’s inshore seagrass meadows to improve from their current poor and vulnerable state with reduced resilience will require </w:t>
      </w:r>
      <w:r w:rsidR="00F73D9E" w:rsidRPr="00CB093C">
        <w:rPr>
          <w:rFonts w:ascii="Arial" w:hAnsi="Arial" w:cs="Arial"/>
          <w:szCs w:val="22"/>
          <w:lang w:val="en-GB"/>
        </w:rPr>
        <w:t>a return to</w:t>
      </w:r>
      <w:r w:rsidRPr="00CB093C">
        <w:rPr>
          <w:rFonts w:ascii="Arial" w:hAnsi="Arial" w:cs="Arial"/>
          <w:szCs w:val="22"/>
          <w:lang w:val="en-GB"/>
        </w:rPr>
        <w:t xml:space="preserve"> conducive conditions for seagrass growth and reduced environmental pressures in the immediate future. To secure the future of the Reef’s seagrass ecosystems will also necessitate </w:t>
      </w:r>
      <w:r w:rsidR="00F73D9E" w:rsidRPr="00CB093C">
        <w:rPr>
          <w:rFonts w:ascii="Arial" w:hAnsi="Arial" w:cs="Arial"/>
          <w:szCs w:val="22"/>
          <w:lang w:val="en-GB"/>
        </w:rPr>
        <w:t xml:space="preserve">improved interdisciplinary and multidisciplinary ecosystem science on resilience and recovery, and </w:t>
      </w:r>
      <w:r w:rsidRPr="00CB093C">
        <w:rPr>
          <w:rFonts w:ascii="Arial" w:hAnsi="Arial" w:cs="Arial"/>
          <w:szCs w:val="22"/>
          <w:lang w:val="en-GB"/>
        </w:rPr>
        <w:t>the use of future climate adjusted conservation targets that allow for cumulative impacts and ecological feedbacks.</w:t>
      </w:r>
    </w:p>
    <w:bookmarkEnd w:id="544"/>
    <w:bookmarkEnd w:id="545"/>
    <w:bookmarkEnd w:id="546"/>
    <w:bookmarkEnd w:id="547"/>
    <w:p w14:paraId="2B3CD2EC" w14:textId="77777777" w:rsidR="00DE07B4" w:rsidRPr="00CB093C" w:rsidRDefault="00DE07B4" w:rsidP="00250AD6">
      <w:pPr>
        <w:autoSpaceDE w:val="0"/>
        <w:autoSpaceDN w:val="0"/>
        <w:adjustRightInd w:val="0"/>
        <w:rPr>
          <w:rFonts w:ascii="Arial" w:hAnsi="Arial" w:cs="Arial"/>
          <w:szCs w:val="22"/>
          <w:lang w:val="en-US"/>
        </w:rPr>
      </w:pPr>
    </w:p>
    <w:p w14:paraId="61E51CF6" w14:textId="3C526FF3" w:rsidR="00250AD6" w:rsidRPr="00CB093C" w:rsidRDefault="00250AD6" w:rsidP="00AD06D4">
      <w:pPr>
        <w:pStyle w:val="ListParagraph"/>
        <w:numPr>
          <w:ilvl w:val="0"/>
          <w:numId w:val="4"/>
        </w:numPr>
        <w:rPr>
          <w:rFonts w:ascii="Arial" w:hAnsi="Arial" w:cs="Arial"/>
          <w:szCs w:val="22"/>
          <w:lang w:val="en-US"/>
        </w:rPr>
        <w:sectPr w:rsidR="00250AD6" w:rsidRPr="00CB093C" w:rsidSect="00250AD6">
          <w:pgSz w:w="11900" w:h="16840"/>
          <w:pgMar w:top="1440" w:right="1440" w:bottom="1440" w:left="1440" w:header="708" w:footer="708" w:gutter="0"/>
          <w:cols w:space="708"/>
          <w:docGrid w:linePitch="360"/>
        </w:sectPr>
      </w:pPr>
    </w:p>
    <w:p w14:paraId="46AADF35" w14:textId="77777777" w:rsidR="009A0520" w:rsidRPr="00CB093C" w:rsidRDefault="009A0520" w:rsidP="0015509E">
      <w:pPr>
        <w:pStyle w:val="Heading1"/>
      </w:pPr>
      <w:bookmarkStart w:id="555" w:name="_Toc232845952"/>
      <w:bookmarkStart w:id="556" w:name="_Toc184102053"/>
      <w:bookmarkStart w:id="557" w:name="_Toc431493789"/>
      <w:bookmarkStart w:id="558" w:name="_Toc442706400"/>
      <w:bookmarkStart w:id="559" w:name="_Toc11394783"/>
      <w:bookmarkStart w:id="560" w:name="_Toc170191673"/>
      <w:bookmarkStart w:id="561" w:name="_Toc175991101"/>
      <w:r w:rsidRPr="00CB093C">
        <w:t>References</w:t>
      </w:r>
      <w:bookmarkEnd w:id="555"/>
      <w:bookmarkEnd w:id="556"/>
      <w:bookmarkEnd w:id="557"/>
      <w:bookmarkEnd w:id="558"/>
      <w:bookmarkEnd w:id="559"/>
    </w:p>
    <w:bookmarkEnd w:id="560"/>
    <w:bookmarkEnd w:id="561"/>
    <w:p w14:paraId="4A2135AB" w14:textId="77777777" w:rsidR="00513C39" w:rsidRPr="00CB093C" w:rsidRDefault="009A0520" w:rsidP="00513C39">
      <w:pPr>
        <w:pStyle w:val="EndNoteBibliography"/>
        <w:spacing w:after="0"/>
        <w:ind w:left="720" w:hanging="720"/>
        <w:rPr>
          <w:rFonts w:ascii="Arial" w:hAnsi="Arial" w:cs="Arial"/>
          <w:sz w:val="22"/>
          <w:szCs w:val="22"/>
        </w:rPr>
      </w:pPr>
      <w:r w:rsidRPr="00CB093C">
        <w:rPr>
          <w:rFonts w:ascii="Arial" w:hAnsi="Arial" w:cs="Arial"/>
          <w:sz w:val="22"/>
          <w:szCs w:val="22"/>
          <w:lang w:val="x-none"/>
        </w:rPr>
        <w:fldChar w:fldCharType="begin"/>
      </w:r>
      <w:r w:rsidRPr="00CB093C">
        <w:rPr>
          <w:rFonts w:ascii="Arial" w:hAnsi="Arial" w:cs="Arial"/>
          <w:sz w:val="22"/>
          <w:szCs w:val="22"/>
          <w:lang w:val="x-none"/>
        </w:rPr>
        <w:instrText xml:space="preserve"> ADDIN EN.REFLIST </w:instrText>
      </w:r>
      <w:r w:rsidRPr="00CB093C">
        <w:rPr>
          <w:rFonts w:ascii="Arial" w:hAnsi="Arial" w:cs="Arial"/>
          <w:sz w:val="22"/>
          <w:szCs w:val="22"/>
          <w:lang w:val="x-none"/>
        </w:rPr>
        <w:fldChar w:fldCharType="separate"/>
      </w:r>
      <w:bookmarkStart w:id="562" w:name="_ENREF_1"/>
      <w:r w:rsidR="00513C39" w:rsidRPr="00CB093C">
        <w:rPr>
          <w:rFonts w:ascii="Arial" w:hAnsi="Arial" w:cs="Arial"/>
          <w:sz w:val="22"/>
          <w:szCs w:val="22"/>
        </w:rPr>
        <w:t xml:space="preserve">Abal, E.G., Loneragan, N.R., Bowen, P., Perry, C.J., Udy, J.W., Dennison, W.C. 1994, Physiological and morphological responses of the seagrass </w:t>
      </w:r>
      <w:r w:rsidR="00513C39" w:rsidRPr="00CB093C">
        <w:rPr>
          <w:rFonts w:ascii="Arial" w:hAnsi="Arial" w:cs="Arial"/>
          <w:i/>
          <w:sz w:val="22"/>
          <w:szCs w:val="22"/>
        </w:rPr>
        <w:t>Zostera capricorni</w:t>
      </w:r>
      <w:r w:rsidR="00513C39" w:rsidRPr="00CB093C">
        <w:rPr>
          <w:rFonts w:ascii="Arial" w:hAnsi="Arial" w:cs="Arial"/>
          <w:sz w:val="22"/>
          <w:szCs w:val="22"/>
        </w:rPr>
        <w:t xml:space="preserve"> Aschers. to light intensity. </w:t>
      </w:r>
      <w:r w:rsidR="00513C39" w:rsidRPr="00CB093C">
        <w:rPr>
          <w:rFonts w:ascii="Arial" w:hAnsi="Arial" w:cs="Arial"/>
          <w:i/>
          <w:sz w:val="22"/>
          <w:szCs w:val="22"/>
        </w:rPr>
        <w:t xml:space="preserve">Journal of Experimental Marine Biology and Ecology, </w:t>
      </w:r>
      <w:r w:rsidR="00513C39" w:rsidRPr="00CB093C">
        <w:rPr>
          <w:rFonts w:ascii="Arial" w:hAnsi="Arial" w:cs="Arial"/>
          <w:sz w:val="22"/>
          <w:szCs w:val="22"/>
        </w:rPr>
        <w:t xml:space="preserve">178(1): 113-129. </w:t>
      </w:r>
      <w:bookmarkEnd w:id="562"/>
    </w:p>
    <w:p w14:paraId="6F023BCF" w14:textId="77777777" w:rsidR="00513C39" w:rsidRPr="00CB093C" w:rsidRDefault="00513C39" w:rsidP="00513C39">
      <w:pPr>
        <w:pStyle w:val="EndNoteBibliography"/>
        <w:spacing w:after="0"/>
        <w:ind w:left="720" w:hanging="720"/>
        <w:rPr>
          <w:rFonts w:ascii="Arial" w:hAnsi="Arial" w:cs="Arial"/>
          <w:sz w:val="22"/>
          <w:szCs w:val="22"/>
        </w:rPr>
      </w:pPr>
      <w:bookmarkStart w:id="563" w:name="_ENREF_2"/>
      <w:r w:rsidRPr="00CB093C">
        <w:rPr>
          <w:rFonts w:ascii="Arial" w:hAnsi="Arial" w:cs="Arial"/>
          <w:sz w:val="22"/>
          <w:szCs w:val="22"/>
        </w:rPr>
        <w:t xml:space="preserve">Angelini, C., Altieri, A.H., Silliman, B.R., Bertness, M.D. 2011, Interactions among Foundation Species and their Consequences for Community Organization, Biodiversity, and Conservation. </w:t>
      </w:r>
      <w:r w:rsidRPr="00CB093C">
        <w:rPr>
          <w:rFonts w:ascii="Arial" w:hAnsi="Arial" w:cs="Arial"/>
          <w:i/>
          <w:sz w:val="22"/>
          <w:szCs w:val="22"/>
        </w:rPr>
        <w:t xml:space="preserve">BioScience, </w:t>
      </w:r>
      <w:r w:rsidRPr="00CB093C">
        <w:rPr>
          <w:rFonts w:ascii="Arial" w:hAnsi="Arial" w:cs="Arial"/>
          <w:sz w:val="22"/>
          <w:szCs w:val="22"/>
        </w:rPr>
        <w:t xml:space="preserve">61(10): 782-789. </w:t>
      </w:r>
      <w:bookmarkEnd w:id="563"/>
    </w:p>
    <w:p w14:paraId="2B750FEA" w14:textId="77777777" w:rsidR="00513C39" w:rsidRPr="00CB093C" w:rsidRDefault="00513C39" w:rsidP="00513C39">
      <w:pPr>
        <w:pStyle w:val="EndNoteBibliography"/>
        <w:spacing w:after="0"/>
        <w:ind w:left="720" w:hanging="720"/>
        <w:rPr>
          <w:rFonts w:ascii="Arial" w:hAnsi="Arial" w:cs="Arial"/>
          <w:sz w:val="22"/>
          <w:szCs w:val="22"/>
        </w:rPr>
      </w:pPr>
      <w:bookmarkStart w:id="564" w:name="_ENREF_3"/>
      <w:r w:rsidRPr="00CB093C">
        <w:rPr>
          <w:rFonts w:ascii="Arial" w:hAnsi="Arial" w:cs="Arial"/>
          <w:sz w:val="22"/>
          <w:szCs w:val="22"/>
        </w:rPr>
        <w:t xml:space="preserve">Anthony, K.R.N., Ridd, P.V., Orpin, A.R., Larcombe, P., Lough, J. 2004, Temporal variation in light availability in coastal benthic habitats: Effects of clouds, turbidity, and tides. </w:t>
      </w:r>
      <w:r w:rsidRPr="00CB093C">
        <w:rPr>
          <w:rFonts w:ascii="Arial" w:hAnsi="Arial" w:cs="Arial"/>
          <w:i/>
          <w:sz w:val="22"/>
          <w:szCs w:val="22"/>
        </w:rPr>
        <w:t xml:space="preserve">Limnology and Oceanography, </w:t>
      </w:r>
      <w:r w:rsidRPr="00CB093C">
        <w:rPr>
          <w:rFonts w:ascii="Arial" w:hAnsi="Arial" w:cs="Arial"/>
          <w:sz w:val="22"/>
          <w:szCs w:val="22"/>
        </w:rPr>
        <w:t xml:space="preserve">49(6): 2201-2211. </w:t>
      </w:r>
      <w:bookmarkEnd w:id="564"/>
    </w:p>
    <w:p w14:paraId="02AFB4C8" w14:textId="77777777" w:rsidR="00513C39" w:rsidRPr="00CB093C" w:rsidRDefault="00513C39" w:rsidP="00513C39">
      <w:pPr>
        <w:pStyle w:val="EndNoteBibliography"/>
        <w:spacing w:after="0"/>
        <w:ind w:left="720" w:hanging="720"/>
        <w:rPr>
          <w:rFonts w:ascii="Arial" w:hAnsi="Arial" w:cs="Arial"/>
          <w:sz w:val="22"/>
          <w:szCs w:val="22"/>
        </w:rPr>
      </w:pPr>
      <w:bookmarkStart w:id="565" w:name="_ENREF_4"/>
      <w:r w:rsidRPr="00CB093C">
        <w:rPr>
          <w:rFonts w:ascii="Arial" w:hAnsi="Arial" w:cs="Arial"/>
          <w:sz w:val="22"/>
          <w:szCs w:val="22"/>
        </w:rPr>
        <w:t xml:space="preserve">ANZECC. 2000, </w:t>
      </w:r>
      <w:r w:rsidRPr="00CB093C">
        <w:rPr>
          <w:rFonts w:ascii="Arial" w:hAnsi="Arial" w:cs="Arial"/>
          <w:i/>
          <w:sz w:val="22"/>
          <w:szCs w:val="22"/>
        </w:rPr>
        <w:t>Australian and New Zealand guidelines for fresh and marine water quality</w:t>
      </w:r>
      <w:r w:rsidRPr="00CB093C">
        <w:rPr>
          <w:rFonts w:ascii="Arial" w:hAnsi="Arial" w:cs="Arial"/>
          <w:sz w:val="22"/>
          <w:szCs w:val="22"/>
        </w:rPr>
        <w:t>. Canberra: Australian and New Zealand Environment and Conservation Council and Agriculture and Resource Management Council of Australia and New Zealand.</w:t>
      </w:r>
      <w:bookmarkEnd w:id="565"/>
    </w:p>
    <w:p w14:paraId="6E932D2F" w14:textId="77777777" w:rsidR="00513C39" w:rsidRPr="00CB093C" w:rsidRDefault="00513C39" w:rsidP="00513C39">
      <w:pPr>
        <w:pStyle w:val="EndNoteBibliography"/>
        <w:spacing w:after="0"/>
        <w:ind w:left="720" w:hanging="720"/>
        <w:rPr>
          <w:rFonts w:ascii="Arial" w:hAnsi="Arial" w:cs="Arial"/>
          <w:sz w:val="22"/>
          <w:szCs w:val="22"/>
        </w:rPr>
      </w:pPr>
      <w:bookmarkStart w:id="566" w:name="_ENREF_5"/>
      <w:r w:rsidRPr="00CB093C">
        <w:rPr>
          <w:rFonts w:ascii="Arial" w:hAnsi="Arial" w:cs="Arial"/>
          <w:sz w:val="22"/>
          <w:szCs w:val="22"/>
        </w:rPr>
        <w:t>Arthur, K., Boyle, M., Limpus, C. 2008, Ontogenetic changes in diet and habitat use in green sea turtle (</w:t>
      </w:r>
      <w:r w:rsidRPr="00CB093C">
        <w:rPr>
          <w:rFonts w:ascii="Arial" w:hAnsi="Arial" w:cs="Arial"/>
          <w:i/>
          <w:sz w:val="22"/>
          <w:szCs w:val="22"/>
        </w:rPr>
        <w:t>Chelonia mydas</w:t>
      </w:r>
      <w:r w:rsidRPr="00CB093C">
        <w:rPr>
          <w:rFonts w:ascii="Arial" w:hAnsi="Arial" w:cs="Arial"/>
          <w:sz w:val="22"/>
          <w:szCs w:val="22"/>
        </w:rPr>
        <w:t xml:space="preserve">) life history. </w:t>
      </w:r>
      <w:r w:rsidRPr="00CB093C">
        <w:rPr>
          <w:rFonts w:ascii="Arial" w:hAnsi="Arial" w:cs="Arial"/>
          <w:i/>
          <w:sz w:val="22"/>
          <w:szCs w:val="22"/>
        </w:rPr>
        <w:t xml:space="preserve">Marine Ecology Progress Series, </w:t>
      </w:r>
      <w:r w:rsidRPr="00CB093C">
        <w:rPr>
          <w:rFonts w:ascii="Arial" w:hAnsi="Arial" w:cs="Arial"/>
          <w:sz w:val="22"/>
          <w:szCs w:val="22"/>
        </w:rPr>
        <w:t xml:space="preserve">362: 303-311. </w:t>
      </w:r>
      <w:bookmarkEnd w:id="566"/>
    </w:p>
    <w:p w14:paraId="77DFC881" w14:textId="77777777" w:rsidR="00513C39" w:rsidRPr="00CB093C" w:rsidRDefault="00513C39" w:rsidP="00513C39">
      <w:pPr>
        <w:pStyle w:val="EndNoteBibliography"/>
        <w:spacing w:after="0"/>
        <w:ind w:left="720" w:hanging="720"/>
        <w:rPr>
          <w:rFonts w:ascii="Arial" w:hAnsi="Arial" w:cs="Arial"/>
          <w:sz w:val="22"/>
          <w:szCs w:val="22"/>
        </w:rPr>
      </w:pPr>
      <w:bookmarkStart w:id="567" w:name="_ENREF_6"/>
      <w:r w:rsidRPr="00CB093C">
        <w:rPr>
          <w:rFonts w:ascii="Arial" w:hAnsi="Arial" w:cs="Arial"/>
          <w:sz w:val="22"/>
          <w:szCs w:val="22"/>
        </w:rPr>
        <w:t xml:space="preserve">Atkinson, M.J. and Smith, S.V. 1983, C:N:P ratios of benthic marine plants. </w:t>
      </w:r>
      <w:r w:rsidRPr="00CB093C">
        <w:rPr>
          <w:rFonts w:ascii="Arial" w:hAnsi="Arial" w:cs="Arial"/>
          <w:i/>
          <w:sz w:val="22"/>
          <w:szCs w:val="22"/>
        </w:rPr>
        <w:t xml:space="preserve">Limnology and Oceanography, </w:t>
      </w:r>
      <w:r w:rsidRPr="00CB093C">
        <w:rPr>
          <w:rFonts w:ascii="Arial" w:hAnsi="Arial" w:cs="Arial"/>
          <w:sz w:val="22"/>
          <w:szCs w:val="22"/>
        </w:rPr>
        <w:t xml:space="preserve">28(3): 568-574. </w:t>
      </w:r>
      <w:bookmarkEnd w:id="567"/>
    </w:p>
    <w:p w14:paraId="4240888F" w14:textId="77777777" w:rsidR="00513C39" w:rsidRPr="00CB093C" w:rsidRDefault="00513C39" w:rsidP="00513C39">
      <w:pPr>
        <w:pStyle w:val="EndNoteBibliography"/>
        <w:spacing w:after="0"/>
        <w:ind w:left="720" w:hanging="720"/>
        <w:rPr>
          <w:rFonts w:ascii="Arial" w:hAnsi="Arial" w:cs="Arial"/>
          <w:sz w:val="22"/>
          <w:szCs w:val="22"/>
        </w:rPr>
      </w:pPr>
      <w:bookmarkStart w:id="568" w:name="_ENREF_7"/>
      <w:r w:rsidRPr="00CB093C">
        <w:rPr>
          <w:rFonts w:ascii="Arial" w:hAnsi="Arial" w:cs="Arial"/>
          <w:sz w:val="22"/>
          <w:szCs w:val="22"/>
        </w:rPr>
        <w:t xml:space="preserve">Australian Government and Queensland Government. 2018a, </w:t>
      </w:r>
      <w:r w:rsidRPr="00CB093C">
        <w:rPr>
          <w:rFonts w:ascii="Arial" w:hAnsi="Arial" w:cs="Arial"/>
          <w:i/>
          <w:sz w:val="22"/>
          <w:szCs w:val="22"/>
        </w:rPr>
        <w:t>Reef 2050 Long-Term Sustainability Plan—July 2018</w:t>
      </w:r>
      <w:r w:rsidRPr="00CB093C">
        <w:rPr>
          <w:rFonts w:ascii="Arial" w:hAnsi="Arial" w:cs="Arial"/>
          <w:sz w:val="22"/>
          <w:szCs w:val="22"/>
        </w:rPr>
        <w:t>. Canberra : Brisbane: Australian Government ; Queensland Government.</w:t>
      </w:r>
      <w:bookmarkEnd w:id="568"/>
    </w:p>
    <w:p w14:paraId="02EB2683" w14:textId="77777777" w:rsidR="00513C39" w:rsidRPr="00CB093C" w:rsidRDefault="00513C39" w:rsidP="00513C39">
      <w:pPr>
        <w:pStyle w:val="EndNoteBibliography"/>
        <w:spacing w:after="0"/>
        <w:ind w:left="720" w:hanging="720"/>
        <w:rPr>
          <w:rFonts w:ascii="Arial" w:hAnsi="Arial" w:cs="Arial"/>
          <w:sz w:val="22"/>
          <w:szCs w:val="22"/>
        </w:rPr>
      </w:pPr>
      <w:bookmarkStart w:id="569" w:name="_ENREF_8"/>
      <w:r w:rsidRPr="00CB093C">
        <w:rPr>
          <w:rFonts w:ascii="Arial" w:hAnsi="Arial" w:cs="Arial"/>
          <w:sz w:val="22"/>
          <w:szCs w:val="22"/>
        </w:rPr>
        <w:t xml:space="preserve">Australian Government and Queensland Government. 2018b, </w:t>
      </w:r>
      <w:r w:rsidRPr="00CB093C">
        <w:rPr>
          <w:rFonts w:ascii="Arial" w:hAnsi="Arial" w:cs="Arial"/>
          <w:i/>
          <w:sz w:val="22"/>
          <w:szCs w:val="22"/>
        </w:rPr>
        <w:t>Reef 2050 Water Quality Improvement Plan: 2017 - 2022</w:t>
      </w:r>
      <w:r w:rsidRPr="00CB093C">
        <w:rPr>
          <w:rFonts w:ascii="Arial" w:hAnsi="Arial" w:cs="Arial"/>
          <w:sz w:val="22"/>
          <w:szCs w:val="22"/>
        </w:rPr>
        <w:t>. Brisbane: State of Queensland.</w:t>
      </w:r>
      <w:bookmarkEnd w:id="569"/>
    </w:p>
    <w:p w14:paraId="641AD654" w14:textId="77777777" w:rsidR="00513C39" w:rsidRPr="00CB093C" w:rsidRDefault="00513C39" w:rsidP="00513C39">
      <w:pPr>
        <w:pStyle w:val="EndNoteBibliography"/>
        <w:spacing w:after="0"/>
        <w:ind w:left="720" w:hanging="720"/>
        <w:rPr>
          <w:rFonts w:ascii="Arial" w:hAnsi="Arial" w:cs="Arial"/>
          <w:sz w:val="22"/>
          <w:szCs w:val="22"/>
        </w:rPr>
      </w:pPr>
      <w:bookmarkStart w:id="570" w:name="_ENREF_9"/>
      <w:r w:rsidRPr="00CB093C">
        <w:rPr>
          <w:rFonts w:ascii="Arial" w:hAnsi="Arial" w:cs="Arial"/>
          <w:sz w:val="22"/>
          <w:szCs w:val="22"/>
        </w:rPr>
        <w:t xml:space="preserve">Bainbridge, Z., Wolanski, E., Lewis, S., Brodie, J. 2012, Fine sediment and nutrient dynamics related to particle size and floc formation in a Burdekin River flood plume, Australia. </w:t>
      </w:r>
      <w:r w:rsidRPr="00CB093C">
        <w:rPr>
          <w:rFonts w:ascii="Arial" w:hAnsi="Arial" w:cs="Arial"/>
          <w:i/>
          <w:sz w:val="22"/>
          <w:szCs w:val="22"/>
        </w:rPr>
        <w:t xml:space="preserve">Marine Pollution Bulletin, </w:t>
      </w:r>
      <w:r w:rsidRPr="00CB093C">
        <w:rPr>
          <w:rFonts w:ascii="Arial" w:hAnsi="Arial" w:cs="Arial"/>
          <w:sz w:val="22"/>
          <w:szCs w:val="22"/>
        </w:rPr>
        <w:t xml:space="preserve">65: 236-248. </w:t>
      </w:r>
      <w:bookmarkEnd w:id="570"/>
    </w:p>
    <w:p w14:paraId="51C81F7D" w14:textId="77777777" w:rsidR="00513C39" w:rsidRPr="00CB093C" w:rsidRDefault="00513C39" w:rsidP="00513C39">
      <w:pPr>
        <w:pStyle w:val="EndNoteBibliography"/>
        <w:spacing w:after="0"/>
        <w:ind w:left="720" w:hanging="720"/>
        <w:rPr>
          <w:rFonts w:ascii="Arial" w:hAnsi="Arial" w:cs="Arial"/>
          <w:sz w:val="22"/>
          <w:szCs w:val="22"/>
        </w:rPr>
      </w:pPr>
      <w:bookmarkStart w:id="571" w:name="_ENREF_10"/>
      <w:r w:rsidRPr="00CB093C">
        <w:rPr>
          <w:rFonts w:ascii="Arial" w:hAnsi="Arial" w:cs="Arial"/>
          <w:sz w:val="22"/>
          <w:szCs w:val="22"/>
        </w:rPr>
        <w:t xml:space="preserve">Birch, W. and Birch, M. 1984, Succession and pattern of tropical intertidal seagrasses in Cockle Bay, Queensland, Australia: a decade of observations. </w:t>
      </w:r>
      <w:r w:rsidRPr="00CB093C">
        <w:rPr>
          <w:rFonts w:ascii="Arial" w:hAnsi="Arial" w:cs="Arial"/>
          <w:i/>
          <w:sz w:val="22"/>
          <w:szCs w:val="22"/>
        </w:rPr>
        <w:t xml:space="preserve">Aquatic Botany, </w:t>
      </w:r>
      <w:r w:rsidRPr="00CB093C">
        <w:rPr>
          <w:rFonts w:ascii="Arial" w:hAnsi="Arial" w:cs="Arial"/>
          <w:sz w:val="22"/>
          <w:szCs w:val="22"/>
        </w:rPr>
        <w:t xml:space="preserve">19: 343-367. </w:t>
      </w:r>
      <w:bookmarkEnd w:id="571"/>
    </w:p>
    <w:p w14:paraId="5C1A63E1" w14:textId="77777777" w:rsidR="00513C39" w:rsidRPr="00CB093C" w:rsidRDefault="00513C39" w:rsidP="00513C39">
      <w:pPr>
        <w:pStyle w:val="EndNoteBibliography"/>
        <w:spacing w:after="0"/>
        <w:ind w:left="720" w:hanging="720"/>
        <w:rPr>
          <w:rFonts w:ascii="Arial" w:hAnsi="Arial" w:cs="Arial"/>
          <w:sz w:val="22"/>
          <w:szCs w:val="22"/>
        </w:rPr>
      </w:pPr>
      <w:bookmarkStart w:id="572" w:name="_ENREF_11"/>
      <w:r w:rsidRPr="00CB093C">
        <w:rPr>
          <w:rFonts w:ascii="Arial" w:hAnsi="Arial" w:cs="Arial"/>
          <w:sz w:val="22"/>
          <w:szCs w:val="22"/>
        </w:rPr>
        <w:t xml:space="preserve">Borum, J., Duarte, C.M., Krause-Jensen, D., Greve, T.M. 2004, </w:t>
      </w:r>
      <w:r w:rsidRPr="00CB093C">
        <w:rPr>
          <w:rFonts w:ascii="Arial" w:hAnsi="Arial" w:cs="Arial"/>
          <w:i/>
          <w:sz w:val="22"/>
          <w:szCs w:val="22"/>
        </w:rPr>
        <w:t>European seagrasses: an introduction to monitoring and management</w:t>
      </w:r>
      <w:r w:rsidRPr="00CB093C">
        <w:rPr>
          <w:rFonts w:ascii="Arial" w:hAnsi="Arial" w:cs="Arial"/>
          <w:sz w:val="22"/>
          <w:szCs w:val="22"/>
        </w:rPr>
        <w:t>. Copenhagen: The M&amp;MS project.</w:t>
      </w:r>
      <w:bookmarkEnd w:id="572"/>
    </w:p>
    <w:p w14:paraId="53BD27DD" w14:textId="77777777" w:rsidR="00513C39" w:rsidRPr="00CB093C" w:rsidRDefault="00513C39" w:rsidP="00513C39">
      <w:pPr>
        <w:pStyle w:val="EndNoteBibliography"/>
        <w:spacing w:after="0"/>
        <w:ind w:left="720" w:hanging="720"/>
        <w:rPr>
          <w:rFonts w:ascii="Arial" w:hAnsi="Arial" w:cs="Arial"/>
          <w:sz w:val="22"/>
          <w:szCs w:val="22"/>
        </w:rPr>
      </w:pPr>
      <w:bookmarkStart w:id="573" w:name="_ENREF_12"/>
      <w:r w:rsidRPr="00CB093C">
        <w:rPr>
          <w:rFonts w:ascii="Arial" w:hAnsi="Arial" w:cs="Arial"/>
          <w:sz w:val="22"/>
          <w:szCs w:val="22"/>
        </w:rPr>
        <w:t xml:space="preserve">Brodie, J., Waterhouse, J., Schaffelke, B., Johnson, J., Kroon, F., Thorburn, P., Rolfe, J., Lewis, S., Warne, M., Fabricius, K., McKenzie, L.J., Devlin, M. 2013, </w:t>
      </w:r>
      <w:r w:rsidRPr="00CB093C">
        <w:rPr>
          <w:rFonts w:ascii="Arial" w:hAnsi="Arial" w:cs="Arial"/>
          <w:i/>
          <w:sz w:val="22"/>
          <w:szCs w:val="22"/>
        </w:rPr>
        <w:t>Reef Water Quality Scientific Consensus Statement 2013</w:t>
      </w:r>
      <w:r w:rsidRPr="00CB093C">
        <w:rPr>
          <w:rFonts w:ascii="Arial" w:hAnsi="Arial" w:cs="Arial"/>
          <w:sz w:val="22"/>
          <w:szCs w:val="22"/>
        </w:rPr>
        <w:t>. Brisbane: Department of the Premier and Cabinet, Queensland Government.</w:t>
      </w:r>
      <w:bookmarkEnd w:id="573"/>
    </w:p>
    <w:p w14:paraId="5F5F114B" w14:textId="77777777" w:rsidR="00513C39" w:rsidRPr="00CB093C" w:rsidRDefault="00513C39" w:rsidP="00513C39">
      <w:pPr>
        <w:pStyle w:val="EndNoteBibliography"/>
        <w:spacing w:after="0"/>
        <w:ind w:left="720" w:hanging="720"/>
        <w:rPr>
          <w:rFonts w:ascii="Arial" w:hAnsi="Arial" w:cs="Arial"/>
          <w:sz w:val="22"/>
          <w:szCs w:val="22"/>
        </w:rPr>
      </w:pPr>
      <w:bookmarkStart w:id="574" w:name="_ENREF_13"/>
      <w:r w:rsidRPr="00CB093C">
        <w:rPr>
          <w:rFonts w:ascii="Arial" w:hAnsi="Arial" w:cs="Arial"/>
          <w:sz w:val="22"/>
          <w:szCs w:val="22"/>
        </w:rPr>
        <w:t xml:space="preserve">Brodie, J.E., Kroon, F.J., Schaffelke, B., Wolanski, E.C., Lewis, S.E., Devlin, M.J., Bohnet, I.C., Bainbridge, Z.T., Waterhouse, J., Davis, A.M. 2012, Terrestrial pollutant runoff to the Great Barrier Reef: An update of issues, priorities and management responses. </w:t>
      </w:r>
      <w:r w:rsidRPr="00CB093C">
        <w:rPr>
          <w:rFonts w:ascii="Arial" w:hAnsi="Arial" w:cs="Arial"/>
          <w:i/>
          <w:sz w:val="22"/>
          <w:szCs w:val="22"/>
        </w:rPr>
        <w:t xml:space="preserve">Marine Pollution Bulletin, </w:t>
      </w:r>
      <w:r w:rsidRPr="00CB093C">
        <w:rPr>
          <w:rFonts w:ascii="Arial" w:hAnsi="Arial" w:cs="Arial"/>
          <w:sz w:val="22"/>
          <w:szCs w:val="22"/>
        </w:rPr>
        <w:t xml:space="preserve">65(4–9): 81-100. </w:t>
      </w:r>
      <w:bookmarkEnd w:id="574"/>
    </w:p>
    <w:p w14:paraId="3EA77C98" w14:textId="77777777" w:rsidR="00513C39" w:rsidRPr="00CB093C" w:rsidRDefault="00513C39" w:rsidP="00513C39">
      <w:pPr>
        <w:pStyle w:val="EndNoteBibliography"/>
        <w:spacing w:after="0"/>
        <w:ind w:left="720" w:hanging="720"/>
        <w:rPr>
          <w:rFonts w:ascii="Arial" w:hAnsi="Arial" w:cs="Arial"/>
          <w:sz w:val="22"/>
          <w:szCs w:val="22"/>
        </w:rPr>
      </w:pPr>
      <w:bookmarkStart w:id="575" w:name="_ENREF_14"/>
      <w:r w:rsidRPr="00CB093C">
        <w:rPr>
          <w:rFonts w:ascii="Arial" w:hAnsi="Arial" w:cs="Arial"/>
          <w:sz w:val="22"/>
          <w:szCs w:val="22"/>
        </w:rPr>
        <w:t xml:space="preserve">Bros, W.E. and Cowell, B.C. 1987, A technique for optimising sample size (replication). </w:t>
      </w:r>
      <w:r w:rsidRPr="00CB093C">
        <w:rPr>
          <w:rFonts w:ascii="Arial" w:hAnsi="Arial" w:cs="Arial"/>
          <w:i/>
          <w:sz w:val="22"/>
          <w:szCs w:val="22"/>
        </w:rPr>
        <w:t xml:space="preserve">Journal of  Experimental Marine Biology and Ecology, </w:t>
      </w:r>
      <w:r w:rsidRPr="00CB093C">
        <w:rPr>
          <w:rFonts w:ascii="Arial" w:hAnsi="Arial" w:cs="Arial"/>
          <w:sz w:val="22"/>
          <w:szCs w:val="22"/>
        </w:rPr>
        <w:t xml:space="preserve">114: 63-71. </w:t>
      </w:r>
      <w:bookmarkEnd w:id="575"/>
    </w:p>
    <w:p w14:paraId="125401CC" w14:textId="77777777" w:rsidR="00513C39" w:rsidRPr="00CB093C" w:rsidRDefault="00513C39" w:rsidP="00513C39">
      <w:pPr>
        <w:pStyle w:val="EndNoteBibliography"/>
        <w:spacing w:after="0"/>
        <w:ind w:left="720" w:hanging="720"/>
        <w:rPr>
          <w:rFonts w:ascii="Arial" w:hAnsi="Arial" w:cs="Arial"/>
          <w:sz w:val="22"/>
          <w:szCs w:val="22"/>
        </w:rPr>
      </w:pPr>
      <w:bookmarkStart w:id="576" w:name="_ENREF_15"/>
      <w:r w:rsidRPr="00CB093C">
        <w:rPr>
          <w:rFonts w:ascii="Arial" w:hAnsi="Arial" w:cs="Arial"/>
          <w:sz w:val="22"/>
          <w:szCs w:val="22"/>
        </w:rPr>
        <w:t xml:space="preserve">Cabaço, S., Apostolaki, E.T., García-Marín, P., Gruber, R., Hernández, I., Martínez-Crego, B., Mascaró, O., Pérez, M., Prathep, A., Robinson, C., Romero, J., Schmidt, A.L., Short, F.T., van Tussenbroek, B.I., Santos, R. 2013, Effects of nutrient enrichment on seagrass population dynamics: evidence and synthesis from the biomass–density relationships. </w:t>
      </w:r>
      <w:r w:rsidRPr="00CB093C">
        <w:rPr>
          <w:rFonts w:ascii="Arial" w:hAnsi="Arial" w:cs="Arial"/>
          <w:i/>
          <w:sz w:val="22"/>
          <w:szCs w:val="22"/>
        </w:rPr>
        <w:t xml:space="preserve">Journal of Ecology, </w:t>
      </w:r>
      <w:r w:rsidRPr="00CB093C">
        <w:rPr>
          <w:rFonts w:ascii="Arial" w:hAnsi="Arial" w:cs="Arial"/>
          <w:sz w:val="22"/>
          <w:szCs w:val="22"/>
        </w:rPr>
        <w:t>101(6): 1552-1562. doi: 10.1111/1365-2745.12134</w:t>
      </w:r>
      <w:bookmarkEnd w:id="576"/>
    </w:p>
    <w:p w14:paraId="76475B4F" w14:textId="77777777" w:rsidR="00513C39" w:rsidRPr="00CB093C" w:rsidRDefault="00513C39" w:rsidP="00513C39">
      <w:pPr>
        <w:pStyle w:val="EndNoteBibliography"/>
        <w:spacing w:after="0"/>
        <w:ind w:left="720" w:hanging="720"/>
        <w:rPr>
          <w:rFonts w:ascii="Arial" w:hAnsi="Arial" w:cs="Arial"/>
          <w:sz w:val="22"/>
          <w:szCs w:val="22"/>
        </w:rPr>
      </w:pPr>
      <w:bookmarkStart w:id="577" w:name="_ENREF_16"/>
      <w:r w:rsidRPr="00CB093C">
        <w:rPr>
          <w:rFonts w:ascii="Arial" w:hAnsi="Arial" w:cs="Arial"/>
          <w:sz w:val="22"/>
          <w:szCs w:val="22"/>
        </w:rPr>
        <w:t xml:space="preserve">Cabaço, S. and Santos, R. 2007, Effects of burial and erosion on the seagrass Zostera noltii. </w:t>
      </w:r>
      <w:r w:rsidRPr="00CB093C">
        <w:rPr>
          <w:rFonts w:ascii="Arial" w:hAnsi="Arial" w:cs="Arial"/>
          <w:i/>
          <w:sz w:val="22"/>
          <w:szCs w:val="22"/>
        </w:rPr>
        <w:t xml:space="preserve">Journal of Experimental Marine Biology and Ecology, </w:t>
      </w:r>
      <w:r w:rsidRPr="00CB093C">
        <w:rPr>
          <w:rFonts w:ascii="Arial" w:hAnsi="Arial" w:cs="Arial"/>
          <w:sz w:val="22"/>
          <w:szCs w:val="22"/>
        </w:rPr>
        <w:t xml:space="preserve">340: 204-212. </w:t>
      </w:r>
      <w:bookmarkEnd w:id="577"/>
    </w:p>
    <w:p w14:paraId="7160B838" w14:textId="77777777" w:rsidR="00513C39" w:rsidRPr="00CB093C" w:rsidRDefault="00513C39" w:rsidP="00513C39">
      <w:pPr>
        <w:pStyle w:val="EndNoteBibliography"/>
        <w:spacing w:after="0"/>
        <w:ind w:left="720" w:hanging="720"/>
        <w:rPr>
          <w:rFonts w:ascii="Arial" w:hAnsi="Arial" w:cs="Arial"/>
          <w:sz w:val="22"/>
          <w:szCs w:val="22"/>
        </w:rPr>
      </w:pPr>
      <w:bookmarkStart w:id="578" w:name="_ENREF_17"/>
      <w:r w:rsidRPr="00CB093C">
        <w:rPr>
          <w:rFonts w:ascii="Arial" w:hAnsi="Arial" w:cs="Arial"/>
          <w:sz w:val="22"/>
          <w:szCs w:val="22"/>
        </w:rPr>
        <w:t xml:space="preserve">Campbell, S.J. and McKenzie, L.J. 2001, Seagrass and algal abundance in the Whitsundays region. Status Report. </w:t>
      </w:r>
      <w:bookmarkEnd w:id="578"/>
    </w:p>
    <w:p w14:paraId="548A4CF7" w14:textId="77777777" w:rsidR="00513C39" w:rsidRPr="00CB093C" w:rsidRDefault="00513C39" w:rsidP="00513C39">
      <w:pPr>
        <w:pStyle w:val="EndNoteBibliography"/>
        <w:spacing w:after="0"/>
        <w:ind w:left="720" w:hanging="720"/>
        <w:rPr>
          <w:rFonts w:ascii="Arial" w:hAnsi="Arial" w:cs="Arial"/>
          <w:sz w:val="22"/>
          <w:szCs w:val="22"/>
        </w:rPr>
      </w:pPr>
      <w:bookmarkStart w:id="579" w:name="_ENREF_18"/>
      <w:r w:rsidRPr="00CB093C">
        <w:rPr>
          <w:rFonts w:ascii="Arial" w:hAnsi="Arial" w:cs="Arial"/>
          <w:sz w:val="22"/>
          <w:szCs w:val="22"/>
        </w:rPr>
        <w:t xml:space="preserve">Campbell, S.J. and McKenzie, L.J. 2004, Flood related loss and recovery of intertidal seagrass meadows in southern Queensland, Australia. </w:t>
      </w:r>
      <w:r w:rsidRPr="00CB093C">
        <w:rPr>
          <w:rFonts w:ascii="Arial" w:hAnsi="Arial" w:cs="Arial"/>
          <w:i/>
          <w:sz w:val="22"/>
          <w:szCs w:val="22"/>
        </w:rPr>
        <w:t xml:space="preserve">Estuarine, Coastal and Shelf Science, </w:t>
      </w:r>
      <w:r w:rsidRPr="00CB093C">
        <w:rPr>
          <w:rFonts w:ascii="Arial" w:hAnsi="Arial" w:cs="Arial"/>
          <w:sz w:val="22"/>
          <w:szCs w:val="22"/>
        </w:rPr>
        <w:t xml:space="preserve">60(3): 477-490. </w:t>
      </w:r>
      <w:bookmarkEnd w:id="579"/>
    </w:p>
    <w:p w14:paraId="35421868" w14:textId="77777777" w:rsidR="00513C39" w:rsidRPr="00CB093C" w:rsidRDefault="00513C39" w:rsidP="00513C39">
      <w:pPr>
        <w:pStyle w:val="EndNoteBibliography"/>
        <w:spacing w:after="0"/>
        <w:ind w:left="720" w:hanging="720"/>
        <w:rPr>
          <w:rFonts w:ascii="Arial" w:hAnsi="Arial" w:cs="Arial"/>
          <w:sz w:val="22"/>
          <w:szCs w:val="22"/>
        </w:rPr>
      </w:pPr>
      <w:bookmarkStart w:id="580" w:name="_ENREF_19"/>
      <w:r w:rsidRPr="00CB093C">
        <w:rPr>
          <w:rFonts w:ascii="Arial" w:hAnsi="Arial" w:cs="Arial"/>
          <w:sz w:val="22"/>
          <w:szCs w:val="22"/>
        </w:rPr>
        <w:t xml:space="preserve">Campbell, S.J., McKenzie, L.J., Kerville, S.P. 2006, Photosynthetic responses of seven tropical seagrasses to elevated seawater temperature. </w:t>
      </w:r>
      <w:r w:rsidRPr="00CB093C">
        <w:rPr>
          <w:rFonts w:ascii="Arial" w:hAnsi="Arial" w:cs="Arial"/>
          <w:i/>
          <w:sz w:val="22"/>
          <w:szCs w:val="22"/>
        </w:rPr>
        <w:t xml:space="preserve">Journal of Experimental Marine Biology and Ecology, </w:t>
      </w:r>
      <w:r w:rsidRPr="00CB093C">
        <w:rPr>
          <w:rFonts w:ascii="Arial" w:hAnsi="Arial" w:cs="Arial"/>
          <w:sz w:val="22"/>
          <w:szCs w:val="22"/>
        </w:rPr>
        <w:t xml:space="preserve">330: 455-468. </w:t>
      </w:r>
      <w:bookmarkEnd w:id="580"/>
    </w:p>
    <w:p w14:paraId="1E63E420" w14:textId="77777777" w:rsidR="00513C39" w:rsidRPr="00CB093C" w:rsidRDefault="00513C39" w:rsidP="00513C39">
      <w:pPr>
        <w:pStyle w:val="EndNoteBibliography"/>
        <w:spacing w:after="0"/>
        <w:ind w:left="720" w:hanging="720"/>
        <w:rPr>
          <w:rFonts w:ascii="Arial" w:hAnsi="Arial" w:cs="Arial"/>
          <w:sz w:val="22"/>
          <w:szCs w:val="22"/>
        </w:rPr>
      </w:pPr>
      <w:bookmarkStart w:id="581" w:name="_ENREF_20"/>
      <w:r w:rsidRPr="00CB093C">
        <w:rPr>
          <w:rFonts w:ascii="Arial" w:hAnsi="Arial" w:cs="Arial"/>
          <w:sz w:val="22"/>
          <w:szCs w:val="22"/>
        </w:rPr>
        <w:t xml:space="preserve">Campbell, S.J., Roder, C.A., McKenzie, L.J., Lee Long, W.J. 2002, Seagrass resources in the Whitsunday region 1999 and 2000. </w:t>
      </w:r>
      <w:r w:rsidRPr="00CB093C">
        <w:rPr>
          <w:rFonts w:ascii="Arial" w:hAnsi="Arial" w:cs="Arial"/>
          <w:i/>
          <w:sz w:val="22"/>
          <w:szCs w:val="22"/>
        </w:rPr>
        <w:t>DPI Information Series QI02043</w:t>
      </w:r>
      <w:r w:rsidRPr="00CB093C">
        <w:rPr>
          <w:rFonts w:ascii="Arial" w:hAnsi="Arial" w:cs="Arial"/>
          <w:sz w:val="22"/>
          <w:szCs w:val="22"/>
        </w:rPr>
        <w:t xml:space="preserve">, 50. </w:t>
      </w:r>
      <w:bookmarkEnd w:id="581"/>
    </w:p>
    <w:p w14:paraId="6F061B5C" w14:textId="77777777" w:rsidR="00513C39" w:rsidRPr="00CB093C" w:rsidRDefault="00513C39" w:rsidP="00513C39">
      <w:pPr>
        <w:pStyle w:val="EndNoteBibliography"/>
        <w:spacing w:after="0"/>
        <w:ind w:left="720" w:hanging="720"/>
        <w:rPr>
          <w:rFonts w:ascii="Arial" w:hAnsi="Arial" w:cs="Arial"/>
          <w:sz w:val="22"/>
          <w:szCs w:val="22"/>
        </w:rPr>
      </w:pPr>
      <w:bookmarkStart w:id="582" w:name="_ENREF_21"/>
      <w:r w:rsidRPr="00CB093C">
        <w:rPr>
          <w:rFonts w:ascii="Arial" w:hAnsi="Arial" w:cs="Arial"/>
          <w:sz w:val="22"/>
          <w:szCs w:val="22"/>
        </w:rPr>
        <w:t xml:space="preserve">Carruthers, T., Dennison, W., Longstaff, B., Waycott, M., Abal, E.G., McKenzie, L.J., Lee Long, W. 2002, Seagrass habitats of north east Australia: models of key processes and controls. </w:t>
      </w:r>
      <w:r w:rsidRPr="00CB093C">
        <w:rPr>
          <w:rFonts w:ascii="Arial" w:hAnsi="Arial" w:cs="Arial"/>
          <w:i/>
          <w:sz w:val="22"/>
          <w:szCs w:val="22"/>
        </w:rPr>
        <w:t xml:space="preserve">Bulletin of Marine Science, </w:t>
      </w:r>
      <w:r w:rsidRPr="00CB093C">
        <w:rPr>
          <w:rFonts w:ascii="Arial" w:hAnsi="Arial" w:cs="Arial"/>
          <w:sz w:val="22"/>
          <w:szCs w:val="22"/>
        </w:rPr>
        <w:t xml:space="preserve">71(3): 1153-1169. </w:t>
      </w:r>
      <w:bookmarkEnd w:id="582"/>
    </w:p>
    <w:p w14:paraId="69AB4E31" w14:textId="77777777" w:rsidR="00513C39" w:rsidRPr="00CB093C" w:rsidRDefault="00513C39" w:rsidP="00513C39">
      <w:pPr>
        <w:pStyle w:val="EndNoteBibliography"/>
        <w:spacing w:after="0"/>
        <w:ind w:left="720" w:hanging="720"/>
        <w:rPr>
          <w:rFonts w:ascii="Arial" w:hAnsi="Arial" w:cs="Arial"/>
          <w:sz w:val="22"/>
          <w:szCs w:val="22"/>
        </w:rPr>
      </w:pPr>
      <w:bookmarkStart w:id="583" w:name="_ENREF_22"/>
      <w:r w:rsidRPr="00CB093C">
        <w:rPr>
          <w:rFonts w:ascii="Arial" w:hAnsi="Arial" w:cs="Arial"/>
          <w:sz w:val="22"/>
          <w:szCs w:val="22"/>
        </w:rPr>
        <w:t xml:space="preserve">Carter, A.B., McKenna, S.A., Rasheed, M.A., McKenzie, L.J., Coles, R.G. 2016, </w:t>
      </w:r>
      <w:r w:rsidRPr="00CB093C">
        <w:rPr>
          <w:rFonts w:ascii="Arial" w:hAnsi="Arial" w:cs="Arial"/>
          <w:i/>
          <w:sz w:val="22"/>
          <w:szCs w:val="22"/>
        </w:rPr>
        <w:t>Seagrass mapping synthesis: A resource for coastal management in the Great Barrier Reef World Heritage Area. Report to the National Environmental Science Programme.</w:t>
      </w:r>
      <w:r w:rsidRPr="00CB093C">
        <w:rPr>
          <w:rFonts w:ascii="Arial" w:hAnsi="Arial" w:cs="Arial"/>
          <w:sz w:val="22"/>
          <w:szCs w:val="22"/>
        </w:rPr>
        <w:t xml:space="preserve"> Cairns: Reef and Rainforest Research Centre Limited.</w:t>
      </w:r>
      <w:bookmarkEnd w:id="583"/>
    </w:p>
    <w:p w14:paraId="2AA3561E" w14:textId="22EA403D" w:rsidR="00513C39" w:rsidRPr="00CB093C" w:rsidRDefault="00513C39" w:rsidP="00513C39">
      <w:pPr>
        <w:pStyle w:val="EndNoteBibliography"/>
        <w:spacing w:after="0"/>
        <w:ind w:left="720" w:hanging="720"/>
        <w:rPr>
          <w:rFonts w:ascii="Arial" w:hAnsi="Arial" w:cs="Arial"/>
          <w:sz w:val="22"/>
          <w:szCs w:val="22"/>
        </w:rPr>
      </w:pPr>
      <w:bookmarkStart w:id="584" w:name="_ENREF_23"/>
      <w:r w:rsidRPr="00CB093C">
        <w:rPr>
          <w:rFonts w:ascii="Arial" w:hAnsi="Arial" w:cs="Arial"/>
          <w:sz w:val="22"/>
          <w:szCs w:val="22"/>
        </w:rPr>
        <w:t xml:space="preserve">Chartrand, K.M., Szabó, M., Sinutok, S., Rasheed, M.A., Ralph, P.J. 2018, Living at the margins – The response of deep-water seagrasses to light and temperature renders them susceptible to acute impacts. </w:t>
      </w:r>
      <w:r w:rsidRPr="00CB093C">
        <w:rPr>
          <w:rFonts w:ascii="Arial" w:hAnsi="Arial" w:cs="Arial"/>
          <w:i/>
          <w:sz w:val="22"/>
          <w:szCs w:val="22"/>
        </w:rPr>
        <w:t xml:space="preserve">Marine Environmental Research, </w:t>
      </w:r>
      <w:r w:rsidRPr="00CB093C">
        <w:rPr>
          <w:rFonts w:ascii="Arial" w:hAnsi="Arial" w:cs="Arial"/>
          <w:sz w:val="22"/>
          <w:szCs w:val="22"/>
        </w:rPr>
        <w:t xml:space="preserve">136: 126-138. doi: </w:t>
      </w:r>
      <w:hyperlink r:id="rId132" w:history="1">
        <w:r w:rsidRPr="00CB093C">
          <w:rPr>
            <w:rStyle w:val="Hyperlink"/>
            <w:rFonts w:ascii="Arial" w:hAnsi="Arial" w:cs="Arial"/>
            <w:sz w:val="22"/>
            <w:szCs w:val="22"/>
          </w:rPr>
          <w:t>https://doi.org/10.1016/j.marenvres.2018.02.006</w:t>
        </w:r>
        <w:bookmarkEnd w:id="584"/>
      </w:hyperlink>
    </w:p>
    <w:p w14:paraId="6E5ECE8F" w14:textId="77777777" w:rsidR="00513C39" w:rsidRPr="00CB093C" w:rsidRDefault="00513C39" w:rsidP="00513C39">
      <w:pPr>
        <w:pStyle w:val="EndNoteBibliography"/>
        <w:spacing w:after="0"/>
        <w:ind w:left="720" w:hanging="720"/>
        <w:rPr>
          <w:rFonts w:ascii="Arial" w:hAnsi="Arial" w:cs="Arial"/>
          <w:sz w:val="22"/>
          <w:szCs w:val="22"/>
        </w:rPr>
      </w:pPr>
      <w:bookmarkStart w:id="585" w:name="_ENREF_24"/>
      <w:r w:rsidRPr="00CB093C">
        <w:rPr>
          <w:rFonts w:ascii="Arial" w:hAnsi="Arial" w:cs="Arial"/>
          <w:sz w:val="22"/>
          <w:szCs w:val="22"/>
        </w:rPr>
        <w:t xml:space="preserve">Coles, R., McKenzie, L.J., De'ath, G., Roelofs, A., Lee Long, W.J. 2009, Spatial distribution of deepwater seagrass in the inter-reef lagoon of the Great Barrier Reef World Heritage Area. </w:t>
      </w:r>
      <w:r w:rsidRPr="00CB093C">
        <w:rPr>
          <w:rFonts w:ascii="Arial" w:hAnsi="Arial" w:cs="Arial"/>
          <w:i/>
          <w:sz w:val="22"/>
          <w:szCs w:val="22"/>
        </w:rPr>
        <w:t xml:space="preserve">Marine Ecology Progress Series, </w:t>
      </w:r>
      <w:r w:rsidRPr="00CB093C">
        <w:rPr>
          <w:rFonts w:ascii="Arial" w:hAnsi="Arial" w:cs="Arial"/>
          <w:sz w:val="22"/>
          <w:szCs w:val="22"/>
        </w:rPr>
        <w:t>392: 57-68. doi: 10.3354/meps08197</w:t>
      </w:r>
      <w:bookmarkEnd w:id="585"/>
    </w:p>
    <w:p w14:paraId="615D3CC9" w14:textId="77777777" w:rsidR="00513C39" w:rsidRPr="00CB093C" w:rsidRDefault="00513C39" w:rsidP="00513C39">
      <w:pPr>
        <w:pStyle w:val="EndNoteBibliography"/>
        <w:spacing w:after="0"/>
        <w:ind w:left="720" w:hanging="720"/>
        <w:rPr>
          <w:rFonts w:ascii="Arial" w:hAnsi="Arial" w:cs="Arial"/>
          <w:sz w:val="22"/>
          <w:szCs w:val="22"/>
        </w:rPr>
      </w:pPr>
      <w:bookmarkStart w:id="586" w:name="_ENREF_25"/>
      <w:r w:rsidRPr="00CB093C">
        <w:rPr>
          <w:rFonts w:ascii="Arial" w:hAnsi="Arial" w:cs="Arial"/>
          <w:sz w:val="22"/>
          <w:szCs w:val="22"/>
        </w:rPr>
        <w:t xml:space="preserve">Coles, R.G., Lee Long, W.J., Watson, R.A., Derbyshire, K.J. 1993, Distribution of seagrasses, and their fish and penaeid prawn communities, in Cairns Harbour, a tropical estuary, northern Queensland, Australia. </w:t>
      </w:r>
      <w:r w:rsidRPr="00CB093C">
        <w:rPr>
          <w:rFonts w:ascii="Arial" w:hAnsi="Arial" w:cs="Arial"/>
          <w:i/>
          <w:sz w:val="22"/>
          <w:szCs w:val="22"/>
        </w:rPr>
        <w:t xml:space="preserve">Australian Journal of Marine and Freshwater Research, </w:t>
      </w:r>
      <w:r w:rsidRPr="00CB093C">
        <w:rPr>
          <w:rFonts w:ascii="Arial" w:hAnsi="Arial" w:cs="Arial"/>
          <w:sz w:val="22"/>
          <w:szCs w:val="22"/>
        </w:rPr>
        <w:t xml:space="preserve">44: 193-210. </w:t>
      </w:r>
      <w:bookmarkEnd w:id="586"/>
    </w:p>
    <w:p w14:paraId="2AE820C8" w14:textId="77777777" w:rsidR="00513C39" w:rsidRPr="00CB093C" w:rsidRDefault="00513C39" w:rsidP="00513C39">
      <w:pPr>
        <w:pStyle w:val="EndNoteBibliography"/>
        <w:spacing w:after="0"/>
        <w:ind w:left="720" w:hanging="720"/>
        <w:rPr>
          <w:rFonts w:ascii="Arial" w:hAnsi="Arial" w:cs="Arial"/>
          <w:sz w:val="22"/>
          <w:szCs w:val="22"/>
        </w:rPr>
      </w:pPr>
      <w:bookmarkStart w:id="587" w:name="_ENREF_26"/>
      <w:r w:rsidRPr="00CB093C">
        <w:rPr>
          <w:rFonts w:ascii="Arial" w:hAnsi="Arial" w:cs="Arial"/>
          <w:sz w:val="22"/>
          <w:szCs w:val="22"/>
        </w:rPr>
        <w:t xml:space="preserve">Coles, R.G., McKenzie, L.J., Mellors, J.E., Yoshida, R.L. 2001a, Validation and GIS of seagrass surveys between Cairns and Bowen – October/November 1987. CD Rom. </w:t>
      </w:r>
      <w:bookmarkEnd w:id="587"/>
    </w:p>
    <w:p w14:paraId="43037798" w14:textId="77777777" w:rsidR="00513C39" w:rsidRPr="00CB093C" w:rsidRDefault="00513C39" w:rsidP="00513C39">
      <w:pPr>
        <w:pStyle w:val="EndNoteBibliography"/>
        <w:spacing w:after="0"/>
        <w:ind w:left="720" w:hanging="720"/>
        <w:rPr>
          <w:rFonts w:ascii="Arial" w:hAnsi="Arial" w:cs="Arial"/>
          <w:sz w:val="22"/>
          <w:szCs w:val="22"/>
        </w:rPr>
      </w:pPr>
      <w:bookmarkStart w:id="588" w:name="_ENREF_27"/>
      <w:r w:rsidRPr="00CB093C">
        <w:rPr>
          <w:rFonts w:ascii="Arial" w:hAnsi="Arial" w:cs="Arial"/>
          <w:sz w:val="22"/>
          <w:szCs w:val="22"/>
        </w:rPr>
        <w:t xml:space="preserve">Coles, R.G., McKenzie, L.J., Yoshida, R.L. 2001b, Validation and GIS of seagrass surveys between Bowen and Water Park Point– March/April 1987. CD Rom. </w:t>
      </w:r>
      <w:bookmarkEnd w:id="588"/>
    </w:p>
    <w:p w14:paraId="7AA029FF" w14:textId="77777777" w:rsidR="00513C39" w:rsidRPr="00CB093C" w:rsidRDefault="00513C39" w:rsidP="00513C39">
      <w:pPr>
        <w:pStyle w:val="EndNoteBibliography"/>
        <w:spacing w:after="0"/>
        <w:ind w:left="720" w:hanging="720"/>
        <w:rPr>
          <w:rFonts w:ascii="Arial" w:hAnsi="Arial" w:cs="Arial"/>
          <w:sz w:val="22"/>
          <w:szCs w:val="22"/>
        </w:rPr>
      </w:pPr>
      <w:bookmarkStart w:id="589" w:name="_ENREF_28"/>
      <w:r w:rsidRPr="00CB093C">
        <w:rPr>
          <w:rFonts w:ascii="Arial" w:hAnsi="Arial" w:cs="Arial"/>
          <w:sz w:val="22"/>
          <w:szCs w:val="22"/>
        </w:rPr>
        <w:t xml:space="preserve">Coles, R.G., McKenzie, L.J., Yoshida, R.L. 2001c, Validation and GIS of seagrass surveys between Cape York and Cairns - November 1984. CD Rom. </w:t>
      </w:r>
      <w:bookmarkEnd w:id="589"/>
    </w:p>
    <w:p w14:paraId="7FD8799B" w14:textId="77777777" w:rsidR="00513C39" w:rsidRPr="00CB093C" w:rsidRDefault="00513C39" w:rsidP="00513C39">
      <w:pPr>
        <w:pStyle w:val="EndNoteBibliography"/>
        <w:spacing w:after="0"/>
        <w:ind w:left="720" w:hanging="720"/>
        <w:rPr>
          <w:rFonts w:ascii="Arial" w:hAnsi="Arial" w:cs="Arial"/>
          <w:sz w:val="22"/>
          <w:szCs w:val="22"/>
        </w:rPr>
      </w:pPr>
      <w:bookmarkStart w:id="590" w:name="_ENREF_29"/>
      <w:r w:rsidRPr="00CB093C">
        <w:rPr>
          <w:rFonts w:ascii="Arial" w:hAnsi="Arial" w:cs="Arial"/>
          <w:sz w:val="22"/>
          <w:szCs w:val="22"/>
        </w:rPr>
        <w:t xml:space="preserve">Coles, R.G., McKenzie, L.J., Yoshida, R.L. 2001d, Validation and GIS of seagrass surveys between Water Park Point and Hervey Bay – October/November 1988. CD Rom. </w:t>
      </w:r>
      <w:bookmarkEnd w:id="590"/>
    </w:p>
    <w:p w14:paraId="354F1AD3" w14:textId="77777777" w:rsidR="00513C39" w:rsidRPr="00CB093C" w:rsidRDefault="00513C39" w:rsidP="00513C39">
      <w:pPr>
        <w:pStyle w:val="EndNoteBibliography"/>
        <w:spacing w:after="0"/>
        <w:ind w:left="720" w:hanging="720"/>
        <w:rPr>
          <w:rFonts w:ascii="Arial" w:hAnsi="Arial" w:cs="Arial"/>
          <w:sz w:val="22"/>
          <w:szCs w:val="22"/>
        </w:rPr>
      </w:pPr>
      <w:bookmarkStart w:id="591" w:name="_ENREF_30"/>
      <w:r w:rsidRPr="00CB093C">
        <w:rPr>
          <w:rFonts w:ascii="Arial" w:hAnsi="Arial" w:cs="Arial"/>
          <w:sz w:val="22"/>
          <w:szCs w:val="22"/>
        </w:rPr>
        <w:t xml:space="preserve">Collier, C., Devlin, M., Langlois, L., Petus, C., McKenzie, L.J., Texeira da Silva, E., McMahon, K., Adams, M., O’Brien, K., Statton, J., Waycott, M. 2014, </w:t>
      </w:r>
      <w:r w:rsidRPr="00CB093C">
        <w:rPr>
          <w:rFonts w:ascii="Arial" w:hAnsi="Arial" w:cs="Arial"/>
          <w:i/>
          <w:sz w:val="22"/>
          <w:szCs w:val="22"/>
        </w:rPr>
        <w:t>Thresholds and indicators of declining water quality as tools for tropical seagrass management. Report to the National Environmental Research Program</w:t>
      </w:r>
      <w:r w:rsidRPr="00CB093C">
        <w:rPr>
          <w:rFonts w:ascii="Arial" w:hAnsi="Arial" w:cs="Arial"/>
          <w:sz w:val="22"/>
          <w:szCs w:val="22"/>
        </w:rPr>
        <w:t>. Cairns: Reef and Rainforest Research Centre Limited.</w:t>
      </w:r>
      <w:bookmarkEnd w:id="591"/>
    </w:p>
    <w:p w14:paraId="5AE99194" w14:textId="77777777" w:rsidR="00513C39" w:rsidRPr="00CB093C" w:rsidRDefault="00513C39" w:rsidP="00513C39">
      <w:pPr>
        <w:pStyle w:val="EndNoteBibliography"/>
        <w:spacing w:after="0"/>
        <w:ind w:left="720" w:hanging="720"/>
        <w:rPr>
          <w:rFonts w:ascii="Arial" w:hAnsi="Arial" w:cs="Arial"/>
          <w:sz w:val="22"/>
          <w:szCs w:val="22"/>
        </w:rPr>
      </w:pPr>
      <w:bookmarkStart w:id="592" w:name="_ENREF_31"/>
      <w:r w:rsidRPr="00CB093C">
        <w:rPr>
          <w:rFonts w:ascii="Arial" w:hAnsi="Arial" w:cs="Arial"/>
          <w:sz w:val="22"/>
          <w:szCs w:val="22"/>
        </w:rPr>
        <w:t xml:space="preserve">Collier, C. and Waycott, M. 2009, Drivers of change to seagrass distributions and communities on the Great Barrier Reef: Literature review and gaps analysis. </w:t>
      </w:r>
      <w:r w:rsidRPr="00CB093C">
        <w:rPr>
          <w:rFonts w:ascii="Arial" w:hAnsi="Arial" w:cs="Arial"/>
          <w:i/>
          <w:sz w:val="22"/>
          <w:szCs w:val="22"/>
        </w:rPr>
        <w:t>Report to the Marine and Tropical Sciences Research Facility</w:t>
      </w:r>
      <w:r w:rsidRPr="00CB093C">
        <w:rPr>
          <w:rFonts w:ascii="Arial" w:hAnsi="Arial" w:cs="Arial"/>
          <w:sz w:val="22"/>
          <w:szCs w:val="22"/>
        </w:rPr>
        <w:t xml:space="preserve">. </w:t>
      </w:r>
      <w:bookmarkEnd w:id="592"/>
    </w:p>
    <w:p w14:paraId="6B2CA570" w14:textId="29D2B636" w:rsidR="00513C39" w:rsidRPr="00CB093C" w:rsidRDefault="00513C39" w:rsidP="00513C39">
      <w:pPr>
        <w:pStyle w:val="EndNoteBibliography"/>
        <w:spacing w:after="0"/>
        <w:ind w:left="720" w:hanging="720"/>
        <w:rPr>
          <w:rFonts w:ascii="Arial" w:hAnsi="Arial" w:cs="Arial"/>
          <w:sz w:val="22"/>
          <w:szCs w:val="22"/>
        </w:rPr>
      </w:pPr>
      <w:bookmarkStart w:id="593" w:name="_ENREF_32"/>
      <w:r w:rsidRPr="00CB093C">
        <w:rPr>
          <w:rFonts w:ascii="Arial" w:hAnsi="Arial" w:cs="Arial"/>
          <w:sz w:val="22"/>
          <w:szCs w:val="22"/>
        </w:rPr>
        <w:t xml:space="preserve">Collier, C.J., Adams, M.P., Langlois, L., Waycott, M., O’Brien, K.R., Maxwell, P.S., McKenzie, L. 2016a, Thresholds for morphological response to light reduction for four tropical seagrass species. </w:t>
      </w:r>
      <w:r w:rsidRPr="00CB093C">
        <w:rPr>
          <w:rFonts w:ascii="Arial" w:hAnsi="Arial" w:cs="Arial"/>
          <w:i/>
          <w:sz w:val="22"/>
          <w:szCs w:val="22"/>
        </w:rPr>
        <w:t xml:space="preserve">Ecological Indicators, </w:t>
      </w:r>
      <w:r w:rsidRPr="00CB093C">
        <w:rPr>
          <w:rFonts w:ascii="Arial" w:hAnsi="Arial" w:cs="Arial"/>
          <w:sz w:val="22"/>
          <w:szCs w:val="22"/>
        </w:rPr>
        <w:t xml:space="preserve">67: 358-366. doi: </w:t>
      </w:r>
      <w:hyperlink r:id="rId133" w:history="1">
        <w:r w:rsidRPr="00CB093C">
          <w:rPr>
            <w:rStyle w:val="Hyperlink"/>
            <w:rFonts w:ascii="Arial" w:hAnsi="Arial" w:cs="Arial"/>
            <w:sz w:val="22"/>
            <w:szCs w:val="22"/>
          </w:rPr>
          <w:t>http://dx.doi.org/10.1016/j.ecolind.2016.02.050</w:t>
        </w:r>
        <w:bookmarkEnd w:id="593"/>
      </w:hyperlink>
    </w:p>
    <w:p w14:paraId="4FD45303" w14:textId="77777777" w:rsidR="00513C39" w:rsidRPr="00CB093C" w:rsidRDefault="00513C39" w:rsidP="00513C39">
      <w:pPr>
        <w:pStyle w:val="EndNoteBibliography"/>
        <w:spacing w:after="0"/>
        <w:ind w:left="720" w:hanging="720"/>
        <w:rPr>
          <w:rFonts w:ascii="Arial" w:hAnsi="Arial" w:cs="Arial"/>
          <w:sz w:val="22"/>
          <w:szCs w:val="22"/>
        </w:rPr>
      </w:pPr>
      <w:bookmarkStart w:id="594" w:name="_ENREF_33"/>
      <w:r w:rsidRPr="00CB093C">
        <w:rPr>
          <w:rFonts w:ascii="Arial" w:hAnsi="Arial" w:cs="Arial"/>
          <w:sz w:val="22"/>
          <w:szCs w:val="22"/>
        </w:rPr>
        <w:t xml:space="preserve">Collier, C.J., Chartrand, K., Honchin, C., Fletcher, A., Rasheed, M. 2016b, </w:t>
      </w:r>
      <w:r w:rsidRPr="00CB093C">
        <w:rPr>
          <w:rFonts w:ascii="Arial" w:hAnsi="Arial" w:cs="Arial"/>
          <w:i/>
          <w:sz w:val="22"/>
          <w:szCs w:val="22"/>
        </w:rPr>
        <w:t>Light thresholds for seagrasses of the GBR: a synthesis and guiding document. Including knowledge gaps and future priorities. Report to the National Environmental Science Programme</w:t>
      </w:r>
      <w:r w:rsidRPr="00CB093C">
        <w:rPr>
          <w:rFonts w:ascii="Arial" w:hAnsi="Arial" w:cs="Arial"/>
          <w:sz w:val="22"/>
          <w:szCs w:val="22"/>
        </w:rPr>
        <w:t>. Cairns Reef and Rainforest Research Centre Limited.</w:t>
      </w:r>
      <w:bookmarkEnd w:id="594"/>
    </w:p>
    <w:p w14:paraId="49DF82F4" w14:textId="151522DB" w:rsidR="00513C39" w:rsidRPr="00CB093C" w:rsidRDefault="00513C39" w:rsidP="00513C39">
      <w:pPr>
        <w:pStyle w:val="EndNoteBibliography"/>
        <w:spacing w:after="0"/>
        <w:ind w:left="720" w:hanging="720"/>
        <w:rPr>
          <w:rFonts w:ascii="Arial" w:hAnsi="Arial" w:cs="Arial"/>
          <w:sz w:val="22"/>
          <w:szCs w:val="22"/>
        </w:rPr>
      </w:pPr>
      <w:bookmarkStart w:id="595" w:name="_ENREF_34"/>
      <w:r w:rsidRPr="00CB093C">
        <w:rPr>
          <w:rFonts w:ascii="Arial" w:hAnsi="Arial" w:cs="Arial"/>
          <w:sz w:val="22"/>
          <w:szCs w:val="22"/>
        </w:rPr>
        <w:t xml:space="preserve">Collier, C.J., Lavery, P.S., Ralph, P.J., Masini, R.J. 2009, Shade-induced response and recovery of the seagrass </w:t>
      </w:r>
      <w:r w:rsidRPr="00CB093C">
        <w:rPr>
          <w:rFonts w:ascii="Arial" w:hAnsi="Arial" w:cs="Arial"/>
          <w:i/>
          <w:sz w:val="22"/>
          <w:szCs w:val="22"/>
        </w:rPr>
        <w:t>Posidonia sinuosa</w:t>
      </w:r>
      <w:r w:rsidRPr="00CB093C">
        <w:rPr>
          <w:rFonts w:ascii="Arial" w:hAnsi="Arial" w:cs="Arial"/>
          <w:sz w:val="22"/>
          <w:szCs w:val="22"/>
        </w:rPr>
        <w:t xml:space="preserve">. </w:t>
      </w:r>
      <w:r w:rsidRPr="00CB093C">
        <w:rPr>
          <w:rFonts w:ascii="Arial" w:hAnsi="Arial" w:cs="Arial"/>
          <w:i/>
          <w:sz w:val="22"/>
          <w:szCs w:val="22"/>
        </w:rPr>
        <w:t xml:space="preserve">Journal of Experimental Marine Biology and Ecology, </w:t>
      </w:r>
      <w:r w:rsidRPr="00CB093C">
        <w:rPr>
          <w:rFonts w:ascii="Arial" w:hAnsi="Arial" w:cs="Arial"/>
          <w:sz w:val="22"/>
          <w:szCs w:val="22"/>
        </w:rPr>
        <w:t xml:space="preserve">370(1–2): 89-103. doi: </w:t>
      </w:r>
      <w:hyperlink r:id="rId134" w:history="1">
        <w:r w:rsidRPr="00CB093C">
          <w:rPr>
            <w:rStyle w:val="Hyperlink"/>
            <w:rFonts w:ascii="Arial" w:hAnsi="Arial" w:cs="Arial"/>
            <w:sz w:val="22"/>
            <w:szCs w:val="22"/>
          </w:rPr>
          <w:t>http://dx.doi.org/10.1016/j.jembe.2008.12.003</w:t>
        </w:r>
        <w:bookmarkEnd w:id="595"/>
      </w:hyperlink>
    </w:p>
    <w:p w14:paraId="0F2D1682" w14:textId="648B06AC" w:rsidR="00513C39" w:rsidRPr="00CB093C" w:rsidRDefault="00513C39" w:rsidP="00513C39">
      <w:pPr>
        <w:pStyle w:val="EndNoteBibliography"/>
        <w:spacing w:after="0"/>
        <w:ind w:left="720" w:hanging="720"/>
        <w:rPr>
          <w:rFonts w:ascii="Arial" w:hAnsi="Arial" w:cs="Arial"/>
          <w:sz w:val="22"/>
          <w:szCs w:val="22"/>
        </w:rPr>
      </w:pPr>
      <w:bookmarkStart w:id="596" w:name="_ENREF_35"/>
      <w:r w:rsidRPr="00CB093C">
        <w:rPr>
          <w:rFonts w:ascii="Arial" w:hAnsi="Arial" w:cs="Arial"/>
          <w:sz w:val="22"/>
          <w:szCs w:val="22"/>
        </w:rPr>
        <w:t xml:space="preserve">Collier, C.J. and Waycott, M. 2014, Temperature extremes reduce seagrass growth and induce mortality. </w:t>
      </w:r>
      <w:r w:rsidRPr="00CB093C">
        <w:rPr>
          <w:rFonts w:ascii="Arial" w:hAnsi="Arial" w:cs="Arial"/>
          <w:i/>
          <w:sz w:val="22"/>
          <w:szCs w:val="22"/>
        </w:rPr>
        <w:t xml:space="preserve">Marine Pollution Bulletin, </w:t>
      </w:r>
      <w:r w:rsidRPr="00CB093C">
        <w:rPr>
          <w:rFonts w:ascii="Arial" w:hAnsi="Arial" w:cs="Arial"/>
          <w:sz w:val="22"/>
          <w:szCs w:val="22"/>
        </w:rPr>
        <w:t xml:space="preserve">83(2): 483-490. doi: </w:t>
      </w:r>
      <w:hyperlink r:id="rId135" w:history="1">
        <w:r w:rsidRPr="00CB093C">
          <w:rPr>
            <w:rStyle w:val="Hyperlink"/>
            <w:rFonts w:ascii="Arial" w:hAnsi="Arial" w:cs="Arial"/>
            <w:sz w:val="22"/>
            <w:szCs w:val="22"/>
          </w:rPr>
          <w:t>http://dx.doi.org/10.1016/j.marpolbul.2014.03.050</w:t>
        </w:r>
        <w:bookmarkEnd w:id="596"/>
      </w:hyperlink>
    </w:p>
    <w:p w14:paraId="38D6CB63" w14:textId="77777777" w:rsidR="00513C39" w:rsidRPr="00CB093C" w:rsidRDefault="00513C39" w:rsidP="00513C39">
      <w:pPr>
        <w:pStyle w:val="EndNoteBibliography"/>
        <w:spacing w:after="0"/>
        <w:ind w:left="720" w:hanging="720"/>
        <w:rPr>
          <w:rFonts w:ascii="Arial" w:hAnsi="Arial" w:cs="Arial"/>
          <w:sz w:val="22"/>
          <w:szCs w:val="22"/>
        </w:rPr>
      </w:pPr>
      <w:bookmarkStart w:id="597" w:name="_ENREF_36"/>
      <w:r w:rsidRPr="00CB093C">
        <w:rPr>
          <w:rFonts w:ascii="Arial" w:hAnsi="Arial" w:cs="Arial"/>
          <w:sz w:val="22"/>
          <w:szCs w:val="22"/>
        </w:rPr>
        <w:t xml:space="preserve">Collier, C.J., Waycott, M., McKenzie, L.J. 2012a, Light thresholds derived from seagrass loss in the coastal zone of the northern Great Barrier Reef, Australia. </w:t>
      </w:r>
      <w:r w:rsidRPr="00CB093C">
        <w:rPr>
          <w:rFonts w:ascii="Arial" w:hAnsi="Arial" w:cs="Arial"/>
          <w:i/>
          <w:sz w:val="22"/>
          <w:szCs w:val="22"/>
        </w:rPr>
        <w:t xml:space="preserve">Ecological Indicators, </w:t>
      </w:r>
      <w:r w:rsidRPr="00CB093C">
        <w:rPr>
          <w:rFonts w:ascii="Arial" w:hAnsi="Arial" w:cs="Arial"/>
          <w:sz w:val="22"/>
          <w:szCs w:val="22"/>
        </w:rPr>
        <w:t>23(0): 211-219. doi: 10.1016/j.ecolind.2012.04.005</w:t>
      </w:r>
      <w:bookmarkEnd w:id="597"/>
    </w:p>
    <w:p w14:paraId="58849381" w14:textId="77777777" w:rsidR="00513C39" w:rsidRPr="00CB093C" w:rsidRDefault="00513C39" w:rsidP="00513C39">
      <w:pPr>
        <w:pStyle w:val="EndNoteBibliography"/>
        <w:spacing w:after="0"/>
        <w:ind w:left="720" w:hanging="720"/>
        <w:rPr>
          <w:rFonts w:ascii="Arial" w:hAnsi="Arial" w:cs="Arial"/>
          <w:sz w:val="22"/>
          <w:szCs w:val="22"/>
        </w:rPr>
      </w:pPr>
      <w:bookmarkStart w:id="598" w:name="_ENREF_37"/>
      <w:r w:rsidRPr="00CB093C">
        <w:rPr>
          <w:rFonts w:ascii="Arial" w:hAnsi="Arial" w:cs="Arial"/>
          <w:sz w:val="22"/>
          <w:szCs w:val="22"/>
        </w:rPr>
        <w:t xml:space="preserve">Collier, C.J., Waycott, M., Ospina, A.G. 2012b, Responses of four Indo-West Pacific seagrass species to shading. </w:t>
      </w:r>
      <w:r w:rsidRPr="00CB093C">
        <w:rPr>
          <w:rFonts w:ascii="Arial" w:hAnsi="Arial" w:cs="Arial"/>
          <w:i/>
          <w:sz w:val="22"/>
          <w:szCs w:val="22"/>
        </w:rPr>
        <w:t xml:space="preserve">Marine Pollution Bulletin, </w:t>
      </w:r>
      <w:r w:rsidRPr="00CB093C">
        <w:rPr>
          <w:rFonts w:ascii="Arial" w:hAnsi="Arial" w:cs="Arial"/>
          <w:sz w:val="22"/>
          <w:szCs w:val="22"/>
        </w:rPr>
        <w:t>65(4-9): 342-354. doi: 10.1016/j.marpolbul.2011.06.017</w:t>
      </w:r>
      <w:bookmarkEnd w:id="598"/>
    </w:p>
    <w:p w14:paraId="4EDC5A9C" w14:textId="77777777" w:rsidR="00513C39" w:rsidRPr="00CB093C" w:rsidRDefault="00513C39" w:rsidP="00513C39">
      <w:pPr>
        <w:pStyle w:val="EndNoteBibliography"/>
        <w:spacing w:after="0"/>
        <w:ind w:left="720" w:hanging="720"/>
        <w:rPr>
          <w:rFonts w:ascii="Arial" w:hAnsi="Arial" w:cs="Arial"/>
          <w:sz w:val="22"/>
          <w:szCs w:val="22"/>
        </w:rPr>
      </w:pPr>
      <w:bookmarkStart w:id="599" w:name="_ENREF_38"/>
      <w:r w:rsidRPr="00CB093C">
        <w:rPr>
          <w:rFonts w:ascii="Arial" w:hAnsi="Arial" w:cs="Arial"/>
          <w:sz w:val="22"/>
          <w:szCs w:val="22"/>
        </w:rPr>
        <w:t xml:space="preserve">Costanza, R., d'Arge, R., de Groot, R., Farber, S., Grasso, M., Hannon, B., Limburg, K., Naeem, S., O'Neil, R.V., Paruelo, J., Raskin, R.G., Sutton, P., van der Belt, M. 1997, The Value of the world's ecosystem services and natural capital. </w:t>
      </w:r>
      <w:r w:rsidRPr="00CB093C">
        <w:rPr>
          <w:rFonts w:ascii="Arial" w:hAnsi="Arial" w:cs="Arial"/>
          <w:i/>
          <w:sz w:val="22"/>
          <w:szCs w:val="22"/>
        </w:rPr>
        <w:t xml:space="preserve">Nature, </w:t>
      </w:r>
      <w:r w:rsidRPr="00CB093C">
        <w:rPr>
          <w:rFonts w:ascii="Arial" w:hAnsi="Arial" w:cs="Arial"/>
          <w:sz w:val="22"/>
          <w:szCs w:val="22"/>
        </w:rPr>
        <w:t xml:space="preserve">387(15): 253-260. </w:t>
      </w:r>
      <w:bookmarkEnd w:id="599"/>
    </w:p>
    <w:p w14:paraId="17F84827" w14:textId="77777777" w:rsidR="00513C39" w:rsidRPr="00CB093C" w:rsidRDefault="00513C39" w:rsidP="00513C39">
      <w:pPr>
        <w:pStyle w:val="EndNoteBibliography"/>
        <w:spacing w:after="0"/>
        <w:ind w:left="720" w:hanging="720"/>
        <w:rPr>
          <w:rFonts w:ascii="Arial" w:hAnsi="Arial" w:cs="Arial"/>
          <w:sz w:val="22"/>
          <w:szCs w:val="22"/>
        </w:rPr>
      </w:pPr>
      <w:bookmarkStart w:id="600" w:name="_ENREF_39"/>
      <w:r w:rsidRPr="00CB093C">
        <w:rPr>
          <w:rFonts w:ascii="Arial" w:hAnsi="Arial" w:cs="Arial"/>
          <w:sz w:val="22"/>
          <w:szCs w:val="22"/>
        </w:rPr>
        <w:t xml:space="preserve">Costanzo, S.D., O'Donohue, M.J., Dennison, W.C., Loneragan, N.R., Thomas, M. 2001, A new approach for detecting and mapping sewage impacts. </w:t>
      </w:r>
      <w:r w:rsidRPr="00CB093C">
        <w:rPr>
          <w:rFonts w:ascii="Arial" w:hAnsi="Arial" w:cs="Arial"/>
          <w:i/>
          <w:sz w:val="22"/>
          <w:szCs w:val="22"/>
        </w:rPr>
        <w:t xml:space="preserve">Marine Pollution Bulletin, </w:t>
      </w:r>
      <w:r w:rsidRPr="00CB093C">
        <w:rPr>
          <w:rFonts w:ascii="Arial" w:hAnsi="Arial" w:cs="Arial"/>
          <w:sz w:val="22"/>
          <w:szCs w:val="22"/>
        </w:rPr>
        <w:t xml:space="preserve">42(2): 149-156. </w:t>
      </w:r>
      <w:bookmarkEnd w:id="600"/>
    </w:p>
    <w:p w14:paraId="113EC9D6" w14:textId="77777777" w:rsidR="00513C39" w:rsidRPr="00CB093C" w:rsidRDefault="00513C39" w:rsidP="00513C39">
      <w:pPr>
        <w:pStyle w:val="EndNoteBibliography"/>
        <w:spacing w:after="0"/>
        <w:ind w:left="720" w:hanging="720"/>
        <w:rPr>
          <w:rFonts w:ascii="Arial" w:hAnsi="Arial" w:cs="Arial"/>
          <w:sz w:val="22"/>
          <w:szCs w:val="22"/>
        </w:rPr>
      </w:pPr>
      <w:bookmarkStart w:id="601" w:name="_ENREF_40"/>
      <w:r w:rsidRPr="00CB093C">
        <w:rPr>
          <w:rFonts w:ascii="Arial" w:hAnsi="Arial" w:cs="Arial"/>
          <w:sz w:val="22"/>
          <w:szCs w:val="22"/>
        </w:rPr>
        <w:t xml:space="preserve">Cullen-Unsworth, L. and Unsworth, R. 2013, Seagrass Meadows, Ecosystem Services, and Sustainability. </w:t>
      </w:r>
      <w:r w:rsidRPr="00CB093C">
        <w:rPr>
          <w:rFonts w:ascii="Arial" w:hAnsi="Arial" w:cs="Arial"/>
          <w:i/>
          <w:sz w:val="22"/>
          <w:szCs w:val="22"/>
        </w:rPr>
        <w:t xml:space="preserve">Environment: Science and Policy for Sustainable Development, </w:t>
      </w:r>
      <w:r w:rsidRPr="00CB093C">
        <w:rPr>
          <w:rFonts w:ascii="Arial" w:hAnsi="Arial" w:cs="Arial"/>
          <w:sz w:val="22"/>
          <w:szCs w:val="22"/>
        </w:rPr>
        <w:t>55(3): 14-28. doi: 10.1080/00139157.2013.785864</w:t>
      </w:r>
      <w:bookmarkEnd w:id="601"/>
    </w:p>
    <w:p w14:paraId="35C06AD4" w14:textId="593D9C83" w:rsidR="00513C39" w:rsidRPr="00CB093C" w:rsidRDefault="00513C39" w:rsidP="00513C39">
      <w:pPr>
        <w:pStyle w:val="EndNoteBibliography"/>
        <w:spacing w:after="0"/>
        <w:ind w:left="720" w:hanging="720"/>
        <w:rPr>
          <w:rFonts w:ascii="Arial" w:hAnsi="Arial" w:cs="Arial"/>
          <w:sz w:val="22"/>
          <w:szCs w:val="22"/>
        </w:rPr>
      </w:pPr>
      <w:bookmarkStart w:id="602" w:name="_ENREF_41"/>
      <w:r w:rsidRPr="00CB093C">
        <w:rPr>
          <w:rFonts w:ascii="Arial" w:hAnsi="Arial" w:cs="Arial"/>
          <w:sz w:val="22"/>
          <w:szCs w:val="22"/>
        </w:rPr>
        <w:t xml:space="preserve">Cullen-Unsworth, L.C., Nordlund, L.M., Paddock, J., Baker, S., McKenzie, L.J., Unsworth, R.K.F. 2014, Seagrass meadows globally as a coupled social–ecological system: Implications for human wellbeing. </w:t>
      </w:r>
      <w:r w:rsidRPr="00CB093C">
        <w:rPr>
          <w:rFonts w:ascii="Arial" w:hAnsi="Arial" w:cs="Arial"/>
          <w:i/>
          <w:sz w:val="22"/>
          <w:szCs w:val="22"/>
        </w:rPr>
        <w:t xml:space="preserve">Marine Pollution Bulletin, </w:t>
      </w:r>
      <w:r w:rsidRPr="00CB093C">
        <w:rPr>
          <w:rFonts w:ascii="Arial" w:hAnsi="Arial" w:cs="Arial"/>
          <w:sz w:val="22"/>
          <w:szCs w:val="22"/>
        </w:rPr>
        <w:t xml:space="preserve">83(2): 387-397. doi: </w:t>
      </w:r>
      <w:hyperlink r:id="rId136" w:history="1">
        <w:r w:rsidRPr="00CB093C">
          <w:rPr>
            <w:rStyle w:val="Hyperlink"/>
            <w:rFonts w:ascii="Arial" w:hAnsi="Arial" w:cs="Arial"/>
            <w:sz w:val="22"/>
            <w:szCs w:val="22"/>
          </w:rPr>
          <w:t>http://dx.doi.org/10.1016/j.marpolbul.2013.06.001</w:t>
        </w:r>
        <w:bookmarkEnd w:id="602"/>
      </w:hyperlink>
    </w:p>
    <w:p w14:paraId="581DAAB4" w14:textId="77777777" w:rsidR="00513C39" w:rsidRPr="00CB093C" w:rsidRDefault="00513C39" w:rsidP="00513C39">
      <w:pPr>
        <w:pStyle w:val="EndNoteBibliography"/>
        <w:spacing w:after="0"/>
        <w:ind w:left="720" w:hanging="720"/>
        <w:rPr>
          <w:rFonts w:ascii="Arial" w:hAnsi="Arial" w:cs="Arial"/>
          <w:sz w:val="22"/>
          <w:szCs w:val="22"/>
        </w:rPr>
      </w:pPr>
      <w:bookmarkStart w:id="603" w:name="_ENREF_42"/>
      <w:r w:rsidRPr="00CB093C">
        <w:rPr>
          <w:rFonts w:ascii="Arial" w:hAnsi="Arial" w:cs="Arial"/>
          <w:sz w:val="22"/>
          <w:szCs w:val="22"/>
        </w:rPr>
        <w:t xml:space="preserve">De'ath, G. and Fabricius, K. 2010, Water quality as a regional driver of coral biodiversity and macroalgae on the Great Barrier Reef. </w:t>
      </w:r>
      <w:r w:rsidRPr="00CB093C">
        <w:rPr>
          <w:rFonts w:ascii="Arial" w:hAnsi="Arial" w:cs="Arial"/>
          <w:i/>
          <w:sz w:val="22"/>
          <w:szCs w:val="22"/>
        </w:rPr>
        <w:t xml:space="preserve">Ecological Applications, </w:t>
      </w:r>
      <w:r w:rsidRPr="00CB093C">
        <w:rPr>
          <w:rFonts w:ascii="Arial" w:hAnsi="Arial" w:cs="Arial"/>
          <w:sz w:val="22"/>
          <w:szCs w:val="22"/>
        </w:rPr>
        <w:t>20(3): 840-850. doi: 10.1890/08-2023.1</w:t>
      </w:r>
      <w:bookmarkEnd w:id="603"/>
    </w:p>
    <w:p w14:paraId="644DFA6A" w14:textId="77777777" w:rsidR="00513C39" w:rsidRPr="00CB093C" w:rsidRDefault="00513C39" w:rsidP="00513C39">
      <w:pPr>
        <w:pStyle w:val="EndNoteBibliography"/>
        <w:spacing w:after="0"/>
        <w:ind w:left="720" w:hanging="720"/>
        <w:rPr>
          <w:rFonts w:ascii="Arial" w:hAnsi="Arial" w:cs="Arial"/>
          <w:sz w:val="22"/>
          <w:szCs w:val="22"/>
        </w:rPr>
      </w:pPr>
      <w:bookmarkStart w:id="604" w:name="_ENREF_43"/>
      <w:r w:rsidRPr="00CB093C">
        <w:rPr>
          <w:rFonts w:ascii="Arial" w:hAnsi="Arial" w:cs="Arial"/>
          <w:sz w:val="22"/>
          <w:szCs w:val="22"/>
        </w:rPr>
        <w:t xml:space="preserve">Dennison, W.C., Longstaff, B.J., O'Donohue, M.J. 1997, Seagrasses as Bio-indicators. In S Hillman &amp; S Raaymakers (Eds.), </w:t>
      </w:r>
      <w:r w:rsidRPr="00CB093C">
        <w:rPr>
          <w:rFonts w:ascii="Arial" w:hAnsi="Arial" w:cs="Arial"/>
          <w:i/>
          <w:sz w:val="22"/>
          <w:szCs w:val="22"/>
        </w:rPr>
        <w:t>Karumba dredging 1996 - Environmental Monitoring Report. EcoPorts Monograph Series No.6</w:t>
      </w:r>
      <w:r w:rsidRPr="00CB093C">
        <w:rPr>
          <w:rFonts w:ascii="Arial" w:hAnsi="Arial" w:cs="Arial"/>
          <w:sz w:val="22"/>
          <w:szCs w:val="22"/>
        </w:rPr>
        <w:t xml:space="preserve"> (pp. 255). Brisbane: Ports Corporation of Queensland.</w:t>
      </w:r>
      <w:bookmarkEnd w:id="604"/>
    </w:p>
    <w:p w14:paraId="2A1C30CD" w14:textId="77777777" w:rsidR="00513C39" w:rsidRPr="00CB093C" w:rsidRDefault="00513C39" w:rsidP="00513C39">
      <w:pPr>
        <w:pStyle w:val="EndNoteBibliography"/>
        <w:spacing w:after="0"/>
        <w:ind w:left="720" w:hanging="720"/>
        <w:rPr>
          <w:rFonts w:ascii="Arial" w:hAnsi="Arial" w:cs="Arial"/>
          <w:sz w:val="22"/>
          <w:szCs w:val="22"/>
        </w:rPr>
      </w:pPr>
      <w:bookmarkStart w:id="605" w:name="_ENREF_44"/>
      <w:r w:rsidRPr="00CB093C">
        <w:rPr>
          <w:rFonts w:ascii="Arial" w:hAnsi="Arial" w:cs="Arial"/>
          <w:sz w:val="22"/>
          <w:szCs w:val="22"/>
        </w:rPr>
        <w:t xml:space="preserve">Dennison, W.C., O'Donnohue, M.K., Abal, E.G. 1995, </w:t>
      </w:r>
      <w:r w:rsidRPr="00CB093C">
        <w:rPr>
          <w:rFonts w:ascii="Arial" w:hAnsi="Arial" w:cs="Arial"/>
          <w:i/>
          <w:sz w:val="22"/>
          <w:szCs w:val="22"/>
        </w:rPr>
        <w:t>An assessment of nutrient bioindicators using marine plants in the region of Pioneer Bay, Airlie Beach, Queensland. Dry season sampling, September 1995</w:t>
      </w:r>
      <w:r w:rsidRPr="00CB093C">
        <w:rPr>
          <w:rFonts w:ascii="Arial" w:hAnsi="Arial" w:cs="Arial"/>
          <w:sz w:val="22"/>
          <w:szCs w:val="22"/>
        </w:rPr>
        <w:t>. Brisbane: Marine Botany Section, Department of Botany, University of Queensland.</w:t>
      </w:r>
      <w:bookmarkEnd w:id="605"/>
    </w:p>
    <w:p w14:paraId="5A4C27DF" w14:textId="77777777" w:rsidR="00513C39" w:rsidRPr="00CB093C" w:rsidRDefault="00513C39" w:rsidP="00513C39">
      <w:pPr>
        <w:pStyle w:val="EndNoteBibliography"/>
        <w:spacing w:after="0"/>
        <w:ind w:left="720" w:hanging="720"/>
        <w:rPr>
          <w:rFonts w:ascii="Arial" w:hAnsi="Arial" w:cs="Arial"/>
          <w:sz w:val="22"/>
          <w:szCs w:val="22"/>
        </w:rPr>
      </w:pPr>
      <w:bookmarkStart w:id="606" w:name="_ENREF_45"/>
      <w:r w:rsidRPr="00CB093C">
        <w:rPr>
          <w:rFonts w:ascii="Arial" w:hAnsi="Arial" w:cs="Arial"/>
          <w:sz w:val="22"/>
          <w:szCs w:val="22"/>
        </w:rPr>
        <w:t xml:space="preserve">Department of Environment and Resource Management. 2009, </w:t>
      </w:r>
      <w:r w:rsidRPr="00CB093C">
        <w:rPr>
          <w:rFonts w:ascii="Arial" w:hAnsi="Arial" w:cs="Arial"/>
          <w:i/>
          <w:sz w:val="22"/>
          <w:szCs w:val="22"/>
        </w:rPr>
        <w:t>Queensland Water Quality Guidelines, Version 3. ISBN 978-0-9806986-0-2</w:t>
      </w:r>
      <w:r w:rsidRPr="00CB093C">
        <w:rPr>
          <w:rFonts w:ascii="Arial" w:hAnsi="Arial" w:cs="Arial"/>
          <w:sz w:val="22"/>
          <w:szCs w:val="22"/>
        </w:rPr>
        <w:t>. Brisbane: State of Queensland (Department of Environment and Resource Management).</w:t>
      </w:r>
      <w:bookmarkEnd w:id="606"/>
    </w:p>
    <w:p w14:paraId="12489EF1" w14:textId="306E398E" w:rsidR="00513C39" w:rsidRPr="00CB093C" w:rsidRDefault="00513C39" w:rsidP="00513C39">
      <w:pPr>
        <w:pStyle w:val="EndNoteBibliography"/>
        <w:spacing w:after="0"/>
        <w:ind w:left="720" w:hanging="720"/>
        <w:rPr>
          <w:rFonts w:ascii="Arial" w:hAnsi="Arial" w:cs="Arial"/>
          <w:sz w:val="22"/>
          <w:szCs w:val="22"/>
        </w:rPr>
      </w:pPr>
      <w:bookmarkStart w:id="607" w:name="_ENREF_46"/>
      <w:r w:rsidRPr="00CB093C">
        <w:rPr>
          <w:rFonts w:ascii="Arial" w:hAnsi="Arial" w:cs="Arial"/>
          <w:sz w:val="22"/>
          <w:szCs w:val="22"/>
        </w:rPr>
        <w:t xml:space="preserve">Department of the Premier and Cabinet. (2014). Great Barrier Reef report card 2012 and 2013, Reef Water Quality Protection Plan, Scoring system.  Retrieved 14/11/2014, from </w:t>
      </w:r>
      <w:hyperlink r:id="rId137" w:history="1">
        <w:r w:rsidRPr="00CB093C">
          <w:rPr>
            <w:rStyle w:val="Hyperlink"/>
            <w:rFonts w:ascii="Arial" w:hAnsi="Arial" w:cs="Arial"/>
            <w:sz w:val="22"/>
            <w:szCs w:val="22"/>
          </w:rPr>
          <w:t>http://www.reefplan.qld.gov.au/measuring-success/methods/scoring-system.aspx</w:t>
        </w:r>
        <w:bookmarkEnd w:id="607"/>
      </w:hyperlink>
    </w:p>
    <w:p w14:paraId="4AB6C4C8" w14:textId="77777777" w:rsidR="00513C39" w:rsidRPr="00CB093C" w:rsidRDefault="00513C39" w:rsidP="00513C39">
      <w:pPr>
        <w:pStyle w:val="EndNoteBibliography"/>
        <w:spacing w:after="0"/>
        <w:ind w:left="720" w:hanging="720"/>
        <w:rPr>
          <w:rFonts w:ascii="Arial" w:hAnsi="Arial" w:cs="Arial"/>
          <w:sz w:val="22"/>
          <w:szCs w:val="22"/>
        </w:rPr>
      </w:pPr>
      <w:bookmarkStart w:id="608" w:name="_ENREF_47"/>
      <w:r w:rsidRPr="00CB093C">
        <w:rPr>
          <w:rFonts w:ascii="Arial" w:hAnsi="Arial" w:cs="Arial"/>
          <w:sz w:val="22"/>
          <w:szCs w:val="22"/>
        </w:rPr>
        <w:t xml:space="preserve">Derbyshire, K.J., Willoughby, S.R., McColl, A.L., Hocroft, D.M. 1995, </w:t>
      </w:r>
      <w:r w:rsidRPr="00CB093C">
        <w:rPr>
          <w:rFonts w:ascii="Arial" w:hAnsi="Arial" w:cs="Arial"/>
          <w:i/>
          <w:sz w:val="22"/>
          <w:szCs w:val="22"/>
        </w:rPr>
        <w:t>Small prawn habitat and recruitment study : final report to the Fisheries Research and Development Corporation and the Queensland Fisheries Management Authority</w:t>
      </w:r>
      <w:r w:rsidRPr="00CB093C">
        <w:rPr>
          <w:rFonts w:ascii="Arial" w:hAnsi="Arial" w:cs="Arial"/>
          <w:sz w:val="22"/>
          <w:szCs w:val="22"/>
        </w:rPr>
        <w:t>. Cairns: Department of Primary Industries.</w:t>
      </w:r>
      <w:bookmarkEnd w:id="608"/>
    </w:p>
    <w:p w14:paraId="169FBE92" w14:textId="77777777" w:rsidR="00513C39" w:rsidRPr="00CB093C" w:rsidRDefault="00513C39" w:rsidP="00513C39">
      <w:pPr>
        <w:pStyle w:val="EndNoteBibliography"/>
        <w:spacing w:after="0"/>
        <w:ind w:left="720" w:hanging="720"/>
        <w:rPr>
          <w:rFonts w:ascii="Arial" w:hAnsi="Arial" w:cs="Arial"/>
          <w:sz w:val="22"/>
          <w:szCs w:val="22"/>
        </w:rPr>
      </w:pPr>
      <w:bookmarkStart w:id="609" w:name="_ENREF_48"/>
      <w:r w:rsidRPr="00CB093C">
        <w:rPr>
          <w:rFonts w:ascii="Arial" w:hAnsi="Arial" w:cs="Arial"/>
          <w:sz w:val="22"/>
          <w:szCs w:val="22"/>
        </w:rPr>
        <w:t xml:space="preserve">Devlin, M., Petus, C., da Silva, E., Tracey, D., Wolff, N., Waterhouse, J., Brodie, J. 2015, Water Quality and River Plume Monitoring in the Great Barrier Reef: An Overview of Methods Based on Ocean Colour Satellite Data. </w:t>
      </w:r>
      <w:r w:rsidRPr="00CB093C">
        <w:rPr>
          <w:rFonts w:ascii="Arial" w:hAnsi="Arial" w:cs="Arial"/>
          <w:i/>
          <w:sz w:val="22"/>
          <w:szCs w:val="22"/>
        </w:rPr>
        <w:t xml:space="preserve">Remote Sensing, </w:t>
      </w:r>
      <w:r w:rsidRPr="00CB093C">
        <w:rPr>
          <w:rFonts w:ascii="Arial" w:hAnsi="Arial" w:cs="Arial"/>
          <w:sz w:val="22"/>
          <w:szCs w:val="22"/>
        </w:rPr>
        <w:t xml:space="preserve">7(10): 12909. </w:t>
      </w:r>
      <w:bookmarkEnd w:id="609"/>
    </w:p>
    <w:p w14:paraId="28476E66" w14:textId="77777777" w:rsidR="00513C39" w:rsidRPr="00CB093C" w:rsidRDefault="00513C39" w:rsidP="00513C39">
      <w:pPr>
        <w:pStyle w:val="EndNoteBibliography"/>
        <w:spacing w:after="0"/>
        <w:ind w:left="720" w:hanging="720"/>
        <w:rPr>
          <w:rFonts w:ascii="Arial" w:hAnsi="Arial" w:cs="Arial"/>
          <w:sz w:val="22"/>
          <w:szCs w:val="22"/>
        </w:rPr>
      </w:pPr>
      <w:bookmarkStart w:id="610" w:name="_ENREF_49"/>
      <w:r w:rsidRPr="00CB093C">
        <w:rPr>
          <w:rFonts w:ascii="Arial" w:hAnsi="Arial" w:cs="Arial"/>
          <w:sz w:val="22"/>
          <w:szCs w:val="22"/>
        </w:rPr>
        <w:t xml:space="preserve">Duarte, C., Borum, J., Short, F., Walker, D. 2005, Seagrass Ecosystems: Their Global Status and Prospects. In N Polunin (Ed.), </w:t>
      </w:r>
      <w:r w:rsidRPr="00CB093C">
        <w:rPr>
          <w:rFonts w:ascii="Arial" w:hAnsi="Arial" w:cs="Arial"/>
          <w:i/>
          <w:sz w:val="22"/>
          <w:szCs w:val="22"/>
        </w:rPr>
        <w:t>Aquatic Ecosystems: Trends and Global Prospects</w:t>
      </w:r>
      <w:r w:rsidRPr="00CB093C">
        <w:rPr>
          <w:rFonts w:ascii="Arial" w:hAnsi="Arial" w:cs="Arial"/>
          <w:sz w:val="22"/>
          <w:szCs w:val="22"/>
        </w:rPr>
        <w:t>: Cambridge Univ. Press.</w:t>
      </w:r>
      <w:bookmarkEnd w:id="610"/>
    </w:p>
    <w:p w14:paraId="0CD65C5D" w14:textId="77777777" w:rsidR="00513C39" w:rsidRPr="00CB093C" w:rsidRDefault="00513C39" w:rsidP="00513C39">
      <w:pPr>
        <w:pStyle w:val="EndNoteBibliography"/>
        <w:spacing w:after="0"/>
        <w:ind w:left="720" w:hanging="720"/>
        <w:rPr>
          <w:rFonts w:ascii="Arial" w:hAnsi="Arial" w:cs="Arial"/>
          <w:sz w:val="22"/>
          <w:szCs w:val="22"/>
        </w:rPr>
      </w:pPr>
      <w:bookmarkStart w:id="611" w:name="_ENREF_50"/>
      <w:r w:rsidRPr="00CB093C">
        <w:rPr>
          <w:rFonts w:ascii="Arial" w:hAnsi="Arial" w:cs="Arial"/>
          <w:sz w:val="22"/>
          <w:szCs w:val="22"/>
        </w:rPr>
        <w:t xml:space="preserve">Duarte, C.M. 1990, Seagrass nutrient content. </w:t>
      </w:r>
      <w:r w:rsidRPr="00CB093C">
        <w:rPr>
          <w:rFonts w:ascii="Arial" w:hAnsi="Arial" w:cs="Arial"/>
          <w:i/>
          <w:sz w:val="22"/>
          <w:szCs w:val="22"/>
        </w:rPr>
        <w:t xml:space="preserve">Marine Ecology Progress Series, </w:t>
      </w:r>
      <w:r w:rsidRPr="00CB093C">
        <w:rPr>
          <w:rFonts w:ascii="Arial" w:hAnsi="Arial" w:cs="Arial"/>
          <w:sz w:val="22"/>
          <w:szCs w:val="22"/>
        </w:rPr>
        <w:t xml:space="preserve">67(1): 201-207. </w:t>
      </w:r>
      <w:bookmarkEnd w:id="611"/>
    </w:p>
    <w:p w14:paraId="29A5E016" w14:textId="77777777" w:rsidR="00513C39" w:rsidRPr="00CB093C" w:rsidRDefault="00513C39" w:rsidP="00513C39">
      <w:pPr>
        <w:pStyle w:val="EndNoteBibliography"/>
        <w:spacing w:after="0"/>
        <w:ind w:left="720" w:hanging="720"/>
        <w:rPr>
          <w:rFonts w:ascii="Arial" w:hAnsi="Arial" w:cs="Arial"/>
          <w:sz w:val="22"/>
          <w:szCs w:val="22"/>
        </w:rPr>
      </w:pPr>
      <w:bookmarkStart w:id="612" w:name="_ENREF_51"/>
      <w:r w:rsidRPr="00CB093C">
        <w:rPr>
          <w:rFonts w:ascii="Arial" w:hAnsi="Arial" w:cs="Arial"/>
          <w:sz w:val="22"/>
          <w:szCs w:val="22"/>
        </w:rPr>
        <w:t xml:space="preserve">Duarte, C.M. and Krause-Jensen, D. 2017, Export from Seagrass Meadows Contributes to Marine Carbon Sequestration. [Review]. </w:t>
      </w:r>
      <w:r w:rsidRPr="00CB093C">
        <w:rPr>
          <w:rFonts w:ascii="Arial" w:hAnsi="Arial" w:cs="Arial"/>
          <w:i/>
          <w:sz w:val="22"/>
          <w:szCs w:val="22"/>
        </w:rPr>
        <w:t xml:space="preserve">Frontiers in Marine Science, </w:t>
      </w:r>
      <w:r w:rsidRPr="00CB093C">
        <w:rPr>
          <w:rFonts w:ascii="Arial" w:hAnsi="Arial" w:cs="Arial"/>
          <w:sz w:val="22"/>
          <w:szCs w:val="22"/>
        </w:rPr>
        <w:t>4(13). doi: 10.3389/fmars.2017.00013</w:t>
      </w:r>
      <w:bookmarkEnd w:id="612"/>
    </w:p>
    <w:p w14:paraId="4863F01B" w14:textId="77777777" w:rsidR="00513C39" w:rsidRPr="00CB093C" w:rsidRDefault="00513C39" w:rsidP="00513C39">
      <w:pPr>
        <w:pStyle w:val="EndNoteBibliography"/>
        <w:spacing w:after="0"/>
        <w:ind w:left="720" w:hanging="720"/>
        <w:rPr>
          <w:rFonts w:ascii="Arial" w:hAnsi="Arial" w:cs="Arial"/>
          <w:sz w:val="22"/>
          <w:szCs w:val="22"/>
        </w:rPr>
      </w:pPr>
      <w:bookmarkStart w:id="613" w:name="_ENREF_52"/>
      <w:r w:rsidRPr="00CB093C">
        <w:rPr>
          <w:rFonts w:ascii="Arial" w:hAnsi="Arial" w:cs="Arial"/>
          <w:sz w:val="22"/>
          <w:szCs w:val="22"/>
        </w:rPr>
        <w:t xml:space="preserve">EHMP. 2008, </w:t>
      </w:r>
      <w:r w:rsidRPr="00CB093C">
        <w:rPr>
          <w:rFonts w:ascii="Arial" w:hAnsi="Arial" w:cs="Arial"/>
          <w:i/>
          <w:sz w:val="22"/>
          <w:szCs w:val="22"/>
        </w:rPr>
        <w:t>Ecosystem Health Monitoring Program 2006-07: Annual Technical Report</w:t>
      </w:r>
      <w:r w:rsidRPr="00CB093C">
        <w:rPr>
          <w:rFonts w:ascii="Arial" w:hAnsi="Arial" w:cs="Arial"/>
          <w:sz w:val="22"/>
          <w:szCs w:val="22"/>
        </w:rPr>
        <w:t>. Brisbane: South East Queensland Healthy Waterways Partnership.</w:t>
      </w:r>
      <w:bookmarkEnd w:id="613"/>
    </w:p>
    <w:p w14:paraId="2380955D" w14:textId="7FCFF754" w:rsidR="00513C39" w:rsidRPr="00CB093C" w:rsidRDefault="00513C39" w:rsidP="00513C39">
      <w:pPr>
        <w:pStyle w:val="EndNoteBibliography"/>
        <w:spacing w:after="0"/>
        <w:ind w:left="720" w:hanging="720"/>
        <w:rPr>
          <w:rFonts w:ascii="Arial" w:hAnsi="Arial" w:cs="Arial"/>
          <w:sz w:val="22"/>
          <w:szCs w:val="22"/>
        </w:rPr>
      </w:pPr>
      <w:bookmarkStart w:id="614" w:name="_ENREF_53"/>
      <w:r w:rsidRPr="00CB093C">
        <w:rPr>
          <w:rFonts w:ascii="Arial" w:hAnsi="Arial" w:cs="Arial"/>
          <w:sz w:val="22"/>
          <w:szCs w:val="22"/>
        </w:rPr>
        <w:t xml:space="preserve">Ellison, A.M. 2019, Foundation Species, Non-trophic Interactions, and the Value of Being Common. </w:t>
      </w:r>
      <w:r w:rsidRPr="00CB093C">
        <w:rPr>
          <w:rFonts w:ascii="Arial" w:hAnsi="Arial" w:cs="Arial"/>
          <w:i/>
          <w:sz w:val="22"/>
          <w:szCs w:val="22"/>
        </w:rPr>
        <w:t xml:space="preserve">iScience, </w:t>
      </w:r>
      <w:r w:rsidRPr="00CB093C">
        <w:rPr>
          <w:rFonts w:ascii="Arial" w:hAnsi="Arial" w:cs="Arial"/>
          <w:sz w:val="22"/>
          <w:szCs w:val="22"/>
        </w:rPr>
        <w:t xml:space="preserve">13: 254-268. doi: </w:t>
      </w:r>
      <w:hyperlink r:id="rId138" w:history="1">
        <w:r w:rsidRPr="00CB093C">
          <w:rPr>
            <w:rStyle w:val="Hyperlink"/>
            <w:rFonts w:ascii="Arial" w:hAnsi="Arial" w:cs="Arial"/>
            <w:sz w:val="22"/>
            <w:szCs w:val="22"/>
          </w:rPr>
          <w:t>https://doi.org/10.1016/j.isci.2019.02.020</w:t>
        </w:r>
        <w:bookmarkEnd w:id="614"/>
      </w:hyperlink>
    </w:p>
    <w:p w14:paraId="13EB6CB9" w14:textId="77777777" w:rsidR="00513C39" w:rsidRPr="00CB093C" w:rsidRDefault="00513C39" w:rsidP="00513C39">
      <w:pPr>
        <w:pStyle w:val="EndNoteBibliography"/>
        <w:spacing w:after="0"/>
        <w:ind w:left="720" w:hanging="720"/>
        <w:rPr>
          <w:rFonts w:ascii="Arial" w:hAnsi="Arial" w:cs="Arial"/>
          <w:sz w:val="22"/>
          <w:szCs w:val="22"/>
        </w:rPr>
      </w:pPr>
      <w:bookmarkStart w:id="615" w:name="_ENREF_54"/>
      <w:r w:rsidRPr="00CB093C">
        <w:rPr>
          <w:rFonts w:ascii="Arial" w:hAnsi="Arial" w:cs="Arial"/>
          <w:sz w:val="22"/>
          <w:szCs w:val="22"/>
        </w:rPr>
        <w:t xml:space="preserve">Fabricius, K., De'Ath, G., Humphrey, C., Zagorskis, I., Schaffelke, B. 2012, Intr-annual variation in turbidity in response to terrestrial runoff on near-shore coral reefs of the Great Barrier Reef. </w:t>
      </w:r>
      <w:r w:rsidRPr="00CB093C">
        <w:rPr>
          <w:rFonts w:ascii="Arial" w:hAnsi="Arial" w:cs="Arial"/>
          <w:i/>
          <w:sz w:val="22"/>
          <w:szCs w:val="22"/>
        </w:rPr>
        <w:t xml:space="preserve">Estuarine, Coastal and Shelf Science, </w:t>
      </w:r>
      <w:r w:rsidRPr="00CB093C">
        <w:rPr>
          <w:rFonts w:ascii="Arial" w:hAnsi="Arial" w:cs="Arial"/>
          <w:sz w:val="22"/>
          <w:szCs w:val="22"/>
        </w:rPr>
        <w:t xml:space="preserve">3: 458-470. </w:t>
      </w:r>
      <w:bookmarkEnd w:id="615"/>
    </w:p>
    <w:p w14:paraId="2090DD6A" w14:textId="77777777" w:rsidR="00513C39" w:rsidRPr="00CB093C" w:rsidRDefault="00513C39" w:rsidP="00513C39">
      <w:pPr>
        <w:pStyle w:val="EndNoteBibliography"/>
        <w:spacing w:after="0"/>
        <w:ind w:left="720" w:hanging="720"/>
        <w:rPr>
          <w:rFonts w:ascii="Arial" w:hAnsi="Arial" w:cs="Arial"/>
          <w:sz w:val="22"/>
          <w:szCs w:val="22"/>
        </w:rPr>
      </w:pPr>
      <w:bookmarkStart w:id="616" w:name="_ENREF_55"/>
      <w:r w:rsidRPr="00CB093C">
        <w:rPr>
          <w:rFonts w:ascii="Arial" w:hAnsi="Arial" w:cs="Arial"/>
          <w:sz w:val="22"/>
          <w:szCs w:val="22"/>
        </w:rPr>
        <w:t xml:space="preserve">Fourqurean, J.W., Duarte, C.M., Kennedy, H., Marba, N., Holmer, M., Mateo, M.A., Apostolaki, E.T., Kendrick, G.A., Krause-Jensen, D., McGlathery, K.J., Serrano, O. 2012, Seagrass ecosystems as a globally significant carbon stock. </w:t>
      </w:r>
      <w:r w:rsidRPr="00CB093C">
        <w:rPr>
          <w:rFonts w:ascii="Arial" w:hAnsi="Arial" w:cs="Arial"/>
          <w:i/>
          <w:sz w:val="22"/>
          <w:szCs w:val="22"/>
        </w:rPr>
        <w:t xml:space="preserve">Nature Geoscience, </w:t>
      </w:r>
      <w:r w:rsidRPr="00CB093C">
        <w:rPr>
          <w:rFonts w:ascii="Arial" w:hAnsi="Arial" w:cs="Arial"/>
          <w:sz w:val="22"/>
          <w:szCs w:val="22"/>
        </w:rPr>
        <w:t>5(7): 505-509. doi: 10.1038/ngeo1477</w:t>
      </w:r>
      <w:bookmarkEnd w:id="616"/>
    </w:p>
    <w:p w14:paraId="1BC0D4C7" w14:textId="77777777" w:rsidR="00513C39" w:rsidRPr="00CB093C" w:rsidRDefault="00513C39" w:rsidP="00513C39">
      <w:pPr>
        <w:pStyle w:val="EndNoteBibliography"/>
        <w:spacing w:after="0"/>
        <w:ind w:left="720" w:hanging="720"/>
        <w:rPr>
          <w:rFonts w:ascii="Arial" w:hAnsi="Arial" w:cs="Arial"/>
          <w:sz w:val="22"/>
          <w:szCs w:val="22"/>
        </w:rPr>
      </w:pPr>
      <w:bookmarkStart w:id="617" w:name="_ENREF_56"/>
      <w:r w:rsidRPr="00CB093C">
        <w:rPr>
          <w:rFonts w:ascii="Arial" w:hAnsi="Arial" w:cs="Arial"/>
          <w:sz w:val="22"/>
          <w:szCs w:val="22"/>
        </w:rPr>
        <w:t xml:space="preserve">Fourqurean, J.W., Zieman, J.C., Powell, G.V.N. 1992, Relationships between porewater nutrients and seagrasses in a subtropical carbonate environment. </w:t>
      </w:r>
      <w:r w:rsidRPr="00CB093C">
        <w:rPr>
          <w:rFonts w:ascii="Arial" w:hAnsi="Arial" w:cs="Arial"/>
          <w:i/>
          <w:sz w:val="22"/>
          <w:szCs w:val="22"/>
        </w:rPr>
        <w:t xml:space="preserve">Marine Biology, </w:t>
      </w:r>
      <w:r w:rsidRPr="00CB093C">
        <w:rPr>
          <w:rFonts w:ascii="Arial" w:hAnsi="Arial" w:cs="Arial"/>
          <w:sz w:val="22"/>
          <w:szCs w:val="22"/>
        </w:rPr>
        <w:t>114(1): 57-65. doi: 10.1007/bf00350856</w:t>
      </w:r>
      <w:bookmarkEnd w:id="617"/>
    </w:p>
    <w:p w14:paraId="6E96D6DB" w14:textId="2E49EE4C" w:rsidR="00513C39" w:rsidRPr="00CB093C" w:rsidRDefault="00513C39" w:rsidP="00513C39">
      <w:pPr>
        <w:pStyle w:val="EndNoteBibliography"/>
        <w:spacing w:after="0"/>
        <w:ind w:left="720" w:hanging="720"/>
        <w:rPr>
          <w:rFonts w:ascii="Arial" w:hAnsi="Arial" w:cs="Arial"/>
          <w:sz w:val="22"/>
          <w:szCs w:val="22"/>
        </w:rPr>
      </w:pPr>
      <w:bookmarkStart w:id="618" w:name="_ENREF_57"/>
      <w:r w:rsidRPr="00CB093C">
        <w:rPr>
          <w:rFonts w:ascii="Arial" w:hAnsi="Arial" w:cs="Arial"/>
          <w:sz w:val="22"/>
          <w:szCs w:val="22"/>
        </w:rPr>
        <w:t xml:space="preserve">GBRMPA. (2019). Marine Monitoring Program  Retrieved 29 March, 2019, from </w:t>
      </w:r>
      <w:hyperlink r:id="rId139" w:history="1">
        <w:r w:rsidRPr="00CB093C">
          <w:rPr>
            <w:rStyle w:val="Hyperlink"/>
            <w:rFonts w:ascii="Arial" w:hAnsi="Arial" w:cs="Arial"/>
            <w:sz w:val="22"/>
            <w:szCs w:val="22"/>
          </w:rPr>
          <w:t>http://www.gbrmpa.gov.au/our-work/our-programs-and-projects/reef-2050-marine-monitoring-program</w:t>
        </w:r>
        <w:bookmarkEnd w:id="618"/>
      </w:hyperlink>
    </w:p>
    <w:p w14:paraId="44643148" w14:textId="77777777" w:rsidR="00513C39" w:rsidRPr="00CB093C" w:rsidRDefault="00513C39" w:rsidP="00513C39">
      <w:pPr>
        <w:pStyle w:val="EndNoteBibliography"/>
        <w:spacing w:after="0"/>
        <w:ind w:left="720" w:hanging="720"/>
        <w:rPr>
          <w:rFonts w:ascii="Arial" w:hAnsi="Arial" w:cs="Arial"/>
          <w:sz w:val="22"/>
          <w:szCs w:val="22"/>
        </w:rPr>
      </w:pPr>
      <w:bookmarkStart w:id="619" w:name="_ENREF_58"/>
      <w:r w:rsidRPr="00CB093C">
        <w:rPr>
          <w:rFonts w:ascii="Arial" w:hAnsi="Arial" w:cs="Arial"/>
          <w:sz w:val="22"/>
          <w:szCs w:val="22"/>
        </w:rPr>
        <w:t xml:space="preserve">Goldsworthy, P.M. 1994, Seagrasses. In L Benson, P Goldsworthy, R Butler &amp; J Oliver (Eds.), </w:t>
      </w:r>
      <w:r w:rsidRPr="00CB093C">
        <w:rPr>
          <w:rFonts w:ascii="Arial" w:hAnsi="Arial" w:cs="Arial"/>
          <w:i/>
          <w:sz w:val="22"/>
          <w:szCs w:val="22"/>
        </w:rPr>
        <w:t>Townsville Port Authority Capital Dredging Works 1993: Environmental Monitoring Program</w:t>
      </w:r>
      <w:r w:rsidRPr="00CB093C">
        <w:rPr>
          <w:rFonts w:ascii="Arial" w:hAnsi="Arial" w:cs="Arial"/>
          <w:sz w:val="22"/>
          <w:szCs w:val="22"/>
        </w:rPr>
        <w:t xml:space="preserve"> (pp. 89-115). Townsville: Townsville Port Authority.</w:t>
      </w:r>
      <w:bookmarkEnd w:id="619"/>
    </w:p>
    <w:p w14:paraId="2CF58DC7" w14:textId="77777777" w:rsidR="00513C39" w:rsidRPr="00CB093C" w:rsidRDefault="00513C39" w:rsidP="00513C39">
      <w:pPr>
        <w:pStyle w:val="EndNoteBibliography"/>
        <w:spacing w:after="0"/>
        <w:ind w:left="720" w:hanging="720"/>
        <w:rPr>
          <w:rFonts w:ascii="Arial" w:hAnsi="Arial" w:cs="Arial"/>
          <w:sz w:val="22"/>
          <w:szCs w:val="22"/>
        </w:rPr>
      </w:pPr>
      <w:bookmarkStart w:id="620" w:name="_ENREF_59"/>
      <w:r w:rsidRPr="00CB093C">
        <w:rPr>
          <w:rFonts w:ascii="Arial" w:hAnsi="Arial" w:cs="Arial"/>
          <w:sz w:val="22"/>
          <w:szCs w:val="22"/>
        </w:rPr>
        <w:t xml:space="preserve">Great Barrier Reef Marine Park Authority. 2014, </w:t>
      </w:r>
      <w:r w:rsidRPr="00CB093C">
        <w:rPr>
          <w:rFonts w:ascii="Arial" w:hAnsi="Arial" w:cs="Arial"/>
          <w:i/>
          <w:sz w:val="22"/>
          <w:szCs w:val="22"/>
        </w:rPr>
        <w:t>Great Barrier Reef Region Strategic Assessment: Program report</w:t>
      </w:r>
      <w:r w:rsidRPr="00CB093C">
        <w:rPr>
          <w:rFonts w:ascii="Arial" w:hAnsi="Arial" w:cs="Arial"/>
          <w:sz w:val="22"/>
          <w:szCs w:val="22"/>
        </w:rPr>
        <w:t>. Townsville: GBRMPA.</w:t>
      </w:r>
      <w:bookmarkEnd w:id="620"/>
    </w:p>
    <w:p w14:paraId="0F6E80A2" w14:textId="77777777" w:rsidR="00513C39" w:rsidRPr="00CB093C" w:rsidRDefault="00513C39" w:rsidP="00513C39">
      <w:pPr>
        <w:pStyle w:val="EndNoteBibliography"/>
        <w:spacing w:after="0"/>
        <w:ind w:left="720" w:hanging="720"/>
        <w:rPr>
          <w:rFonts w:ascii="Arial" w:hAnsi="Arial" w:cs="Arial"/>
          <w:sz w:val="22"/>
          <w:szCs w:val="22"/>
        </w:rPr>
      </w:pPr>
      <w:bookmarkStart w:id="621" w:name="_ENREF_60"/>
      <w:r w:rsidRPr="00CB093C">
        <w:rPr>
          <w:rFonts w:ascii="Arial" w:hAnsi="Arial" w:cs="Arial"/>
          <w:sz w:val="22"/>
          <w:szCs w:val="22"/>
        </w:rPr>
        <w:t xml:space="preserve">Grech, A., Coles, R., Waycott, M., Rasheed, M., McKenzie, L. 2010, Risk Assessment for Coastal Seagrass Habitats of the Great Barrier Reef World Heritage Area: Outputs from the Risk Assessment Working Group. </w:t>
      </w:r>
      <w:bookmarkEnd w:id="621"/>
    </w:p>
    <w:p w14:paraId="1E2D0217" w14:textId="77777777" w:rsidR="00513C39" w:rsidRPr="00CB093C" w:rsidRDefault="00513C39" w:rsidP="00513C39">
      <w:pPr>
        <w:pStyle w:val="EndNoteBibliography"/>
        <w:spacing w:after="0"/>
        <w:ind w:left="720" w:hanging="720"/>
        <w:rPr>
          <w:rFonts w:ascii="Arial" w:hAnsi="Arial" w:cs="Arial"/>
          <w:sz w:val="22"/>
          <w:szCs w:val="22"/>
        </w:rPr>
      </w:pPr>
      <w:bookmarkStart w:id="622" w:name="_ENREF_61"/>
      <w:r w:rsidRPr="00CB093C">
        <w:rPr>
          <w:rFonts w:ascii="Arial" w:hAnsi="Arial" w:cs="Arial"/>
          <w:sz w:val="22"/>
          <w:szCs w:val="22"/>
        </w:rPr>
        <w:t xml:space="preserve">Grech, A., Wolter, J., Coles, R., McKenzie, L., Rasheed, M., Thomas, C., Waycott, M., Hanert, E. 2016a, Spatial patterns of seagrass dispersal and settlement. </w:t>
      </w:r>
      <w:r w:rsidRPr="00CB093C">
        <w:rPr>
          <w:rFonts w:ascii="Arial" w:hAnsi="Arial" w:cs="Arial"/>
          <w:i/>
          <w:sz w:val="22"/>
          <w:szCs w:val="22"/>
        </w:rPr>
        <w:t>Diversity and Distributions</w:t>
      </w:r>
      <w:r w:rsidRPr="00CB093C">
        <w:rPr>
          <w:rFonts w:ascii="Arial" w:hAnsi="Arial" w:cs="Arial"/>
          <w:sz w:val="22"/>
          <w:szCs w:val="22"/>
        </w:rPr>
        <w:t>: n/a-n/a. doi: 10.1111/ddi.12479</w:t>
      </w:r>
      <w:bookmarkEnd w:id="622"/>
    </w:p>
    <w:p w14:paraId="482AF968" w14:textId="77777777" w:rsidR="00513C39" w:rsidRPr="00CB093C" w:rsidRDefault="00513C39" w:rsidP="00513C39">
      <w:pPr>
        <w:pStyle w:val="EndNoteBibliography"/>
        <w:spacing w:after="0"/>
        <w:ind w:left="720" w:hanging="720"/>
        <w:rPr>
          <w:rFonts w:ascii="Arial" w:hAnsi="Arial" w:cs="Arial"/>
          <w:sz w:val="22"/>
          <w:szCs w:val="22"/>
        </w:rPr>
      </w:pPr>
      <w:bookmarkStart w:id="623" w:name="_ENREF_62"/>
      <w:r w:rsidRPr="00CB093C">
        <w:rPr>
          <w:rFonts w:ascii="Arial" w:hAnsi="Arial" w:cs="Arial"/>
          <w:sz w:val="22"/>
          <w:szCs w:val="22"/>
        </w:rPr>
        <w:t xml:space="preserve">Grech, A., Wolter, J., Coles, R., McKenzie, L., Rasheed, M., Thomas, C., Waycott, M., Hanert, E. 2016b, Spatial patterns of seagrass dispersal and settlement. </w:t>
      </w:r>
      <w:r w:rsidRPr="00CB093C">
        <w:rPr>
          <w:rFonts w:ascii="Arial" w:hAnsi="Arial" w:cs="Arial"/>
          <w:i/>
          <w:sz w:val="22"/>
          <w:szCs w:val="22"/>
        </w:rPr>
        <w:t xml:space="preserve">Diversity and Distributions, </w:t>
      </w:r>
      <w:r w:rsidRPr="00CB093C">
        <w:rPr>
          <w:rFonts w:ascii="Arial" w:hAnsi="Arial" w:cs="Arial"/>
          <w:sz w:val="22"/>
          <w:szCs w:val="22"/>
        </w:rPr>
        <w:t>22(11): 1150-1162. doi: 10.1111/ddi.12479</w:t>
      </w:r>
      <w:bookmarkEnd w:id="623"/>
    </w:p>
    <w:p w14:paraId="58688F37" w14:textId="77777777" w:rsidR="00513C39" w:rsidRPr="00CB093C" w:rsidRDefault="00513C39" w:rsidP="00513C39">
      <w:pPr>
        <w:pStyle w:val="EndNoteBibliography"/>
        <w:spacing w:after="0"/>
        <w:ind w:left="720" w:hanging="720"/>
        <w:rPr>
          <w:rFonts w:ascii="Arial" w:hAnsi="Arial" w:cs="Arial"/>
          <w:sz w:val="22"/>
          <w:szCs w:val="22"/>
        </w:rPr>
      </w:pPr>
      <w:bookmarkStart w:id="624" w:name="_ENREF_63"/>
      <w:r w:rsidRPr="00CB093C">
        <w:rPr>
          <w:rFonts w:ascii="Arial" w:hAnsi="Arial" w:cs="Arial"/>
          <w:sz w:val="22"/>
          <w:szCs w:val="22"/>
        </w:rPr>
        <w:t xml:space="preserve">Green, E. and Short, F. (Eds.). (2003). </w:t>
      </w:r>
      <w:r w:rsidRPr="00CB093C">
        <w:rPr>
          <w:rFonts w:ascii="Arial" w:hAnsi="Arial" w:cs="Arial"/>
          <w:i/>
          <w:sz w:val="22"/>
          <w:szCs w:val="22"/>
        </w:rPr>
        <w:t>World Atlas of Seagrasses</w:t>
      </w:r>
      <w:r w:rsidRPr="00CB093C">
        <w:rPr>
          <w:rFonts w:ascii="Arial" w:hAnsi="Arial" w:cs="Arial"/>
          <w:sz w:val="22"/>
          <w:szCs w:val="22"/>
        </w:rPr>
        <w:t>. Berkeley. USA: University of California Press,.</w:t>
      </w:r>
      <w:bookmarkEnd w:id="624"/>
    </w:p>
    <w:p w14:paraId="071B63A9" w14:textId="77777777" w:rsidR="00513C39" w:rsidRPr="00CB093C" w:rsidRDefault="00513C39" w:rsidP="00513C39">
      <w:pPr>
        <w:pStyle w:val="EndNoteBibliography"/>
        <w:spacing w:after="0"/>
        <w:ind w:left="720" w:hanging="720"/>
        <w:rPr>
          <w:rFonts w:ascii="Arial" w:hAnsi="Arial" w:cs="Arial"/>
          <w:sz w:val="22"/>
          <w:szCs w:val="22"/>
        </w:rPr>
      </w:pPr>
      <w:bookmarkStart w:id="625" w:name="_ENREF_64"/>
      <w:r w:rsidRPr="00CB093C">
        <w:rPr>
          <w:rFonts w:ascii="Arial" w:hAnsi="Arial" w:cs="Arial"/>
          <w:sz w:val="22"/>
          <w:szCs w:val="22"/>
        </w:rPr>
        <w:t xml:space="preserve">Grice, A., Loneragan, N., Dennison, W. 1996, Light intensity and the interactions between physiology, morphology and stable isotope ratios in five species of seagrass. </w:t>
      </w:r>
      <w:r w:rsidRPr="00CB093C">
        <w:rPr>
          <w:rFonts w:ascii="Arial" w:hAnsi="Arial" w:cs="Arial"/>
          <w:i/>
          <w:sz w:val="22"/>
          <w:szCs w:val="22"/>
        </w:rPr>
        <w:t xml:space="preserve">Journal of Experimental Marine Biology and Ecology, </w:t>
      </w:r>
      <w:r w:rsidRPr="00CB093C">
        <w:rPr>
          <w:rFonts w:ascii="Arial" w:hAnsi="Arial" w:cs="Arial"/>
          <w:sz w:val="22"/>
          <w:szCs w:val="22"/>
        </w:rPr>
        <w:t xml:space="preserve">195: 91-110. </w:t>
      </w:r>
      <w:bookmarkEnd w:id="625"/>
    </w:p>
    <w:p w14:paraId="40E09E73" w14:textId="6C3733E1" w:rsidR="00513C39" w:rsidRPr="00CB093C" w:rsidRDefault="00513C39" w:rsidP="00513C39">
      <w:pPr>
        <w:pStyle w:val="EndNoteBibliography"/>
        <w:spacing w:after="0"/>
        <w:ind w:left="720" w:hanging="720"/>
        <w:rPr>
          <w:rFonts w:ascii="Arial" w:hAnsi="Arial" w:cs="Arial"/>
          <w:sz w:val="22"/>
          <w:szCs w:val="22"/>
        </w:rPr>
      </w:pPr>
      <w:bookmarkStart w:id="626" w:name="_ENREF_65"/>
      <w:r w:rsidRPr="00CB093C">
        <w:rPr>
          <w:rFonts w:ascii="Arial" w:hAnsi="Arial" w:cs="Arial"/>
          <w:sz w:val="22"/>
          <w:szCs w:val="22"/>
        </w:rPr>
        <w:t xml:space="preserve">Gruber, R., Waterhouse, J., Logan, M., Petus, C., Howley, C., Lewis, S., Tracey, D., Langlois, L., Tonin, H., Skuza, M., Doyle, J., Costello, P., Davidson, J., Gunn, K., Wright, M., Zagorskis, I., Kroon, F., Neilen, A. 2019, </w:t>
      </w:r>
      <w:r w:rsidRPr="00CB093C">
        <w:rPr>
          <w:rFonts w:ascii="Arial" w:hAnsi="Arial" w:cs="Arial"/>
          <w:i/>
          <w:sz w:val="22"/>
          <w:szCs w:val="22"/>
        </w:rPr>
        <w:t xml:space="preserve">Marine Monitoring Program: Annual Report for inshore water quality monitoring </w:t>
      </w:r>
      <w:r w:rsidR="008C0E45">
        <w:rPr>
          <w:rFonts w:ascii="Arial" w:hAnsi="Arial" w:cs="Arial"/>
          <w:i/>
          <w:sz w:val="22"/>
          <w:szCs w:val="22"/>
        </w:rPr>
        <w:t>2017–18</w:t>
      </w:r>
      <w:r w:rsidRPr="00CB093C">
        <w:rPr>
          <w:rFonts w:ascii="Arial" w:hAnsi="Arial" w:cs="Arial"/>
          <w:i/>
          <w:sz w:val="22"/>
          <w:szCs w:val="22"/>
        </w:rPr>
        <w:t>. Report for the Great Barrier Reef Marine Park Authority</w:t>
      </w:r>
      <w:r w:rsidRPr="00CB093C">
        <w:rPr>
          <w:rFonts w:ascii="Arial" w:hAnsi="Arial" w:cs="Arial"/>
          <w:sz w:val="22"/>
          <w:szCs w:val="22"/>
        </w:rPr>
        <w:t>. Townsville: Australian Institute of Marine Science and JCU TropWATER.</w:t>
      </w:r>
      <w:bookmarkEnd w:id="626"/>
    </w:p>
    <w:p w14:paraId="7F857A90" w14:textId="77777777" w:rsidR="00513C39" w:rsidRPr="00CB093C" w:rsidRDefault="00513C39" w:rsidP="00513C39">
      <w:pPr>
        <w:pStyle w:val="EndNoteBibliography"/>
        <w:spacing w:after="0"/>
        <w:ind w:left="720" w:hanging="720"/>
        <w:rPr>
          <w:rFonts w:ascii="Arial" w:hAnsi="Arial" w:cs="Arial"/>
          <w:sz w:val="22"/>
          <w:szCs w:val="22"/>
        </w:rPr>
      </w:pPr>
      <w:bookmarkStart w:id="627" w:name="_ENREF_66"/>
      <w:r w:rsidRPr="00CB093C">
        <w:rPr>
          <w:rFonts w:ascii="Arial" w:hAnsi="Arial" w:cs="Arial"/>
          <w:sz w:val="22"/>
          <w:szCs w:val="22"/>
        </w:rPr>
        <w:t xml:space="preserve">Haynes, D., Müller, J., Carter, S. 2000, Pesticide and Herbicide Residues in Sediments and Seagrasses from the Great Barrier Reef World Heritage Area and Queensland Coast. </w:t>
      </w:r>
      <w:r w:rsidRPr="00CB093C">
        <w:rPr>
          <w:rFonts w:ascii="Arial" w:hAnsi="Arial" w:cs="Arial"/>
          <w:i/>
          <w:sz w:val="22"/>
          <w:szCs w:val="22"/>
        </w:rPr>
        <w:t xml:space="preserve">Marine Pollution Bulletin, </w:t>
      </w:r>
      <w:r w:rsidRPr="00CB093C">
        <w:rPr>
          <w:rFonts w:ascii="Arial" w:hAnsi="Arial" w:cs="Arial"/>
          <w:sz w:val="22"/>
          <w:szCs w:val="22"/>
        </w:rPr>
        <w:t xml:space="preserve">41(7-12): 279-287. </w:t>
      </w:r>
      <w:bookmarkEnd w:id="627"/>
    </w:p>
    <w:p w14:paraId="2077A38C" w14:textId="77777777" w:rsidR="00513C39" w:rsidRPr="00CB093C" w:rsidRDefault="00513C39" w:rsidP="00513C39">
      <w:pPr>
        <w:pStyle w:val="EndNoteBibliography"/>
        <w:spacing w:after="0"/>
        <w:ind w:left="720" w:hanging="720"/>
        <w:rPr>
          <w:rFonts w:ascii="Arial" w:hAnsi="Arial" w:cs="Arial"/>
          <w:sz w:val="22"/>
          <w:szCs w:val="22"/>
        </w:rPr>
      </w:pPr>
      <w:bookmarkStart w:id="628" w:name="_ENREF_67"/>
      <w:r w:rsidRPr="00CB093C">
        <w:rPr>
          <w:rFonts w:ascii="Arial" w:hAnsi="Arial" w:cs="Arial"/>
          <w:sz w:val="22"/>
          <w:szCs w:val="22"/>
        </w:rPr>
        <w:t xml:space="preserve">Heap, A.D., Murray, E., Ryan, D.A., Gallagher, J., Tobin, G., Creasey, J., Dyall, A. 2015, Queensland Coastal Waterways Geomorphic Habitat Mapping, Version 2 (1:100 000 scale digital data). [northlimit=-10.6; southlimit=-28.2; westlimit=137.8; eastLimit=153.2; projection=WGS84]. </w:t>
      </w:r>
      <w:bookmarkEnd w:id="628"/>
    </w:p>
    <w:p w14:paraId="707D50DF" w14:textId="77777777" w:rsidR="00513C39" w:rsidRPr="00CB093C" w:rsidRDefault="00513C39" w:rsidP="00513C39">
      <w:pPr>
        <w:pStyle w:val="EndNoteBibliography"/>
        <w:spacing w:after="0"/>
        <w:ind w:left="720" w:hanging="720"/>
        <w:rPr>
          <w:rFonts w:ascii="Arial" w:hAnsi="Arial" w:cs="Arial"/>
          <w:sz w:val="22"/>
          <w:szCs w:val="22"/>
        </w:rPr>
      </w:pPr>
      <w:bookmarkStart w:id="629" w:name="_ENREF_68"/>
      <w:r w:rsidRPr="00CB093C">
        <w:rPr>
          <w:rFonts w:ascii="Arial" w:hAnsi="Arial" w:cs="Arial"/>
          <w:sz w:val="22"/>
          <w:szCs w:val="22"/>
        </w:rPr>
        <w:t xml:space="preserve">Heck, K.L. and Orth, R.J. 2006, Predation in seagrass beds. In WD Larkum, RJ Orth &amp; CM Duarte (Eds.), </w:t>
      </w:r>
      <w:r w:rsidRPr="00CB093C">
        <w:rPr>
          <w:rFonts w:ascii="Arial" w:hAnsi="Arial" w:cs="Arial"/>
          <w:i/>
          <w:sz w:val="22"/>
          <w:szCs w:val="22"/>
        </w:rPr>
        <w:t>Seagrasses: Biology, Ecology and Conservation</w:t>
      </w:r>
      <w:r w:rsidRPr="00CB093C">
        <w:rPr>
          <w:rFonts w:ascii="Arial" w:hAnsi="Arial" w:cs="Arial"/>
          <w:sz w:val="22"/>
          <w:szCs w:val="22"/>
        </w:rPr>
        <w:t>. Dordrecht: Springer.</w:t>
      </w:r>
      <w:bookmarkEnd w:id="629"/>
    </w:p>
    <w:p w14:paraId="639B7212" w14:textId="77777777" w:rsidR="00513C39" w:rsidRPr="00CB093C" w:rsidRDefault="00513C39" w:rsidP="00513C39">
      <w:pPr>
        <w:pStyle w:val="EndNoteBibliography"/>
        <w:spacing w:after="0"/>
        <w:ind w:left="720" w:hanging="720"/>
        <w:rPr>
          <w:rFonts w:ascii="Arial" w:hAnsi="Arial" w:cs="Arial"/>
          <w:sz w:val="22"/>
          <w:szCs w:val="22"/>
        </w:rPr>
      </w:pPr>
      <w:bookmarkStart w:id="630" w:name="_ENREF_69"/>
      <w:r w:rsidRPr="00CB093C">
        <w:rPr>
          <w:rFonts w:ascii="Arial" w:hAnsi="Arial" w:cs="Arial"/>
          <w:sz w:val="22"/>
          <w:szCs w:val="22"/>
        </w:rPr>
        <w:t xml:space="preserve">Heck, K.L. and Valentine, J.F. 2006, Plant-herbivore interactions in seagrass meadows. </w:t>
      </w:r>
      <w:r w:rsidRPr="00CB093C">
        <w:rPr>
          <w:rFonts w:ascii="Arial" w:hAnsi="Arial" w:cs="Arial"/>
          <w:i/>
          <w:sz w:val="22"/>
          <w:szCs w:val="22"/>
        </w:rPr>
        <w:t xml:space="preserve">Journal of Experimental Marine Biology and Ecology, </w:t>
      </w:r>
      <w:r w:rsidRPr="00CB093C">
        <w:rPr>
          <w:rFonts w:ascii="Arial" w:hAnsi="Arial" w:cs="Arial"/>
          <w:sz w:val="22"/>
          <w:szCs w:val="22"/>
        </w:rPr>
        <w:t xml:space="preserve">330(1): 420-436. </w:t>
      </w:r>
      <w:bookmarkEnd w:id="630"/>
    </w:p>
    <w:p w14:paraId="5E7B4E06" w14:textId="77777777" w:rsidR="00513C39" w:rsidRPr="00CB093C" w:rsidRDefault="00513C39" w:rsidP="00513C39">
      <w:pPr>
        <w:pStyle w:val="EndNoteBibliography"/>
        <w:spacing w:after="0"/>
        <w:ind w:left="720" w:hanging="720"/>
        <w:rPr>
          <w:rFonts w:ascii="Arial" w:hAnsi="Arial" w:cs="Arial"/>
          <w:sz w:val="22"/>
          <w:szCs w:val="22"/>
          <w:u w:val="single"/>
        </w:rPr>
      </w:pPr>
      <w:bookmarkStart w:id="631" w:name="_ENREF_70"/>
      <w:r w:rsidRPr="00CB093C">
        <w:rPr>
          <w:rFonts w:ascii="Arial" w:hAnsi="Arial" w:cs="Arial"/>
          <w:sz w:val="22"/>
          <w:szCs w:val="22"/>
        </w:rPr>
        <w:t xml:space="preserve">Heck, K.L.J., Carruthers, T.J.B., Duarte, C.M., Hughes, A.R., Kendrick, G., Orth, R.J., Williams, S.W. 2008, Trophic transfers from seagrass meadows subsidize diverse marine and terrestrial consumers. [review]. </w:t>
      </w:r>
      <w:r w:rsidRPr="00CB093C">
        <w:rPr>
          <w:rFonts w:ascii="Arial" w:hAnsi="Arial" w:cs="Arial"/>
          <w:i/>
          <w:sz w:val="22"/>
          <w:szCs w:val="22"/>
        </w:rPr>
        <w:t xml:space="preserve">Ecosystems, </w:t>
      </w:r>
      <w:r w:rsidRPr="00CB093C">
        <w:rPr>
          <w:rFonts w:ascii="Arial" w:hAnsi="Arial" w:cs="Arial"/>
          <w:sz w:val="22"/>
          <w:szCs w:val="22"/>
        </w:rPr>
        <w:t xml:space="preserve">11(7): 1198-1210. doi: </w:t>
      </w:r>
      <w:r w:rsidRPr="00CB093C">
        <w:rPr>
          <w:rFonts w:ascii="Arial" w:hAnsi="Arial" w:cs="Arial"/>
          <w:sz w:val="22"/>
          <w:szCs w:val="22"/>
          <w:u w:val="single"/>
        </w:rPr>
        <w:t>10.1007/s10021-008-9155-y</w:t>
      </w:r>
      <w:bookmarkEnd w:id="631"/>
    </w:p>
    <w:p w14:paraId="62AE1CAF" w14:textId="77777777" w:rsidR="00513C39" w:rsidRPr="00CB093C" w:rsidRDefault="00513C39" w:rsidP="00513C39">
      <w:pPr>
        <w:pStyle w:val="EndNoteBibliography"/>
        <w:spacing w:after="0"/>
        <w:ind w:left="720" w:hanging="720"/>
        <w:rPr>
          <w:rFonts w:ascii="Arial" w:hAnsi="Arial" w:cs="Arial"/>
          <w:sz w:val="22"/>
          <w:szCs w:val="22"/>
        </w:rPr>
      </w:pPr>
      <w:bookmarkStart w:id="632" w:name="_ENREF_71"/>
      <w:r w:rsidRPr="00CB093C">
        <w:rPr>
          <w:rFonts w:ascii="Arial" w:hAnsi="Arial" w:cs="Arial"/>
          <w:sz w:val="22"/>
          <w:szCs w:val="22"/>
        </w:rPr>
        <w:t xml:space="preserve">Holling, C.S. 1973, Resilience and stability of ecological systems. </w:t>
      </w:r>
      <w:r w:rsidRPr="00CB093C">
        <w:rPr>
          <w:rFonts w:ascii="Arial" w:hAnsi="Arial" w:cs="Arial"/>
          <w:i/>
          <w:sz w:val="22"/>
          <w:szCs w:val="22"/>
        </w:rPr>
        <w:t xml:space="preserve">Annual Review of Ecology and Systematics, </w:t>
      </w:r>
      <w:r w:rsidRPr="00CB093C">
        <w:rPr>
          <w:rFonts w:ascii="Arial" w:hAnsi="Arial" w:cs="Arial"/>
          <w:sz w:val="22"/>
          <w:szCs w:val="22"/>
        </w:rPr>
        <w:t xml:space="preserve">4: 1-23. </w:t>
      </w:r>
      <w:bookmarkEnd w:id="632"/>
    </w:p>
    <w:p w14:paraId="5CFBD46E" w14:textId="77777777" w:rsidR="00513C39" w:rsidRPr="00CB093C" w:rsidRDefault="00513C39" w:rsidP="00513C39">
      <w:pPr>
        <w:pStyle w:val="EndNoteBibliography"/>
        <w:spacing w:after="0"/>
        <w:ind w:left="720" w:hanging="720"/>
        <w:rPr>
          <w:rFonts w:ascii="Arial" w:hAnsi="Arial" w:cs="Arial"/>
          <w:sz w:val="22"/>
          <w:szCs w:val="22"/>
        </w:rPr>
      </w:pPr>
      <w:bookmarkStart w:id="633" w:name="_ENREF_72"/>
      <w:r w:rsidRPr="00CB093C">
        <w:rPr>
          <w:rFonts w:ascii="Arial" w:hAnsi="Arial" w:cs="Arial"/>
          <w:sz w:val="22"/>
          <w:szCs w:val="22"/>
        </w:rPr>
        <w:t xml:space="preserve">Inglis, G.J. 1999, Variation in the recruitment behaviour of seagrass seeds: implications for population dynamics and resource management. </w:t>
      </w:r>
      <w:r w:rsidRPr="00CB093C">
        <w:rPr>
          <w:rFonts w:ascii="Arial" w:hAnsi="Arial" w:cs="Arial"/>
          <w:i/>
          <w:sz w:val="22"/>
          <w:szCs w:val="22"/>
        </w:rPr>
        <w:t xml:space="preserve">Pacific Conservation Biology, </w:t>
      </w:r>
      <w:r w:rsidRPr="00CB093C">
        <w:rPr>
          <w:rFonts w:ascii="Arial" w:hAnsi="Arial" w:cs="Arial"/>
          <w:sz w:val="22"/>
          <w:szCs w:val="22"/>
        </w:rPr>
        <w:t xml:space="preserve">5: 251-259. </w:t>
      </w:r>
      <w:bookmarkEnd w:id="633"/>
    </w:p>
    <w:p w14:paraId="6A5E0BBE" w14:textId="77777777" w:rsidR="00513C39" w:rsidRPr="00CB093C" w:rsidRDefault="00513C39" w:rsidP="00513C39">
      <w:pPr>
        <w:pStyle w:val="EndNoteBibliography"/>
        <w:spacing w:after="0"/>
        <w:ind w:left="720" w:hanging="720"/>
        <w:rPr>
          <w:rFonts w:ascii="Arial" w:hAnsi="Arial" w:cs="Arial"/>
          <w:sz w:val="22"/>
          <w:szCs w:val="22"/>
        </w:rPr>
      </w:pPr>
      <w:bookmarkStart w:id="634" w:name="_ENREF_73"/>
      <w:r w:rsidRPr="00CB093C">
        <w:rPr>
          <w:rFonts w:ascii="Arial" w:hAnsi="Arial" w:cs="Arial"/>
          <w:sz w:val="22"/>
          <w:szCs w:val="22"/>
        </w:rPr>
        <w:t xml:space="preserve">Jarvis, J. and Moore, K. 2010, The role of seedlings and seed bank viability in the recovery of Chesapeake Bay, USA, Zostera marina populations following a large-scale decline. </w:t>
      </w:r>
      <w:r w:rsidRPr="00CB093C">
        <w:rPr>
          <w:rFonts w:ascii="Arial" w:hAnsi="Arial" w:cs="Arial"/>
          <w:i/>
          <w:sz w:val="22"/>
          <w:szCs w:val="22"/>
        </w:rPr>
        <w:t xml:space="preserve">Hydrobiologia, </w:t>
      </w:r>
      <w:r w:rsidRPr="00CB093C">
        <w:rPr>
          <w:rFonts w:ascii="Arial" w:hAnsi="Arial" w:cs="Arial"/>
          <w:sz w:val="22"/>
          <w:szCs w:val="22"/>
        </w:rPr>
        <w:t>649(1): 55-68. doi: 10.1007/s10750-010-0258-z</w:t>
      </w:r>
      <w:bookmarkEnd w:id="634"/>
    </w:p>
    <w:p w14:paraId="67FE4B69" w14:textId="77777777" w:rsidR="00513C39" w:rsidRPr="00CB093C" w:rsidRDefault="00513C39" w:rsidP="00513C39">
      <w:pPr>
        <w:pStyle w:val="EndNoteBibliography"/>
        <w:spacing w:after="0"/>
        <w:ind w:left="720" w:hanging="720"/>
        <w:rPr>
          <w:rFonts w:ascii="Arial" w:hAnsi="Arial" w:cs="Arial"/>
          <w:sz w:val="22"/>
          <w:szCs w:val="22"/>
        </w:rPr>
      </w:pPr>
      <w:bookmarkStart w:id="635" w:name="_ENREF_74"/>
      <w:r w:rsidRPr="00CB093C">
        <w:rPr>
          <w:rFonts w:ascii="Arial" w:hAnsi="Arial" w:cs="Arial"/>
          <w:sz w:val="22"/>
          <w:szCs w:val="22"/>
        </w:rPr>
        <w:t xml:space="preserve">Jones, B.L., Cullen-Unsworth, L.C., Unsworth, R.K.F. 2018, Tracking Nitrogen Source Using δ15N Reveals Human and Agricultural Drivers of Seagrass Degradation across the British Isles. [Original Research]. </w:t>
      </w:r>
      <w:r w:rsidRPr="00CB093C">
        <w:rPr>
          <w:rFonts w:ascii="Arial" w:hAnsi="Arial" w:cs="Arial"/>
          <w:i/>
          <w:sz w:val="22"/>
          <w:szCs w:val="22"/>
        </w:rPr>
        <w:t xml:space="preserve">Frontiers in Plant Science, </w:t>
      </w:r>
      <w:r w:rsidRPr="00CB093C">
        <w:rPr>
          <w:rFonts w:ascii="Arial" w:hAnsi="Arial" w:cs="Arial"/>
          <w:sz w:val="22"/>
          <w:szCs w:val="22"/>
        </w:rPr>
        <w:t>9(133). doi: 10.3389/fpls.2018.00133</w:t>
      </w:r>
      <w:bookmarkEnd w:id="635"/>
    </w:p>
    <w:p w14:paraId="326CDC07" w14:textId="2B2E2FAA" w:rsidR="00513C39" w:rsidRPr="00CB093C" w:rsidRDefault="00513C39" w:rsidP="00513C39">
      <w:pPr>
        <w:pStyle w:val="EndNoteBibliography"/>
        <w:spacing w:after="0"/>
        <w:ind w:left="720" w:hanging="720"/>
        <w:rPr>
          <w:rFonts w:ascii="Arial" w:hAnsi="Arial" w:cs="Arial"/>
          <w:sz w:val="22"/>
          <w:szCs w:val="22"/>
        </w:rPr>
      </w:pPr>
      <w:bookmarkStart w:id="636" w:name="_ENREF_75"/>
      <w:r w:rsidRPr="00CB093C">
        <w:rPr>
          <w:rFonts w:ascii="Arial" w:hAnsi="Arial" w:cs="Arial"/>
          <w:sz w:val="22"/>
          <w:szCs w:val="22"/>
        </w:rPr>
        <w:t xml:space="preserve">Kilminster, K., McMahon, K., Waycott, M., Kendrick, G.A., Scanes, P., McKenzie, L., O'Brien, K.R., Lyons, M., Ferguson, A., Maxwell, P., Glasby, T., Udy, J. 2015, Unravelling complexity in seagrass systems for management: Australia as a microcosm. </w:t>
      </w:r>
      <w:r w:rsidRPr="00CB093C">
        <w:rPr>
          <w:rFonts w:ascii="Arial" w:hAnsi="Arial" w:cs="Arial"/>
          <w:i/>
          <w:sz w:val="22"/>
          <w:szCs w:val="22"/>
        </w:rPr>
        <w:t xml:space="preserve">Science of The Total Environment, </w:t>
      </w:r>
      <w:r w:rsidRPr="00CB093C">
        <w:rPr>
          <w:rFonts w:ascii="Arial" w:hAnsi="Arial" w:cs="Arial"/>
          <w:sz w:val="22"/>
          <w:szCs w:val="22"/>
        </w:rPr>
        <w:t xml:space="preserve">534: 97-109. doi: </w:t>
      </w:r>
      <w:hyperlink r:id="rId140" w:history="1">
        <w:r w:rsidRPr="00CB093C">
          <w:rPr>
            <w:rStyle w:val="Hyperlink"/>
            <w:rFonts w:ascii="Arial" w:hAnsi="Arial" w:cs="Arial"/>
            <w:sz w:val="22"/>
            <w:szCs w:val="22"/>
          </w:rPr>
          <w:t>http://dx.doi.org/10.1016/j.scitotenv.2015.04.061</w:t>
        </w:r>
        <w:bookmarkEnd w:id="636"/>
      </w:hyperlink>
    </w:p>
    <w:p w14:paraId="142096B9" w14:textId="77777777" w:rsidR="00513C39" w:rsidRPr="00CB093C" w:rsidRDefault="00513C39" w:rsidP="00513C39">
      <w:pPr>
        <w:pStyle w:val="EndNoteBibliography"/>
        <w:spacing w:after="0"/>
        <w:ind w:left="720" w:hanging="720"/>
        <w:rPr>
          <w:rFonts w:ascii="Arial" w:hAnsi="Arial" w:cs="Arial"/>
          <w:sz w:val="22"/>
          <w:szCs w:val="22"/>
        </w:rPr>
      </w:pPr>
      <w:bookmarkStart w:id="637" w:name="_ENREF_76"/>
      <w:r w:rsidRPr="00CB093C">
        <w:rPr>
          <w:rFonts w:ascii="Arial" w:hAnsi="Arial" w:cs="Arial"/>
          <w:sz w:val="22"/>
          <w:szCs w:val="22"/>
        </w:rPr>
        <w:t xml:space="preserve">Koch, E.M. 2001, Beyond light: Physical, geological, and geochemical parameters as possible submersed aquatic vegetation habitat requirements. </w:t>
      </w:r>
      <w:r w:rsidRPr="00CB093C">
        <w:rPr>
          <w:rFonts w:ascii="Arial" w:hAnsi="Arial" w:cs="Arial"/>
          <w:i/>
          <w:sz w:val="22"/>
          <w:szCs w:val="22"/>
        </w:rPr>
        <w:t xml:space="preserve">Estuaries, </w:t>
      </w:r>
      <w:r w:rsidRPr="00CB093C">
        <w:rPr>
          <w:rFonts w:ascii="Arial" w:hAnsi="Arial" w:cs="Arial"/>
          <w:sz w:val="22"/>
          <w:szCs w:val="22"/>
        </w:rPr>
        <w:t xml:space="preserve">24(1): 1-17. </w:t>
      </w:r>
      <w:bookmarkEnd w:id="637"/>
    </w:p>
    <w:p w14:paraId="7C7736D9" w14:textId="77777777" w:rsidR="00807334" w:rsidRPr="00807334" w:rsidRDefault="00807334" w:rsidP="00807334">
      <w:pPr>
        <w:pStyle w:val="EndNoteBibliography"/>
        <w:ind w:left="720" w:hanging="720"/>
        <w:rPr>
          <w:rFonts w:ascii="Arial" w:hAnsi="Arial" w:cs="Arial"/>
          <w:sz w:val="22"/>
          <w:szCs w:val="22"/>
          <w:lang w:val="en-AU"/>
        </w:rPr>
      </w:pPr>
      <w:bookmarkStart w:id="638" w:name="_ENREF_77"/>
      <w:r w:rsidRPr="00807334">
        <w:rPr>
          <w:rFonts w:ascii="Arial" w:hAnsi="Arial" w:cs="Arial"/>
          <w:sz w:val="22"/>
          <w:szCs w:val="22"/>
          <w:lang w:val="en-AU"/>
        </w:rPr>
        <w:t xml:space="preserve">Ku, H.H., 1966. Notes on the use of propagation of error formulas. </w:t>
      </w:r>
      <w:r w:rsidRPr="00807334">
        <w:rPr>
          <w:rFonts w:ascii="Arial" w:hAnsi="Arial" w:cs="Arial"/>
          <w:i/>
          <w:iCs/>
          <w:sz w:val="22"/>
          <w:szCs w:val="22"/>
          <w:lang w:val="en-AU"/>
        </w:rPr>
        <w:t>Journal of Research of the National Bureau of Standards. Section C: Engineering and Instrumentation</w:t>
      </w:r>
      <w:r w:rsidRPr="00807334">
        <w:rPr>
          <w:rFonts w:ascii="Arial" w:hAnsi="Arial" w:cs="Arial"/>
          <w:sz w:val="22"/>
          <w:szCs w:val="22"/>
          <w:lang w:val="en-AU"/>
        </w:rPr>
        <w:t xml:space="preserve"> 70C, 263-273.</w:t>
      </w:r>
    </w:p>
    <w:p w14:paraId="3E8FA48E" w14:textId="77777777" w:rsidR="00513C39" w:rsidRPr="00CB093C" w:rsidRDefault="00513C39" w:rsidP="00513C39">
      <w:pPr>
        <w:pStyle w:val="EndNoteBibliography"/>
        <w:spacing w:after="0"/>
        <w:ind w:left="720" w:hanging="720"/>
        <w:rPr>
          <w:rFonts w:ascii="Arial" w:hAnsi="Arial" w:cs="Arial"/>
          <w:sz w:val="22"/>
          <w:szCs w:val="22"/>
        </w:rPr>
      </w:pPr>
      <w:r w:rsidRPr="00CB093C">
        <w:rPr>
          <w:rFonts w:ascii="Arial" w:hAnsi="Arial" w:cs="Arial"/>
          <w:sz w:val="22"/>
          <w:szCs w:val="22"/>
        </w:rPr>
        <w:t xml:space="preserve">Kuhnert, P.M., Liu, Y., Henderson, B.L., Dambacher, J., Lawrence, E., Kroon, F.J. 2014, </w:t>
      </w:r>
      <w:r w:rsidRPr="00CB093C">
        <w:rPr>
          <w:rFonts w:ascii="Arial" w:hAnsi="Arial" w:cs="Arial"/>
          <w:i/>
          <w:sz w:val="22"/>
          <w:szCs w:val="22"/>
        </w:rPr>
        <w:t>Review of the Marine Monitoring Program (MMP), Final Report for the Great Barrier Reef Marine Park Authority (GBRMPA)</w:t>
      </w:r>
      <w:r w:rsidRPr="00CB093C">
        <w:rPr>
          <w:rFonts w:ascii="Arial" w:hAnsi="Arial" w:cs="Arial"/>
          <w:sz w:val="22"/>
          <w:szCs w:val="22"/>
        </w:rPr>
        <w:t>. Adelaide: CSIRO.</w:t>
      </w:r>
      <w:bookmarkEnd w:id="638"/>
    </w:p>
    <w:p w14:paraId="2261D0B4" w14:textId="77777777" w:rsidR="00513C39" w:rsidRPr="00CB093C" w:rsidRDefault="00513C39" w:rsidP="00513C39">
      <w:pPr>
        <w:pStyle w:val="EndNoteBibliography"/>
        <w:spacing w:after="0"/>
        <w:ind w:left="720" w:hanging="720"/>
        <w:rPr>
          <w:rFonts w:ascii="Arial" w:hAnsi="Arial" w:cs="Arial"/>
          <w:sz w:val="22"/>
          <w:szCs w:val="22"/>
        </w:rPr>
      </w:pPr>
      <w:bookmarkStart w:id="639" w:name="_ENREF_78"/>
      <w:r w:rsidRPr="00CB093C">
        <w:rPr>
          <w:rFonts w:ascii="Arial" w:hAnsi="Arial" w:cs="Arial"/>
          <w:sz w:val="22"/>
          <w:szCs w:val="22"/>
        </w:rPr>
        <w:t xml:space="preserve">Lamb, J.B., van de Water, J.A.J.M., Bourne, D.G., Altier, C., Hein, M.Y., Fiorenza, E.A., Abu, N., Jompa, J., Harvell, C.D. 2017, Seagrass ecosystems reduce exposure to bacterial pathogens of humans, fishes, and invertebrates. </w:t>
      </w:r>
      <w:r w:rsidRPr="00CB093C">
        <w:rPr>
          <w:rFonts w:ascii="Arial" w:hAnsi="Arial" w:cs="Arial"/>
          <w:i/>
          <w:sz w:val="22"/>
          <w:szCs w:val="22"/>
        </w:rPr>
        <w:t xml:space="preserve">Science, </w:t>
      </w:r>
      <w:r w:rsidRPr="00CB093C">
        <w:rPr>
          <w:rFonts w:ascii="Arial" w:hAnsi="Arial" w:cs="Arial"/>
          <w:sz w:val="22"/>
          <w:szCs w:val="22"/>
        </w:rPr>
        <w:t>355(6326): 731-733. doi: 10.1126/science.aal1956</w:t>
      </w:r>
      <w:bookmarkEnd w:id="639"/>
    </w:p>
    <w:p w14:paraId="18EFECD5" w14:textId="77777777" w:rsidR="00513C39" w:rsidRPr="00CB093C" w:rsidRDefault="00513C39" w:rsidP="00513C39">
      <w:pPr>
        <w:pStyle w:val="EndNoteBibliography"/>
        <w:spacing w:after="0"/>
        <w:ind w:left="720" w:hanging="720"/>
        <w:rPr>
          <w:rFonts w:ascii="Arial" w:hAnsi="Arial" w:cs="Arial"/>
          <w:sz w:val="22"/>
          <w:szCs w:val="22"/>
        </w:rPr>
      </w:pPr>
      <w:bookmarkStart w:id="640" w:name="_ENREF_79"/>
      <w:r w:rsidRPr="00CB093C">
        <w:rPr>
          <w:rFonts w:ascii="Arial" w:hAnsi="Arial" w:cs="Arial"/>
          <w:sz w:val="22"/>
          <w:szCs w:val="22"/>
        </w:rPr>
        <w:t xml:space="preserve">Lanyon, J., Limpus, C.J., Marsh, H. 1989, Dugongs and turtles: grazers in the seagrass system. In AWD Larkum, AJ McComb &amp; SA Shepherd (Eds.), </w:t>
      </w:r>
      <w:r w:rsidRPr="00CB093C">
        <w:rPr>
          <w:rFonts w:ascii="Arial" w:hAnsi="Arial" w:cs="Arial"/>
          <w:i/>
          <w:sz w:val="22"/>
          <w:szCs w:val="22"/>
        </w:rPr>
        <w:t>Biology of Seagrasses: A treatise on the biology of seagrasses with special reference to the Australian region</w:t>
      </w:r>
      <w:r w:rsidRPr="00CB093C">
        <w:rPr>
          <w:rFonts w:ascii="Arial" w:hAnsi="Arial" w:cs="Arial"/>
          <w:sz w:val="22"/>
          <w:szCs w:val="22"/>
        </w:rPr>
        <w:t xml:space="preserve"> (pp. 610-634). New York: Elsevier.</w:t>
      </w:r>
      <w:bookmarkEnd w:id="640"/>
    </w:p>
    <w:p w14:paraId="63BE11DE" w14:textId="77777777" w:rsidR="00513C39" w:rsidRPr="00CB093C" w:rsidRDefault="00513C39" w:rsidP="00513C39">
      <w:pPr>
        <w:pStyle w:val="EndNoteBibliography"/>
        <w:spacing w:after="0"/>
        <w:ind w:left="720" w:hanging="720"/>
        <w:rPr>
          <w:rFonts w:ascii="Arial" w:hAnsi="Arial" w:cs="Arial"/>
          <w:sz w:val="22"/>
          <w:szCs w:val="22"/>
        </w:rPr>
      </w:pPr>
      <w:bookmarkStart w:id="641" w:name="_ENREF_80"/>
      <w:r w:rsidRPr="00CB093C">
        <w:rPr>
          <w:rFonts w:ascii="Arial" w:hAnsi="Arial" w:cs="Arial"/>
          <w:sz w:val="22"/>
          <w:szCs w:val="22"/>
        </w:rPr>
        <w:t xml:space="preserve">Larcombe, P., Ridd, P.V., Prytz, A., Wilson, B. 1995, Factors controlling suspended sediment on inner-shelf coral reefs, Townsville, Australia. </w:t>
      </w:r>
      <w:r w:rsidRPr="00CB093C">
        <w:rPr>
          <w:rFonts w:ascii="Arial" w:hAnsi="Arial" w:cs="Arial"/>
          <w:i/>
          <w:sz w:val="22"/>
          <w:szCs w:val="22"/>
        </w:rPr>
        <w:t xml:space="preserve">Coral Reefs, </w:t>
      </w:r>
      <w:r w:rsidRPr="00CB093C">
        <w:rPr>
          <w:rFonts w:ascii="Arial" w:hAnsi="Arial" w:cs="Arial"/>
          <w:sz w:val="22"/>
          <w:szCs w:val="22"/>
        </w:rPr>
        <w:t>14(3): 163-171. doi: 10.1007/bf00367235</w:t>
      </w:r>
      <w:bookmarkEnd w:id="641"/>
    </w:p>
    <w:p w14:paraId="704F7815" w14:textId="77777777" w:rsidR="00513C39" w:rsidRPr="00CB093C" w:rsidRDefault="00513C39" w:rsidP="00513C39">
      <w:pPr>
        <w:pStyle w:val="EndNoteBibliography"/>
        <w:spacing w:after="0"/>
        <w:ind w:left="720" w:hanging="720"/>
        <w:rPr>
          <w:rFonts w:ascii="Arial" w:hAnsi="Arial" w:cs="Arial"/>
          <w:sz w:val="22"/>
          <w:szCs w:val="22"/>
        </w:rPr>
      </w:pPr>
      <w:bookmarkStart w:id="642" w:name="_ENREF_81"/>
      <w:r w:rsidRPr="00CB093C">
        <w:rPr>
          <w:rFonts w:ascii="Arial" w:hAnsi="Arial" w:cs="Arial"/>
          <w:sz w:val="22"/>
          <w:szCs w:val="22"/>
        </w:rPr>
        <w:t xml:space="preserve">Lavery, P.S., Mateo, M.-Á., Serrano, O., Rozaimi, M. 2013, Variability in the Carbon Storage of Seagrass Habitats and Its Implications for Global Estimates of Blue Carbon Ecosystem Service. </w:t>
      </w:r>
      <w:r w:rsidRPr="00CB093C">
        <w:rPr>
          <w:rFonts w:ascii="Arial" w:hAnsi="Arial" w:cs="Arial"/>
          <w:i/>
          <w:sz w:val="22"/>
          <w:szCs w:val="22"/>
        </w:rPr>
        <w:t xml:space="preserve">Plos One, </w:t>
      </w:r>
      <w:r w:rsidRPr="00CB093C">
        <w:rPr>
          <w:rFonts w:ascii="Arial" w:hAnsi="Arial" w:cs="Arial"/>
          <w:sz w:val="22"/>
          <w:szCs w:val="22"/>
        </w:rPr>
        <w:t>8(9): e73748. doi: 10.1371/journal.pone.0073748</w:t>
      </w:r>
      <w:bookmarkEnd w:id="642"/>
    </w:p>
    <w:p w14:paraId="23B9C660" w14:textId="77777777" w:rsidR="00513C39" w:rsidRPr="00CB093C" w:rsidRDefault="00513C39" w:rsidP="00513C39">
      <w:pPr>
        <w:pStyle w:val="EndNoteBibliography"/>
        <w:spacing w:after="0"/>
        <w:ind w:left="720" w:hanging="720"/>
        <w:rPr>
          <w:rFonts w:ascii="Arial" w:hAnsi="Arial" w:cs="Arial"/>
          <w:sz w:val="22"/>
          <w:szCs w:val="22"/>
        </w:rPr>
      </w:pPr>
      <w:bookmarkStart w:id="643" w:name="_ENREF_82"/>
      <w:r w:rsidRPr="00CB093C">
        <w:rPr>
          <w:rFonts w:ascii="Arial" w:hAnsi="Arial" w:cs="Arial"/>
          <w:sz w:val="22"/>
          <w:szCs w:val="22"/>
        </w:rPr>
        <w:t xml:space="preserve">Lawrence, E. and Gladish, D. 2018, Analysis of seagrass and pressures data across the Great Barrier Reef. </w:t>
      </w:r>
      <w:r w:rsidRPr="00CB093C">
        <w:rPr>
          <w:rFonts w:ascii="Arial" w:hAnsi="Arial" w:cs="Arial"/>
          <w:i/>
          <w:sz w:val="22"/>
          <w:szCs w:val="22"/>
        </w:rPr>
        <w:t>A report to the Great Barrier Reef Marine Park Authority</w:t>
      </w:r>
      <w:r w:rsidRPr="00CB093C">
        <w:rPr>
          <w:rFonts w:ascii="Arial" w:hAnsi="Arial" w:cs="Arial"/>
          <w:sz w:val="22"/>
          <w:szCs w:val="22"/>
        </w:rPr>
        <w:t xml:space="preserve">. </w:t>
      </w:r>
      <w:bookmarkEnd w:id="643"/>
    </w:p>
    <w:p w14:paraId="396A79D2" w14:textId="77777777" w:rsidR="00513C39" w:rsidRPr="00CB093C" w:rsidRDefault="00513C39" w:rsidP="00513C39">
      <w:pPr>
        <w:pStyle w:val="EndNoteBibliography"/>
        <w:spacing w:after="0"/>
        <w:ind w:left="720" w:hanging="720"/>
        <w:rPr>
          <w:rFonts w:ascii="Arial" w:hAnsi="Arial" w:cs="Arial"/>
          <w:sz w:val="22"/>
          <w:szCs w:val="22"/>
        </w:rPr>
      </w:pPr>
      <w:bookmarkStart w:id="644" w:name="_ENREF_83"/>
      <w:r w:rsidRPr="00CB093C">
        <w:rPr>
          <w:rFonts w:ascii="Arial" w:hAnsi="Arial" w:cs="Arial"/>
          <w:sz w:val="22"/>
          <w:szCs w:val="22"/>
        </w:rPr>
        <w:t xml:space="preserve">Lee Long, W.J., Coles, R.G., McKenzie, L.J. 1999, Issues for Seagrass conservation management in Queensland. </w:t>
      </w:r>
      <w:r w:rsidRPr="00CB093C">
        <w:rPr>
          <w:rFonts w:ascii="Arial" w:hAnsi="Arial" w:cs="Arial"/>
          <w:i/>
          <w:sz w:val="22"/>
          <w:szCs w:val="22"/>
        </w:rPr>
        <w:t xml:space="preserve">Pacific Conservation Biology, </w:t>
      </w:r>
      <w:r w:rsidRPr="00CB093C">
        <w:rPr>
          <w:rFonts w:ascii="Arial" w:hAnsi="Arial" w:cs="Arial"/>
          <w:sz w:val="22"/>
          <w:szCs w:val="22"/>
        </w:rPr>
        <w:t xml:space="preserve">5(4): 321-328. </w:t>
      </w:r>
      <w:bookmarkEnd w:id="644"/>
    </w:p>
    <w:p w14:paraId="4E9EF725" w14:textId="77777777" w:rsidR="00513C39" w:rsidRPr="00CB093C" w:rsidRDefault="00513C39" w:rsidP="00513C39">
      <w:pPr>
        <w:pStyle w:val="EndNoteBibliography"/>
        <w:spacing w:after="0"/>
        <w:ind w:left="720" w:hanging="720"/>
        <w:rPr>
          <w:rFonts w:ascii="Arial" w:hAnsi="Arial" w:cs="Arial"/>
          <w:sz w:val="22"/>
          <w:szCs w:val="22"/>
        </w:rPr>
      </w:pPr>
      <w:bookmarkStart w:id="645" w:name="_ENREF_84"/>
      <w:r w:rsidRPr="00CB093C">
        <w:rPr>
          <w:rFonts w:ascii="Arial" w:hAnsi="Arial" w:cs="Arial"/>
          <w:sz w:val="22"/>
          <w:szCs w:val="22"/>
        </w:rPr>
        <w:t xml:space="preserve">Lee Long, W.J., McKenzie, L.J., Coles, R.G. 1997, Seagrass Communities in the Shoalwater Bay Region, Queensland; Spring (September) 1995 &amp; Autumn (April) 1996. [Information Series]. </w:t>
      </w:r>
      <w:r w:rsidRPr="00CB093C">
        <w:rPr>
          <w:rFonts w:ascii="Arial" w:hAnsi="Arial" w:cs="Arial"/>
          <w:i/>
          <w:sz w:val="22"/>
          <w:szCs w:val="22"/>
        </w:rPr>
        <w:t>Queensland Department of Primary Industries Information Series QI96042</w:t>
      </w:r>
      <w:r w:rsidRPr="00CB093C">
        <w:rPr>
          <w:rFonts w:ascii="Arial" w:hAnsi="Arial" w:cs="Arial"/>
          <w:sz w:val="22"/>
          <w:szCs w:val="22"/>
        </w:rPr>
        <w:t xml:space="preserve">, 38. </w:t>
      </w:r>
      <w:bookmarkEnd w:id="645"/>
    </w:p>
    <w:p w14:paraId="0B09462D" w14:textId="77777777" w:rsidR="00513C39" w:rsidRPr="00CB093C" w:rsidRDefault="00513C39" w:rsidP="00513C39">
      <w:pPr>
        <w:pStyle w:val="EndNoteBibliography"/>
        <w:spacing w:after="0"/>
        <w:ind w:left="720" w:hanging="720"/>
        <w:rPr>
          <w:rFonts w:ascii="Arial" w:hAnsi="Arial" w:cs="Arial"/>
          <w:sz w:val="22"/>
          <w:szCs w:val="22"/>
        </w:rPr>
      </w:pPr>
      <w:bookmarkStart w:id="646" w:name="_ENREF_85"/>
      <w:r w:rsidRPr="00CB093C">
        <w:rPr>
          <w:rFonts w:ascii="Arial" w:hAnsi="Arial" w:cs="Arial"/>
          <w:sz w:val="22"/>
          <w:szCs w:val="22"/>
        </w:rPr>
        <w:t xml:space="preserve">Lee Long, W.J., McKenzie, L.J., Roelofs, A.J., Makey, L.J., Coles, R.G., C.A., R. 1998, Baseline Survey of Hinchinbrook Region Seagrasses - October (Spring) 1996. Research publication No. 51. 26. </w:t>
      </w:r>
      <w:bookmarkEnd w:id="646"/>
    </w:p>
    <w:p w14:paraId="046453F7" w14:textId="77777777" w:rsidR="00513C39" w:rsidRPr="00CB093C" w:rsidRDefault="00513C39" w:rsidP="00513C39">
      <w:pPr>
        <w:pStyle w:val="EndNoteBibliography"/>
        <w:spacing w:after="0"/>
        <w:ind w:left="720" w:hanging="720"/>
        <w:rPr>
          <w:rFonts w:ascii="Arial" w:hAnsi="Arial" w:cs="Arial"/>
          <w:sz w:val="22"/>
          <w:szCs w:val="22"/>
        </w:rPr>
      </w:pPr>
      <w:bookmarkStart w:id="647" w:name="_ENREF_86"/>
      <w:r w:rsidRPr="00CB093C">
        <w:rPr>
          <w:rFonts w:ascii="Arial" w:hAnsi="Arial" w:cs="Arial"/>
          <w:sz w:val="22"/>
          <w:szCs w:val="22"/>
        </w:rPr>
        <w:t xml:space="preserve">Lee Long, W.J., Mellors, J.E., Coles, R.G. 1993, Seagrasses between Cape York and Hervey Bay, Queensland, Australia. </w:t>
      </w:r>
      <w:r w:rsidRPr="00CB093C">
        <w:rPr>
          <w:rFonts w:ascii="Arial" w:hAnsi="Arial" w:cs="Arial"/>
          <w:i/>
          <w:sz w:val="22"/>
          <w:szCs w:val="22"/>
        </w:rPr>
        <w:t xml:space="preserve">Australian Journal of Marine and Freshwater Research, </w:t>
      </w:r>
      <w:r w:rsidRPr="00CB093C">
        <w:rPr>
          <w:rFonts w:ascii="Arial" w:hAnsi="Arial" w:cs="Arial"/>
          <w:sz w:val="22"/>
          <w:szCs w:val="22"/>
        </w:rPr>
        <w:t xml:space="preserve">44: 19-32. </w:t>
      </w:r>
      <w:bookmarkEnd w:id="647"/>
    </w:p>
    <w:p w14:paraId="682F0176" w14:textId="77777777" w:rsidR="00513C39" w:rsidRPr="00CB093C" w:rsidRDefault="00513C39" w:rsidP="00513C39">
      <w:pPr>
        <w:pStyle w:val="EndNoteBibliography"/>
        <w:spacing w:after="0"/>
        <w:ind w:left="720" w:hanging="720"/>
        <w:rPr>
          <w:rFonts w:ascii="Arial" w:hAnsi="Arial" w:cs="Arial"/>
          <w:sz w:val="22"/>
          <w:szCs w:val="22"/>
        </w:rPr>
      </w:pPr>
      <w:bookmarkStart w:id="648" w:name="_ENREF_87"/>
      <w:r w:rsidRPr="00CB093C">
        <w:rPr>
          <w:rFonts w:ascii="Arial" w:hAnsi="Arial" w:cs="Arial"/>
          <w:sz w:val="22"/>
          <w:szCs w:val="22"/>
        </w:rPr>
        <w:t xml:space="preserve">Limpus, C.J., Limpus, D.J., Arthur, K.E., Parmenter, C.J. 2005, </w:t>
      </w:r>
      <w:r w:rsidRPr="00CB093C">
        <w:rPr>
          <w:rFonts w:ascii="Arial" w:hAnsi="Arial" w:cs="Arial"/>
          <w:i/>
          <w:sz w:val="22"/>
          <w:szCs w:val="22"/>
        </w:rPr>
        <w:t xml:space="preserve">Monitoring Green Turtle Population Dynamics in Shoalwater Bay:2000 - 2004. GBRMPA Research Publication No 83 </w:t>
      </w:r>
      <w:r w:rsidRPr="00CB093C">
        <w:rPr>
          <w:rFonts w:ascii="Arial" w:hAnsi="Arial" w:cs="Arial"/>
          <w:sz w:val="22"/>
          <w:szCs w:val="22"/>
        </w:rPr>
        <w:t>Townsville: Great Barrier Reef Marine Park Authority.</w:t>
      </w:r>
      <w:bookmarkEnd w:id="648"/>
    </w:p>
    <w:p w14:paraId="3FE51007" w14:textId="77777777" w:rsidR="00513C39" w:rsidRPr="00CB093C" w:rsidRDefault="00513C39" w:rsidP="00513C39">
      <w:pPr>
        <w:pStyle w:val="EndNoteBibliography"/>
        <w:spacing w:after="0"/>
        <w:ind w:left="720" w:hanging="720"/>
        <w:rPr>
          <w:rFonts w:ascii="Arial" w:hAnsi="Arial" w:cs="Arial"/>
          <w:sz w:val="22"/>
          <w:szCs w:val="22"/>
        </w:rPr>
      </w:pPr>
      <w:bookmarkStart w:id="649" w:name="_ENREF_88"/>
      <w:r w:rsidRPr="00CB093C">
        <w:rPr>
          <w:rFonts w:ascii="Arial" w:hAnsi="Arial" w:cs="Arial"/>
          <w:sz w:val="22"/>
          <w:szCs w:val="22"/>
        </w:rPr>
        <w:t xml:space="preserve">Lobb, K.F. (2006). </w:t>
      </w:r>
      <w:r w:rsidRPr="00CB093C">
        <w:rPr>
          <w:rFonts w:ascii="Arial" w:hAnsi="Arial" w:cs="Arial"/>
          <w:i/>
          <w:sz w:val="22"/>
          <w:szCs w:val="22"/>
        </w:rPr>
        <w:t>Broad scale coastal nutrient assessment of the inshore Great Barrier Reef using carbon and nitrogen in marine plants and sediments.</w:t>
      </w:r>
      <w:r w:rsidRPr="00CB093C">
        <w:rPr>
          <w:rFonts w:ascii="Arial" w:hAnsi="Arial" w:cs="Arial"/>
          <w:sz w:val="22"/>
          <w:szCs w:val="22"/>
        </w:rPr>
        <w:t xml:space="preserve"> Bachelor of Science with Honours, The University of Queensland, Brisbane.   </w:t>
      </w:r>
      <w:bookmarkEnd w:id="649"/>
    </w:p>
    <w:p w14:paraId="043D6ECD" w14:textId="77777777" w:rsidR="00513C39" w:rsidRPr="00CB093C" w:rsidRDefault="00513C39" w:rsidP="00513C39">
      <w:pPr>
        <w:pStyle w:val="EndNoteBibliography"/>
        <w:spacing w:after="0"/>
        <w:ind w:left="720" w:hanging="720"/>
        <w:rPr>
          <w:rFonts w:ascii="Arial" w:hAnsi="Arial" w:cs="Arial"/>
          <w:sz w:val="22"/>
          <w:szCs w:val="22"/>
        </w:rPr>
      </w:pPr>
      <w:bookmarkStart w:id="650" w:name="_ENREF_89"/>
      <w:r w:rsidRPr="00CB093C">
        <w:rPr>
          <w:rFonts w:ascii="Arial" w:hAnsi="Arial" w:cs="Arial"/>
          <w:sz w:val="22"/>
          <w:szCs w:val="22"/>
        </w:rPr>
        <w:t xml:space="preserve">Macreadie, P.I., Serrano, O., Maher, D.T., Duarte, C.M., Beardall, J. 2017, Addressing calcium carbonate cycling in blue carbon accounting. </w:t>
      </w:r>
      <w:r w:rsidRPr="00CB093C">
        <w:rPr>
          <w:rFonts w:ascii="Arial" w:hAnsi="Arial" w:cs="Arial"/>
          <w:i/>
          <w:sz w:val="22"/>
          <w:szCs w:val="22"/>
        </w:rPr>
        <w:t xml:space="preserve">Limnology and Oceanography Letters, </w:t>
      </w:r>
      <w:r w:rsidRPr="00CB093C">
        <w:rPr>
          <w:rFonts w:ascii="Arial" w:hAnsi="Arial" w:cs="Arial"/>
          <w:sz w:val="22"/>
          <w:szCs w:val="22"/>
        </w:rPr>
        <w:t>2(6): 195-201. doi: doi:10.1002/lol2.10052</w:t>
      </w:r>
      <w:bookmarkEnd w:id="650"/>
    </w:p>
    <w:p w14:paraId="2E5B6128" w14:textId="77777777" w:rsidR="00513C39" w:rsidRPr="00CB093C" w:rsidRDefault="00513C39" w:rsidP="00513C39">
      <w:pPr>
        <w:pStyle w:val="EndNoteBibliography"/>
        <w:spacing w:after="0"/>
        <w:ind w:left="720" w:hanging="720"/>
        <w:rPr>
          <w:rFonts w:ascii="Arial" w:hAnsi="Arial" w:cs="Arial"/>
          <w:sz w:val="22"/>
          <w:szCs w:val="22"/>
        </w:rPr>
      </w:pPr>
      <w:bookmarkStart w:id="651" w:name="_ENREF_90"/>
      <w:r w:rsidRPr="00CB093C">
        <w:rPr>
          <w:rFonts w:ascii="Arial" w:hAnsi="Arial" w:cs="Arial"/>
          <w:sz w:val="22"/>
          <w:szCs w:val="22"/>
        </w:rPr>
        <w:t xml:space="preserve">Marsh, H., O'Shea, T.J., Reynolds III, J. 2011, </w:t>
      </w:r>
      <w:r w:rsidRPr="00CB093C">
        <w:rPr>
          <w:rFonts w:ascii="Arial" w:hAnsi="Arial" w:cs="Arial"/>
          <w:i/>
          <w:sz w:val="22"/>
          <w:szCs w:val="22"/>
        </w:rPr>
        <w:t>Ecology and conservation of the sirenia: dugongs and manatees</w:t>
      </w:r>
      <w:r w:rsidRPr="00CB093C">
        <w:rPr>
          <w:rFonts w:ascii="Arial" w:hAnsi="Arial" w:cs="Arial"/>
          <w:sz w:val="22"/>
          <w:szCs w:val="22"/>
        </w:rPr>
        <w:t>. New York: Cambridge University Press.</w:t>
      </w:r>
      <w:bookmarkEnd w:id="651"/>
    </w:p>
    <w:p w14:paraId="1857D6FC" w14:textId="77777777" w:rsidR="00513C39" w:rsidRPr="00CB093C" w:rsidRDefault="00513C39" w:rsidP="00513C39">
      <w:pPr>
        <w:pStyle w:val="EndNoteBibliography"/>
        <w:spacing w:after="0"/>
        <w:ind w:left="720" w:hanging="720"/>
        <w:rPr>
          <w:rFonts w:ascii="Arial" w:hAnsi="Arial" w:cs="Arial"/>
          <w:sz w:val="22"/>
          <w:szCs w:val="22"/>
        </w:rPr>
      </w:pPr>
      <w:bookmarkStart w:id="652" w:name="_ENREF_91"/>
      <w:r w:rsidRPr="00CB093C">
        <w:rPr>
          <w:rFonts w:ascii="Arial" w:hAnsi="Arial" w:cs="Arial"/>
          <w:sz w:val="22"/>
          <w:szCs w:val="22"/>
        </w:rPr>
        <w:t xml:space="preserve">Maxwell, W.G.H. 1968, </w:t>
      </w:r>
      <w:r w:rsidRPr="00CB093C">
        <w:rPr>
          <w:rFonts w:ascii="Arial" w:hAnsi="Arial" w:cs="Arial"/>
          <w:i/>
          <w:sz w:val="22"/>
          <w:szCs w:val="22"/>
        </w:rPr>
        <w:t>Atlas of the Great Barrier Reef</w:t>
      </w:r>
      <w:r w:rsidRPr="00CB093C">
        <w:rPr>
          <w:rFonts w:ascii="Arial" w:hAnsi="Arial" w:cs="Arial"/>
          <w:sz w:val="22"/>
          <w:szCs w:val="22"/>
        </w:rPr>
        <w:t>. Amsterdam: Elsevier Publishing Company.</w:t>
      </w:r>
      <w:bookmarkEnd w:id="652"/>
    </w:p>
    <w:p w14:paraId="4E7779A0" w14:textId="77777777" w:rsidR="00513C39" w:rsidRPr="00CB093C" w:rsidRDefault="00513C39" w:rsidP="00513C39">
      <w:pPr>
        <w:pStyle w:val="EndNoteBibliography"/>
        <w:spacing w:after="0"/>
        <w:ind w:left="720" w:hanging="720"/>
        <w:rPr>
          <w:rFonts w:ascii="Arial" w:hAnsi="Arial" w:cs="Arial"/>
          <w:sz w:val="22"/>
          <w:szCs w:val="22"/>
        </w:rPr>
      </w:pPr>
      <w:bookmarkStart w:id="653" w:name="_ENREF_92"/>
      <w:r w:rsidRPr="00CB093C">
        <w:rPr>
          <w:rFonts w:ascii="Arial" w:hAnsi="Arial" w:cs="Arial"/>
          <w:sz w:val="22"/>
          <w:szCs w:val="22"/>
        </w:rPr>
        <w:t xml:space="preserve">McCulloch, M., Pailles, C., Moody, P., Martin, C.E. 2003, Tracing the source of sediment and phosphorus into the Great Barrier Reef lagoon. </w:t>
      </w:r>
      <w:r w:rsidRPr="00CB093C">
        <w:rPr>
          <w:rFonts w:ascii="Arial" w:hAnsi="Arial" w:cs="Arial"/>
          <w:i/>
          <w:sz w:val="22"/>
          <w:szCs w:val="22"/>
        </w:rPr>
        <w:t xml:space="preserve">Earth and Planetary Science Letters, </w:t>
      </w:r>
      <w:r w:rsidRPr="00CB093C">
        <w:rPr>
          <w:rFonts w:ascii="Arial" w:hAnsi="Arial" w:cs="Arial"/>
          <w:sz w:val="22"/>
          <w:szCs w:val="22"/>
        </w:rPr>
        <w:t xml:space="preserve">210: 249-258. </w:t>
      </w:r>
      <w:bookmarkEnd w:id="653"/>
    </w:p>
    <w:p w14:paraId="0494AE17" w14:textId="77777777" w:rsidR="00513C39" w:rsidRPr="00CB093C" w:rsidRDefault="00513C39" w:rsidP="00513C39">
      <w:pPr>
        <w:pStyle w:val="EndNoteBibliography"/>
        <w:spacing w:after="0"/>
        <w:ind w:left="720" w:hanging="720"/>
        <w:rPr>
          <w:rFonts w:ascii="Arial" w:hAnsi="Arial" w:cs="Arial"/>
          <w:sz w:val="22"/>
          <w:szCs w:val="22"/>
        </w:rPr>
      </w:pPr>
      <w:bookmarkStart w:id="654" w:name="_ENREF_93"/>
      <w:r w:rsidRPr="00CB093C">
        <w:rPr>
          <w:rFonts w:ascii="Arial" w:hAnsi="Arial" w:cs="Arial"/>
          <w:sz w:val="22"/>
          <w:szCs w:val="22"/>
        </w:rPr>
        <w:t xml:space="preserve">McKenzie, L.J. 2007, </w:t>
      </w:r>
      <w:r w:rsidRPr="00CB093C">
        <w:rPr>
          <w:rFonts w:ascii="Arial" w:hAnsi="Arial" w:cs="Arial"/>
          <w:i/>
          <w:sz w:val="22"/>
          <w:szCs w:val="22"/>
        </w:rPr>
        <w:t>Relationships between seagrass communities and sediment properties along the Queensland coast. Progress report to the Marine and Tropical Sciences Research Facility</w:t>
      </w:r>
      <w:r w:rsidRPr="00CB093C">
        <w:rPr>
          <w:rFonts w:ascii="Arial" w:hAnsi="Arial" w:cs="Arial"/>
          <w:sz w:val="22"/>
          <w:szCs w:val="22"/>
        </w:rPr>
        <w:t>. Cairns Reef and Rainforest Research Centre Ltd.</w:t>
      </w:r>
      <w:bookmarkEnd w:id="654"/>
    </w:p>
    <w:p w14:paraId="7072AEBD" w14:textId="71EA138E" w:rsidR="00513C39" w:rsidRPr="00CB093C" w:rsidRDefault="00513C39" w:rsidP="00513C39">
      <w:pPr>
        <w:pStyle w:val="EndNoteBibliography"/>
        <w:spacing w:after="0"/>
        <w:ind w:left="720" w:hanging="720"/>
        <w:rPr>
          <w:rFonts w:ascii="Arial" w:hAnsi="Arial" w:cs="Arial"/>
          <w:sz w:val="22"/>
          <w:szCs w:val="22"/>
        </w:rPr>
      </w:pPr>
      <w:bookmarkStart w:id="655" w:name="_ENREF_94"/>
      <w:r w:rsidRPr="00CB093C">
        <w:rPr>
          <w:rFonts w:ascii="Arial" w:hAnsi="Arial" w:cs="Arial"/>
          <w:sz w:val="22"/>
          <w:szCs w:val="22"/>
        </w:rPr>
        <w:t xml:space="preserve">McKenzie, L.J. 2009, Observing change in seagrass habitats of the GBR– Seagrass-Watch monitoring: Deriving seagrass abundance indicators for regional habitat guidelines,. In LJ McKenzie &amp; M Waycott (Eds.), </w:t>
      </w:r>
      <w:r w:rsidRPr="00CB093C">
        <w:rPr>
          <w:rFonts w:ascii="Arial" w:hAnsi="Arial" w:cs="Arial"/>
          <w:i/>
          <w:sz w:val="22"/>
          <w:szCs w:val="22"/>
        </w:rPr>
        <w:t xml:space="preserve">Marine and Tropical Sciences Research Facility Milestone and Progress Report #3, 2008-2009 (ARP 3) Project 1.1.3 Report 3, 11th June 2000.  </w:t>
      </w:r>
      <w:hyperlink r:id="rId141" w:history="1">
        <w:r w:rsidRPr="00CB093C">
          <w:rPr>
            <w:rStyle w:val="Hyperlink"/>
            <w:rFonts w:ascii="Arial" w:hAnsi="Arial" w:cs="Arial"/>
            <w:i/>
            <w:sz w:val="22"/>
            <w:szCs w:val="22"/>
          </w:rPr>
          <w:t>http://rrrc.org.au/wp-content/uploads/2014/06/113-QDPIF-McKenzie-L-2009-June-Milestone-Report.pdf</w:t>
        </w:r>
      </w:hyperlink>
      <w:r w:rsidRPr="00CB093C">
        <w:rPr>
          <w:rFonts w:ascii="Arial" w:hAnsi="Arial" w:cs="Arial"/>
          <w:i/>
          <w:sz w:val="22"/>
          <w:szCs w:val="22"/>
        </w:rPr>
        <w:t xml:space="preserve"> accessed 23 February 2017.</w:t>
      </w:r>
      <w:r w:rsidRPr="00CB093C">
        <w:rPr>
          <w:rFonts w:ascii="Arial" w:hAnsi="Arial" w:cs="Arial"/>
          <w:sz w:val="22"/>
          <w:szCs w:val="22"/>
        </w:rPr>
        <w:t xml:space="preserve"> (pp. 7-1). Cairns: RRRC.</w:t>
      </w:r>
      <w:bookmarkEnd w:id="655"/>
    </w:p>
    <w:p w14:paraId="1949C3EC" w14:textId="77777777" w:rsidR="00513C39" w:rsidRPr="00CB093C" w:rsidRDefault="00513C39" w:rsidP="00513C39">
      <w:pPr>
        <w:pStyle w:val="EndNoteBibliography"/>
        <w:spacing w:after="0"/>
        <w:ind w:left="720" w:hanging="720"/>
        <w:rPr>
          <w:rFonts w:ascii="Arial" w:hAnsi="Arial" w:cs="Arial"/>
          <w:sz w:val="22"/>
          <w:szCs w:val="22"/>
        </w:rPr>
      </w:pPr>
      <w:bookmarkStart w:id="656" w:name="_ENREF_95"/>
      <w:r w:rsidRPr="00CB093C">
        <w:rPr>
          <w:rFonts w:ascii="Arial" w:hAnsi="Arial" w:cs="Arial"/>
          <w:sz w:val="22"/>
          <w:szCs w:val="22"/>
        </w:rPr>
        <w:t xml:space="preserve">McKenzie, L.J. and Campbell, S.J. 2002, </w:t>
      </w:r>
      <w:r w:rsidRPr="00CB093C">
        <w:rPr>
          <w:rFonts w:ascii="Arial" w:hAnsi="Arial" w:cs="Arial"/>
          <w:i/>
          <w:sz w:val="22"/>
          <w:szCs w:val="22"/>
        </w:rPr>
        <w:t>Seagrass resources of the Booral Wetlands and the Great Sandy Strait: February/March 2002. DPI Information Series QI03016.</w:t>
      </w:r>
      <w:r w:rsidRPr="00CB093C">
        <w:rPr>
          <w:rFonts w:ascii="Arial" w:hAnsi="Arial" w:cs="Arial"/>
          <w:sz w:val="22"/>
          <w:szCs w:val="22"/>
        </w:rPr>
        <w:t xml:space="preserve"> Cairns: The State of Queensland, Department of Primary Industries.</w:t>
      </w:r>
      <w:bookmarkEnd w:id="656"/>
    </w:p>
    <w:p w14:paraId="2CFBDA54" w14:textId="77777777" w:rsidR="00513C39" w:rsidRPr="00CB093C" w:rsidRDefault="00513C39" w:rsidP="00513C39">
      <w:pPr>
        <w:pStyle w:val="EndNoteBibliography"/>
        <w:spacing w:after="0"/>
        <w:ind w:left="720" w:hanging="720"/>
        <w:rPr>
          <w:rFonts w:ascii="Arial" w:hAnsi="Arial" w:cs="Arial"/>
          <w:sz w:val="22"/>
          <w:szCs w:val="22"/>
        </w:rPr>
      </w:pPr>
      <w:bookmarkStart w:id="657" w:name="_ENREF_96"/>
      <w:r w:rsidRPr="00CB093C">
        <w:rPr>
          <w:rFonts w:ascii="Arial" w:hAnsi="Arial" w:cs="Arial"/>
          <w:sz w:val="22"/>
          <w:szCs w:val="22"/>
        </w:rPr>
        <w:t xml:space="preserve">McKenzie, L.J., Campbell, S.J., Roder, C.A. 2003, </w:t>
      </w:r>
      <w:r w:rsidRPr="00CB093C">
        <w:rPr>
          <w:rFonts w:ascii="Arial" w:hAnsi="Arial" w:cs="Arial"/>
          <w:i/>
          <w:sz w:val="22"/>
          <w:szCs w:val="22"/>
        </w:rPr>
        <w:t>Seagrass-Watch: Manual for Mapping &amp; Monitoring Seagrass Resources</w:t>
      </w:r>
      <w:r w:rsidRPr="00CB093C">
        <w:rPr>
          <w:rFonts w:ascii="Arial" w:hAnsi="Arial" w:cs="Arial"/>
          <w:sz w:val="22"/>
          <w:szCs w:val="22"/>
        </w:rPr>
        <w:t xml:space="preserve"> (2nd ed.). Cairns: QFS, NFC.</w:t>
      </w:r>
      <w:bookmarkEnd w:id="657"/>
    </w:p>
    <w:p w14:paraId="49C2197F" w14:textId="77777777" w:rsidR="00513C39" w:rsidRPr="00CB093C" w:rsidRDefault="00513C39" w:rsidP="00513C39">
      <w:pPr>
        <w:pStyle w:val="EndNoteBibliography"/>
        <w:spacing w:after="0"/>
        <w:ind w:left="720" w:hanging="720"/>
        <w:rPr>
          <w:rFonts w:ascii="Arial" w:hAnsi="Arial" w:cs="Arial"/>
          <w:sz w:val="22"/>
          <w:szCs w:val="22"/>
        </w:rPr>
      </w:pPr>
      <w:bookmarkStart w:id="658" w:name="_ENREF_97"/>
      <w:r w:rsidRPr="00CB093C">
        <w:rPr>
          <w:rFonts w:ascii="Arial" w:hAnsi="Arial" w:cs="Arial"/>
          <w:sz w:val="22"/>
          <w:szCs w:val="22"/>
        </w:rPr>
        <w:t xml:space="preserve">McKenzie, L.J., Collier, C., Waycott, M. 2014a, Reef Rescue Marine Monitoring Program - Inshore Seagrass, Annual Report for the sampling period 1st July 2011 – 31st May 2012. 176. </w:t>
      </w:r>
      <w:bookmarkEnd w:id="658"/>
    </w:p>
    <w:p w14:paraId="0C9A96EC" w14:textId="77777777" w:rsidR="00513C39" w:rsidRPr="00CB093C" w:rsidRDefault="00513C39" w:rsidP="00513C39">
      <w:pPr>
        <w:pStyle w:val="EndNoteBibliography"/>
        <w:spacing w:after="0"/>
        <w:ind w:left="720" w:hanging="720"/>
        <w:rPr>
          <w:rFonts w:ascii="Arial" w:hAnsi="Arial" w:cs="Arial"/>
          <w:sz w:val="22"/>
          <w:szCs w:val="22"/>
        </w:rPr>
      </w:pPr>
      <w:bookmarkStart w:id="659" w:name="_ENREF_98"/>
      <w:r w:rsidRPr="00CB093C">
        <w:rPr>
          <w:rFonts w:ascii="Arial" w:hAnsi="Arial" w:cs="Arial"/>
          <w:sz w:val="22"/>
          <w:szCs w:val="22"/>
        </w:rPr>
        <w:t xml:space="preserve">McKenzie, L.J., Collier, C.J., Langlois, L.A., Yoshida, R.L., Smith, N., Waycott, M. 2018a, </w:t>
      </w:r>
      <w:r w:rsidRPr="00CB093C">
        <w:rPr>
          <w:rFonts w:ascii="Arial" w:hAnsi="Arial" w:cs="Arial"/>
          <w:i/>
          <w:sz w:val="22"/>
          <w:szCs w:val="22"/>
        </w:rPr>
        <w:t>Marine Monitoring Program: Annual Report for inshore seagrass monitoring 2016-2017</w:t>
      </w:r>
      <w:r w:rsidRPr="00CB093C">
        <w:rPr>
          <w:rFonts w:ascii="Arial" w:hAnsi="Arial" w:cs="Arial"/>
          <w:sz w:val="22"/>
          <w:szCs w:val="22"/>
        </w:rPr>
        <w:t>. Townsville: Great Barrier Reef Marine Park Authority.</w:t>
      </w:r>
      <w:bookmarkEnd w:id="659"/>
    </w:p>
    <w:p w14:paraId="4CC9AEF0" w14:textId="77777777" w:rsidR="00513C39" w:rsidRPr="00CB093C" w:rsidRDefault="00513C39" w:rsidP="00513C39">
      <w:pPr>
        <w:pStyle w:val="EndNoteBibliography"/>
        <w:spacing w:after="0"/>
        <w:ind w:left="720" w:hanging="720"/>
        <w:rPr>
          <w:rFonts w:ascii="Arial" w:hAnsi="Arial" w:cs="Arial"/>
          <w:sz w:val="22"/>
          <w:szCs w:val="22"/>
        </w:rPr>
      </w:pPr>
      <w:bookmarkStart w:id="660" w:name="_ENREF_99"/>
      <w:r w:rsidRPr="00CB093C">
        <w:rPr>
          <w:rFonts w:ascii="Arial" w:hAnsi="Arial" w:cs="Arial"/>
          <w:sz w:val="22"/>
          <w:szCs w:val="22"/>
        </w:rPr>
        <w:t xml:space="preserve">McKenzie, L.J., Collier, C.J., Waycott, M. 2012, Reef Rescue Marine Monitoring Program: Inshore seagrass, annual report for the sampling period 1st September 2010-31st May 2011. 230pp. </w:t>
      </w:r>
      <w:bookmarkEnd w:id="660"/>
    </w:p>
    <w:p w14:paraId="0DACCCD5" w14:textId="77777777" w:rsidR="00513C39" w:rsidRPr="00CB093C" w:rsidRDefault="00513C39" w:rsidP="00513C39">
      <w:pPr>
        <w:pStyle w:val="EndNoteBibliography"/>
        <w:spacing w:after="0"/>
        <w:ind w:left="720" w:hanging="720"/>
        <w:rPr>
          <w:rFonts w:ascii="Arial" w:hAnsi="Arial" w:cs="Arial"/>
          <w:sz w:val="22"/>
          <w:szCs w:val="22"/>
        </w:rPr>
      </w:pPr>
      <w:bookmarkStart w:id="661" w:name="_ENREF_100"/>
      <w:r w:rsidRPr="00CB093C">
        <w:rPr>
          <w:rFonts w:ascii="Arial" w:hAnsi="Arial" w:cs="Arial"/>
          <w:sz w:val="22"/>
          <w:szCs w:val="22"/>
        </w:rPr>
        <w:t xml:space="preserve">McKenzie, L.J., Finkbeiner, M.A., Kirkman, H. 2001, Methods for mapping seagrass distribution. In FT Short &amp; RG Coles (Eds.), </w:t>
      </w:r>
      <w:r w:rsidRPr="00CB093C">
        <w:rPr>
          <w:rFonts w:ascii="Arial" w:hAnsi="Arial" w:cs="Arial"/>
          <w:i/>
          <w:sz w:val="22"/>
          <w:szCs w:val="22"/>
        </w:rPr>
        <w:t>Global Seagrass Research Methods</w:t>
      </w:r>
      <w:r w:rsidRPr="00CB093C">
        <w:rPr>
          <w:rFonts w:ascii="Arial" w:hAnsi="Arial" w:cs="Arial"/>
          <w:sz w:val="22"/>
          <w:szCs w:val="22"/>
        </w:rPr>
        <w:t xml:space="preserve"> (pp. 101-121). Amsterdam: Elsevier Science B.V.</w:t>
      </w:r>
      <w:bookmarkEnd w:id="661"/>
    </w:p>
    <w:p w14:paraId="081F5E01" w14:textId="77777777" w:rsidR="00513C39" w:rsidRPr="00CB093C" w:rsidRDefault="00513C39" w:rsidP="00513C39">
      <w:pPr>
        <w:pStyle w:val="EndNoteBibliography"/>
        <w:spacing w:after="0"/>
        <w:ind w:left="720" w:hanging="720"/>
        <w:rPr>
          <w:rFonts w:ascii="Arial" w:hAnsi="Arial" w:cs="Arial"/>
          <w:sz w:val="22"/>
          <w:szCs w:val="22"/>
        </w:rPr>
      </w:pPr>
      <w:bookmarkStart w:id="662" w:name="_ENREF_101"/>
      <w:r w:rsidRPr="00CB093C">
        <w:rPr>
          <w:rFonts w:ascii="Arial" w:hAnsi="Arial" w:cs="Arial"/>
          <w:sz w:val="22"/>
          <w:szCs w:val="22"/>
        </w:rPr>
        <w:t xml:space="preserve">McKenzie, L.J., Lee Long, W.J., Roelofs, A., Roder, C.A., Coles, R. 1998, </w:t>
      </w:r>
      <w:r w:rsidRPr="00CB093C">
        <w:rPr>
          <w:rFonts w:ascii="Arial" w:hAnsi="Arial" w:cs="Arial"/>
          <w:i/>
          <w:sz w:val="22"/>
          <w:szCs w:val="22"/>
        </w:rPr>
        <w:t>Port of Mourilyan seagrass monitoring - first four years. EcoPorts Monograph Serie No. 15.</w:t>
      </w:r>
      <w:r w:rsidRPr="00CB093C">
        <w:rPr>
          <w:rFonts w:ascii="Arial" w:hAnsi="Arial" w:cs="Arial"/>
          <w:sz w:val="22"/>
          <w:szCs w:val="22"/>
        </w:rPr>
        <w:t xml:space="preserve"> Brisbane: Ports Corporation of Queensland.</w:t>
      </w:r>
      <w:bookmarkEnd w:id="662"/>
    </w:p>
    <w:p w14:paraId="2EEA5F80" w14:textId="77777777" w:rsidR="00513C39" w:rsidRPr="00CB093C" w:rsidRDefault="00513C39" w:rsidP="00513C39">
      <w:pPr>
        <w:pStyle w:val="EndNoteBibliography"/>
        <w:spacing w:after="0"/>
        <w:ind w:left="720" w:hanging="720"/>
        <w:rPr>
          <w:rFonts w:ascii="Arial" w:hAnsi="Arial" w:cs="Arial"/>
          <w:sz w:val="22"/>
          <w:szCs w:val="22"/>
        </w:rPr>
      </w:pPr>
      <w:bookmarkStart w:id="663" w:name="_ENREF_102"/>
      <w:r w:rsidRPr="00CB093C">
        <w:rPr>
          <w:rFonts w:ascii="Arial" w:hAnsi="Arial" w:cs="Arial"/>
          <w:sz w:val="22"/>
          <w:szCs w:val="22"/>
        </w:rPr>
        <w:t xml:space="preserve">McKenzie, L.J., Roder, C.A., Roelofs, A.J., Lee Long, W.J. 2000, Post-flood monitoring of seagrasses in Hervey Bay and the Great Sandy Strait, 1999: Implications for dugong, turtle and fisheries management. [DPI Information Series]. </w:t>
      </w:r>
      <w:r w:rsidRPr="00CB093C">
        <w:rPr>
          <w:rFonts w:ascii="Arial" w:hAnsi="Arial" w:cs="Arial"/>
          <w:i/>
          <w:sz w:val="22"/>
          <w:szCs w:val="22"/>
        </w:rPr>
        <w:t>Department of Primary Industries Information Series QI00059</w:t>
      </w:r>
      <w:r w:rsidRPr="00CB093C">
        <w:rPr>
          <w:rFonts w:ascii="Arial" w:hAnsi="Arial" w:cs="Arial"/>
          <w:sz w:val="22"/>
          <w:szCs w:val="22"/>
        </w:rPr>
        <w:t xml:space="preserve">, 46. </w:t>
      </w:r>
      <w:bookmarkEnd w:id="663"/>
    </w:p>
    <w:p w14:paraId="77EC6146" w14:textId="77777777" w:rsidR="00513C39" w:rsidRPr="00CB093C" w:rsidRDefault="00513C39" w:rsidP="00513C39">
      <w:pPr>
        <w:pStyle w:val="EndNoteBibliography"/>
        <w:spacing w:after="0"/>
        <w:ind w:left="720" w:hanging="720"/>
        <w:rPr>
          <w:rFonts w:ascii="Arial" w:hAnsi="Arial" w:cs="Arial"/>
          <w:sz w:val="22"/>
          <w:szCs w:val="22"/>
        </w:rPr>
      </w:pPr>
      <w:bookmarkStart w:id="664" w:name="_ENREF_103"/>
      <w:r w:rsidRPr="00CB093C">
        <w:rPr>
          <w:rFonts w:ascii="Arial" w:hAnsi="Arial" w:cs="Arial"/>
          <w:sz w:val="22"/>
          <w:szCs w:val="22"/>
        </w:rPr>
        <w:t xml:space="preserve">McKenzie, L.J., Roder, C.A., Yoshida, R.L. 2016, Seagrass and associated benthic community data derived from field surveys at Low Isles, Great Barrier Reef, conducted July-August, 1997. </w:t>
      </w:r>
      <w:r w:rsidRPr="00CB093C">
        <w:rPr>
          <w:rFonts w:ascii="Arial" w:hAnsi="Arial" w:cs="Arial"/>
          <w:i/>
          <w:sz w:val="22"/>
          <w:szCs w:val="22"/>
        </w:rPr>
        <w:t>PANGAEA</w:t>
      </w:r>
      <w:r w:rsidRPr="00CB093C">
        <w:rPr>
          <w:rFonts w:ascii="Arial" w:hAnsi="Arial" w:cs="Arial"/>
          <w:sz w:val="22"/>
          <w:szCs w:val="22"/>
        </w:rPr>
        <w:t>: doi:10.1594/PANGAEA.858945. doi: 10.1594/PANGAEA.858945</w:t>
      </w:r>
      <w:bookmarkEnd w:id="664"/>
    </w:p>
    <w:p w14:paraId="781AC57F" w14:textId="77777777" w:rsidR="00513C39" w:rsidRPr="00CB093C" w:rsidRDefault="00513C39" w:rsidP="00513C39">
      <w:pPr>
        <w:pStyle w:val="EndNoteBibliography"/>
        <w:spacing w:after="0"/>
        <w:ind w:left="720" w:hanging="720"/>
        <w:rPr>
          <w:rFonts w:ascii="Arial" w:hAnsi="Arial" w:cs="Arial"/>
          <w:sz w:val="22"/>
          <w:szCs w:val="22"/>
        </w:rPr>
      </w:pPr>
      <w:bookmarkStart w:id="665" w:name="_ENREF_104"/>
      <w:r w:rsidRPr="00CB093C">
        <w:rPr>
          <w:rFonts w:ascii="Arial" w:hAnsi="Arial" w:cs="Arial"/>
          <w:sz w:val="22"/>
          <w:szCs w:val="22"/>
        </w:rPr>
        <w:t>McKenzie, L.J. and Unsworth, R.K.F. (2009). [Reef Rescue Marine Monitoring Program: Intertidal Seagrass, Final Report 2008/2009].</w:t>
      </w:r>
      <w:bookmarkEnd w:id="665"/>
    </w:p>
    <w:p w14:paraId="1302EE27" w14:textId="77777777" w:rsidR="00513C39" w:rsidRPr="00CB093C" w:rsidRDefault="00513C39" w:rsidP="00513C39">
      <w:pPr>
        <w:pStyle w:val="EndNoteBibliography"/>
        <w:spacing w:after="0"/>
        <w:ind w:left="720" w:hanging="720"/>
        <w:rPr>
          <w:rFonts w:ascii="Arial" w:hAnsi="Arial" w:cs="Arial"/>
          <w:sz w:val="22"/>
          <w:szCs w:val="22"/>
        </w:rPr>
      </w:pPr>
      <w:bookmarkStart w:id="666" w:name="_ENREF_105"/>
      <w:r w:rsidRPr="00CB093C">
        <w:rPr>
          <w:rFonts w:ascii="Arial" w:hAnsi="Arial" w:cs="Arial"/>
          <w:sz w:val="22"/>
          <w:szCs w:val="22"/>
        </w:rPr>
        <w:t xml:space="preserve">McKenzie, L.J., Unsworth, R.K.F., Waycott, M. 2010a, Reef Rescue Marine Monitoring Program: Intertidal Seagrass, Annual Report for the sampling period 1st September 2009 – 31st May 2010. 136. </w:t>
      </w:r>
      <w:bookmarkEnd w:id="666"/>
    </w:p>
    <w:p w14:paraId="37BD6995" w14:textId="77777777" w:rsidR="00513C39" w:rsidRPr="00CB093C" w:rsidRDefault="00513C39" w:rsidP="00513C39">
      <w:pPr>
        <w:pStyle w:val="EndNoteBibliography"/>
        <w:spacing w:after="0"/>
        <w:ind w:left="720" w:hanging="720"/>
        <w:rPr>
          <w:rFonts w:ascii="Arial" w:hAnsi="Arial" w:cs="Arial"/>
          <w:sz w:val="22"/>
          <w:szCs w:val="22"/>
        </w:rPr>
      </w:pPr>
      <w:bookmarkStart w:id="667" w:name="_ENREF_106"/>
      <w:r w:rsidRPr="00CB093C">
        <w:rPr>
          <w:rFonts w:ascii="Arial" w:hAnsi="Arial" w:cs="Arial"/>
          <w:sz w:val="22"/>
          <w:szCs w:val="22"/>
        </w:rPr>
        <w:t xml:space="preserve">McKenzie, L.J., Waycott, M., Unsworth Richard, K.F., Collier, C. 2018b, Inshore seagrass monitoring </w:t>
      </w:r>
      <w:r w:rsidRPr="00CB093C">
        <w:rPr>
          <w:rFonts w:ascii="Arial" w:hAnsi="Arial" w:cs="Arial"/>
          <w:i/>
          <w:sz w:val="22"/>
          <w:szCs w:val="22"/>
        </w:rPr>
        <w:t>Marine Monitoring Program quality assurance and quality control manual 2016/17</w:t>
      </w:r>
      <w:r w:rsidRPr="00CB093C">
        <w:rPr>
          <w:rFonts w:ascii="Arial" w:hAnsi="Arial" w:cs="Arial"/>
          <w:sz w:val="22"/>
          <w:szCs w:val="22"/>
        </w:rPr>
        <w:t xml:space="preserve"> (pp. 78-95). Townsville: Great Barrier Reef Marine Park Authority </w:t>
      </w:r>
      <w:bookmarkEnd w:id="667"/>
    </w:p>
    <w:p w14:paraId="18467267" w14:textId="2AAF5F8F" w:rsidR="00513C39" w:rsidRPr="00CB093C" w:rsidRDefault="00513C39" w:rsidP="00513C39">
      <w:pPr>
        <w:pStyle w:val="EndNoteBibliography"/>
        <w:spacing w:after="0"/>
        <w:ind w:left="720" w:hanging="720"/>
        <w:rPr>
          <w:rFonts w:ascii="Arial" w:hAnsi="Arial" w:cs="Arial"/>
          <w:sz w:val="22"/>
          <w:szCs w:val="22"/>
        </w:rPr>
      </w:pPr>
      <w:bookmarkStart w:id="668" w:name="_ENREF_107"/>
      <w:r w:rsidRPr="00CB093C">
        <w:rPr>
          <w:rFonts w:ascii="Arial" w:hAnsi="Arial" w:cs="Arial"/>
          <w:sz w:val="22"/>
          <w:szCs w:val="22"/>
        </w:rPr>
        <w:t xml:space="preserve">McKenzie, L.J., Waycott, M., Unsworth Richard, K.F., Collier, C. 2019, Inshore seagrass monitoring. In Great Barrier Reef Marine Park Authority (Ed.), </w:t>
      </w:r>
      <w:r w:rsidRPr="00CB093C">
        <w:rPr>
          <w:rFonts w:ascii="Arial" w:hAnsi="Arial" w:cs="Arial"/>
          <w:i/>
          <w:sz w:val="22"/>
          <w:szCs w:val="22"/>
        </w:rPr>
        <w:t xml:space="preserve">Marine Monitoring Program quality assurance and quality control manual </w:t>
      </w:r>
      <w:r w:rsidR="003654C6">
        <w:rPr>
          <w:rFonts w:ascii="Arial" w:hAnsi="Arial" w:cs="Arial"/>
          <w:i/>
          <w:sz w:val="22"/>
          <w:szCs w:val="22"/>
        </w:rPr>
        <w:t>2017–18</w:t>
      </w:r>
      <w:r w:rsidRPr="00CB093C">
        <w:rPr>
          <w:rFonts w:ascii="Arial" w:hAnsi="Arial" w:cs="Arial"/>
          <w:sz w:val="22"/>
          <w:szCs w:val="22"/>
        </w:rPr>
        <w:t xml:space="preserve"> (pp. 73-98). Townsville: Great Barrier Reef Marine Park Authority </w:t>
      </w:r>
      <w:bookmarkEnd w:id="668"/>
    </w:p>
    <w:p w14:paraId="5E5EAC23" w14:textId="77777777" w:rsidR="00513C39" w:rsidRPr="00CB093C" w:rsidRDefault="00513C39" w:rsidP="00513C39">
      <w:pPr>
        <w:pStyle w:val="EndNoteBibliography"/>
        <w:spacing w:after="0"/>
        <w:ind w:left="720" w:hanging="720"/>
        <w:rPr>
          <w:rFonts w:ascii="Arial" w:hAnsi="Arial" w:cs="Arial"/>
          <w:sz w:val="22"/>
          <w:szCs w:val="22"/>
        </w:rPr>
      </w:pPr>
      <w:bookmarkStart w:id="669" w:name="_ENREF_108"/>
      <w:r w:rsidRPr="00CB093C">
        <w:rPr>
          <w:rFonts w:ascii="Arial" w:hAnsi="Arial" w:cs="Arial"/>
          <w:sz w:val="22"/>
          <w:szCs w:val="22"/>
        </w:rPr>
        <w:t xml:space="preserve">McKenzie, L.J., Yoshida, R.L., Grech, A., Coles, R. 2010b, </w:t>
      </w:r>
      <w:r w:rsidRPr="00CB093C">
        <w:rPr>
          <w:rFonts w:ascii="Arial" w:hAnsi="Arial" w:cs="Arial"/>
          <w:i/>
          <w:sz w:val="22"/>
          <w:szCs w:val="22"/>
        </w:rPr>
        <w:t>Queensland seagrasses. Status 2010 - Torres Strait and East Coast</w:t>
      </w:r>
      <w:r w:rsidRPr="00CB093C">
        <w:rPr>
          <w:rFonts w:ascii="Arial" w:hAnsi="Arial" w:cs="Arial"/>
          <w:sz w:val="22"/>
          <w:szCs w:val="22"/>
        </w:rPr>
        <w:t>. Cairns: Fisheries Queensland (DEEDI).</w:t>
      </w:r>
      <w:bookmarkEnd w:id="669"/>
    </w:p>
    <w:p w14:paraId="3C02819A" w14:textId="5A8FEDFE" w:rsidR="00513C39" w:rsidRPr="00CB093C" w:rsidRDefault="00513C39" w:rsidP="00513C39">
      <w:pPr>
        <w:pStyle w:val="EndNoteBibliography"/>
        <w:spacing w:after="0"/>
        <w:ind w:left="720" w:hanging="720"/>
        <w:rPr>
          <w:rFonts w:ascii="Arial" w:hAnsi="Arial" w:cs="Arial"/>
          <w:sz w:val="22"/>
          <w:szCs w:val="22"/>
        </w:rPr>
      </w:pPr>
      <w:bookmarkStart w:id="670" w:name="_ENREF_109"/>
      <w:r w:rsidRPr="00CB093C">
        <w:rPr>
          <w:rFonts w:ascii="Arial" w:hAnsi="Arial" w:cs="Arial"/>
          <w:sz w:val="22"/>
          <w:szCs w:val="22"/>
        </w:rPr>
        <w:t xml:space="preserve">McKenzie, L.J., Yoshida, R.L., Grech, A., Coles, R. 2014b, Composite of coastal seagrass meadows in Queensland, Australia - November 1984 to June 2010. . </w:t>
      </w:r>
      <w:r w:rsidRPr="00CB093C">
        <w:rPr>
          <w:rFonts w:ascii="Arial" w:hAnsi="Arial" w:cs="Arial"/>
          <w:i/>
          <w:sz w:val="22"/>
          <w:szCs w:val="22"/>
        </w:rPr>
        <w:t>PANGAEA</w:t>
      </w:r>
      <w:r w:rsidRPr="00CB093C">
        <w:rPr>
          <w:rFonts w:ascii="Arial" w:hAnsi="Arial" w:cs="Arial"/>
          <w:sz w:val="22"/>
          <w:szCs w:val="22"/>
        </w:rPr>
        <w:t xml:space="preserve">: </w:t>
      </w:r>
      <w:hyperlink r:id="rId142" w:history="1">
        <w:r w:rsidRPr="00CB093C">
          <w:rPr>
            <w:rStyle w:val="Hyperlink"/>
            <w:rFonts w:ascii="Arial" w:hAnsi="Arial" w:cs="Arial"/>
            <w:sz w:val="22"/>
            <w:szCs w:val="22"/>
          </w:rPr>
          <w:t>http://doi.pangaea.de/10.1594/PANGAEA.826368</w:t>
        </w:r>
      </w:hyperlink>
      <w:r w:rsidRPr="00CB093C">
        <w:rPr>
          <w:rFonts w:ascii="Arial" w:hAnsi="Arial" w:cs="Arial"/>
          <w:sz w:val="22"/>
          <w:szCs w:val="22"/>
        </w:rPr>
        <w:t xml:space="preserve">. </w:t>
      </w:r>
      <w:bookmarkEnd w:id="670"/>
    </w:p>
    <w:p w14:paraId="0516BEA2" w14:textId="11BAAF91" w:rsidR="00513C39" w:rsidRPr="00CB093C" w:rsidRDefault="00513C39" w:rsidP="00513C39">
      <w:pPr>
        <w:pStyle w:val="EndNoteBibliography"/>
        <w:spacing w:after="0"/>
        <w:ind w:left="720" w:hanging="720"/>
        <w:rPr>
          <w:rFonts w:ascii="Arial" w:hAnsi="Arial" w:cs="Arial"/>
          <w:sz w:val="22"/>
          <w:szCs w:val="22"/>
        </w:rPr>
      </w:pPr>
      <w:bookmarkStart w:id="671" w:name="_ENREF_110"/>
      <w:r w:rsidRPr="00CB093C">
        <w:rPr>
          <w:rFonts w:ascii="Arial" w:hAnsi="Arial" w:cs="Arial"/>
          <w:sz w:val="22"/>
          <w:szCs w:val="22"/>
        </w:rPr>
        <w:t xml:space="preserve">McKenzie, L.J., Yoshida, R.L., Unsworth, R.K.F. 2014c, Disturbance influences the invasion of a seagrass into an existing meadow. </w:t>
      </w:r>
      <w:r w:rsidRPr="00CB093C">
        <w:rPr>
          <w:rFonts w:ascii="Arial" w:hAnsi="Arial" w:cs="Arial"/>
          <w:i/>
          <w:sz w:val="22"/>
          <w:szCs w:val="22"/>
        </w:rPr>
        <w:t xml:space="preserve">Marine Pollution Bulletin, </w:t>
      </w:r>
      <w:r w:rsidRPr="00CB093C">
        <w:rPr>
          <w:rFonts w:ascii="Arial" w:hAnsi="Arial" w:cs="Arial"/>
          <w:sz w:val="22"/>
          <w:szCs w:val="22"/>
        </w:rPr>
        <w:t xml:space="preserve">86(1–2): 186-196. doi: </w:t>
      </w:r>
      <w:hyperlink r:id="rId143" w:history="1">
        <w:r w:rsidRPr="00CB093C">
          <w:rPr>
            <w:rStyle w:val="Hyperlink"/>
            <w:rFonts w:ascii="Arial" w:hAnsi="Arial" w:cs="Arial"/>
            <w:sz w:val="22"/>
            <w:szCs w:val="22"/>
          </w:rPr>
          <w:t>http://dx.doi.org/10.1016/j.marpolbul.2014.07.019</w:t>
        </w:r>
        <w:bookmarkEnd w:id="671"/>
      </w:hyperlink>
    </w:p>
    <w:p w14:paraId="608CBAC0" w14:textId="77777777" w:rsidR="00513C39" w:rsidRPr="00CB093C" w:rsidRDefault="00513C39" w:rsidP="00513C39">
      <w:pPr>
        <w:pStyle w:val="EndNoteBibliography"/>
        <w:spacing w:after="0"/>
        <w:ind w:left="720" w:hanging="720"/>
        <w:rPr>
          <w:rFonts w:ascii="Arial" w:hAnsi="Arial" w:cs="Arial"/>
          <w:sz w:val="22"/>
          <w:szCs w:val="22"/>
        </w:rPr>
      </w:pPr>
      <w:bookmarkStart w:id="672" w:name="_ENREF_111"/>
      <w:r w:rsidRPr="00CB093C">
        <w:rPr>
          <w:rFonts w:ascii="Arial" w:hAnsi="Arial" w:cs="Arial"/>
          <w:sz w:val="22"/>
          <w:szCs w:val="22"/>
        </w:rPr>
        <w:t xml:space="preserve">McMahon, K., van Dijk, K.-j., Ruiz-Montoya, L., Kendrick, G.A., Krauss, S.L., Waycott, M., Verduin, J., Lowe, R., Statton, J., Brown, E., Duarte, C. 2014a, The movement ecology of seagrasses. </w:t>
      </w:r>
      <w:r w:rsidRPr="00CB093C">
        <w:rPr>
          <w:rFonts w:ascii="Arial" w:hAnsi="Arial" w:cs="Arial"/>
          <w:i/>
          <w:sz w:val="22"/>
          <w:szCs w:val="22"/>
        </w:rPr>
        <w:t xml:space="preserve">Proceedings of the Royal Society of London B: Biological Sciences, </w:t>
      </w:r>
      <w:r w:rsidRPr="00CB093C">
        <w:rPr>
          <w:rFonts w:ascii="Arial" w:hAnsi="Arial" w:cs="Arial"/>
          <w:sz w:val="22"/>
          <w:szCs w:val="22"/>
        </w:rPr>
        <w:t>281(1795). doi: 10.1098/rspb.2014.0878</w:t>
      </w:r>
      <w:bookmarkEnd w:id="672"/>
    </w:p>
    <w:p w14:paraId="2037FE5A" w14:textId="77777777" w:rsidR="00513C39" w:rsidRPr="00CB093C" w:rsidRDefault="00513C39" w:rsidP="00513C39">
      <w:pPr>
        <w:pStyle w:val="EndNoteBibliography"/>
        <w:spacing w:after="0"/>
        <w:ind w:left="720" w:hanging="720"/>
        <w:rPr>
          <w:rFonts w:ascii="Arial" w:hAnsi="Arial" w:cs="Arial"/>
          <w:sz w:val="22"/>
          <w:szCs w:val="22"/>
        </w:rPr>
      </w:pPr>
      <w:bookmarkStart w:id="673" w:name="_ENREF_112"/>
      <w:r w:rsidRPr="00CB093C">
        <w:rPr>
          <w:rFonts w:ascii="Arial" w:hAnsi="Arial" w:cs="Arial"/>
          <w:sz w:val="22"/>
          <w:szCs w:val="22"/>
        </w:rPr>
        <w:t xml:space="preserve">McMahon, K., van Dijk, K.-j., Ruiz-Montoya, L., Kendrick, G.A., Krauss, S.L., Waycott, M., Verduin, J., Lowe, R., Statton, J., Brown, E., Duarte, C. 2014b, The movement ecology of seagrasses. [10.1098/rspb.2014.0878]. </w:t>
      </w:r>
      <w:r w:rsidRPr="00CB093C">
        <w:rPr>
          <w:rFonts w:ascii="Arial" w:hAnsi="Arial" w:cs="Arial"/>
          <w:i/>
          <w:sz w:val="22"/>
          <w:szCs w:val="22"/>
        </w:rPr>
        <w:t xml:space="preserve">Proceedings of the Royal Society B: Biological Sciences, </w:t>
      </w:r>
      <w:r w:rsidRPr="00CB093C">
        <w:rPr>
          <w:rFonts w:ascii="Arial" w:hAnsi="Arial" w:cs="Arial"/>
          <w:sz w:val="22"/>
          <w:szCs w:val="22"/>
        </w:rPr>
        <w:t xml:space="preserve">281(1795). </w:t>
      </w:r>
      <w:bookmarkEnd w:id="673"/>
    </w:p>
    <w:p w14:paraId="04D946EA" w14:textId="77777777" w:rsidR="00513C39" w:rsidRPr="00CB093C" w:rsidRDefault="00513C39" w:rsidP="00513C39">
      <w:pPr>
        <w:pStyle w:val="EndNoteBibliography"/>
        <w:spacing w:after="0"/>
        <w:ind w:left="720" w:hanging="720"/>
        <w:rPr>
          <w:rFonts w:ascii="Arial" w:hAnsi="Arial" w:cs="Arial"/>
          <w:sz w:val="22"/>
          <w:szCs w:val="22"/>
        </w:rPr>
      </w:pPr>
      <w:bookmarkStart w:id="674" w:name="_ENREF_113"/>
      <w:r w:rsidRPr="00CB093C">
        <w:rPr>
          <w:rFonts w:ascii="Arial" w:hAnsi="Arial" w:cs="Arial"/>
          <w:sz w:val="22"/>
          <w:szCs w:val="22"/>
        </w:rPr>
        <w:t xml:space="preserve">McMahon, K.M., Bengston-Nash, S., Eaglesham, G.K., Mueller, J., Duke, N.C., Winderlich, S. 2005, Herbicide contamination and the potential impact to seagrass meadows in Hervey Bay, Queensland, Australia. </w:t>
      </w:r>
      <w:r w:rsidRPr="00CB093C">
        <w:rPr>
          <w:rFonts w:ascii="Arial" w:hAnsi="Arial" w:cs="Arial"/>
          <w:i/>
          <w:sz w:val="22"/>
          <w:szCs w:val="22"/>
        </w:rPr>
        <w:t xml:space="preserve">Marine Pollution Bulletin, </w:t>
      </w:r>
      <w:r w:rsidRPr="00CB093C">
        <w:rPr>
          <w:rFonts w:ascii="Arial" w:hAnsi="Arial" w:cs="Arial"/>
          <w:sz w:val="22"/>
          <w:szCs w:val="22"/>
        </w:rPr>
        <w:t xml:space="preserve">51: 325-334. </w:t>
      </w:r>
      <w:bookmarkEnd w:id="674"/>
    </w:p>
    <w:p w14:paraId="680C229C" w14:textId="77777777" w:rsidR="00513C39" w:rsidRPr="00CB093C" w:rsidRDefault="00513C39" w:rsidP="00513C39">
      <w:pPr>
        <w:pStyle w:val="EndNoteBibliography"/>
        <w:spacing w:after="0"/>
        <w:ind w:left="720" w:hanging="720"/>
        <w:rPr>
          <w:rFonts w:ascii="Arial" w:hAnsi="Arial" w:cs="Arial"/>
          <w:sz w:val="22"/>
          <w:szCs w:val="22"/>
        </w:rPr>
      </w:pPr>
      <w:bookmarkStart w:id="675" w:name="_ENREF_114"/>
      <w:r w:rsidRPr="00CB093C">
        <w:rPr>
          <w:rFonts w:ascii="Arial" w:hAnsi="Arial" w:cs="Arial"/>
          <w:sz w:val="22"/>
          <w:szCs w:val="22"/>
        </w:rPr>
        <w:t xml:space="preserve">Mellors, J., Waycott, M., Marsh, H. 2005, Variation in biogeochemical parameters across intertidal seagrass meadows in the central Great Barrier Reef region. </w:t>
      </w:r>
      <w:r w:rsidRPr="00CB093C">
        <w:rPr>
          <w:rFonts w:ascii="Arial" w:hAnsi="Arial" w:cs="Arial"/>
          <w:i/>
          <w:sz w:val="22"/>
          <w:szCs w:val="22"/>
        </w:rPr>
        <w:t xml:space="preserve">Marine Pollution Bulletin, </w:t>
      </w:r>
      <w:r w:rsidRPr="00CB093C">
        <w:rPr>
          <w:rFonts w:ascii="Arial" w:hAnsi="Arial" w:cs="Arial"/>
          <w:sz w:val="22"/>
          <w:szCs w:val="22"/>
        </w:rPr>
        <w:t>51(1-4): 335-342. doi: 10.1016/j.marpolbul.2004.10.046</w:t>
      </w:r>
      <w:bookmarkEnd w:id="675"/>
    </w:p>
    <w:p w14:paraId="6866C191" w14:textId="77777777" w:rsidR="00513C39" w:rsidRPr="00CB093C" w:rsidRDefault="00513C39" w:rsidP="00513C39">
      <w:pPr>
        <w:pStyle w:val="EndNoteBibliography"/>
        <w:spacing w:after="0"/>
        <w:ind w:left="720" w:hanging="720"/>
        <w:rPr>
          <w:rFonts w:ascii="Arial" w:hAnsi="Arial" w:cs="Arial"/>
          <w:sz w:val="22"/>
          <w:szCs w:val="22"/>
        </w:rPr>
      </w:pPr>
      <w:bookmarkStart w:id="676" w:name="_ENREF_115"/>
      <w:r w:rsidRPr="00CB093C">
        <w:rPr>
          <w:rFonts w:ascii="Arial" w:hAnsi="Arial" w:cs="Arial"/>
          <w:sz w:val="22"/>
          <w:szCs w:val="22"/>
        </w:rPr>
        <w:t xml:space="preserve">Mellors, J.E. 2003, </w:t>
      </w:r>
      <w:r w:rsidRPr="00CB093C">
        <w:rPr>
          <w:rFonts w:ascii="Arial" w:hAnsi="Arial" w:cs="Arial"/>
          <w:i/>
          <w:sz w:val="22"/>
          <w:szCs w:val="22"/>
        </w:rPr>
        <w:t>Sediment and nutrient dynamics in coastal intertidal seagrass of north eastern tropical Australia. PhD Thesis.</w:t>
      </w:r>
      <w:r w:rsidRPr="00CB093C">
        <w:rPr>
          <w:rFonts w:ascii="Arial" w:hAnsi="Arial" w:cs="Arial"/>
          <w:sz w:val="22"/>
          <w:szCs w:val="22"/>
        </w:rPr>
        <w:t xml:space="preserve"> School of Tropical Environment Studies and Geography: James Cook University, Townsville.</w:t>
      </w:r>
      <w:bookmarkEnd w:id="676"/>
    </w:p>
    <w:p w14:paraId="6990229E" w14:textId="32C7D0AC" w:rsidR="00513C39" w:rsidRPr="00CB093C" w:rsidRDefault="00513C39" w:rsidP="00513C39">
      <w:pPr>
        <w:pStyle w:val="EndNoteBibliography"/>
        <w:spacing w:after="0"/>
        <w:ind w:left="720" w:hanging="720"/>
        <w:rPr>
          <w:rFonts w:ascii="Arial" w:hAnsi="Arial" w:cs="Arial"/>
          <w:i/>
          <w:sz w:val="22"/>
          <w:szCs w:val="22"/>
        </w:rPr>
      </w:pPr>
      <w:bookmarkStart w:id="677" w:name="_ENREF_116"/>
      <w:r w:rsidRPr="00CB093C">
        <w:rPr>
          <w:rFonts w:ascii="Arial" w:hAnsi="Arial" w:cs="Arial"/>
          <w:sz w:val="22"/>
          <w:szCs w:val="22"/>
        </w:rPr>
        <w:t xml:space="preserve">Monitoring River Health Initiative. 1994, </w:t>
      </w:r>
      <w:r w:rsidRPr="00CB093C">
        <w:rPr>
          <w:rFonts w:ascii="Arial" w:hAnsi="Arial" w:cs="Arial"/>
          <w:i/>
          <w:sz w:val="22"/>
          <w:szCs w:val="22"/>
        </w:rPr>
        <w:t xml:space="preserve">River Bioassessment Manual, National River Processes and Management Program, Tasmania. </w:t>
      </w:r>
      <w:hyperlink r:id="rId144" w:history="1">
        <w:r w:rsidRPr="00CB093C">
          <w:rPr>
            <w:rStyle w:val="Hyperlink"/>
            <w:rFonts w:ascii="Arial" w:hAnsi="Arial" w:cs="Arial"/>
            <w:i/>
            <w:sz w:val="22"/>
            <w:szCs w:val="22"/>
          </w:rPr>
          <w:t>http://www.environment.gov.au/water/publications/environmental/rivers/nrhp/bioassess.html</w:t>
        </w:r>
      </w:hyperlink>
      <w:r w:rsidRPr="00CB093C">
        <w:rPr>
          <w:rFonts w:ascii="Arial" w:hAnsi="Arial" w:cs="Arial"/>
          <w:i/>
          <w:sz w:val="22"/>
          <w:szCs w:val="22"/>
        </w:rPr>
        <w:t>, accessed 10 February 2014.</w:t>
      </w:r>
      <w:bookmarkEnd w:id="677"/>
    </w:p>
    <w:p w14:paraId="4B8BF115" w14:textId="20D3A7F3" w:rsidR="00513C39" w:rsidRPr="00CB093C" w:rsidRDefault="00513C39" w:rsidP="00513C39">
      <w:pPr>
        <w:pStyle w:val="EndNoteBibliography"/>
        <w:spacing w:after="0"/>
        <w:ind w:left="720" w:hanging="720"/>
        <w:rPr>
          <w:rFonts w:ascii="Arial" w:hAnsi="Arial" w:cs="Arial"/>
          <w:sz w:val="22"/>
          <w:szCs w:val="22"/>
        </w:rPr>
      </w:pPr>
      <w:bookmarkStart w:id="678" w:name="_ENREF_117"/>
      <w:r w:rsidRPr="00CB093C">
        <w:rPr>
          <w:rFonts w:ascii="Arial" w:hAnsi="Arial" w:cs="Arial"/>
          <w:sz w:val="22"/>
          <w:szCs w:val="22"/>
        </w:rPr>
        <w:t xml:space="preserve">Nelson, W.G. 2017, Development of an epiphyte indicator of nutrient enrichment: Threshold values for seagrass epiphyte load. </w:t>
      </w:r>
      <w:r w:rsidRPr="00CB093C">
        <w:rPr>
          <w:rFonts w:ascii="Arial" w:hAnsi="Arial" w:cs="Arial"/>
          <w:i/>
          <w:sz w:val="22"/>
          <w:szCs w:val="22"/>
        </w:rPr>
        <w:t xml:space="preserve">Ecological Indicators, </w:t>
      </w:r>
      <w:r w:rsidRPr="00CB093C">
        <w:rPr>
          <w:rFonts w:ascii="Arial" w:hAnsi="Arial" w:cs="Arial"/>
          <w:sz w:val="22"/>
          <w:szCs w:val="22"/>
        </w:rPr>
        <w:t xml:space="preserve">74: 343-356. doi: </w:t>
      </w:r>
      <w:hyperlink r:id="rId145" w:history="1">
        <w:r w:rsidRPr="00CB093C">
          <w:rPr>
            <w:rStyle w:val="Hyperlink"/>
            <w:rFonts w:ascii="Arial" w:hAnsi="Arial" w:cs="Arial"/>
            <w:sz w:val="22"/>
            <w:szCs w:val="22"/>
          </w:rPr>
          <w:t>http://dx.doi.org/10.1016/j.ecolind.2016.11.035</w:t>
        </w:r>
        <w:bookmarkEnd w:id="678"/>
      </w:hyperlink>
    </w:p>
    <w:p w14:paraId="41C37BB0" w14:textId="77777777" w:rsidR="00513C39" w:rsidRPr="00CB093C" w:rsidRDefault="00513C39" w:rsidP="00513C39">
      <w:pPr>
        <w:pStyle w:val="EndNoteBibliography"/>
        <w:spacing w:after="0"/>
        <w:ind w:left="720" w:hanging="720"/>
        <w:rPr>
          <w:rFonts w:ascii="Arial" w:hAnsi="Arial" w:cs="Arial"/>
          <w:sz w:val="22"/>
          <w:szCs w:val="22"/>
        </w:rPr>
      </w:pPr>
      <w:bookmarkStart w:id="679" w:name="_ENREF_118"/>
      <w:r w:rsidRPr="00CB093C">
        <w:rPr>
          <w:rFonts w:ascii="Arial" w:hAnsi="Arial" w:cs="Arial"/>
          <w:sz w:val="22"/>
          <w:szCs w:val="22"/>
        </w:rPr>
        <w:t xml:space="preserve">O'Donohue, M.J., Moriarty, D.J.W., Mac Rae, I.C. 1991, Nitrogen fixation in sediments and the rhizosphere of the seagrass </w:t>
      </w:r>
      <w:r w:rsidRPr="00CB093C">
        <w:rPr>
          <w:rFonts w:ascii="Arial" w:hAnsi="Arial" w:cs="Arial"/>
          <w:i/>
          <w:sz w:val="22"/>
          <w:szCs w:val="22"/>
        </w:rPr>
        <w:t>Zostera capricorni</w:t>
      </w:r>
      <w:r w:rsidRPr="00CB093C">
        <w:rPr>
          <w:rFonts w:ascii="Arial" w:hAnsi="Arial" w:cs="Arial"/>
          <w:sz w:val="22"/>
          <w:szCs w:val="22"/>
        </w:rPr>
        <w:t xml:space="preserve">. </w:t>
      </w:r>
      <w:r w:rsidRPr="00CB093C">
        <w:rPr>
          <w:rFonts w:ascii="Arial" w:hAnsi="Arial" w:cs="Arial"/>
          <w:i/>
          <w:sz w:val="22"/>
          <w:szCs w:val="22"/>
        </w:rPr>
        <w:t xml:space="preserve">Microbial Ecology, </w:t>
      </w:r>
      <w:r w:rsidRPr="00CB093C">
        <w:rPr>
          <w:rFonts w:ascii="Arial" w:hAnsi="Arial" w:cs="Arial"/>
          <w:sz w:val="22"/>
          <w:szCs w:val="22"/>
        </w:rPr>
        <w:t xml:space="preserve">22(1): 53-64. </w:t>
      </w:r>
      <w:bookmarkEnd w:id="679"/>
    </w:p>
    <w:p w14:paraId="41C39147" w14:textId="67439E8D" w:rsidR="00513C39" w:rsidRPr="00CB093C" w:rsidRDefault="00513C39" w:rsidP="00513C39">
      <w:pPr>
        <w:pStyle w:val="EndNoteBibliography"/>
        <w:spacing w:after="0"/>
        <w:ind w:left="720" w:hanging="720"/>
        <w:rPr>
          <w:rFonts w:ascii="Arial" w:hAnsi="Arial" w:cs="Arial"/>
          <w:sz w:val="22"/>
          <w:szCs w:val="22"/>
        </w:rPr>
      </w:pPr>
      <w:bookmarkStart w:id="680" w:name="_ENREF_119"/>
      <w:r w:rsidRPr="00CB093C">
        <w:rPr>
          <w:rFonts w:ascii="Arial" w:hAnsi="Arial" w:cs="Arial"/>
          <w:sz w:val="22"/>
          <w:szCs w:val="22"/>
        </w:rPr>
        <w:t xml:space="preserve">Orpin, A.R., Ridd, P.V., Thomas, S., Anthony, K.R.N., Marshall, P., Oliver, J. 2004, Natural turbidity variability and weather forecasts in risk management of anthropogenic sediment discharge near sensitive environments. </w:t>
      </w:r>
      <w:r w:rsidRPr="00CB093C">
        <w:rPr>
          <w:rFonts w:ascii="Arial" w:hAnsi="Arial" w:cs="Arial"/>
          <w:i/>
          <w:sz w:val="22"/>
          <w:szCs w:val="22"/>
        </w:rPr>
        <w:t xml:space="preserve">Marine Pollution Bulletin, </w:t>
      </w:r>
      <w:r w:rsidRPr="00CB093C">
        <w:rPr>
          <w:rFonts w:ascii="Arial" w:hAnsi="Arial" w:cs="Arial"/>
          <w:sz w:val="22"/>
          <w:szCs w:val="22"/>
        </w:rPr>
        <w:t xml:space="preserve">49(7–8): 602-612. doi: </w:t>
      </w:r>
      <w:hyperlink r:id="rId146" w:history="1">
        <w:r w:rsidRPr="00CB093C">
          <w:rPr>
            <w:rStyle w:val="Hyperlink"/>
            <w:rFonts w:ascii="Arial" w:hAnsi="Arial" w:cs="Arial"/>
            <w:sz w:val="22"/>
            <w:szCs w:val="22"/>
          </w:rPr>
          <w:t>http://dx.doi.org/10.1016/j.marpolbul.2004.03.020</w:t>
        </w:r>
        <w:bookmarkEnd w:id="680"/>
      </w:hyperlink>
    </w:p>
    <w:p w14:paraId="22512079" w14:textId="77777777" w:rsidR="00513C39" w:rsidRPr="00CB093C" w:rsidRDefault="00513C39" w:rsidP="00513C39">
      <w:pPr>
        <w:pStyle w:val="EndNoteBibliography"/>
        <w:spacing w:after="0"/>
        <w:ind w:left="720" w:hanging="720"/>
        <w:rPr>
          <w:rFonts w:ascii="Arial" w:hAnsi="Arial" w:cs="Arial"/>
          <w:sz w:val="22"/>
          <w:szCs w:val="22"/>
        </w:rPr>
      </w:pPr>
      <w:bookmarkStart w:id="681" w:name="_ENREF_120"/>
      <w:r w:rsidRPr="00CB093C">
        <w:rPr>
          <w:rFonts w:ascii="Arial" w:hAnsi="Arial" w:cs="Arial"/>
          <w:sz w:val="22"/>
          <w:szCs w:val="22"/>
        </w:rPr>
        <w:t xml:space="preserve">Orth, R.J., Harwell, M.C., Inglis, G.J. 2006, Ecology of seagrass seeds and dispersal strategies. In AWD Larkum, RJ Orth &amp; CM Duarte (Eds.), </w:t>
      </w:r>
      <w:r w:rsidRPr="00CB093C">
        <w:rPr>
          <w:rFonts w:ascii="Arial" w:hAnsi="Arial" w:cs="Arial"/>
          <w:i/>
          <w:sz w:val="22"/>
          <w:szCs w:val="22"/>
        </w:rPr>
        <w:t>Seagrasses: Biology, Ecology and Conservation</w:t>
      </w:r>
      <w:r w:rsidRPr="00CB093C">
        <w:rPr>
          <w:rFonts w:ascii="Arial" w:hAnsi="Arial" w:cs="Arial"/>
          <w:sz w:val="22"/>
          <w:szCs w:val="22"/>
        </w:rPr>
        <w:t xml:space="preserve"> (pp. 113-133). Dordrecht: Springer.</w:t>
      </w:r>
      <w:bookmarkEnd w:id="681"/>
    </w:p>
    <w:p w14:paraId="44F097FB" w14:textId="77777777" w:rsidR="00513C39" w:rsidRPr="00CB093C" w:rsidRDefault="00513C39" w:rsidP="00513C39">
      <w:pPr>
        <w:pStyle w:val="EndNoteBibliography"/>
        <w:spacing w:after="0"/>
        <w:ind w:left="720" w:hanging="720"/>
        <w:rPr>
          <w:rFonts w:ascii="Arial" w:hAnsi="Arial" w:cs="Arial"/>
          <w:sz w:val="22"/>
          <w:szCs w:val="22"/>
        </w:rPr>
      </w:pPr>
      <w:bookmarkStart w:id="682" w:name="_ENREF_121"/>
      <w:r w:rsidRPr="00CB093C">
        <w:rPr>
          <w:rFonts w:ascii="Arial" w:hAnsi="Arial" w:cs="Arial"/>
          <w:sz w:val="22"/>
          <w:szCs w:val="22"/>
        </w:rPr>
        <w:t xml:space="preserve">Owens, N.J.P. 1988, Natural Variations in 15N in the Marine Environment. In JHS Blaxter &amp; AJ Southward (Eds.), </w:t>
      </w:r>
      <w:r w:rsidRPr="00CB093C">
        <w:rPr>
          <w:rFonts w:ascii="Arial" w:hAnsi="Arial" w:cs="Arial"/>
          <w:i/>
          <w:sz w:val="22"/>
          <w:szCs w:val="22"/>
        </w:rPr>
        <w:t>Advances in Marine Biology</w:t>
      </w:r>
      <w:r w:rsidRPr="00CB093C">
        <w:rPr>
          <w:rFonts w:ascii="Arial" w:hAnsi="Arial" w:cs="Arial"/>
          <w:sz w:val="22"/>
          <w:szCs w:val="22"/>
        </w:rPr>
        <w:t xml:space="preserve"> (pp. 389-451): Academic Press.</w:t>
      </w:r>
      <w:bookmarkEnd w:id="682"/>
    </w:p>
    <w:p w14:paraId="6027983B" w14:textId="77777777" w:rsidR="00513C39" w:rsidRPr="00CB093C" w:rsidRDefault="00513C39" w:rsidP="00513C39">
      <w:pPr>
        <w:pStyle w:val="EndNoteBibliography"/>
        <w:spacing w:after="0"/>
        <w:ind w:left="720" w:hanging="720"/>
        <w:rPr>
          <w:rFonts w:ascii="Arial" w:hAnsi="Arial" w:cs="Arial"/>
          <w:sz w:val="22"/>
          <w:szCs w:val="22"/>
        </w:rPr>
      </w:pPr>
      <w:bookmarkStart w:id="683" w:name="_ENREF_122"/>
      <w:r w:rsidRPr="00CB093C">
        <w:rPr>
          <w:rFonts w:ascii="Arial" w:hAnsi="Arial" w:cs="Arial"/>
          <w:sz w:val="22"/>
          <w:szCs w:val="22"/>
        </w:rPr>
        <w:t xml:space="preserve">Peterson, B.J. and Fry, B. 1987, Stable Isotopes in Ecostystem Studies. </w:t>
      </w:r>
      <w:r w:rsidRPr="00CB093C">
        <w:rPr>
          <w:rFonts w:ascii="Arial" w:hAnsi="Arial" w:cs="Arial"/>
          <w:i/>
          <w:sz w:val="22"/>
          <w:szCs w:val="22"/>
        </w:rPr>
        <w:t xml:space="preserve">Annual Reveiw of Ecological Systematics, </w:t>
      </w:r>
      <w:r w:rsidRPr="00CB093C">
        <w:rPr>
          <w:rFonts w:ascii="Arial" w:hAnsi="Arial" w:cs="Arial"/>
          <w:sz w:val="22"/>
          <w:szCs w:val="22"/>
        </w:rPr>
        <w:t xml:space="preserve">18: 293-320. </w:t>
      </w:r>
      <w:bookmarkEnd w:id="683"/>
    </w:p>
    <w:p w14:paraId="3E738F00" w14:textId="77777777" w:rsidR="00513C39" w:rsidRPr="00CB093C" w:rsidRDefault="00513C39" w:rsidP="00513C39">
      <w:pPr>
        <w:pStyle w:val="EndNoteBibliography"/>
        <w:spacing w:after="0"/>
        <w:ind w:left="720" w:hanging="720"/>
        <w:rPr>
          <w:rFonts w:ascii="Arial" w:hAnsi="Arial" w:cs="Arial"/>
          <w:sz w:val="22"/>
          <w:szCs w:val="22"/>
        </w:rPr>
      </w:pPr>
      <w:bookmarkStart w:id="684" w:name="_ENREF_123"/>
      <w:r w:rsidRPr="00CB093C">
        <w:rPr>
          <w:rFonts w:ascii="Arial" w:hAnsi="Arial" w:cs="Arial"/>
          <w:sz w:val="22"/>
          <w:szCs w:val="22"/>
        </w:rPr>
        <w:t xml:space="preserve">Petrou, K., Jimenez-Denness, I., Chartrand, K., McCormack, C., Rasheed, M., Ralph, P. 2013, Seasonal heterogeneity in the photophysiological response to air exposure in two tropical intertidal seagrass species. </w:t>
      </w:r>
      <w:r w:rsidRPr="00CB093C">
        <w:rPr>
          <w:rFonts w:ascii="Arial" w:hAnsi="Arial" w:cs="Arial"/>
          <w:i/>
          <w:sz w:val="22"/>
          <w:szCs w:val="22"/>
        </w:rPr>
        <w:t xml:space="preserve">Marine Ecology Progress Series, </w:t>
      </w:r>
      <w:r w:rsidRPr="00CB093C">
        <w:rPr>
          <w:rFonts w:ascii="Arial" w:hAnsi="Arial" w:cs="Arial"/>
          <w:sz w:val="22"/>
          <w:szCs w:val="22"/>
        </w:rPr>
        <w:t>482: 93-106. doi: 10.3354/meps10229</w:t>
      </w:r>
      <w:bookmarkEnd w:id="684"/>
    </w:p>
    <w:p w14:paraId="50A74C7D" w14:textId="231D281C" w:rsidR="00513C39" w:rsidRPr="00CB093C" w:rsidRDefault="00513C39" w:rsidP="00513C39">
      <w:pPr>
        <w:pStyle w:val="EndNoteBibliography"/>
        <w:spacing w:after="0"/>
        <w:ind w:left="720" w:hanging="720"/>
        <w:rPr>
          <w:rFonts w:ascii="Arial" w:hAnsi="Arial" w:cs="Arial"/>
          <w:sz w:val="22"/>
          <w:szCs w:val="22"/>
        </w:rPr>
      </w:pPr>
      <w:bookmarkStart w:id="685" w:name="_ENREF_124"/>
      <w:r w:rsidRPr="00CB093C">
        <w:rPr>
          <w:rFonts w:ascii="Arial" w:hAnsi="Arial" w:cs="Arial"/>
          <w:sz w:val="22"/>
          <w:szCs w:val="22"/>
        </w:rPr>
        <w:t xml:space="preserve">Petus, C., Collier, C., Devlin, M., Rasheed, M., McKenna, S. 2014, Using MODIS data for understanding changes in seagrass meadow health: A case study in the Great Barrier Reef (Australia). </w:t>
      </w:r>
      <w:r w:rsidRPr="00CB093C">
        <w:rPr>
          <w:rFonts w:ascii="Arial" w:hAnsi="Arial" w:cs="Arial"/>
          <w:i/>
          <w:sz w:val="22"/>
          <w:szCs w:val="22"/>
        </w:rPr>
        <w:t xml:space="preserve">Marine Environmental Research, </w:t>
      </w:r>
      <w:r w:rsidRPr="00CB093C">
        <w:rPr>
          <w:rFonts w:ascii="Arial" w:hAnsi="Arial" w:cs="Arial"/>
          <w:sz w:val="22"/>
          <w:szCs w:val="22"/>
        </w:rPr>
        <w:t xml:space="preserve">98: 68-85. doi: </w:t>
      </w:r>
      <w:hyperlink r:id="rId147" w:history="1">
        <w:r w:rsidRPr="00CB093C">
          <w:rPr>
            <w:rStyle w:val="Hyperlink"/>
            <w:rFonts w:ascii="Arial" w:hAnsi="Arial" w:cs="Arial"/>
            <w:sz w:val="22"/>
            <w:szCs w:val="22"/>
          </w:rPr>
          <w:t>http://dx.doi.org/10.1016/j.marenvres.2014.03.006</w:t>
        </w:r>
        <w:bookmarkEnd w:id="685"/>
      </w:hyperlink>
    </w:p>
    <w:p w14:paraId="1F958994" w14:textId="77777777" w:rsidR="00513C39" w:rsidRPr="00CB093C" w:rsidRDefault="00513C39" w:rsidP="00513C39">
      <w:pPr>
        <w:pStyle w:val="EndNoteBibliography"/>
        <w:spacing w:after="0"/>
        <w:ind w:left="720" w:hanging="720"/>
        <w:rPr>
          <w:rFonts w:ascii="Arial" w:hAnsi="Arial" w:cs="Arial"/>
          <w:sz w:val="22"/>
          <w:szCs w:val="22"/>
        </w:rPr>
      </w:pPr>
      <w:bookmarkStart w:id="686" w:name="_ENREF_125"/>
      <w:r w:rsidRPr="00CB093C">
        <w:rPr>
          <w:rFonts w:ascii="Arial" w:hAnsi="Arial" w:cs="Arial"/>
          <w:sz w:val="22"/>
          <w:szCs w:val="22"/>
        </w:rPr>
        <w:t xml:space="preserve">Petus, C., Devlin, M., Thompson, A., McKenzie, L., Teixeira da Silva, E., Collier, C., Tracey, D., Martin, K. 2016, Estimating the Exposure of Coral Reefs and Seagrass Meadows to Land-Sourced Contaminants in River Flood Plumes of the Great Barrier Reef: Validating a Simple Satellite Risk Framework with Environmental Data. </w:t>
      </w:r>
      <w:r w:rsidRPr="00CB093C">
        <w:rPr>
          <w:rFonts w:ascii="Arial" w:hAnsi="Arial" w:cs="Arial"/>
          <w:i/>
          <w:sz w:val="22"/>
          <w:szCs w:val="22"/>
        </w:rPr>
        <w:t xml:space="preserve">Remote Sensing, </w:t>
      </w:r>
      <w:r w:rsidRPr="00CB093C">
        <w:rPr>
          <w:rFonts w:ascii="Arial" w:hAnsi="Arial" w:cs="Arial"/>
          <w:sz w:val="22"/>
          <w:szCs w:val="22"/>
        </w:rPr>
        <w:t xml:space="preserve">8(3): 210. </w:t>
      </w:r>
      <w:bookmarkEnd w:id="686"/>
    </w:p>
    <w:p w14:paraId="10C9DBCA" w14:textId="77777777" w:rsidR="00513C39" w:rsidRPr="00CB093C" w:rsidRDefault="00513C39" w:rsidP="00513C39">
      <w:pPr>
        <w:pStyle w:val="EndNoteBibliography"/>
        <w:spacing w:after="0"/>
        <w:ind w:left="720" w:hanging="720"/>
        <w:rPr>
          <w:rFonts w:ascii="Arial" w:hAnsi="Arial" w:cs="Arial"/>
          <w:sz w:val="22"/>
          <w:szCs w:val="22"/>
        </w:rPr>
      </w:pPr>
      <w:bookmarkStart w:id="687" w:name="_ENREF_126"/>
      <w:r w:rsidRPr="00CB093C">
        <w:rPr>
          <w:rFonts w:ascii="Arial" w:hAnsi="Arial" w:cs="Arial"/>
          <w:sz w:val="22"/>
          <w:szCs w:val="22"/>
        </w:rPr>
        <w:t>Preen, A.R., Lee Long, W.J., Coles, R.G. 1995, Flood and cyclone related loss, and partial recovery, of more than 1,000 km</w:t>
      </w:r>
      <w:r w:rsidRPr="00CB093C">
        <w:rPr>
          <w:rFonts w:ascii="Arial" w:hAnsi="Arial" w:cs="Arial"/>
          <w:sz w:val="22"/>
          <w:szCs w:val="22"/>
          <w:vertAlign w:val="superscript"/>
        </w:rPr>
        <w:t>2</w:t>
      </w:r>
      <w:r w:rsidRPr="00CB093C">
        <w:rPr>
          <w:rFonts w:ascii="Arial" w:hAnsi="Arial" w:cs="Arial"/>
          <w:sz w:val="22"/>
          <w:szCs w:val="22"/>
        </w:rPr>
        <w:t xml:space="preserve"> of seagrass in Hervey Bay, Queensland, Australia. </w:t>
      </w:r>
      <w:r w:rsidRPr="00CB093C">
        <w:rPr>
          <w:rFonts w:ascii="Arial" w:hAnsi="Arial" w:cs="Arial"/>
          <w:i/>
          <w:sz w:val="22"/>
          <w:szCs w:val="22"/>
        </w:rPr>
        <w:t xml:space="preserve">Aquatic Botany, </w:t>
      </w:r>
      <w:r w:rsidRPr="00CB093C">
        <w:rPr>
          <w:rFonts w:ascii="Arial" w:hAnsi="Arial" w:cs="Arial"/>
          <w:sz w:val="22"/>
          <w:szCs w:val="22"/>
        </w:rPr>
        <w:t xml:space="preserve">52: 3-17. </w:t>
      </w:r>
      <w:bookmarkEnd w:id="687"/>
    </w:p>
    <w:p w14:paraId="773B5845" w14:textId="037F11E4" w:rsidR="00513C39" w:rsidRPr="00CB093C" w:rsidRDefault="00513C39" w:rsidP="00513C39">
      <w:pPr>
        <w:pStyle w:val="EndNoteBibliography"/>
        <w:spacing w:after="0"/>
        <w:ind w:left="720" w:hanging="720"/>
        <w:rPr>
          <w:rFonts w:ascii="Arial" w:hAnsi="Arial" w:cs="Arial"/>
          <w:sz w:val="22"/>
          <w:szCs w:val="22"/>
        </w:rPr>
      </w:pPr>
      <w:bookmarkStart w:id="688" w:name="_ENREF_127"/>
      <w:r w:rsidRPr="00CB093C">
        <w:rPr>
          <w:rFonts w:ascii="Arial" w:hAnsi="Arial" w:cs="Arial"/>
          <w:sz w:val="22"/>
          <w:szCs w:val="22"/>
        </w:rPr>
        <w:t>R Core Team. (2014). R: A language and environment for statistical computing.</w:t>
      </w:r>
      <w:r w:rsidRPr="00CB093C">
        <w:rPr>
          <w:rFonts w:ascii="Arial" w:hAnsi="Arial" w:cs="Arial"/>
          <w:i/>
          <w:sz w:val="22"/>
          <w:szCs w:val="22"/>
        </w:rPr>
        <w:t xml:space="preserve"> </w:t>
      </w:r>
      <w:r w:rsidRPr="00CB093C">
        <w:rPr>
          <w:rFonts w:ascii="Arial" w:hAnsi="Arial" w:cs="Arial"/>
          <w:sz w:val="22"/>
          <w:szCs w:val="22"/>
        </w:rPr>
        <w:t xml:space="preserve">  Retrieved from </w:t>
      </w:r>
      <w:hyperlink r:id="rId148" w:history="1">
        <w:r w:rsidRPr="00CB093C">
          <w:rPr>
            <w:rStyle w:val="Hyperlink"/>
            <w:rFonts w:ascii="Arial" w:hAnsi="Arial" w:cs="Arial"/>
            <w:sz w:val="22"/>
            <w:szCs w:val="22"/>
          </w:rPr>
          <w:t>http://www.R-project.org/</w:t>
        </w:r>
      </w:hyperlink>
      <w:r w:rsidRPr="00CB093C">
        <w:rPr>
          <w:rFonts w:ascii="Arial" w:hAnsi="Arial" w:cs="Arial"/>
          <w:sz w:val="22"/>
          <w:szCs w:val="22"/>
        </w:rPr>
        <w:t xml:space="preserve">. </w:t>
      </w:r>
      <w:bookmarkEnd w:id="688"/>
    </w:p>
    <w:p w14:paraId="708F8856" w14:textId="151BAB26" w:rsidR="00513C39" w:rsidRPr="00CB093C" w:rsidRDefault="00513C39" w:rsidP="00513C39">
      <w:pPr>
        <w:pStyle w:val="EndNoteBibliography"/>
        <w:spacing w:after="0"/>
        <w:ind w:left="720" w:hanging="720"/>
        <w:rPr>
          <w:rFonts w:ascii="Arial" w:hAnsi="Arial" w:cs="Arial"/>
          <w:sz w:val="22"/>
          <w:szCs w:val="22"/>
        </w:rPr>
      </w:pPr>
      <w:bookmarkStart w:id="689" w:name="_ENREF_128"/>
      <w:r w:rsidRPr="00CB093C">
        <w:rPr>
          <w:rFonts w:ascii="Arial" w:hAnsi="Arial" w:cs="Arial"/>
          <w:sz w:val="22"/>
          <w:szCs w:val="22"/>
        </w:rPr>
        <w:t xml:space="preserve">Rasheed, M.A., McKenna, S.A., Carter, A.B., Coles, R.G. 2014, Contrasting recovery of shallow and deep water seagrass communities following climate associated losses in tropical north Queensland, Australia. </w:t>
      </w:r>
      <w:r w:rsidRPr="00CB093C">
        <w:rPr>
          <w:rFonts w:ascii="Arial" w:hAnsi="Arial" w:cs="Arial"/>
          <w:i/>
          <w:sz w:val="22"/>
          <w:szCs w:val="22"/>
        </w:rPr>
        <w:t xml:space="preserve">Marine Pollution Bulletin, </w:t>
      </w:r>
      <w:r w:rsidRPr="00CB093C">
        <w:rPr>
          <w:rFonts w:ascii="Arial" w:hAnsi="Arial" w:cs="Arial"/>
          <w:sz w:val="22"/>
          <w:szCs w:val="22"/>
        </w:rPr>
        <w:t xml:space="preserve">83(2): 491-499. doi: </w:t>
      </w:r>
      <w:hyperlink r:id="rId149" w:history="1">
        <w:r w:rsidRPr="00CB093C">
          <w:rPr>
            <w:rStyle w:val="Hyperlink"/>
            <w:rFonts w:ascii="Arial" w:hAnsi="Arial" w:cs="Arial"/>
            <w:sz w:val="22"/>
            <w:szCs w:val="22"/>
          </w:rPr>
          <w:t>http://dx.doi.org/10.1016/j.marpolbul.2014.02.013</w:t>
        </w:r>
        <w:bookmarkEnd w:id="689"/>
      </w:hyperlink>
    </w:p>
    <w:p w14:paraId="0235CBA9" w14:textId="77777777" w:rsidR="00513C39" w:rsidRPr="00CB093C" w:rsidRDefault="00513C39" w:rsidP="00513C39">
      <w:pPr>
        <w:pStyle w:val="EndNoteBibliography"/>
        <w:spacing w:after="0"/>
        <w:ind w:left="720" w:hanging="720"/>
        <w:rPr>
          <w:rFonts w:ascii="Arial" w:hAnsi="Arial" w:cs="Arial"/>
          <w:sz w:val="22"/>
          <w:szCs w:val="22"/>
        </w:rPr>
      </w:pPr>
      <w:bookmarkStart w:id="690" w:name="_ENREF_129"/>
      <w:r w:rsidRPr="00CB093C">
        <w:rPr>
          <w:rFonts w:ascii="Arial" w:hAnsi="Arial" w:cs="Arial"/>
          <w:sz w:val="22"/>
          <w:szCs w:val="22"/>
        </w:rPr>
        <w:t xml:space="preserve">Rasheed, M.A., Thomas, R., Roelofs, A.J., Neil, K.M., Kerville, S.P. 2003, </w:t>
      </w:r>
      <w:r w:rsidRPr="00CB093C">
        <w:rPr>
          <w:rFonts w:ascii="Arial" w:hAnsi="Arial" w:cs="Arial"/>
          <w:i/>
          <w:sz w:val="22"/>
          <w:szCs w:val="22"/>
        </w:rPr>
        <w:t>Port Curtis and Rodds Bay seagrass and benthic macro-invertebrate community baseline survey, November/December 2002. DPI Information Series QI03058</w:t>
      </w:r>
      <w:r w:rsidRPr="00CB093C">
        <w:rPr>
          <w:rFonts w:ascii="Arial" w:hAnsi="Arial" w:cs="Arial"/>
          <w:sz w:val="22"/>
          <w:szCs w:val="22"/>
        </w:rPr>
        <w:t>. Cairns: DPI.</w:t>
      </w:r>
      <w:bookmarkEnd w:id="690"/>
    </w:p>
    <w:p w14:paraId="032C22A4" w14:textId="77777777" w:rsidR="00513C39" w:rsidRPr="00CB093C" w:rsidRDefault="00513C39" w:rsidP="00513C39">
      <w:pPr>
        <w:pStyle w:val="EndNoteBibliography"/>
        <w:spacing w:after="0"/>
        <w:ind w:left="720" w:hanging="720"/>
        <w:rPr>
          <w:rFonts w:ascii="Arial" w:hAnsi="Arial" w:cs="Arial"/>
          <w:sz w:val="22"/>
          <w:szCs w:val="22"/>
        </w:rPr>
      </w:pPr>
      <w:bookmarkStart w:id="691" w:name="_ENREF_130"/>
      <w:r w:rsidRPr="00CB093C">
        <w:rPr>
          <w:rFonts w:ascii="Arial" w:hAnsi="Arial" w:cs="Arial"/>
          <w:sz w:val="22"/>
          <w:szCs w:val="22"/>
        </w:rPr>
        <w:t xml:space="preserve">Rasheed, M.A. and Unsworth, R.K.F. 2011, Long-term climate-associated dynamics of a tropical seagrass meadow: implications for the future. </w:t>
      </w:r>
      <w:r w:rsidRPr="00CB093C">
        <w:rPr>
          <w:rFonts w:ascii="Arial" w:hAnsi="Arial" w:cs="Arial"/>
          <w:i/>
          <w:sz w:val="22"/>
          <w:szCs w:val="22"/>
        </w:rPr>
        <w:t xml:space="preserve">Marine Ecology Progress Series, </w:t>
      </w:r>
      <w:r w:rsidRPr="00CB093C">
        <w:rPr>
          <w:rFonts w:ascii="Arial" w:hAnsi="Arial" w:cs="Arial"/>
          <w:sz w:val="22"/>
          <w:szCs w:val="22"/>
        </w:rPr>
        <w:t xml:space="preserve">422: 93-103. </w:t>
      </w:r>
      <w:bookmarkEnd w:id="691"/>
    </w:p>
    <w:p w14:paraId="5E0D5C6A" w14:textId="77777777" w:rsidR="00513C39" w:rsidRPr="00CB093C" w:rsidRDefault="00513C39" w:rsidP="00513C39">
      <w:pPr>
        <w:pStyle w:val="EndNoteBibliography"/>
        <w:spacing w:after="0"/>
        <w:ind w:left="720" w:hanging="720"/>
        <w:rPr>
          <w:rFonts w:ascii="Arial" w:hAnsi="Arial" w:cs="Arial"/>
          <w:sz w:val="22"/>
          <w:szCs w:val="22"/>
        </w:rPr>
      </w:pPr>
      <w:bookmarkStart w:id="692" w:name="_ENREF_131"/>
      <w:r w:rsidRPr="00CB093C">
        <w:rPr>
          <w:rFonts w:ascii="Arial" w:hAnsi="Arial" w:cs="Arial"/>
          <w:sz w:val="22"/>
          <w:szCs w:val="22"/>
        </w:rPr>
        <w:t>Read, M.A. and Limpus, C.J. 2002, The green turtle (</w:t>
      </w:r>
      <w:r w:rsidRPr="00CB093C">
        <w:rPr>
          <w:rFonts w:ascii="Arial" w:hAnsi="Arial" w:cs="Arial"/>
          <w:i/>
          <w:sz w:val="22"/>
          <w:szCs w:val="22"/>
        </w:rPr>
        <w:t>Chelonia mydas</w:t>
      </w:r>
      <w:r w:rsidRPr="00CB093C">
        <w:rPr>
          <w:rFonts w:ascii="Arial" w:hAnsi="Arial" w:cs="Arial"/>
          <w:sz w:val="22"/>
          <w:szCs w:val="22"/>
        </w:rPr>
        <w:t xml:space="preserve">) in Queensland: Feeding ecology of immature turtles in a temperate feeding area. </w:t>
      </w:r>
      <w:r w:rsidRPr="00CB093C">
        <w:rPr>
          <w:rFonts w:ascii="Arial" w:hAnsi="Arial" w:cs="Arial"/>
          <w:i/>
          <w:sz w:val="22"/>
          <w:szCs w:val="22"/>
        </w:rPr>
        <w:t xml:space="preserve">Memoirs of the Queensland Museum - Nature, </w:t>
      </w:r>
      <w:r w:rsidRPr="00CB093C">
        <w:rPr>
          <w:rFonts w:ascii="Arial" w:hAnsi="Arial" w:cs="Arial"/>
          <w:sz w:val="22"/>
          <w:szCs w:val="22"/>
        </w:rPr>
        <w:t xml:space="preserve">48(1): 207-214. </w:t>
      </w:r>
      <w:bookmarkEnd w:id="692"/>
    </w:p>
    <w:p w14:paraId="064BA094" w14:textId="77777777" w:rsidR="00513C39" w:rsidRPr="00CB093C" w:rsidRDefault="00513C39" w:rsidP="00513C39">
      <w:pPr>
        <w:pStyle w:val="EndNoteBibliography"/>
        <w:spacing w:after="0"/>
        <w:ind w:left="720" w:hanging="720"/>
        <w:rPr>
          <w:rFonts w:ascii="Arial" w:hAnsi="Arial" w:cs="Arial"/>
          <w:sz w:val="22"/>
          <w:szCs w:val="22"/>
        </w:rPr>
      </w:pPr>
      <w:bookmarkStart w:id="693" w:name="_ENREF_132"/>
      <w:r w:rsidRPr="00CB093C">
        <w:rPr>
          <w:rFonts w:ascii="Arial" w:hAnsi="Arial" w:cs="Arial"/>
          <w:sz w:val="22"/>
          <w:szCs w:val="22"/>
        </w:rPr>
        <w:t xml:space="preserve">Reynolds, L.K., DuBois, K., Abbott, J.M., Williams, S.L., Stachowicz, J.J. 2016, Response of a Habitat-Forming Marine Plant to a Simulated Warming Event Is Delayed, Genotype Specific, and Varies with Phenology. </w:t>
      </w:r>
      <w:r w:rsidRPr="00CB093C">
        <w:rPr>
          <w:rFonts w:ascii="Arial" w:hAnsi="Arial" w:cs="Arial"/>
          <w:i/>
          <w:sz w:val="22"/>
          <w:szCs w:val="22"/>
        </w:rPr>
        <w:t xml:space="preserve">PLoS ONE, </w:t>
      </w:r>
      <w:r w:rsidRPr="00CB093C">
        <w:rPr>
          <w:rFonts w:ascii="Arial" w:hAnsi="Arial" w:cs="Arial"/>
          <w:sz w:val="22"/>
          <w:szCs w:val="22"/>
        </w:rPr>
        <w:t>11(6): e0154532. doi: 10.1371/journal.pone.0154532</w:t>
      </w:r>
      <w:bookmarkEnd w:id="693"/>
    </w:p>
    <w:p w14:paraId="349269AF" w14:textId="77777777" w:rsidR="00513C39" w:rsidRPr="00CB093C" w:rsidRDefault="00513C39" w:rsidP="00513C39">
      <w:pPr>
        <w:pStyle w:val="EndNoteBibliography"/>
        <w:spacing w:after="0"/>
        <w:ind w:left="720" w:hanging="720"/>
        <w:rPr>
          <w:rFonts w:ascii="Arial" w:hAnsi="Arial" w:cs="Arial"/>
          <w:sz w:val="22"/>
          <w:szCs w:val="22"/>
        </w:rPr>
      </w:pPr>
      <w:bookmarkStart w:id="694" w:name="_ENREF_133"/>
      <w:r w:rsidRPr="00CB093C">
        <w:rPr>
          <w:rFonts w:ascii="Arial" w:hAnsi="Arial" w:cs="Arial"/>
          <w:sz w:val="22"/>
          <w:szCs w:val="22"/>
        </w:rPr>
        <w:t xml:space="preserve">Roff, G., Clark, T.R., Reymond, C.E., Zhao, J.-x., Feng, Y., McCook, L.J., Done, T.J., Pandolfi, J.M. 2013, Palaeoecological evidence of a historical collapse of corals at Pelorus Island, inshore Great Barrier Reef, following European settlement. </w:t>
      </w:r>
      <w:r w:rsidRPr="00CB093C">
        <w:rPr>
          <w:rFonts w:ascii="Arial" w:hAnsi="Arial" w:cs="Arial"/>
          <w:i/>
          <w:sz w:val="22"/>
          <w:szCs w:val="22"/>
        </w:rPr>
        <w:t xml:space="preserve">Proceedings of the Royal Society of London B: Biological Sciences, </w:t>
      </w:r>
      <w:r w:rsidRPr="00CB093C">
        <w:rPr>
          <w:rFonts w:ascii="Arial" w:hAnsi="Arial" w:cs="Arial"/>
          <w:sz w:val="22"/>
          <w:szCs w:val="22"/>
        </w:rPr>
        <w:t>280(1750). doi: 10.1098/rspb.2012.2100</w:t>
      </w:r>
      <w:bookmarkEnd w:id="694"/>
    </w:p>
    <w:p w14:paraId="28A89ED0" w14:textId="77777777" w:rsidR="00513C39" w:rsidRPr="00CB093C" w:rsidRDefault="00513C39" w:rsidP="00513C39">
      <w:pPr>
        <w:pStyle w:val="EndNoteBibliography"/>
        <w:spacing w:after="0"/>
        <w:ind w:left="720" w:hanging="720"/>
        <w:rPr>
          <w:rFonts w:ascii="Arial" w:hAnsi="Arial" w:cs="Arial"/>
          <w:sz w:val="22"/>
          <w:szCs w:val="22"/>
        </w:rPr>
      </w:pPr>
      <w:bookmarkStart w:id="695" w:name="_ENREF_134"/>
      <w:r w:rsidRPr="00CB093C">
        <w:rPr>
          <w:rFonts w:ascii="Arial" w:hAnsi="Arial" w:cs="Arial"/>
          <w:sz w:val="22"/>
          <w:szCs w:val="22"/>
        </w:rPr>
        <w:t xml:space="preserve">Rue, H., Martino, S., Chopin, N. 2009, Approximate Bayesian inference for latent Gaussian models by using integrated nested Laplace approximations. </w:t>
      </w:r>
      <w:r w:rsidRPr="00CB093C">
        <w:rPr>
          <w:rFonts w:ascii="Arial" w:hAnsi="Arial" w:cs="Arial"/>
          <w:i/>
          <w:sz w:val="22"/>
          <w:szCs w:val="22"/>
        </w:rPr>
        <w:t xml:space="preserve">Journal of the Royal Statistical Society: Series B (Statistical Methodology), </w:t>
      </w:r>
      <w:r w:rsidRPr="00CB093C">
        <w:rPr>
          <w:rFonts w:ascii="Arial" w:hAnsi="Arial" w:cs="Arial"/>
          <w:sz w:val="22"/>
          <w:szCs w:val="22"/>
        </w:rPr>
        <w:t>71(2): 319-392. doi: doi:10.1111/j.1467-9868.2008.00700.x</w:t>
      </w:r>
      <w:bookmarkEnd w:id="695"/>
    </w:p>
    <w:p w14:paraId="7772602B" w14:textId="77777777" w:rsidR="00513C39" w:rsidRPr="00CB093C" w:rsidRDefault="00513C39" w:rsidP="00513C39">
      <w:pPr>
        <w:pStyle w:val="EndNoteBibliography"/>
        <w:spacing w:after="0"/>
        <w:ind w:left="720" w:hanging="720"/>
        <w:rPr>
          <w:rFonts w:ascii="Arial" w:hAnsi="Arial" w:cs="Arial"/>
          <w:sz w:val="22"/>
          <w:szCs w:val="22"/>
        </w:rPr>
      </w:pPr>
      <w:bookmarkStart w:id="696" w:name="_ENREF_135"/>
      <w:r w:rsidRPr="00CB093C">
        <w:rPr>
          <w:rFonts w:ascii="Arial" w:hAnsi="Arial" w:cs="Arial"/>
          <w:sz w:val="22"/>
          <w:szCs w:val="22"/>
        </w:rPr>
        <w:t xml:space="preserve">Saunders, M.I., Bayraktarov, E., Roelfsema, C.M., Leona, J.X., Samper-Villarreal, J., Phinn, S.R., Lovelock, C.E., Mumby, P.J. 2015, Spatial and temporal variability of seagrass at Lizard Island, Great Barrier Reef. </w:t>
      </w:r>
      <w:r w:rsidRPr="00CB093C">
        <w:rPr>
          <w:rFonts w:ascii="Arial" w:hAnsi="Arial" w:cs="Arial"/>
          <w:i/>
          <w:sz w:val="22"/>
          <w:szCs w:val="22"/>
        </w:rPr>
        <w:t xml:space="preserve">Botanica Marina, </w:t>
      </w:r>
      <w:r w:rsidRPr="00CB093C">
        <w:rPr>
          <w:rFonts w:ascii="Arial" w:hAnsi="Arial" w:cs="Arial"/>
          <w:sz w:val="22"/>
          <w:szCs w:val="22"/>
        </w:rPr>
        <w:t xml:space="preserve">58(1): 35–49. </w:t>
      </w:r>
      <w:bookmarkEnd w:id="696"/>
    </w:p>
    <w:p w14:paraId="331213C3" w14:textId="77777777" w:rsidR="00513C39" w:rsidRPr="00CB093C" w:rsidRDefault="00513C39" w:rsidP="00513C39">
      <w:pPr>
        <w:pStyle w:val="EndNoteBibliography"/>
        <w:spacing w:after="0"/>
        <w:ind w:left="720" w:hanging="720"/>
        <w:rPr>
          <w:rFonts w:ascii="Arial" w:hAnsi="Arial" w:cs="Arial"/>
          <w:sz w:val="22"/>
          <w:szCs w:val="22"/>
        </w:rPr>
      </w:pPr>
      <w:bookmarkStart w:id="697" w:name="_ENREF_136"/>
      <w:r w:rsidRPr="00CB093C">
        <w:rPr>
          <w:rFonts w:ascii="Arial" w:hAnsi="Arial" w:cs="Arial"/>
          <w:sz w:val="22"/>
          <w:szCs w:val="22"/>
        </w:rPr>
        <w:t xml:space="preserve">Schaffelke, B., Anthony, K., Blake, J., Brodie, J., Collier, C., Devlin, M., Fabricius, K., Martin, K., McKenzie, L.J., Negri, A., Ronan, M., Thompson, A., Warne, M. 2013, Marine and coastal ecosystem impacts </w:t>
      </w:r>
      <w:r w:rsidRPr="00CB093C">
        <w:rPr>
          <w:rFonts w:ascii="Arial" w:hAnsi="Arial" w:cs="Arial"/>
          <w:i/>
          <w:sz w:val="22"/>
          <w:szCs w:val="22"/>
        </w:rPr>
        <w:t>Synthesis of evidence to support the Reef Water Quality Scientific Consensus Statement 2013</w:t>
      </w:r>
      <w:r w:rsidRPr="00CB093C">
        <w:rPr>
          <w:rFonts w:ascii="Arial" w:hAnsi="Arial" w:cs="Arial"/>
          <w:sz w:val="22"/>
          <w:szCs w:val="22"/>
        </w:rPr>
        <w:t xml:space="preserve"> (pp. 47). Brisbane: Department of the Premier and Cabinet, Queensland Government.</w:t>
      </w:r>
      <w:bookmarkEnd w:id="697"/>
    </w:p>
    <w:p w14:paraId="0A3024F9" w14:textId="77777777" w:rsidR="00513C39" w:rsidRPr="00CB093C" w:rsidRDefault="00513C39" w:rsidP="00513C39">
      <w:pPr>
        <w:pStyle w:val="EndNoteBibliography"/>
        <w:spacing w:after="0"/>
        <w:ind w:left="720" w:hanging="720"/>
        <w:rPr>
          <w:rFonts w:ascii="Arial" w:hAnsi="Arial" w:cs="Arial"/>
          <w:sz w:val="22"/>
          <w:szCs w:val="22"/>
        </w:rPr>
      </w:pPr>
      <w:bookmarkStart w:id="698" w:name="_ENREF_137"/>
      <w:r w:rsidRPr="00CB093C">
        <w:rPr>
          <w:rFonts w:ascii="Arial" w:hAnsi="Arial" w:cs="Arial"/>
          <w:sz w:val="22"/>
          <w:szCs w:val="22"/>
        </w:rPr>
        <w:t xml:space="preserve">Shelton, A.O. 2008, Skewed sex ratios, pollen limitation, and reproductive failure in the dioecious seagrass </w:t>
      </w:r>
      <w:r w:rsidRPr="00CB093C">
        <w:rPr>
          <w:rFonts w:ascii="Arial" w:hAnsi="Arial" w:cs="Arial"/>
          <w:i/>
          <w:sz w:val="22"/>
          <w:szCs w:val="22"/>
        </w:rPr>
        <w:t>Phyllospadix</w:t>
      </w:r>
      <w:r w:rsidRPr="00CB093C">
        <w:rPr>
          <w:rFonts w:ascii="Arial" w:hAnsi="Arial" w:cs="Arial"/>
          <w:sz w:val="22"/>
          <w:szCs w:val="22"/>
        </w:rPr>
        <w:t xml:space="preserve">. </w:t>
      </w:r>
      <w:r w:rsidRPr="00CB093C">
        <w:rPr>
          <w:rFonts w:ascii="Arial" w:hAnsi="Arial" w:cs="Arial"/>
          <w:i/>
          <w:sz w:val="22"/>
          <w:szCs w:val="22"/>
        </w:rPr>
        <w:t xml:space="preserve">Ecology, </w:t>
      </w:r>
      <w:r w:rsidRPr="00CB093C">
        <w:rPr>
          <w:rFonts w:ascii="Arial" w:hAnsi="Arial" w:cs="Arial"/>
          <w:sz w:val="22"/>
          <w:szCs w:val="22"/>
        </w:rPr>
        <w:t xml:space="preserve">89: 3020-3029. </w:t>
      </w:r>
      <w:bookmarkEnd w:id="698"/>
    </w:p>
    <w:p w14:paraId="4F72FA64" w14:textId="77777777" w:rsidR="00513C39" w:rsidRPr="00CB093C" w:rsidRDefault="00513C39" w:rsidP="00513C39">
      <w:pPr>
        <w:pStyle w:val="EndNoteBibliography"/>
        <w:spacing w:after="0"/>
        <w:ind w:left="720" w:hanging="720"/>
        <w:rPr>
          <w:rFonts w:ascii="Arial" w:hAnsi="Arial" w:cs="Arial"/>
          <w:sz w:val="22"/>
          <w:szCs w:val="22"/>
        </w:rPr>
      </w:pPr>
      <w:bookmarkStart w:id="699" w:name="_ENREF_138"/>
      <w:r w:rsidRPr="00CB093C">
        <w:rPr>
          <w:rFonts w:ascii="Arial" w:hAnsi="Arial" w:cs="Arial"/>
          <w:sz w:val="22"/>
          <w:szCs w:val="22"/>
        </w:rPr>
        <w:t xml:space="preserve">Sheppard, J.K., Jones, R.E., Marsh, H., Lawler, I.R. 2009, Effects of Tidal and Diel Cycles on Dugong Habitat Use. </w:t>
      </w:r>
      <w:r w:rsidRPr="00CB093C">
        <w:rPr>
          <w:rFonts w:ascii="Arial" w:hAnsi="Arial" w:cs="Arial"/>
          <w:i/>
          <w:sz w:val="22"/>
          <w:szCs w:val="22"/>
        </w:rPr>
        <w:t xml:space="preserve">The Journal of Wildlife Management, </w:t>
      </w:r>
      <w:r w:rsidRPr="00CB093C">
        <w:rPr>
          <w:rFonts w:ascii="Arial" w:hAnsi="Arial" w:cs="Arial"/>
          <w:sz w:val="22"/>
          <w:szCs w:val="22"/>
        </w:rPr>
        <w:t>73(1): 45-59. doi: 10.2193/2007-468</w:t>
      </w:r>
      <w:bookmarkEnd w:id="699"/>
    </w:p>
    <w:p w14:paraId="0DC10676" w14:textId="77777777" w:rsidR="00513C39" w:rsidRPr="00CB093C" w:rsidRDefault="00513C39" w:rsidP="00513C39">
      <w:pPr>
        <w:pStyle w:val="EndNoteBibliography"/>
        <w:spacing w:after="0"/>
        <w:ind w:left="720" w:hanging="720"/>
        <w:rPr>
          <w:rFonts w:ascii="Arial" w:hAnsi="Arial" w:cs="Arial"/>
          <w:sz w:val="22"/>
          <w:szCs w:val="22"/>
        </w:rPr>
      </w:pPr>
      <w:bookmarkStart w:id="700" w:name="_ENREF_139"/>
      <w:r w:rsidRPr="00CB093C">
        <w:rPr>
          <w:rFonts w:ascii="Arial" w:hAnsi="Arial" w:cs="Arial"/>
          <w:sz w:val="22"/>
          <w:szCs w:val="22"/>
        </w:rPr>
        <w:t xml:space="preserve">Thorogood, J. and Boggon, T. 1999, </w:t>
      </w:r>
      <w:r w:rsidRPr="00CB093C">
        <w:rPr>
          <w:rFonts w:ascii="Arial" w:hAnsi="Arial" w:cs="Arial"/>
          <w:i/>
          <w:sz w:val="22"/>
          <w:szCs w:val="22"/>
        </w:rPr>
        <w:t>Pioneer Bay environmental monitoring program. Fourth monitoring event, November 1999.</w:t>
      </w:r>
      <w:r w:rsidRPr="00CB093C">
        <w:rPr>
          <w:rFonts w:ascii="Arial" w:hAnsi="Arial" w:cs="Arial"/>
          <w:sz w:val="22"/>
          <w:szCs w:val="22"/>
        </w:rPr>
        <w:t xml:space="preserve"> Wellington Point, Brisbane: FRC Coastal Resource &amp; Environmental.</w:t>
      </w:r>
      <w:bookmarkEnd w:id="700"/>
    </w:p>
    <w:p w14:paraId="67ACA0FA" w14:textId="77777777" w:rsidR="00513C39" w:rsidRPr="00CB093C" w:rsidRDefault="00513C39" w:rsidP="00513C39">
      <w:pPr>
        <w:pStyle w:val="EndNoteBibliography"/>
        <w:spacing w:after="0"/>
        <w:ind w:left="720" w:hanging="720"/>
        <w:rPr>
          <w:rFonts w:ascii="Arial" w:hAnsi="Arial" w:cs="Arial"/>
          <w:sz w:val="22"/>
          <w:szCs w:val="22"/>
        </w:rPr>
      </w:pPr>
      <w:bookmarkStart w:id="701" w:name="_ENREF_140"/>
      <w:r w:rsidRPr="00CB093C">
        <w:rPr>
          <w:rFonts w:ascii="Arial" w:hAnsi="Arial" w:cs="Arial"/>
          <w:sz w:val="22"/>
          <w:szCs w:val="22"/>
        </w:rPr>
        <w:t xml:space="preserve">Udy, J.W., Dennison, W.C., Lee Long, W.J., McKenzie, L.J. 1999, Responses of seagrass to nutrients in the Great Barrier Reef, Australia. </w:t>
      </w:r>
      <w:r w:rsidRPr="00CB093C">
        <w:rPr>
          <w:rFonts w:ascii="Arial" w:hAnsi="Arial" w:cs="Arial"/>
          <w:i/>
          <w:sz w:val="22"/>
          <w:szCs w:val="22"/>
        </w:rPr>
        <w:t xml:space="preserve">Marine Ecology Progress Series, </w:t>
      </w:r>
      <w:r w:rsidRPr="00CB093C">
        <w:rPr>
          <w:rFonts w:ascii="Arial" w:hAnsi="Arial" w:cs="Arial"/>
          <w:sz w:val="22"/>
          <w:szCs w:val="22"/>
        </w:rPr>
        <w:t xml:space="preserve">185: 257-271. </w:t>
      </w:r>
      <w:bookmarkEnd w:id="701"/>
    </w:p>
    <w:p w14:paraId="1BB61C9C" w14:textId="77777777" w:rsidR="00513C39" w:rsidRPr="00CB093C" w:rsidRDefault="00513C39" w:rsidP="00513C39">
      <w:pPr>
        <w:pStyle w:val="EndNoteBibliography"/>
        <w:spacing w:after="0"/>
        <w:ind w:left="720" w:hanging="720"/>
        <w:rPr>
          <w:rFonts w:ascii="Arial" w:hAnsi="Arial" w:cs="Arial"/>
          <w:sz w:val="22"/>
          <w:szCs w:val="22"/>
        </w:rPr>
      </w:pPr>
      <w:bookmarkStart w:id="702" w:name="_ENREF_141"/>
      <w:r w:rsidRPr="00CB093C">
        <w:rPr>
          <w:rFonts w:ascii="Arial" w:hAnsi="Arial" w:cs="Arial"/>
          <w:sz w:val="22"/>
          <w:szCs w:val="22"/>
        </w:rPr>
        <w:t xml:space="preserve">Unsworth, R.K., Collier, C.J., Henderson, G.M., McKenzie, L.J. 2012a, Tropical seagrass meadows modify seawater carbon chemistry: implications for coral reefs impacted by ocean acidification. </w:t>
      </w:r>
      <w:r w:rsidRPr="00CB093C">
        <w:rPr>
          <w:rFonts w:ascii="Arial" w:hAnsi="Arial" w:cs="Arial"/>
          <w:i/>
          <w:sz w:val="22"/>
          <w:szCs w:val="22"/>
        </w:rPr>
        <w:t xml:space="preserve">Environmental Research Letters, </w:t>
      </w:r>
      <w:r w:rsidRPr="00CB093C">
        <w:rPr>
          <w:rFonts w:ascii="Arial" w:hAnsi="Arial" w:cs="Arial"/>
          <w:sz w:val="22"/>
          <w:szCs w:val="22"/>
        </w:rPr>
        <w:t xml:space="preserve">7(2): 024026. </w:t>
      </w:r>
      <w:bookmarkEnd w:id="702"/>
    </w:p>
    <w:p w14:paraId="3959F9D4" w14:textId="1C3E553E" w:rsidR="00513C39" w:rsidRPr="00CB093C" w:rsidRDefault="00513C39" w:rsidP="00513C39">
      <w:pPr>
        <w:pStyle w:val="EndNoteBibliography"/>
        <w:spacing w:after="0"/>
        <w:ind w:left="720" w:hanging="720"/>
        <w:rPr>
          <w:rFonts w:ascii="Arial" w:hAnsi="Arial" w:cs="Arial"/>
          <w:sz w:val="22"/>
          <w:szCs w:val="22"/>
        </w:rPr>
      </w:pPr>
      <w:bookmarkStart w:id="703" w:name="_ENREF_142"/>
      <w:r w:rsidRPr="00CB093C">
        <w:rPr>
          <w:rFonts w:ascii="Arial" w:hAnsi="Arial" w:cs="Arial"/>
          <w:sz w:val="22"/>
          <w:szCs w:val="22"/>
        </w:rPr>
        <w:t xml:space="preserve">Unsworth, R.K.F., Collier, C.J., Waycott, M., McKenzie, L.J., Cullen-Unsworth, L.C. 2015, A framework for the resilience of seagrass ecosystems. </w:t>
      </w:r>
      <w:r w:rsidRPr="00CB093C">
        <w:rPr>
          <w:rFonts w:ascii="Arial" w:hAnsi="Arial" w:cs="Arial"/>
          <w:i/>
          <w:sz w:val="22"/>
          <w:szCs w:val="22"/>
        </w:rPr>
        <w:t xml:space="preserve">Marine Pollution Bulletin, </w:t>
      </w:r>
      <w:r w:rsidRPr="00CB093C">
        <w:rPr>
          <w:rFonts w:ascii="Arial" w:hAnsi="Arial" w:cs="Arial"/>
          <w:sz w:val="22"/>
          <w:szCs w:val="22"/>
        </w:rPr>
        <w:t xml:space="preserve">100(1): 34-46. doi: </w:t>
      </w:r>
      <w:hyperlink r:id="rId150" w:history="1">
        <w:r w:rsidRPr="00CB093C">
          <w:rPr>
            <w:rStyle w:val="Hyperlink"/>
            <w:rFonts w:ascii="Arial" w:hAnsi="Arial" w:cs="Arial"/>
            <w:sz w:val="22"/>
            <w:szCs w:val="22"/>
          </w:rPr>
          <w:t>http://dx.doi.org/10.1016/j.marpolbul.2015.08.016</w:t>
        </w:r>
        <w:bookmarkEnd w:id="703"/>
      </w:hyperlink>
    </w:p>
    <w:p w14:paraId="10372B51" w14:textId="77777777" w:rsidR="00513C39" w:rsidRPr="00CB093C" w:rsidRDefault="00513C39" w:rsidP="00513C39">
      <w:pPr>
        <w:pStyle w:val="EndNoteBibliography"/>
        <w:spacing w:after="0"/>
        <w:ind w:left="720" w:hanging="720"/>
        <w:rPr>
          <w:rFonts w:ascii="Arial" w:hAnsi="Arial" w:cs="Arial"/>
          <w:sz w:val="22"/>
          <w:szCs w:val="22"/>
        </w:rPr>
      </w:pPr>
      <w:bookmarkStart w:id="704" w:name="_ENREF_143"/>
      <w:r w:rsidRPr="00CB093C">
        <w:rPr>
          <w:rFonts w:ascii="Arial" w:hAnsi="Arial" w:cs="Arial"/>
          <w:sz w:val="22"/>
          <w:szCs w:val="22"/>
        </w:rPr>
        <w:t xml:space="preserve">Unsworth, R.K.F., McKenzie, L.J., Collier, C.J., Cullen-Unsworth, L.C., Duarte, C.M., Eklöf, J.S., Jarvis, J.C., Jones, B.L., Nordlund, L.M. 2018a, Global challenges for seagrass conservation. [journal article]. </w:t>
      </w:r>
      <w:r w:rsidRPr="00CB093C">
        <w:rPr>
          <w:rFonts w:ascii="Arial" w:hAnsi="Arial" w:cs="Arial"/>
          <w:i/>
          <w:sz w:val="22"/>
          <w:szCs w:val="22"/>
        </w:rPr>
        <w:t>Ambio</w:t>
      </w:r>
      <w:r w:rsidRPr="00CB093C">
        <w:rPr>
          <w:rFonts w:ascii="Arial" w:hAnsi="Arial" w:cs="Arial"/>
          <w:sz w:val="22"/>
          <w:szCs w:val="22"/>
        </w:rPr>
        <w:t>. doi: 10.1007/s13280-018-1115-y</w:t>
      </w:r>
      <w:bookmarkEnd w:id="704"/>
    </w:p>
    <w:p w14:paraId="15CC9FB6" w14:textId="77262246" w:rsidR="00513C39" w:rsidRPr="00CB093C" w:rsidRDefault="00513C39" w:rsidP="00513C39">
      <w:pPr>
        <w:pStyle w:val="EndNoteBibliography"/>
        <w:spacing w:after="0"/>
        <w:ind w:left="720" w:hanging="720"/>
        <w:rPr>
          <w:rFonts w:ascii="Arial" w:hAnsi="Arial" w:cs="Arial"/>
          <w:sz w:val="22"/>
          <w:szCs w:val="22"/>
        </w:rPr>
      </w:pPr>
      <w:bookmarkStart w:id="705" w:name="_ENREF_144"/>
      <w:r w:rsidRPr="00CB093C">
        <w:rPr>
          <w:rFonts w:ascii="Arial" w:hAnsi="Arial" w:cs="Arial"/>
          <w:sz w:val="22"/>
          <w:szCs w:val="22"/>
        </w:rPr>
        <w:t xml:space="preserve">Unsworth, R.K.F., McKenzie, L.J., Nordlund, L.M., Cullen-Unsworth, L.C. 2018b, A changing climate for seagrass conservation? </w:t>
      </w:r>
      <w:r w:rsidRPr="00CB093C">
        <w:rPr>
          <w:rFonts w:ascii="Arial" w:hAnsi="Arial" w:cs="Arial"/>
          <w:i/>
          <w:sz w:val="22"/>
          <w:szCs w:val="22"/>
        </w:rPr>
        <w:t xml:space="preserve">Current Biology, </w:t>
      </w:r>
      <w:r w:rsidRPr="00CB093C">
        <w:rPr>
          <w:rFonts w:ascii="Arial" w:hAnsi="Arial" w:cs="Arial"/>
          <w:sz w:val="22"/>
          <w:szCs w:val="22"/>
        </w:rPr>
        <w:t xml:space="preserve">28(21): R1229-R1232. doi: </w:t>
      </w:r>
      <w:hyperlink r:id="rId151" w:history="1">
        <w:r w:rsidRPr="00CB093C">
          <w:rPr>
            <w:rStyle w:val="Hyperlink"/>
            <w:rFonts w:ascii="Arial" w:hAnsi="Arial" w:cs="Arial"/>
            <w:sz w:val="22"/>
            <w:szCs w:val="22"/>
          </w:rPr>
          <w:t>https://doi.org/10.1016/j.cub.2018.09.027</w:t>
        </w:r>
        <w:bookmarkEnd w:id="705"/>
      </w:hyperlink>
    </w:p>
    <w:p w14:paraId="78C3F670" w14:textId="77777777" w:rsidR="00513C39" w:rsidRPr="00CB093C" w:rsidRDefault="00513C39" w:rsidP="00513C39">
      <w:pPr>
        <w:pStyle w:val="EndNoteBibliography"/>
        <w:spacing w:after="0"/>
        <w:ind w:left="720" w:hanging="720"/>
        <w:rPr>
          <w:rFonts w:ascii="Arial" w:hAnsi="Arial" w:cs="Arial"/>
          <w:sz w:val="22"/>
          <w:szCs w:val="22"/>
        </w:rPr>
      </w:pPr>
      <w:bookmarkStart w:id="706" w:name="_ENREF_145"/>
      <w:r w:rsidRPr="00CB093C">
        <w:rPr>
          <w:rFonts w:ascii="Arial" w:hAnsi="Arial" w:cs="Arial"/>
          <w:sz w:val="22"/>
          <w:szCs w:val="22"/>
        </w:rPr>
        <w:t xml:space="preserve">Unsworth, R.K.F., Rasheed, M.A., Chartrand, K.M., Roelofs, A.J. 2012b, Solar radiation and tidal exposure as environmental drivers of </w:t>
      </w:r>
      <w:r w:rsidRPr="00CB093C">
        <w:rPr>
          <w:rFonts w:ascii="Arial" w:hAnsi="Arial" w:cs="Arial"/>
          <w:i/>
          <w:sz w:val="22"/>
          <w:szCs w:val="22"/>
        </w:rPr>
        <w:t>Enhalus acoroides</w:t>
      </w:r>
      <w:r w:rsidRPr="00CB093C">
        <w:rPr>
          <w:rFonts w:ascii="Arial" w:hAnsi="Arial" w:cs="Arial"/>
          <w:sz w:val="22"/>
          <w:szCs w:val="22"/>
        </w:rPr>
        <w:t xml:space="preserve"> dominated seagrass meadows. </w:t>
      </w:r>
      <w:r w:rsidRPr="00CB093C">
        <w:rPr>
          <w:rFonts w:ascii="Arial" w:hAnsi="Arial" w:cs="Arial"/>
          <w:i/>
          <w:sz w:val="22"/>
          <w:szCs w:val="22"/>
        </w:rPr>
        <w:t xml:space="preserve">Plos One, </w:t>
      </w:r>
      <w:r w:rsidRPr="00CB093C">
        <w:rPr>
          <w:rFonts w:ascii="Arial" w:hAnsi="Arial" w:cs="Arial"/>
          <w:sz w:val="22"/>
          <w:szCs w:val="22"/>
        </w:rPr>
        <w:t>7(3). doi: 10.1371/journal.pone.0034133</w:t>
      </w:r>
      <w:bookmarkEnd w:id="706"/>
    </w:p>
    <w:p w14:paraId="397FDBAD" w14:textId="77777777" w:rsidR="00513C39" w:rsidRPr="00CB093C" w:rsidRDefault="00513C39" w:rsidP="00513C39">
      <w:pPr>
        <w:pStyle w:val="EndNoteBibliography"/>
        <w:spacing w:after="0"/>
        <w:ind w:left="720" w:hanging="720"/>
        <w:rPr>
          <w:rFonts w:ascii="Arial" w:hAnsi="Arial" w:cs="Arial"/>
          <w:sz w:val="22"/>
          <w:szCs w:val="22"/>
        </w:rPr>
      </w:pPr>
      <w:bookmarkStart w:id="707" w:name="_ENREF_146"/>
      <w:r w:rsidRPr="00CB093C">
        <w:rPr>
          <w:rFonts w:ascii="Arial" w:hAnsi="Arial" w:cs="Arial"/>
          <w:sz w:val="22"/>
          <w:szCs w:val="22"/>
        </w:rPr>
        <w:t xml:space="preserve">van Katwijk, M.M., Bos, A.R., Hermus, D.C.R., Suykerbuyk, W. 2010, Sediment modification by seagrass beds: Muddification and sandification induced by plant cover and environmental conditions. </w:t>
      </w:r>
      <w:r w:rsidRPr="00CB093C">
        <w:rPr>
          <w:rFonts w:ascii="Arial" w:hAnsi="Arial" w:cs="Arial"/>
          <w:i/>
          <w:sz w:val="22"/>
          <w:szCs w:val="22"/>
        </w:rPr>
        <w:t xml:space="preserve">Estuarine Coastal And Shelf Science, </w:t>
      </w:r>
      <w:r w:rsidRPr="00CB093C">
        <w:rPr>
          <w:rFonts w:ascii="Arial" w:hAnsi="Arial" w:cs="Arial"/>
          <w:sz w:val="22"/>
          <w:szCs w:val="22"/>
        </w:rPr>
        <w:t>89(2): 175-181. doi: 10.1016/j.ecss.2010.06.008</w:t>
      </w:r>
      <w:bookmarkEnd w:id="707"/>
    </w:p>
    <w:p w14:paraId="2DEB6949" w14:textId="77777777" w:rsidR="00513C39" w:rsidRPr="00CB093C" w:rsidRDefault="00513C39" w:rsidP="00513C39">
      <w:pPr>
        <w:pStyle w:val="EndNoteBibliography"/>
        <w:spacing w:after="0"/>
        <w:ind w:left="720" w:hanging="720"/>
        <w:rPr>
          <w:rFonts w:ascii="Arial" w:hAnsi="Arial" w:cs="Arial"/>
          <w:sz w:val="22"/>
          <w:szCs w:val="22"/>
        </w:rPr>
      </w:pPr>
      <w:bookmarkStart w:id="708" w:name="_ENREF_147"/>
      <w:r w:rsidRPr="00CB093C">
        <w:rPr>
          <w:rFonts w:ascii="Arial" w:hAnsi="Arial" w:cs="Arial"/>
          <w:sz w:val="22"/>
          <w:szCs w:val="22"/>
        </w:rPr>
        <w:t xml:space="preserve">van Oppen, M., Gates, R.D., Blackall, L.L., Cantin, N., Chakravarti, L.J., Chan, W.Y., Cormick, C., Crean, A., Damjanovic, K., Epstein, H., Harrison, P.L., Jones, T.A., Miller, M., Pears, R.J., Peplow, L.M., Raftos, D.A., Schaffelke, B., Stewart, K., Torda, G., Wachenfeld, D., Weeks, A.R., Putnam, H.M. 2017, Shifting paradigms in restoration of the world's coral reefs. </w:t>
      </w:r>
      <w:r w:rsidRPr="00CB093C">
        <w:rPr>
          <w:rFonts w:ascii="Arial" w:hAnsi="Arial" w:cs="Arial"/>
          <w:i/>
          <w:sz w:val="22"/>
          <w:szCs w:val="22"/>
        </w:rPr>
        <w:t xml:space="preserve">Global Change Biology, </w:t>
      </w:r>
      <w:r w:rsidRPr="00CB093C">
        <w:rPr>
          <w:rFonts w:ascii="Arial" w:hAnsi="Arial" w:cs="Arial"/>
          <w:sz w:val="22"/>
          <w:szCs w:val="22"/>
        </w:rPr>
        <w:t xml:space="preserve">23: 3437-3448. </w:t>
      </w:r>
      <w:bookmarkEnd w:id="708"/>
    </w:p>
    <w:p w14:paraId="4893F002" w14:textId="77777777" w:rsidR="00513C39" w:rsidRPr="00CB093C" w:rsidRDefault="00513C39" w:rsidP="00513C39">
      <w:pPr>
        <w:pStyle w:val="EndNoteBibliography"/>
        <w:spacing w:after="0"/>
        <w:ind w:left="720" w:hanging="720"/>
        <w:rPr>
          <w:rFonts w:ascii="Arial" w:hAnsi="Arial" w:cs="Arial"/>
          <w:sz w:val="22"/>
          <w:szCs w:val="22"/>
        </w:rPr>
      </w:pPr>
      <w:bookmarkStart w:id="709" w:name="_ENREF_148"/>
      <w:r w:rsidRPr="00CB093C">
        <w:rPr>
          <w:rFonts w:ascii="Arial" w:hAnsi="Arial" w:cs="Arial"/>
          <w:sz w:val="22"/>
          <w:szCs w:val="22"/>
        </w:rPr>
        <w:t xml:space="preserve">Waterhouse, J., Brodie, J., Coppo, C., Tracey, D., da Silva, E., Howley, C., Petus, C., McKenzie, L., Lewis, S., McCloskey, G., Higham, W. 2016, </w:t>
      </w:r>
      <w:r w:rsidRPr="00CB093C">
        <w:rPr>
          <w:rFonts w:ascii="Arial" w:hAnsi="Arial" w:cs="Arial"/>
          <w:i/>
          <w:sz w:val="22"/>
          <w:szCs w:val="22"/>
        </w:rPr>
        <w:t xml:space="preserve">Assessment of the relative risk of water quality to ecosystems of the eastern Cape York NRM Region, Great Barrier Reef. A report to South Cape York Catchments. TropWATER Report 16/24, </w:t>
      </w:r>
      <w:r w:rsidRPr="00CB093C">
        <w:rPr>
          <w:rFonts w:ascii="Arial" w:hAnsi="Arial" w:cs="Arial"/>
          <w:sz w:val="22"/>
          <w:szCs w:val="22"/>
        </w:rPr>
        <w:t>. Townsville, Australia.: TropWATER (JCU).</w:t>
      </w:r>
      <w:bookmarkEnd w:id="709"/>
    </w:p>
    <w:p w14:paraId="5D23312A" w14:textId="77777777" w:rsidR="00513C39" w:rsidRPr="00CB093C" w:rsidRDefault="00513C39" w:rsidP="00513C39">
      <w:pPr>
        <w:pStyle w:val="EndNoteBibliography"/>
        <w:spacing w:after="0"/>
        <w:ind w:left="720" w:hanging="720"/>
        <w:rPr>
          <w:rFonts w:ascii="Arial" w:hAnsi="Arial" w:cs="Arial"/>
          <w:sz w:val="22"/>
          <w:szCs w:val="22"/>
        </w:rPr>
      </w:pPr>
      <w:bookmarkStart w:id="710" w:name="_ENREF_149"/>
      <w:r w:rsidRPr="00CB093C">
        <w:rPr>
          <w:rFonts w:ascii="Arial" w:hAnsi="Arial" w:cs="Arial"/>
          <w:sz w:val="22"/>
          <w:szCs w:val="22"/>
        </w:rPr>
        <w:t xml:space="preserve">Watson, R.A., Coles, R.G., Lee Long, W.J. 1993, Simulation estimates of annual yield and landed value for commercial penaeid prawns from a tropical seagrass habitat, northern Queensland, Australia. </w:t>
      </w:r>
      <w:r w:rsidRPr="00CB093C">
        <w:rPr>
          <w:rFonts w:ascii="Arial" w:hAnsi="Arial" w:cs="Arial"/>
          <w:i/>
          <w:sz w:val="22"/>
          <w:szCs w:val="22"/>
        </w:rPr>
        <w:t xml:space="preserve">Australian Journal of Marine and Freshwater Research, </w:t>
      </w:r>
      <w:r w:rsidRPr="00CB093C">
        <w:rPr>
          <w:rFonts w:ascii="Arial" w:hAnsi="Arial" w:cs="Arial"/>
          <w:sz w:val="22"/>
          <w:szCs w:val="22"/>
        </w:rPr>
        <w:t xml:space="preserve">44(1): 211-220. </w:t>
      </w:r>
      <w:bookmarkEnd w:id="710"/>
    </w:p>
    <w:p w14:paraId="1FD7FF15" w14:textId="77777777" w:rsidR="00513C39" w:rsidRPr="00CB093C" w:rsidRDefault="00513C39" w:rsidP="00513C39">
      <w:pPr>
        <w:pStyle w:val="EndNoteBibliography"/>
        <w:spacing w:after="0"/>
        <w:ind w:left="720" w:hanging="720"/>
        <w:rPr>
          <w:rFonts w:ascii="Arial" w:hAnsi="Arial" w:cs="Arial"/>
          <w:sz w:val="22"/>
          <w:szCs w:val="22"/>
        </w:rPr>
      </w:pPr>
      <w:bookmarkStart w:id="711" w:name="_ENREF_150"/>
      <w:r w:rsidRPr="00CB093C">
        <w:rPr>
          <w:rFonts w:ascii="Arial" w:hAnsi="Arial" w:cs="Arial"/>
          <w:sz w:val="22"/>
          <w:szCs w:val="22"/>
        </w:rPr>
        <w:t xml:space="preserve">Waycott, M., Collier, C., McMahon, K., Ralph, P.J., McKenzie, L.J., Udy, J.W., Grech, A. 2007, Vulnerability of seagrasses in the Great Barrier Reef to climate change - Chapter 8: . In JE Johnson &amp; PA Marshall (Eds.), </w:t>
      </w:r>
      <w:r w:rsidRPr="00CB093C">
        <w:rPr>
          <w:rFonts w:ascii="Arial" w:hAnsi="Arial" w:cs="Arial"/>
          <w:i/>
          <w:sz w:val="22"/>
          <w:szCs w:val="22"/>
        </w:rPr>
        <w:t>Climate Change and the Great Barrier Reef: A Vulnerability Assessment, Part II: Species and species groups</w:t>
      </w:r>
      <w:r w:rsidRPr="00CB093C">
        <w:rPr>
          <w:rFonts w:ascii="Arial" w:hAnsi="Arial" w:cs="Arial"/>
          <w:sz w:val="22"/>
          <w:szCs w:val="22"/>
        </w:rPr>
        <w:t xml:space="preserve"> (pp. 193-236). Townsville: Great Barrier Reef Marine Park Authority     </w:t>
      </w:r>
      <w:bookmarkEnd w:id="711"/>
    </w:p>
    <w:p w14:paraId="124B5538" w14:textId="77777777" w:rsidR="00513C39" w:rsidRPr="00CB093C" w:rsidRDefault="00513C39" w:rsidP="00513C39">
      <w:pPr>
        <w:pStyle w:val="EndNoteBibliography"/>
        <w:spacing w:after="0"/>
        <w:ind w:left="720" w:hanging="720"/>
        <w:rPr>
          <w:rFonts w:ascii="Arial" w:hAnsi="Arial" w:cs="Arial"/>
          <w:sz w:val="22"/>
          <w:szCs w:val="22"/>
        </w:rPr>
      </w:pPr>
      <w:bookmarkStart w:id="712" w:name="_ENREF_151"/>
      <w:r w:rsidRPr="00CB093C">
        <w:rPr>
          <w:rFonts w:ascii="Arial" w:hAnsi="Arial" w:cs="Arial"/>
          <w:sz w:val="22"/>
          <w:szCs w:val="22"/>
        </w:rPr>
        <w:t xml:space="preserve">Waycott, M., McKenzie, L.J., Mellors, J.E., Ellison, J.C., Sheaves, M.T., Collier, C., Schwarz, A.-M., Webb, A., Johnson, J., Payri, C.E. 2011, Vulnerability of mangroves, seagrasses and intertidal flats in the tropical Pacific to climate change. In JD Bell, JE Johnson &amp; AJ Hobday (Eds.), </w:t>
      </w:r>
      <w:r w:rsidRPr="00CB093C">
        <w:rPr>
          <w:rFonts w:ascii="Arial" w:hAnsi="Arial" w:cs="Arial"/>
          <w:i/>
          <w:sz w:val="22"/>
          <w:szCs w:val="22"/>
        </w:rPr>
        <w:t>Vulnerability of fisheries and aquaculture in the Pacific to climate change</w:t>
      </w:r>
      <w:r w:rsidRPr="00CB093C">
        <w:rPr>
          <w:rFonts w:ascii="Arial" w:hAnsi="Arial" w:cs="Arial"/>
          <w:sz w:val="22"/>
          <w:szCs w:val="22"/>
        </w:rPr>
        <w:t xml:space="preserve"> (pp. 97-168). Noumea, New Caledonia: Secretariat of the Pacific Community.</w:t>
      </w:r>
      <w:bookmarkEnd w:id="712"/>
    </w:p>
    <w:p w14:paraId="44A32719" w14:textId="77777777" w:rsidR="00513C39" w:rsidRPr="00CB093C" w:rsidRDefault="00513C39" w:rsidP="00513C39">
      <w:pPr>
        <w:pStyle w:val="EndNoteBibliography"/>
        <w:spacing w:after="0"/>
        <w:ind w:left="720" w:hanging="720"/>
        <w:rPr>
          <w:rFonts w:ascii="Arial" w:hAnsi="Arial" w:cs="Arial"/>
          <w:sz w:val="22"/>
          <w:szCs w:val="22"/>
        </w:rPr>
      </w:pPr>
      <w:bookmarkStart w:id="713" w:name="_ENREF_152"/>
      <w:r w:rsidRPr="00CB093C">
        <w:rPr>
          <w:rFonts w:ascii="Arial" w:hAnsi="Arial" w:cs="Arial"/>
          <w:sz w:val="22"/>
          <w:szCs w:val="22"/>
        </w:rPr>
        <w:t xml:space="preserve">Waycott, M., McMahon, K.M., Mellors, J.E., Calladine, A., Kleine, D. 2004, </w:t>
      </w:r>
      <w:r w:rsidRPr="00CB093C">
        <w:rPr>
          <w:rFonts w:ascii="Arial" w:hAnsi="Arial" w:cs="Arial"/>
          <w:i/>
          <w:sz w:val="22"/>
          <w:szCs w:val="22"/>
        </w:rPr>
        <w:t>A guide to tropical seagrasses of the Indo-West Pacific</w:t>
      </w:r>
      <w:r w:rsidRPr="00CB093C">
        <w:rPr>
          <w:rFonts w:ascii="Arial" w:hAnsi="Arial" w:cs="Arial"/>
          <w:sz w:val="22"/>
          <w:szCs w:val="22"/>
        </w:rPr>
        <w:t>. Townsville: James Cook University.</w:t>
      </w:r>
      <w:bookmarkEnd w:id="713"/>
    </w:p>
    <w:p w14:paraId="7DFB1198" w14:textId="77777777" w:rsidR="00513C39" w:rsidRPr="00CB093C" w:rsidRDefault="00513C39" w:rsidP="00513C39">
      <w:pPr>
        <w:pStyle w:val="EndNoteBibliography"/>
        <w:spacing w:after="0"/>
        <w:ind w:left="720" w:hanging="720"/>
        <w:rPr>
          <w:rFonts w:ascii="Arial" w:hAnsi="Arial" w:cs="Arial"/>
          <w:sz w:val="22"/>
          <w:szCs w:val="22"/>
        </w:rPr>
      </w:pPr>
      <w:bookmarkStart w:id="714" w:name="_ENREF_153"/>
      <w:r w:rsidRPr="00CB093C">
        <w:rPr>
          <w:rFonts w:ascii="Arial" w:hAnsi="Arial" w:cs="Arial"/>
          <w:sz w:val="22"/>
          <w:szCs w:val="22"/>
        </w:rPr>
        <w:t xml:space="preserve">Webster, I. and Ford, P. 2010, Delivery, deposition and redistribution of fine sediments within macrotidal Fitzroy Estuary/Keppel Bay: southern Great Barrier Reef, Australia. </w:t>
      </w:r>
      <w:r w:rsidRPr="00CB093C">
        <w:rPr>
          <w:rFonts w:ascii="Arial" w:hAnsi="Arial" w:cs="Arial"/>
          <w:i/>
          <w:sz w:val="22"/>
          <w:szCs w:val="22"/>
        </w:rPr>
        <w:t xml:space="preserve">Continental Shelf Research, </w:t>
      </w:r>
      <w:r w:rsidRPr="00CB093C">
        <w:rPr>
          <w:rFonts w:ascii="Arial" w:hAnsi="Arial" w:cs="Arial"/>
          <w:sz w:val="22"/>
          <w:szCs w:val="22"/>
        </w:rPr>
        <w:t xml:space="preserve">30: 793–805. </w:t>
      </w:r>
      <w:bookmarkEnd w:id="714"/>
    </w:p>
    <w:p w14:paraId="3C3C7A6E" w14:textId="77777777" w:rsidR="00513C39" w:rsidRPr="00CB093C" w:rsidRDefault="00513C39" w:rsidP="00513C39">
      <w:pPr>
        <w:pStyle w:val="EndNoteBibliography"/>
        <w:spacing w:after="0"/>
        <w:ind w:left="720" w:hanging="720"/>
        <w:rPr>
          <w:rFonts w:ascii="Arial" w:hAnsi="Arial" w:cs="Arial"/>
          <w:sz w:val="22"/>
          <w:szCs w:val="22"/>
        </w:rPr>
      </w:pPr>
      <w:bookmarkStart w:id="715" w:name="_ENREF_154"/>
      <w:r w:rsidRPr="00CB093C">
        <w:rPr>
          <w:rFonts w:ascii="Arial" w:hAnsi="Arial" w:cs="Arial"/>
          <w:sz w:val="22"/>
          <w:szCs w:val="22"/>
        </w:rPr>
        <w:t xml:space="preserve">Whinney, J. (2007). </w:t>
      </w:r>
      <w:r w:rsidRPr="00CB093C">
        <w:rPr>
          <w:rFonts w:ascii="Arial" w:hAnsi="Arial" w:cs="Arial"/>
          <w:i/>
          <w:sz w:val="22"/>
          <w:szCs w:val="22"/>
        </w:rPr>
        <w:t>Physical conditions on marginal coral reefs.</w:t>
      </w:r>
      <w:r w:rsidRPr="00CB093C">
        <w:rPr>
          <w:rFonts w:ascii="Arial" w:hAnsi="Arial" w:cs="Arial"/>
          <w:sz w:val="22"/>
          <w:szCs w:val="22"/>
        </w:rPr>
        <w:t xml:space="preserve"> PhD, James Cook University, Townsville.   </w:t>
      </w:r>
      <w:bookmarkEnd w:id="715"/>
    </w:p>
    <w:p w14:paraId="1A1573D6" w14:textId="77777777" w:rsidR="00513C39" w:rsidRPr="00CB093C" w:rsidRDefault="00513C39" w:rsidP="00513C39">
      <w:pPr>
        <w:pStyle w:val="EndNoteBibliography"/>
        <w:spacing w:after="0"/>
        <w:ind w:left="720" w:hanging="720"/>
        <w:rPr>
          <w:rFonts w:ascii="Arial" w:hAnsi="Arial" w:cs="Arial"/>
          <w:sz w:val="22"/>
          <w:szCs w:val="22"/>
        </w:rPr>
      </w:pPr>
      <w:bookmarkStart w:id="716" w:name="_ENREF_155"/>
      <w:r w:rsidRPr="00CB093C">
        <w:rPr>
          <w:rFonts w:ascii="Arial" w:hAnsi="Arial" w:cs="Arial"/>
          <w:sz w:val="22"/>
          <w:szCs w:val="22"/>
        </w:rPr>
        <w:t xml:space="preserve">Wood, S. 2014, Mixed GAM Computation Vehicle with GCV/AIC/REML Smoothness Estimation, version 1.8-9. </w:t>
      </w:r>
      <w:r w:rsidRPr="00CB093C">
        <w:rPr>
          <w:rFonts w:ascii="Arial" w:hAnsi="Arial" w:cs="Arial"/>
          <w:i/>
          <w:sz w:val="22"/>
          <w:szCs w:val="22"/>
        </w:rPr>
        <w:t>Comprehensive R Archive Network</w:t>
      </w:r>
      <w:r w:rsidRPr="00CB093C">
        <w:rPr>
          <w:rFonts w:ascii="Arial" w:hAnsi="Arial" w:cs="Arial"/>
          <w:sz w:val="22"/>
          <w:szCs w:val="22"/>
        </w:rPr>
        <w:t xml:space="preserve">(cran.r-project.org): 10. </w:t>
      </w:r>
      <w:bookmarkEnd w:id="716"/>
    </w:p>
    <w:p w14:paraId="3F23DD32" w14:textId="77777777" w:rsidR="00513C39" w:rsidRPr="00CB093C" w:rsidRDefault="00513C39" w:rsidP="00513C39">
      <w:pPr>
        <w:pStyle w:val="EndNoteBibliography"/>
        <w:spacing w:after="0"/>
        <w:ind w:left="720" w:hanging="720"/>
        <w:rPr>
          <w:rFonts w:ascii="Arial" w:hAnsi="Arial" w:cs="Arial"/>
          <w:sz w:val="22"/>
          <w:szCs w:val="22"/>
        </w:rPr>
      </w:pPr>
      <w:bookmarkStart w:id="717" w:name="_ENREF_156"/>
      <w:r w:rsidRPr="00CB093C">
        <w:rPr>
          <w:rFonts w:ascii="Arial" w:hAnsi="Arial" w:cs="Arial"/>
          <w:sz w:val="22"/>
          <w:szCs w:val="22"/>
        </w:rPr>
        <w:t xml:space="preserve">Wood, S.N. 2006, </w:t>
      </w:r>
      <w:r w:rsidRPr="00CB093C">
        <w:rPr>
          <w:rFonts w:ascii="Arial" w:hAnsi="Arial" w:cs="Arial"/>
          <w:i/>
          <w:sz w:val="22"/>
          <w:szCs w:val="22"/>
        </w:rPr>
        <w:t>Generalized Additive Models: An Introduction with R</w:t>
      </w:r>
      <w:r w:rsidRPr="00CB093C">
        <w:rPr>
          <w:rFonts w:ascii="Arial" w:hAnsi="Arial" w:cs="Arial"/>
          <w:sz w:val="22"/>
          <w:szCs w:val="22"/>
        </w:rPr>
        <w:t>: Chapman &amp; Hall/CRC.</w:t>
      </w:r>
      <w:bookmarkEnd w:id="717"/>
    </w:p>
    <w:p w14:paraId="11B1C2D4" w14:textId="4128993A" w:rsidR="00513C39" w:rsidRPr="00CB093C" w:rsidRDefault="00513C39" w:rsidP="00513C39">
      <w:pPr>
        <w:pStyle w:val="EndNoteBibliography"/>
        <w:ind w:left="720" w:hanging="720"/>
        <w:rPr>
          <w:rFonts w:ascii="Arial" w:hAnsi="Arial" w:cs="Arial"/>
          <w:sz w:val="22"/>
          <w:szCs w:val="22"/>
        </w:rPr>
      </w:pPr>
      <w:bookmarkStart w:id="718" w:name="_ENREF_157"/>
      <w:r w:rsidRPr="00CB093C">
        <w:rPr>
          <w:rFonts w:ascii="Arial" w:hAnsi="Arial" w:cs="Arial"/>
          <w:sz w:val="22"/>
          <w:szCs w:val="22"/>
        </w:rPr>
        <w:t xml:space="preserve">York, P.H., Carter, A.B., Chartrand, K., Sankey, T., Wells, L., Rasheed, M.A. 2015, Dynamics of a deep-water seagrass population on the Great Barrier Reef: annual occurrence and response to a major dredging program. </w:t>
      </w:r>
      <w:r w:rsidRPr="00CB093C">
        <w:rPr>
          <w:rFonts w:ascii="Arial" w:hAnsi="Arial" w:cs="Arial"/>
          <w:i/>
          <w:sz w:val="22"/>
          <w:szCs w:val="22"/>
        </w:rPr>
        <w:t xml:space="preserve">Scientific Reports, </w:t>
      </w:r>
      <w:r w:rsidRPr="00CB093C">
        <w:rPr>
          <w:rFonts w:ascii="Arial" w:hAnsi="Arial" w:cs="Arial"/>
          <w:sz w:val="22"/>
          <w:szCs w:val="22"/>
        </w:rPr>
        <w:t xml:space="preserve">5: 13167. doi: 10.1038/srep13167 </w:t>
      </w:r>
      <w:hyperlink r:id="rId152" w:anchor="supplementary-information" w:history="1">
        <w:r w:rsidRPr="00CB093C">
          <w:rPr>
            <w:rStyle w:val="Hyperlink"/>
            <w:rFonts w:ascii="Arial" w:hAnsi="Arial" w:cs="Arial"/>
            <w:sz w:val="22"/>
            <w:szCs w:val="22"/>
          </w:rPr>
          <w:t>http://www.nature.com/articles/srep13167#supplementary-information</w:t>
        </w:r>
        <w:bookmarkEnd w:id="718"/>
      </w:hyperlink>
    </w:p>
    <w:p w14:paraId="6D281AD8" w14:textId="650F2956" w:rsidR="00676C85" w:rsidRPr="00CB093C" w:rsidRDefault="009A0520" w:rsidP="00676C85">
      <w:pPr>
        <w:pStyle w:val="EndNoteBibliography"/>
        <w:ind w:left="720" w:hanging="720"/>
        <w:rPr>
          <w:rFonts w:ascii="Arial" w:hAnsi="Arial" w:cs="Arial"/>
          <w:color w:val="000000"/>
          <w:sz w:val="22"/>
          <w:szCs w:val="22"/>
        </w:rPr>
      </w:pPr>
      <w:r w:rsidRPr="00CB093C">
        <w:rPr>
          <w:rFonts w:ascii="Arial" w:hAnsi="Arial" w:cs="Arial"/>
          <w:sz w:val="22"/>
          <w:szCs w:val="22"/>
          <w:lang w:val="x-none"/>
        </w:rPr>
        <w:fldChar w:fldCharType="end"/>
      </w:r>
    </w:p>
    <w:p w14:paraId="4B631EBD" w14:textId="77777777" w:rsidR="00676C85" w:rsidRPr="00CB093C" w:rsidRDefault="00676C85" w:rsidP="00B20DDB">
      <w:pPr>
        <w:ind w:left="540" w:hanging="540"/>
        <w:outlineLvl w:val="0"/>
        <w:rPr>
          <w:rFonts w:ascii="Arial" w:hAnsi="Arial" w:cs="Arial"/>
          <w:color w:val="000000"/>
          <w:szCs w:val="22"/>
        </w:rPr>
        <w:sectPr w:rsidR="00676C85" w:rsidRPr="00CB093C" w:rsidSect="00D10D59">
          <w:headerReference w:type="even" r:id="rId153"/>
          <w:headerReference w:type="default" r:id="rId154"/>
          <w:headerReference w:type="first" r:id="rId155"/>
          <w:footerReference w:type="first" r:id="rId156"/>
          <w:pgSz w:w="11906" w:h="16838"/>
          <w:pgMar w:top="1418" w:right="1418" w:bottom="1418" w:left="1418" w:header="709" w:footer="709" w:gutter="0"/>
          <w:cols w:space="708"/>
          <w:docGrid w:linePitch="360"/>
        </w:sectPr>
      </w:pPr>
    </w:p>
    <w:p w14:paraId="44E94BC1" w14:textId="77777777" w:rsidR="00676C85" w:rsidRPr="00CB093C" w:rsidRDefault="00676C85" w:rsidP="00676C85">
      <w:pPr>
        <w:rPr>
          <w:rFonts w:ascii="Arial" w:hAnsi="Arial" w:cs="Arial"/>
          <w:szCs w:val="22"/>
        </w:rPr>
      </w:pPr>
    </w:p>
    <w:p w14:paraId="450BFBD0" w14:textId="77777777" w:rsidR="00676C85" w:rsidRPr="00CB093C" w:rsidRDefault="00676C85" w:rsidP="00676C85">
      <w:pPr>
        <w:rPr>
          <w:rFonts w:ascii="Arial" w:hAnsi="Arial" w:cs="Arial"/>
          <w:szCs w:val="22"/>
        </w:rPr>
      </w:pPr>
    </w:p>
    <w:p w14:paraId="77C82616" w14:textId="77777777" w:rsidR="00676C85" w:rsidRPr="00CB093C" w:rsidRDefault="00676C85" w:rsidP="00676C85">
      <w:pPr>
        <w:rPr>
          <w:rFonts w:ascii="Arial" w:hAnsi="Arial" w:cs="Arial"/>
          <w:szCs w:val="22"/>
        </w:rPr>
      </w:pPr>
    </w:p>
    <w:p w14:paraId="546A1DCA" w14:textId="77777777" w:rsidR="00676C85" w:rsidRPr="00CB093C" w:rsidRDefault="00676C85" w:rsidP="00676C85">
      <w:pPr>
        <w:rPr>
          <w:rFonts w:ascii="Arial" w:hAnsi="Arial" w:cs="Arial"/>
          <w:szCs w:val="22"/>
        </w:rPr>
      </w:pPr>
    </w:p>
    <w:p w14:paraId="0605BBB5" w14:textId="77777777" w:rsidR="00676C85" w:rsidRPr="00CB093C" w:rsidRDefault="00676C85" w:rsidP="00676C85">
      <w:pPr>
        <w:rPr>
          <w:rFonts w:ascii="Arial" w:hAnsi="Arial" w:cs="Arial"/>
          <w:szCs w:val="22"/>
        </w:rPr>
      </w:pPr>
    </w:p>
    <w:p w14:paraId="24FEC2C2" w14:textId="77777777" w:rsidR="00676C85" w:rsidRPr="00CB093C" w:rsidRDefault="00676C85" w:rsidP="00676C85">
      <w:pPr>
        <w:rPr>
          <w:rFonts w:ascii="Arial" w:hAnsi="Arial" w:cs="Arial"/>
          <w:szCs w:val="22"/>
        </w:rPr>
      </w:pPr>
    </w:p>
    <w:p w14:paraId="5C824233" w14:textId="77777777" w:rsidR="00676C85" w:rsidRPr="00CB093C" w:rsidRDefault="00676C85" w:rsidP="00676C85">
      <w:pPr>
        <w:rPr>
          <w:rFonts w:ascii="Arial" w:hAnsi="Arial" w:cs="Arial"/>
          <w:szCs w:val="22"/>
        </w:rPr>
      </w:pPr>
    </w:p>
    <w:p w14:paraId="0C328170" w14:textId="297FFB32" w:rsidR="00676C85" w:rsidRPr="00CB093C" w:rsidRDefault="00676C85" w:rsidP="0015509E">
      <w:pPr>
        <w:pStyle w:val="Heading1"/>
        <w:numPr>
          <w:ilvl w:val="0"/>
          <w:numId w:val="6"/>
        </w:numPr>
      </w:pPr>
      <w:bookmarkStart w:id="719" w:name="_Ref534357564"/>
      <w:bookmarkStart w:id="720" w:name="_Toc11394784"/>
      <w:r w:rsidRPr="00CB093C">
        <w:t>Case studies</w:t>
      </w:r>
      <w:bookmarkEnd w:id="719"/>
      <w:bookmarkEnd w:id="720"/>
    </w:p>
    <w:p w14:paraId="089C502D" w14:textId="77777777" w:rsidR="00676C85" w:rsidRPr="00CB093C" w:rsidRDefault="00676C85" w:rsidP="00676C85">
      <w:pPr>
        <w:rPr>
          <w:rFonts w:ascii="Arial" w:hAnsi="Arial" w:cs="Arial"/>
          <w:szCs w:val="22"/>
        </w:rPr>
      </w:pPr>
    </w:p>
    <w:p w14:paraId="6FBC8172" w14:textId="77777777" w:rsidR="00676C85" w:rsidRPr="00CB093C" w:rsidRDefault="00676C85" w:rsidP="00676C85">
      <w:pPr>
        <w:rPr>
          <w:rFonts w:ascii="Arial" w:hAnsi="Arial" w:cs="Arial"/>
          <w:szCs w:val="22"/>
        </w:rPr>
      </w:pPr>
    </w:p>
    <w:p w14:paraId="2DBEEDF9" w14:textId="77777777" w:rsidR="00676C85" w:rsidRPr="00CB093C" w:rsidRDefault="00676C85" w:rsidP="00676C85">
      <w:pPr>
        <w:rPr>
          <w:rFonts w:ascii="Arial" w:hAnsi="Arial" w:cs="Arial"/>
          <w:szCs w:val="22"/>
        </w:rPr>
      </w:pPr>
    </w:p>
    <w:p w14:paraId="10BC312B" w14:textId="77777777" w:rsidR="00676C85" w:rsidRPr="00CB093C" w:rsidRDefault="00676C85" w:rsidP="00676C85">
      <w:pPr>
        <w:rPr>
          <w:rFonts w:ascii="Arial" w:hAnsi="Arial" w:cs="Arial"/>
          <w:szCs w:val="22"/>
        </w:rPr>
      </w:pPr>
    </w:p>
    <w:p w14:paraId="1EB6EB95" w14:textId="77777777" w:rsidR="00676C85" w:rsidRPr="00CB093C" w:rsidRDefault="00676C85" w:rsidP="00676C85">
      <w:pPr>
        <w:rPr>
          <w:rFonts w:ascii="Arial" w:hAnsi="Arial" w:cs="Arial"/>
          <w:szCs w:val="22"/>
        </w:rPr>
      </w:pPr>
    </w:p>
    <w:p w14:paraId="6A786601" w14:textId="77777777" w:rsidR="00676C85" w:rsidRPr="00CB093C" w:rsidRDefault="00676C85" w:rsidP="00676C85">
      <w:pPr>
        <w:spacing w:before="60" w:after="60"/>
        <w:rPr>
          <w:rFonts w:ascii="Arial" w:hAnsi="Arial" w:cs="Arial"/>
          <w:szCs w:val="22"/>
        </w:rPr>
      </w:pPr>
      <w:r w:rsidRPr="00CB093C">
        <w:rPr>
          <w:rFonts w:ascii="Arial" w:hAnsi="Arial" w:cs="Arial"/>
          <w:color w:val="000000"/>
          <w:szCs w:val="22"/>
        </w:rPr>
        <w:br w:type="page"/>
      </w:r>
    </w:p>
    <w:p w14:paraId="6862B3C9" w14:textId="15B19F29" w:rsidR="00676C85" w:rsidRPr="00CB093C" w:rsidRDefault="00676C85" w:rsidP="0015509E">
      <w:pPr>
        <w:pStyle w:val="Heading2"/>
        <w:numPr>
          <w:ilvl w:val="0"/>
          <w:numId w:val="0"/>
        </w:numPr>
      </w:pPr>
      <w:bookmarkStart w:id="721" w:name="_Toc11394785"/>
      <w:r w:rsidRPr="00CB093C">
        <w:t>Case study #1: Developing a computer program to predict cumulative light and temperature stress on seagrass in the Great Barrier Reef</w:t>
      </w:r>
      <w:bookmarkEnd w:id="721"/>
    </w:p>
    <w:p w14:paraId="2D982626" w14:textId="77777777" w:rsidR="00676C85" w:rsidRPr="00CB093C" w:rsidRDefault="00676C85" w:rsidP="00676C85">
      <w:pPr>
        <w:rPr>
          <w:rFonts w:ascii="Arial" w:hAnsi="Arial" w:cs="Arial"/>
          <w:szCs w:val="22"/>
          <w:vertAlign w:val="superscript"/>
        </w:rPr>
      </w:pPr>
      <w:r w:rsidRPr="00CB093C">
        <w:rPr>
          <w:rFonts w:ascii="Arial" w:hAnsi="Arial" w:cs="Arial"/>
          <w:szCs w:val="22"/>
        </w:rPr>
        <w:t>Matthew P. Adams</w:t>
      </w:r>
      <w:r w:rsidRPr="00CB093C">
        <w:rPr>
          <w:rFonts w:ascii="Arial" w:hAnsi="Arial" w:cs="Arial"/>
          <w:szCs w:val="22"/>
          <w:vertAlign w:val="superscript"/>
        </w:rPr>
        <w:t>1</w:t>
      </w:r>
      <w:r w:rsidRPr="00CB093C">
        <w:rPr>
          <w:rFonts w:ascii="Arial" w:hAnsi="Arial" w:cs="Arial"/>
          <w:szCs w:val="22"/>
        </w:rPr>
        <w:t>, Edwin J. Y. Koh</w:t>
      </w:r>
      <w:r w:rsidRPr="00CB093C">
        <w:rPr>
          <w:rFonts w:ascii="Arial" w:hAnsi="Arial" w:cs="Arial"/>
          <w:szCs w:val="22"/>
          <w:vertAlign w:val="superscript"/>
        </w:rPr>
        <w:t>1</w:t>
      </w:r>
      <w:r w:rsidRPr="00CB093C">
        <w:rPr>
          <w:rFonts w:ascii="Arial" w:hAnsi="Arial" w:cs="Arial"/>
          <w:szCs w:val="22"/>
        </w:rPr>
        <w:t>, Maria P. Vilas</w:t>
      </w:r>
      <w:r w:rsidRPr="00CB093C">
        <w:rPr>
          <w:rFonts w:ascii="Arial" w:hAnsi="Arial" w:cs="Arial"/>
          <w:szCs w:val="22"/>
          <w:vertAlign w:val="superscript"/>
        </w:rPr>
        <w:t>1,2</w:t>
      </w:r>
      <w:r w:rsidRPr="00CB093C">
        <w:rPr>
          <w:rFonts w:ascii="Arial" w:hAnsi="Arial" w:cs="Arial"/>
          <w:szCs w:val="22"/>
        </w:rPr>
        <w:t>, Catherine J. Collier</w:t>
      </w:r>
      <w:r w:rsidRPr="00CB093C">
        <w:rPr>
          <w:rFonts w:ascii="Arial" w:hAnsi="Arial" w:cs="Arial"/>
          <w:szCs w:val="22"/>
          <w:vertAlign w:val="superscript"/>
        </w:rPr>
        <w:t>3</w:t>
      </w:r>
      <w:r w:rsidRPr="00CB093C">
        <w:rPr>
          <w:rFonts w:ascii="Arial" w:hAnsi="Arial" w:cs="Arial"/>
          <w:szCs w:val="22"/>
        </w:rPr>
        <w:t>, Len J. McKenzie</w:t>
      </w:r>
      <w:r w:rsidRPr="00CB093C">
        <w:rPr>
          <w:rFonts w:ascii="Arial" w:hAnsi="Arial" w:cs="Arial"/>
          <w:szCs w:val="22"/>
          <w:vertAlign w:val="superscript"/>
        </w:rPr>
        <w:t>3</w:t>
      </w:r>
      <w:r w:rsidRPr="00CB093C">
        <w:rPr>
          <w:rFonts w:ascii="Arial" w:hAnsi="Arial" w:cs="Arial"/>
          <w:szCs w:val="22"/>
        </w:rPr>
        <w:t>, Kate R. O’Brien</w:t>
      </w:r>
      <w:r w:rsidRPr="00CB093C">
        <w:rPr>
          <w:rFonts w:ascii="Arial" w:hAnsi="Arial" w:cs="Arial"/>
          <w:szCs w:val="22"/>
          <w:vertAlign w:val="superscript"/>
        </w:rPr>
        <w:t>1</w:t>
      </w:r>
    </w:p>
    <w:p w14:paraId="40FC4A82" w14:textId="77777777" w:rsidR="00676C85" w:rsidRPr="00CB093C" w:rsidRDefault="00676C85" w:rsidP="00676C85">
      <w:pPr>
        <w:rPr>
          <w:rFonts w:ascii="Arial" w:hAnsi="Arial" w:cs="Arial"/>
          <w:szCs w:val="22"/>
        </w:rPr>
      </w:pPr>
      <w:r w:rsidRPr="00CB093C">
        <w:rPr>
          <w:rFonts w:ascii="Arial" w:hAnsi="Arial" w:cs="Arial"/>
          <w:szCs w:val="22"/>
          <w:vertAlign w:val="superscript"/>
        </w:rPr>
        <w:t>1</w:t>
      </w:r>
      <w:r w:rsidRPr="00CB093C">
        <w:rPr>
          <w:rFonts w:ascii="Arial" w:hAnsi="Arial" w:cs="Arial"/>
          <w:szCs w:val="22"/>
        </w:rPr>
        <w:t>School of Chemical Engineering, The University of Queensland, Brisbane, Australia</w:t>
      </w:r>
      <w:r w:rsidRPr="00CB093C">
        <w:rPr>
          <w:rFonts w:ascii="Arial" w:hAnsi="Arial" w:cs="Arial"/>
          <w:szCs w:val="22"/>
        </w:rPr>
        <w:br/>
      </w:r>
      <w:r w:rsidRPr="00CB093C">
        <w:rPr>
          <w:rFonts w:ascii="Arial" w:hAnsi="Arial" w:cs="Arial"/>
          <w:szCs w:val="22"/>
          <w:vertAlign w:val="superscript"/>
        </w:rPr>
        <w:t>2</w:t>
      </w:r>
      <w:r w:rsidRPr="00CB093C">
        <w:rPr>
          <w:rFonts w:ascii="Arial" w:hAnsi="Arial" w:cs="Arial"/>
          <w:szCs w:val="22"/>
        </w:rPr>
        <w:t>CSIRO Agriculture &amp; Food, Queensland Biosciences Precinct, Brisbane, Australia</w:t>
      </w:r>
      <w:r w:rsidRPr="00CB093C">
        <w:rPr>
          <w:rFonts w:ascii="Arial" w:hAnsi="Arial" w:cs="Arial"/>
          <w:szCs w:val="22"/>
        </w:rPr>
        <w:br/>
      </w:r>
      <w:r w:rsidRPr="00CB093C">
        <w:rPr>
          <w:rFonts w:ascii="Arial" w:hAnsi="Arial" w:cs="Arial"/>
          <w:szCs w:val="22"/>
          <w:vertAlign w:val="superscript"/>
        </w:rPr>
        <w:t>3</w:t>
      </w:r>
      <w:r w:rsidRPr="00CB093C">
        <w:rPr>
          <w:rFonts w:ascii="Arial" w:hAnsi="Arial" w:cs="Arial"/>
          <w:szCs w:val="22"/>
        </w:rPr>
        <w:t>Centre for Tropical Water &amp; Aquatic Ecosystem Research (TropWATER), James Cook University, Cairns, Australia</w:t>
      </w:r>
    </w:p>
    <w:p w14:paraId="29C33ABD" w14:textId="77777777" w:rsidR="00676C85" w:rsidRPr="00CB093C" w:rsidRDefault="00676C85" w:rsidP="00676C85">
      <w:pPr>
        <w:rPr>
          <w:rFonts w:ascii="Arial" w:hAnsi="Arial" w:cs="Arial"/>
          <w:szCs w:val="22"/>
        </w:rPr>
      </w:pPr>
    </w:p>
    <w:p w14:paraId="41B13283" w14:textId="1A036D14" w:rsidR="00676C85" w:rsidRPr="00CB093C" w:rsidRDefault="00676C85" w:rsidP="00D2585E">
      <w:pPr>
        <w:pStyle w:val="Heading3"/>
        <w:numPr>
          <w:ilvl w:val="0"/>
          <w:numId w:val="0"/>
        </w:numPr>
        <w:rPr>
          <w:rFonts w:ascii="Arial" w:hAnsi="Arial" w:cs="Arial"/>
          <w:sz w:val="22"/>
          <w:szCs w:val="22"/>
        </w:rPr>
      </w:pPr>
      <w:bookmarkStart w:id="722" w:name="_Toc11394786"/>
      <w:r w:rsidRPr="00CB093C">
        <w:rPr>
          <w:rFonts w:ascii="Arial" w:hAnsi="Arial" w:cs="Arial"/>
          <w:sz w:val="22"/>
          <w:szCs w:val="22"/>
        </w:rPr>
        <w:t>Introduction</w:t>
      </w:r>
      <w:bookmarkEnd w:id="722"/>
    </w:p>
    <w:p w14:paraId="45EB9ADD" w14:textId="66EBF2EA" w:rsidR="00676C85" w:rsidRPr="00CB093C" w:rsidRDefault="00676C85" w:rsidP="00676C85">
      <w:pPr>
        <w:rPr>
          <w:rFonts w:ascii="Arial" w:hAnsi="Arial" w:cs="Arial"/>
          <w:szCs w:val="22"/>
        </w:rPr>
      </w:pPr>
      <w:r w:rsidRPr="00CB093C">
        <w:rPr>
          <w:rFonts w:ascii="Arial" w:hAnsi="Arial" w:cs="Arial"/>
          <w:szCs w:val="22"/>
        </w:rPr>
        <w:t xml:space="preserve">Predicting cumulative stress to seagrass, due to multiple environmental factors, requires knowledge about how these factors interact. For such predictions to be trustworthy, quantification of the uncertainty in these predictions is a must. Additionally, a generic metric of cumulative stress has not yet been developed for seagrass, unlike e.g. degree-heating-weeks for corals (Gleeson </w:t>
      </w:r>
      <w:r w:rsidR="00513C39" w:rsidRPr="00CB093C">
        <w:rPr>
          <w:rFonts w:ascii="Arial" w:hAnsi="Arial" w:cs="Arial"/>
          <w:szCs w:val="22"/>
        </w:rPr>
        <w:t>and</w:t>
      </w:r>
      <w:r w:rsidRPr="00CB093C">
        <w:rPr>
          <w:rFonts w:ascii="Arial" w:hAnsi="Arial" w:cs="Arial"/>
          <w:szCs w:val="22"/>
        </w:rPr>
        <w:t xml:space="preserve"> Strong 1995).</w:t>
      </w:r>
    </w:p>
    <w:p w14:paraId="7AA0F0DD" w14:textId="77777777" w:rsidR="00676C85" w:rsidRPr="00CB093C" w:rsidRDefault="00676C85" w:rsidP="00676C85">
      <w:pPr>
        <w:rPr>
          <w:rFonts w:ascii="Arial" w:hAnsi="Arial" w:cs="Arial"/>
          <w:szCs w:val="22"/>
        </w:rPr>
      </w:pPr>
      <w:r w:rsidRPr="00CB093C">
        <w:rPr>
          <w:rFonts w:ascii="Arial" w:hAnsi="Arial" w:cs="Arial"/>
          <w:szCs w:val="22"/>
        </w:rPr>
        <w:t xml:space="preserve">In this case study a computer program was developed, based on a mathematical model calibrated to laboratory measurements of seagrass responses to light and temperature (Collier </w:t>
      </w:r>
      <w:r w:rsidRPr="00CB093C">
        <w:rPr>
          <w:rFonts w:ascii="Arial" w:hAnsi="Arial" w:cs="Arial"/>
          <w:i/>
          <w:szCs w:val="22"/>
        </w:rPr>
        <w:t>et al.</w:t>
      </w:r>
      <w:r w:rsidRPr="00CB093C">
        <w:rPr>
          <w:rFonts w:ascii="Arial" w:hAnsi="Arial" w:cs="Arial"/>
          <w:szCs w:val="22"/>
        </w:rPr>
        <w:t xml:space="preserve"> 2016; Collier </w:t>
      </w:r>
      <w:r w:rsidRPr="00CB093C">
        <w:rPr>
          <w:rFonts w:ascii="Arial" w:hAnsi="Arial" w:cs="Arial"/>
          <w:i/>
          <w:szCs w:val="22"/>
        </w:rPr>
        <w:t>et al.</w:t>
      </w:r>
      <w:r w:rsidRPr="00CB093C">
        <w:rPr>
          <w:rFonts w:ascii="Arial" w:hAnsi="Arial" w:cs="Arial"/>
          <w:szCs w:val="22"/>
        </w:rPr>
        <w:t xml:space="preserve"> 2018). This program has an easy-to-use interface (Figure 1) that allows users to predict cumulative light and temperature stress on seagrass (defined as a percentage) based on current light and temperature conditions. Uncertainty in predictions is also calculated and shown by the program; this quantification of uncertainty is an output of the Bayesian inferential methodology we used for fitting the mathematical model to the laboratory data (Girolami 2008).</w:t>
      </w:r>
    </w:p>
    <w:p w14:paraId="0B4553A9" w14:textId="77777777" w:rsidR="00676C85" w:rsidRPr="00CB093C" w:rsidRDefault="00676C85" w:rsidP="00187926">
      <w:pPr>
        <w:keepNext/>
        <w:tabs>
          <w:tab w:val="center" w:pos="5245"/>
        </w:tabs>
        <w:jc w:val="center"/>
        <w:rPr>
          <w:rFonts w:ascii="Arial" w:hAnsi="Arial" w:cs="Arial"/>
          <w:noProof/>
          <w:szCs w:val="22"/>
          <w:lang w:eastAsia="en-AU"/>
        </w:rPr>
      </w:pPr>
      <w:r w:rsidRPr="00CB093C">
        <w:rPr>
          <w:rFonts w:ascii="Arial" w:hAnsi="Arial" w:cs="Arial"/>
          <w:noProof/>
          <w:szCs w:val="22"/>
          <w:lang w:val="en-US"/>
        </w:rPr>
        <w:drawing>
          <wp:inline distT="0" distB="0" distL="0" distR="0" wp14:anchorId="698E71F4" wp14:editId="62258579">
            <wp:extent cx="2751455" cy="3798203"/>
            <wp:effectExtent l="0" t="0" r="0" b="0"/>
            <wp:docPr id="552" name="Picture 552" descr="Graphical user interface for the computer program that can be used to predict cumulative stress on seagrass due to light and temper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MP_GUI"/>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2761388" cy="3811915"/>
                    </a:xfrm>
                    <a:prstGeom prst="rect">
                      <a:avLst/>
                    </a:prstGeom>
                    <a:noFill/>
                    <a:ln>
                      <a:noFill/>
                    </a:ln>
                  </pic:spPr>
                </pic:pic>
              </a:graphicData>
            </a:graphic>
          </wp:inline>
        </w:drawing>
      </w:r>
    </w:p>
    <w:p w14:paraId="7DA73A28" w14:textId="4C0353CE" w:rsidR="00676C85" w:rsidRPr="00CB093C" w:rsidRDefault="00676C85" w:rsidP="00676C85">
      <w:pPr>
        <w:jc w:val="center"/>
        <w:rPr>
          <w:rFonts w:ascii="Arial" w:hAnsi="Arial" w:cs="Arial"/>
          <w:szCs w:val="22"/>
        </w:rPr>
      </w:pPr>
      <w:r w:rsidRPr="00CB093C">
        <w:rPr>
          <w:rFonts w:ascii="Arial" w:hAnsi="Arial" w:cs="Arial"/>
          <w:szCs w:val="22"/>
        </w:rPr>
        <w:t xml:space="preserve">Figure 1. </w:t>
      </w:r>
      <w:r w:rsidRPr="00CB093C">
        <w:rPr>
          <w:rFonts w:ascii="Arial" w:hAnsi="Arial" w:cs="Arial"/>
          <w:i/>
          <w:szCs w:val="22"/>
        </w:rPr>
        <w:t>Graphical user interface for the computer program that can</w:t>
      </w:r>
      <w:r w:rsidR="00187926" w:rsidRPr="00CB093C">
        <w:rPr>
          <w:rFonts w:ascii="Arial" w:hAnsi="Arial" w:cs="Arial"/>
          <w:i/>
          <w:szCs w:val="22"/>
        </w:rPr>
        <w:t xml:space="preserve"> </w:t>
      </w:r>
      <w:r w:rsidRPr="00CB093C">
        <w:rPr>
          <w:rFonts w:ascii="Arial" w:hAnsi="Arial" w:cs="Arial"/>
          <w:i/>
          <w:szCs w:val="22"/>
        </w:rPr>
        <w:t>be used to predict cumulative stress on seagrass due to light and temperature.</w:t>
      </w:r>
    </w:p>
    <w:p w14:paraId="5FEE8C7A" w14:textId="2B6D9547" w:rsidR="00676C85" w:rsidRPr="00CB093C" w:rsidRDefault="00676C85" w:rsidP="00D2585E">
      <w:pPr>
        <w:pStyle w:val="Heading3"/>
        <w:numPr>
          <w:ilvl w:val="0"/>
          <w:numId w:val="0"/>
        </w:numPr>
        <w:rPr>
          <w:rFonts w:ascii="Arial" w:hAnsi="Arial" w:cs="Arial"/>
          <w:sz w:val="22"/>
          <w:szCs w:val="22"/>
        </w:rPr>
      </w:pPr>
      <w:bookmarkStart w:id="723" w:name="_Toc11394787"/>
      <w:r w:rsidRPr="00CB093C">
        <w:rPr>
          <w:rFonts w:ascii="Arial" w:hAnsi="Arial" w:cs="Arial"/>
          <w:sz w:val="22"/>
          <w:szCs w:val="22"/>
        </w:rPr>
        <w:t>Program details</w:t>
      </w:r>
      <w:bookmarkEnd w:id="723"/>
    </w:p>
    <w:p w14:paraId="136F007A" w14:textId="4BACEC1E" w:rsidR="00676C85" w:rsidRPr="00CB093C" w:rsidRDefault="00676C85" w:rsidP="00676C85">
      <w:pPr>
        <w:rPr>
          <w:rFonts w:ascii="Arial" w:hAnsi="Arial" w:cs="Arial"/>
          <w:b/>
          <w:szCs w:val="22"/>
        </w:rPr>
      </w:pPr>
      <w:r w:rsidRPr="00CB093C">
        <w:rPr>
          <w:rFonts w:ascii="Arial" w:hAnsi="Arial" w:cs="Arial"/>
          <w:b/>
          <w:szCs w:val="22"/>
        </w:rPr>
        <w:t>Installation</w:t>
      </w:r>
    </w:p>
    <w:p w14:paraId="24720A2F" w14:textId="11A4ECF7" w:rsidR="00676C85" w:rsidRPr="00CB093C" w:rsidRDefault="00676C85" w:rsidP="00676C85">
      <w:pPr>
        <w:rPr>
          <w:rFonts w:ascii="Arial" w:hAnsi="Arial" w:cs="Arial"/>
          <w:szCs w:val="22"/>
        </w:rPr>
      </w:pPr>
      <w:r w:rsidRPr="00CB093C">
        <w:rPr>
          <w:rFonts w:ascii="Arial" w:hAnsi="Arial" w:cs="Arial"/>
          <w:szCs w:val="22"/>
        </w:rPr>
        <w:t xml:space="preserve">The program shown in Figure 1 is a standalone executable file. To run this executable, the user only needs to install the program “MATLAB Runtime” first, available for free at </w:t>
      </w:r>
      <w:hyperlink r:id="rId158" w:history="1">
        <w:r w:rsidRPr="00CB093C">
          <w:rPr>
            <w:rStyle w:val="Hyperlink"/>
            <w:rFonts w:ascii="Arial" w:hAnsi="Arial" w:cs="Arial"/>
            <w:szCs w:val="22"/>
          </w:rPr>
          <w:t>https://www.mathworks.com/products/compiler/matlab-runtime.html</w:t>
        </w:r>
      </w:hyperlink>
      <w:r w:rsidRPr="00CB093C">
        <w:rPr>
          <w:rFonts w:ascii="Arial" w:hAnsi="Arial" w:cs="Arial"/>
          <w:szCs w:val="22"/>
        </w:rPr>
        <w:t>. The program has been created for both Windows and Mac formats.</w:t>
      </w:r>
    </w:p>
    <w:p w14:paraId="45FD79F3" w14:textId="7A3F7E6D" w:rsidR="00676C85" w:rsidRPr="00CB093C" w:rsidRDefault="00676C85" w:rsidP="00676C85">
      <w:pPr>
        <w:rPr>
          <w:rFonts w:ascii="Arial" w:hAnsi="Arial" w:cs="Arial"/>
          <w:b/>
          <w:szCs w:val="22"/>
        </w:rPr>
      </w:pPr>
      <w:r w:rsidRPr="00CB093C">
        <w:rPr>
          <w:rFonts w:ascii="Arial" w:hAnsi="Arial" w:cs="Arial"/>
          <w:b/>
          <w:szCs w:val="22"/>
        </w:rPr>
        <w:t>Underlying Science</w:t>
      </w:r>
    </w:p>
    <w:p w14:paraId="283C470E" w14:textId="0700D2B5" w:rsidR="00676C85" w:rsidRPr="00CB093C" w:rsidRDefault="00676C85" w:rsidP="00676C85">
      <w:pPr>
        <w:rPr>
          <w:rFonts w:ascii="Arial" w:hAnsi="Arial" w:cs="Arial"/>
          <w:szCs w:val="22"/>
        </w:rPr>
      </w:pPr>
      <w:r w:rsidRPr="00CB093C">
        <w:rPr>
          <w:rFonts w:ascii="Arial" w:hAnsi="Arial" w:cs="Arial"/>
          <w:szCs w:val="22"/>
        </w:rPr>
        <w:t>An earlier version of the model used in this program is discussed in a case study in the 2016</w:t>
      </w:r>
      <w:r w:rsidR="00E830B3" w:rsidRPr="00CB093C">
        <w:rPr>
          <w:rFonts w:ascii="Arial" w:hAnsi="Arial" w:cs="Arial"/>
          <w:szCs w:val="22"/>
        </w:rPr>
        <w:t>–</w:t>
      </w:r>
      <w:r w:rsidRPr="00CB093C">
        <w:rPr>
          <w:rFonts w:ascii="Arial" w:hAnsi="Arial" w:cs="Arial"/>
          <w:szCs w:val="22"/>
        </w:rPr>
        <w:t xml:space="preserve">17 MMP Seagrass Annual Report (McKenzie </w:t>
      </w:r>
      <w:r w:rsidRPr="00CB093C">
        <w:rPr>
          <w:rFonts w:ascii="Arial" w:hAnsi="Arial" w:cs="Arial"/>
          <w:i/>
          <w:szCs w:val="22"/>
        </w:rPr>
        <w:t>et al.</w:t>
      </w:r>
      <w:r w:rsidRPr="00CB093C">
        <w:rPr>
          <w:rFonts w:ascii="Arial" w:hAnsi="Arial" w:cs="Arial"/>
          <w:szCs w:val="22"/>
        </w:rPr>
        <w:t xml:space="preserve"> 2018, pp. 119</w:t>
      </w:r>
      <w:r w:rsidR="003158FC" w:rsidRPr="00CB093C">
        <w:rPr>
          <w:rFonts w:ascii="Arial" w:hAnsi="Arial" w:cs="Arial"/>
          <w:szCs w:val="22"/>
        </w:rPr>
        <w:t>–</w:t>
      </w:r>
      <w:r w:rsidRPr="00CB093C">
        <w:rPr>
          <w:rFonts w:ascii="Arial" w:hAnsi="Arial" w:cs="Arial"/>
          <w:szCs w:val="22"/>
        </w:rPr>
        <w:t>124), although in that version the model-data calibration was performed using least-squares optimisation. Here the model-data calibration is performed using a Bayesian inferential methodology to provide the best predictions of uncertainty. The full details of the model and data fitting will be presented in a forthcoming publication.</w:t>
      </w:r>
    </w:p>
    <w:p w14:paraId="2B7EAD84" w14:textId="3548B2E6" w:rsidR="00676C85" w:rsidRPr="00CB093C" w:rsidRDefault="00676C85" w:rsidP="00D2585E">
      <w:pPr>
        <w:pStyle w:val="Heading3"/>
        <w:numPr>
          <w:ilvl w:val="0"/>
          <w:numId w:val="0"/>
        </w:numPr>
        <w:rPr>
          <w:rFonts w:ascii="Arial" w:hAnsi="Arial" w:cs="Arial"/>
          <w:sz w:val="22"/>
          <w:szCs w:val="22"/>
        </w:rPr>
      </w:pPr>
      <w:bookmarkStart w:id="724" w:name="_Toc11394788"/>
      <w:r w:rsidRPr="00CB093C">
        <w:rPr>
          <w:rFonts w:ascii="Arial" w:hAnsi="Arial" w:cs="Arial"/>
          <w:sz w:val="22"/>
          <w:szCs w:val="22"/>
        </w:rPr>
        <w:t>Using the Program</w:t>
      </w:r>
      <w:bookmarkEnd w:id="724"/>
    </w:p>
    <w:p w14:paraId="35D37B18" w14:textId="77777777" w:rsidR="00676C85" w:rsidRPr="00CB093C" w:rsidRDefault="00676C85" w:rsidP="00676C85">
      <w:pPr>
        <w:rPr>
          <w:rFonts w:ascii="Arial" w:hAnsi="Arial" w:cs="Arial"/>
          <w:szCs w:val="22"/>
        </w:rPr>
      </w:pPr>
      <w:r w:rsidRPr="00CB093C">
        <w:rPr>
          <w:rFonts w:ascii="Arial" w:hAnsi="Arial" w:cs="Arial"/>
          <w:szCs w:val="22"/>
        </w:rPr>
        <w:t>The user inputs the following information to the program:</w:t>
      </w:r>
    </w:p>
    <w:p w14:paraId="0D260EE7" w14:textId="73D987A6" w:rsidR="00676C85" w:rsidRPr="00CB093C" w:rsidRDefault="00676C85" w:rsidP="00AD06D4">
      <w:pPr>
        <w:pStyle w:val="ListParagraph"/>
        <w:numPr>
          <w:ilvl w:val="0"/>
          <w:numId w:val="14"/>
        </w:numPr>
        <w:spacing w:before="0" w:after="160" w:line="259" w:lineRule="auto"/>
        <w:rPr>
          <w:rFonts w:ascii="Arial" w:hAnsi="Arial" w:cs="Arial"/>
          <w:szCs w:val="22"/>
        </w:rPr>
      </w:pPr>
      <w:r w:rsidRPr="00CB093C">
        <w:rPr>
          <w:rFonts w:ascii="Arial" w:hAnsi="Arial" w:cs="Arial"/>
          <w:i/>
          <w:szCs w:val="22"/>
          <w:u w:val="single"/>
        </w:rPr>
        <w:t>Daily light dose</w:t>
      </w:r>
      <w:r w:rsidRPr="00CB093C">
        <w:rPr>
          <w:rFonts w:ascii="Arial" w:hAnsi="Arial" w:cs="Arial"/>
          <w:szCs w:val="22"/>
        </w:rPr>
        <w:t>, in mol quanta m</w:t>
      </w:r>
      <w:r w:rsidRPr="00CB093C">
        <w:rPr>
          <w:rFonts w:ascii="Arial" w:hAnsi="Arial" w:cs="Arial"/>
          <w:szCs w:val="22"/>
          <w:vertAlign w:val="superscript"/>
        </w:rPr>
        <w:t>-2</w:t>
      </w:r>
      <w:r w:rsidRPr="00CB093C">
        <w:rPr>
          <w:rFonts w:ascii="Arial" w:hAnsi="Arial" w:cs="Arial"/>
          <w:szCs w:val="22"/>
        </w:rPr>
        <w:t xml:space="preserve"> d</w:t>
      </w:r>
      <w:r w:rsidRPr="00CB093C">
        <w:rPr>
          <w:rFonts w:ascii="Arial" w:hAnsi="Arial" w:cs="Arial"/>
          <w:szCs w:val="22"/>
          <w:vertAlign w:val="superscript"/>
        </w:rPr>
        <w:t>-1</w:t>
      </w:r>
    </w:p>
    <w:p w14:paraId="08167CD4" w14:textId="7B35F23F" w:rsidR="00676C85" w:rsidRPr="00CB093C" w:rsidRDefault="00676C85" w:rsidP="00AD06D4">
      <w:pPr>
        <w:pStyle w:val="ListParagraph"/>
        <w:numPr>
          <w:ilvl w:val="0"/>
          <w:numId w:val="14"/>
        </w:numPr>
        <w:spacing w:before="0" w:after="160" w:line="259" w:lineRule="auto"/>
        <w:rPr>
          <w:rFonts w:ascii="Arial" w:hAnsi="Arial" w:cs="Arial"/>
          <w:szCs w:val="22"/>
        </w:rPr>
      </w:pPr>
      <w:r w:rsidRPr="00CB093C">
        <w:rPr>
          <w:rFonts w:ascii="Arial" w:hAnsi="Arial" w:cs="Arial"/>
          <w:i/>
          <w:szCs w:val="22"/>
          <w:u w:val="single"/>
        </w:rPr>
        <w:t>Day length</w:t>
      </w:r>
      <w:r w:rsidRPr="00CB093C">
        <w:rPr>
          <w:rFonts w:ascii="Arial" w:hAnsi="Arial" w:cs="Arial"/>
          <w:szCs w:val="22"/>
        </w:rPr>
        <w:t>, in hours. A half-sinusoidal variation in light over the day is assumed (as in e.g. Monteith 1965)</w:t>
      </w:r>
    </w:p>
    <w:p w14:paraId="61BF7A60" w14:textId="5F9B6055" w:rsidR="00676C85" w:rsidRPr="00CB093C" w:rsidRDefault="00676C85" w:rsidP="00AD06D4">
      <w:pPr>
        <w:pStyle w:val="ListParagraph"/>
        <w:numPr>
          <w:ilvl w:val="0"/>
          <w:numId w:val="14"/>
        </w:numPr>
        <w:spacing w:before="0" w:after="160" w:line="259" w:lineRule="auto"/>
        <w:rPr>
          <w:rFonts w:ascii="Arial" w:hAnsi="Arial" w:cs="Arial"/>
          <w:szCs w:val="22"/>
        </w:rPr>
      </w:pPr>
      <w:r w:rsidRPr="00CB093C">
        <w:rPr>
          <w:rFonts w:ascii="Arial" w:hAnsi="Arial" w:cs="Arial"/>
          <w:i/>
          <w:szCs w:val="22"/>
          <w:u w:val="single"/>
        </w:rPr>
        <w:t>Mean daily temperature</w:t>
      </w:r>
      <w:r w:rsidRPr="00CB093C">
        <w:rPr>
          <w:rFonts w:ascii="Arial" w:hAnsi="Arial" w:cs="Arial"/>
          <w:szCs w:val="22"/>
        </w:rPr>
        <w:t>, in degrees Celsius. Note that this is mean temperature over the entire day (24 hours, including the night)</w:t>
      </w:r>
    </w:p>
    <w:p w14:paraId="09C698E8" w14:textId="66CB8A0C" w:rsidR="00676C85" w:rsidRPr="00CB093C" w:rsidRDefault="00676C85" w:rsidP="00AD06D4">
      <w:pPr>
        <w:pStyle w:val="ListParagraph"/>
        <w:numPr>
          <w:ilvl w:val="0"/>
          <w:numId w:val="14"/>
        </w:numPr>
        <w:spacing w:before="0" w:after="160" w:line="259" w:lineRule="auto"/>
        <w:rPr>
          <w:rFonts w:ascii="Arial" w:hAnsi="Arial" w:cs="Arial"/>
          <w:szCs w:val="22"/>
        </w:rPr>
      </w:pPr>
      <w:r w:rsidRPr="00CB093C">
        <w:rPr>
          <w:rFonts w:ascii="Arial" w:hAnsi="Arial" w:cs="Arial"/>
          <w:i/>
          <w:szCs w:val="22"/>
          <w:u w:val="single"/>
        </w:rPr>
        <w:t>Daily temperature variation</w:t>
      </w:r>
      <w:r w:rsidRPr="00CB093C">
        <w:rPr>
          <w:rFonts w:ascii="Arial" w:hAnsi="Arial" w:cs="Arial"/>
          <w:szCs w:val="22"/>
        </w:rPr>
        <w:t>, in degrees Celsius. This gives the maximum variation from the mean daily temperature over the 24 hour period. For example, if the user inputs a mean daily temperature of 28°C and a daily temperature variation of ±5°C, this means that the minimum temperature at any time during the day is 23°C and the maximum temperature at any time during the day is 33°C. A sinusoidal variation in temperature over the day is assumed</w:t>
      </w:r>
    </w:p>
    <w:p w14:paraId="22E4C291" w14:textId="297BE127" w:rsidR="00676C85" w:rsidRPr="00CB093C" w:rsidRDefault="00676C85" w:rsidP="00AD06D4">
      <w:pPr>
        <w:pStyle w:val="ListParagraph"/>
        <w:numPr>
          <w:ilvl w:val="0"/>
          <w:numId w:val="14"/>
        </w:numPr>
        <w:spacing w:before="0" w:after="160" w:line="259" w:lineRule="auto"/>
        <w:rPr>
          <w:rFonts w:ascii="Arial" w:hAnsi="Arial" w:cs="Arial"/>
          <w:szCs w:val="22"/>
        </w:rPr>
      </w:pPr>
      <w:r w:rsidRPr="00CB093C">
        <w:rPr>
          <w:rFonts w:ascii="Arial" w:hAnsi="Arial" w:cs="Arial"/>
          <w:i/>
          <w:szCs w:val="22"/>
          <w:u w:val="single"/>
        </w:rPr>
        <w:t>Time of maximum temperature</w:t>
      </w:r>
      <w:r w:rsidRPr="00CB093C">
        <w:rPr>
          <w:rFonts w:ascii="Arial" w:hAnsi="Arial" w:cs="Arial"/>
          <w:szCs w:val="22"/>
        </w:rPr>
        <w:t>, in hours after zenith. Since temperature always peaks in the afternoon, this gives the number of hours, after the sun was at its highest point, at which the maximum temperature is reached</w:t>
      </w:r>
    </w:p>
    <w:p w14:paraId="3D08F6B0" w14:textId="10795323" w:rsidR="00676C85" w:rsidRPr="00CB093C" w:rsidRDefault="00676C85" w:rsidP="00AD06D4">
      <w:pPr>
        <w:pStyle w:val="ListParagraph"/>
        <w:numPr>
          <w:ilvl w:val="0"/>
          <w:numId w:val="14"/>
        </w:numPr>
        <w:spacing w:before="0" w:after="160" w:line="259" w:lineRule="auto"/>
        <w:rPr>
          <w:rFonts w:ascii="Arial" w:hAnsi="Arial" w:cs="Arial"/>
          <w:szCs w:val="22"/>
        </w:rPr>
      </w:pPr>
      <w:r w:rsidRPr="00CB093C">
        <w:rPr>
          <w:rFonts w:ascii="Arial" w:hAnsi="Arial" w:cs="Arial"/>
          <w:i/>
          <w:szCs w:val="22"/>
          <w:u w:val="single"/>
        </w:rPr>
        <w:t>Total time period of stress,</w:t>
      </w:r>
      <w:r w:rsidRPr="00CB093C">
        <w:rPr>
          <w:rFonts w:ascii="Arial" w:hAnsi="Arial" w:cs="Arial"/>
          <w:szCs w:val="22"/>
        </w:rPr>
        <w:t xml:space="preserve"> in days. This input is used to forecast the “Cumulative stress (%) during total time period” (see next section)</w:t>
      </w:r>
    </w:p>
    <w:p w14:paraId="1BEC98C1" w14:textId="19772183" w:rsidR="00676C85" w:rsidRPr="00CB093C" w:rsidRDefault="00676C85" w:rsidP="00AD06D4">
      <w:pPr>
        <w:pStyle w:val="ListParagraph"/>
        <w:numPr>
          <w:ilvl w:val="0"/>
          <w:numId w:val="14"/>
        </w:numPr>
        <w:spacing w:before="0" w:after="160" w:line="259" w:lineRule="auto"/>
        <w:rPr>
          <w:rFonts w:ascii="Arial" w:hAnsi="Arial" w:cs="Arial"/>
          <w:szCs w:val="22"/>
        </w:rPr>
      </w:pPr>
      <w:r w:rsidRPr="00CB093C">
        <w:rPr>
          <w:rFonts w:ascii="Arial" w:hAnsi="Arial" w:cs="Arial"/>
          <w:i/>
          <w:szCs w:val="22"/>
          <w:u w:val="single"/>
        </w:rPr>
        <w:t>Number of statistical samples</w:t>
      </w:r>
      <w:r w:rsidRPr="00CB093C">
        <w:rPr>
          <w:rFonts w:ascii="Arial" w:hAnsi="Arial" w:cs="Arial"/>
          <w:szCs w:val="22"/>
        </w:rPr>
        <w:t>, with a default value of 10,000. A larger number of statistical samples takes longer for the program to calculate, but yields a more reproducible prediction. Hence, the user may want to run the program twice for the same inputs, to see if the results are reproducible. If the results are not the same, a larger number of statistical samples may be needed</w:t>
      </w:r>
    </w:p>
    <w:p w14:paraId="5EACDD48" w14:textId="77777777" w:rsidR="00676C85" w:rsidRPr="00CB093C" w:rsidRDefault="00676C85" w:rsidP="00AD06D4">
      <w:pPr>
        <w:pStyle w:val="ListParagraph"/>
        <w:numPr>
          <w:ilvl w:val="0"/>
          <w:numId w:val="14"/>
        </w:numPr>
        <w:spacing w:before="0" w:after="160" w:line="259" w:lineRule="auto"/>
        <w:rPr>
          <w:rFonts w:ascii="Arial" w:hAnsi="Arial" w:cs="Arial"/>
          <w:szCs w:val="22"/>
        </w:rPr>
      </w:pPr>
      <w:r w:rsidRPr="00CB093C">
        <w:rPr>
          <w:rFonts w:ascii="Arial" w:hAnsi="Arial" w:cs="Arial"/>
          <w:i/>
          <w:szCs w:val="22"/>
          <w:u w:val="single"/>
        </w:rPr>
        <w:t>The seagrass species of interest.</w:t>
      </w:r>
      <w:r w:rsidRPr="00CB093C">
        <w:rPr>
          <w:rFonts w:ascii="Arial" w:hAnsi="Arial" w:cs="Arial"/>
          <w:i/>
          <w:szCs w:val="22"/>
        </w:rPr>
        <w:t xml:space="preserve"> </w:t>
      </w:r>
      <w:r w:rsidRPr="00CB093C">
        <w:rPr>
          <w:rFonts w:ascii="Arial" w:hAnsi="Arial" w:cs="Arial"/>
          <w:szCs w:val="22"/>
        </w:rPr>
        <w:t xml:space="preserve">The user can choose one of 3 species available in the program: </w:t>
      </w:r>
      <w:r w:rsidRPr="00CB093C">
        <w:rPr>
          <w:rFonts w:ascii="Arial" w:hAnsi="Arial" w:cs="Arial"/>
          <w:i/>
          <w:szCs w:val="22"/>
        </w:rPr>
        <w:t>Halodule uninervis</w:t>
      </w:r>
      <w:r w:rsidRPr="00CB093C">
        <w:rPr>
          <w:rFonts w:ascii="Arial" w:hAnsi="Arial" w:cs="Arial"/>
          <w:szCs w:val="22"/>
        </w:rPr>
        <w:t xml:space="preserve">, </w:t>
      </w:r>
      <w:r w:rsidRPr="00CB093C">
        <w:rPr>
          <w:rFonts w:ascii="Arial" w:hAnsi="Arial" w:cs="Arial"/>
          <w:i/>
          <w:szCs w:val="22"/>
        </w:rPr>
        <w:t>Cymodocea serrulata</w:t>
      </w:r>
      <w:r w:rsidRPr="00CB093C">
        <w:rPr>
          <w:rFonts w:ascii="Arial" w:hAnsi="Arial" w:cs="Arial"/>
          <w:szCs w:val="22"/>
        </w:rPr>
        <w:t xml:space="preserve"> or </w:t>
      </w:r>
      <w:r w:rsidRPr="00CB093C">
        <w:rPr>
          <w:rFonts w:ascii="Arial" w:hAnsi="Arial" w:cs="Arial"/>
          <w:i/>
          <w:szCs w:val="22"/>
        </w:rPr>
        <w:t>Zostera muelleri</w:t>
      </w:r>
      <w:r w:rsidRPr="00CB093C">
        <w:rPr>
          <w:rFonts w:ascii="Arial" w:hAnsi="Arial" w:cs="Arial"/>
          <w:szCs w:val="22"/>
        </w:rPr>
        <w:t>.</w:t>
      </w:r>
    </w:p>
    <w:p w14:paraId="28B203B3" w14:textId="60E758A0" w:rsidR="00676C85" w:rsidRPr="00CB093C" w:rsidRDefault="00676C85" w:rsidP="00D2585E">
      <w:pPr>
        <w:pStyle w:val="Heading3"/>
        <w:numPr>
          <w:ilvl w:val="0"/>
          <w:numId w:val="0"/>
        </w:numPr>
        <w:rPr>
          <w:rFonts w:ascii="Arial" w:hAnsi="Arial" w:cs="Arial"/>
          <w:sz w:val="22"/>
          <w:szCs w:val="22"/>
        </w:rPr>
      </w:pPr>
      <w:bookmarkStart w:id="725" w:name="_Toc11394789"/>
      <w:r w:rsidRPr="00CB093C">
        <w:rPr>
          <w:rFonts w:ascii="Arial" w:hAnsi="Arial" w:cs="Arial"/>
          <w:sz w:val="22"/>
          <w:szCs w:val="22"/>
        </w:rPr>
        <w:t>Program Outputs</w:t>
      </w:r>
      <w:bookmarkEnd w:id="725"/>
    </w:p>
    <w:p w14:paraId="5044BD1F" w14:textId="77777777" w:rsidR="00676C85" w:rsidRPr="00CB093C" w:rsidRDefault="00676C85" w:rsidP="00676C85">
      <w:pPr>
        <w:rPr>
          <w:rFonts w:ascii="Arial" w:hAnsi="Arial" w:cs="Arial"/>
          <w:szCs w:val="22"/>
        </w:rPr>
      </w:pPr>
      <w:r w:rsidRPr="00CB093C">
        <w:rPr>
          <w:rFonts w:ascii="Arial" w:hAnsi="Arial" w:cs="Arial"/>
          <w:szCs w:val="22"/>
        </w:rPr>
        <w:t>After the user inputs all the above information, and clicks the “Calculate!” button, three outputs are generated:</w:t>
      </w:r>
    </w:p>
    <w:p w14:paraId="781838F5" w14:textId="77777777" w:rsidR="00676C85" w:rsidRPr="00CB093C" w:rsidRDefault="00676C85" w:rsidP="00AD06D4">
      <w:pPr>
        <w:pStyle w:val="ListParagraph"/>
        <w:numPr>
          <w:ilvl w:val="0"/>
          <w:numId w:val="7"/>
        </w:numPr>
        <w:spacing w:before="0" w:after="160" w:line="259" w:lineRule="auto"/>
        <w:rPr>
          <w:rFonts w:ascii="Arial" w:hAnsi="Arial" w:cs="Arial"/>
          <w:szCs w:val="22"/>
        </w:rPr>
      </w:pPr>
      <w:r w:rsidRPr="00CB093C">
        <w:rPr>
          <w:rFonts w:ascii="Arial" w:hAnsi="Arial" w:cs="Arial"/>
          <w:i/>
          <w:szCs w:val="22"/>
        </w:rPr>
        <w:t>Time to complete loss (weeks).</w:t>
      </w:r>
      <w:r w:rsidRPr="00CB093C">
        <w:rPr>
          <w:rFonts w:ascii="Arial" w:hAnsi="Arial" w:cs="Arial"/>
          <w:szCs w:val="22"/>
        </w:rPr>
        <w:t xml:space="preserve"> If this output is “&gt;52” then the stress to the seagrass is very low.</w:t>
      </w:r>
    </w:p>
    <w:p w14:paraId="544E0205" w14:textId="77777777" w:rsidR="00676C85" w:rsidRPr="00CB093C" w:rsidRDefault="00676C85" w:rsidP="00AD06D4">
      <w:pPr>
        <w:pStyle w:val="ListParagraph"/>
        <w:numPr>
          <w:ilvl w:val="0"/>
          <w:numId w:val="7"/>
        </w:numPr>
        <w:spacing w:before="0" w:after="160" w:line="259" w:lineRule="auto"/>
        <w:rPr>
          <w:rFonts w:ascii="Arial" w:hAnsi="Arial" w:cs="Arial"/>
          <w:szCs w:val="22"/>
        </w:rPr>
      </w:pPr>
      <w:r w:rsidRPr="00CB093C">
        <w:rPr>
          <w:rFonts w:ascii="Arial" w:hAnsi="Arial" w:cs="Arial"/>
          <w:i/>
          <w:szCs w:val="22"/>
        </w:rPr>
        <w:t>Cumulative stress (%) per day.</w:t>
      </w:r>
      <w:r w:rsidRPr="00CB093C">
        <w:rPr>
          <w:rFonts w:ascii="Arial" w:hAnsi="Arial" w:cs="Arial"/>
          <w:szCs w:val="22"/>
        </w:rPr>
        <w:t xml:space="preserve"> This number is calculated from:</w:t>
      </w:r>
    </w:p>
    <w:p w14:paraId="4FB04CC3" w14:textId="77777777" w:rsidR="00676C85" w:rsidRPr="00CB093C" w:rsidRDefault="00676C85" w:rsidP="00676C85">
      <w:pPr>
        <w:pStyle w:val="ListParagraph"/>
        <w:rPr>
          <w:rFonts w:ascii="Arial" w:hAnsi="Arial" w:cs="Arial"/>
          <w:szCs w:val="22"/>
        </w:rPr>
      </w:pPr>
    </w:p>
    <w:p w14:paraId="397DB19A" w14:textId="2AF4C492" w:rsidR="00676C85" w:rsidRPr="00CB093C" w:rsidRDefault="00676C85" w:rsidP="00676C85">
      <w:pPr>
        <w:tabs>
          <w:tab w:val="center" w:pos="5245"/>
        </w:tabs>
        <w:rPr>
          <w:rFonts w:ascii="Arial" w:hAnsi="Arial" w:cs="Arial"/>
          <w:szCs w:val="22"/>
        </w:rPr>
      </w:pPr>
      <w:r w:rsidRPr="00CB093C">
        <w:rPr>
          <w:rFonts w:ascii="Arial" w:hAnsi="Arial" w:cs="Arial"/>
          <w:szCs w:val="22"/>
        </w:rPr>
        <w:tab/>
      </w:r>
      <w:r w:rsidR="00C911E4" w:rsidRPr="00CB093C">
        <w:rPr>
          <w:rFonts w:ascii="Arial" w:hAnsi="Arial" w:cs="Arial"/>
          <w:noProof/>
          <w:position w:val="-28"/>
          <w:szCs w:val="22"/>
        </w:rPr>
        <w:object w:dxaOrig="6740" w:dyaOrig="660" w14:anchorId="3F847E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ormula for cumulative stress" style="width:333.65pt;height:33pt;mso-width-percent:0;mso-height-percent:0;mso-width-percent:0;mso-height-percent:0" o:ole="" o:bordertopcolor="this" o:borderleftcolor="this" o:borderbottomcolor="this" o:borderrightcolor="this">
            <v:imagedata r:id="rId159" o:title=""/>
          </v:shape>
          <o:OLEObject Type="Embed" ProgID="Equation.DSMT4" ShapeID="_x0000_i1025" DrawAspect="Content" ObjectID="_1626615595" r:id="rId160"/>
        </w:object>
      </w:r>
      <w:r w:rsidRPr="00CB093C">
        <w:rPr>
          <w:rFonts w:ascii="Arial" w:hAnsi="Arial" w:cs="Arial"/>
          <w:szCs w:val="22"/>
        </w:rPr>
        <w:br/>
        <w:t xml:space="preserve"> </w:t>
      </w:r>
    </w:p>
    <w:p w14:paraId="261335D7" w14:textId="77777777" w:rsidR="00676C85" w:rsidRPr="00CB093C" w:rsidRDefault="00676C85" w:rsidP="00AD06D4">
      <w:pPr>
        <w:pStyle w:val="ListParagraph"/>
        <w:numPr>
          <w:ilvl w:val="0"/>
          <w:numId w:val="7"/>
        </w:numPr>
        <w:tabs>
          <w:tab w:val="center" w:pos="5245"/>
        </w:tabs>
        <w:spacing w:before="0" w:after="160" w:line="259" w:lineRule="auto"/>
        <w:rPr>
          <w:rFonts w:ascii="Arial" w:hAnsi="Arial" w:cs="Arial"/>
          <w:szCs w:val="22"/>
        </w:rPr>
      </w:pPr>
      <w:r w:rsidRPr="00CB093C">
        <w:rPr>
          <w:rFonts w:ascii="Arial" w:hAnsi="Arial" w:cs="Arial"/>
          <w:i/>
          <w:szCs w:val="22"/>
        </w:rPr>
        <w:t>Cumulative stress (%) during total time period</w:t>
      </w:r>
      <w:r w:rsidRPr="00CB093C">
        <w:rPr>
          <w:rFonts w:ascii="Arial" w:hAnsi="Arial" w:cs="Arial"/>
          <w:szCs w:val="22"/>
        </w:rPr>
        <w:t>. This number is calculated from</w:t>
      </w:r>
    </w:p>
    <w:p w14:paraId="4A054B3A" w14:textId="77777777" w:rsidR="00676C85" w:rsidRPr="00CB093C" w:rsidRDefault="00676C85" w:rsidP="00676C85">
      <w:pPr>
        <w:pStyle w:val="ListParagraph"/>
        <w:tabs>
          <w:tab w:val="center" w:pos="5245"/>
        </w:tabs>
        <w:rPr>
          <w:rFonts w:ascii="Arial" w:hAnsi="Arial" w:cs="Arial"/>
          <w:szCs w:val="22"/>
        </w:rPr>
      </w:pPr>
    </w:p>
    <w:p w14:paraId="4823CCE8" w14:textId="526AF828" w:rsidR="00676C85" w:rsidRPr="00CB093C" w:rsidRDefault="00676C85" w:rsidP="00676C85">
      <w:pPr>
        <w:pStyle w:val="ListParagraph"/>
        <w:tabs>
          <w:tab w:val="center" w:pos="5245"/>
        </w:tabs>
        <w:ind w:left="0"/>
        <w:rPr>
          <w:rFonts w:ascii="Arial" w:hAnsi="Arial" w:cs="Arial"/>
          <w:szCs w:val="22"/>
        </w:rPr>
      </w:pPr>
      <w:r w:rsidRPr="00CB093C">
        <w:rPr>
          <w:rFonts w:ascii="Arial" w:hAnsi="Arial" w:cs="Arial"/>
          <w:szCs w:val="22"/>
        </w:rPr>
        <w:tab/>
      </w:r>
      <w:r w:rsidR="00C911E4" w:rsidRPr="00CB093C">
        <w:rPr>
          <w:rFonts w:ascii="Arial" w:hAnsi="Arial" w:cs="Arial"/>
          <w:noProof/>
          <w:position w:val="-28"/>
          <w:szCs w:val="22"/>
        </w:rPr>
        <w:object w:dxaOrig="6800" w:dyaOrig="680" w14:anchorId="1CDC3372">
          <v:shape id="_x0000_i1026" type="#_x0000_t75" alt="Formula for cumulative stress per unit time" style="width:340.35pt;height:33pt;mso-width-percent:0;mso-height-percent:0;mso-width-percent:0;mso-height-percent:0" o:ole="" o:bordertopcolor="this" o:borderleftcolor="this" o:borderbottomcolor="this" o:borderrightcolor="this">
            <v:imagedata r:id="rId161" o:title=""/>
          </v:shape>
          <o:OLEObject Type="Embed" ProgID="Equation.DSMT4" ShapeID="_x0000_i1026" DrawAspect="Content" ObjectID="_1626615596" r:id="rId162"/>
        </w:object>
      </w:r>
      <w:r w:rsidRPr="00CB093C">
        <w:rPr>
          <w:rFonts w:ascii="Arial" w:hAnsi="Arial" w:cs="Arial"/>
          <w:szCs w:val="22"/>
        </w:rPr>
        <w:br/>
      </w:r>
    </w:p>
    <w:p w14:paraId="2078BC25" w14:textId="77777777" w:rsidR="00676C85" w:rsidRPr="00CB093C" w:rsidRDefault="00676C85" w:rsidP="00676C85">
      <w:pPr>
        <w:pStyle w:val="ListParagraph"/>
        <w:tabs>
          <w:tab w:val="center" w:pos="5245"/>
        </w:tabs>
        <w:rPr>
          <w:rFonts w:ascii="Arial" w:hAnsi="Arial" w:cs="Arial"/>
          <w:szCs w:val="22"/>
        </w:rPr>
      </w:pPr>
      <w:r w:rsidRPr="00CB093C">
        <w:rPr>
          <w:rFonts w:ascii="Arial" w:hAnsi="Arial" w:cs="Arial"/>
          <w:szCs w:val="22"/>
        </w:rPr>
        <w:t>If this reaches 100%, then the program predicts that the seagrass may perish during the time period of stress due to light and temperature.</w:t>
      </w:r>
    </w:p>
    <w:p w14:paraId="52D6A571" w14:textId="77777777" w:rsidR="00676C85" w:rsidRPr="00CB093C" w:rsidRDefault="00676C85" w:rsidP="00676C85">
      <w:pPr>
        <w:tabs>
          <w:tab w:val="center" w:pos="5245"/>
        </w:tabs>
        <w:rPr>
          <w:rFonts w:ascii="Arial" w:hAnsi="Arial" w:cs="Arial"/>
          <w:szCs w:val="22"/>
        </w:rPr>
      </w:pPr>
      <w:r w:rsidRPr="00CB093C">
        <w:rPr>
          <w:rFonts w:ascii="Arial" w:hAnsi="Arial" w:cs="Arial"/>
          <w:szCs w:val="22"/>
        </w:rPr>
        <w:t>For all three program outputs, three numbers are generated: (1) the lower bound of the 95% credible interval, (2) the median value, and (3) the upper bound of the 95% credible interval. The lower and upper bounds of the 95% credible interval can be interpreted as follows: Given the data used to inform the model in the program, there is a 95% probability that the true value falls between these two bounds.</w:t>
      </w:r>
    </w:p>
    <w:p w14:paraId="1563E37A" w14:textId="7F1DCF86" w:rsidR="001A6BA7" w:rsidRPr="00CB093C" w:rsidRDefault="001A6BA7" w:rsidP="00D2585E">
      <w:pPr>
        <w:pStyle w:val="Heading3"/>
        <w:numPr>
          <w:ilvl w:val="0"/>
          <w:numId w:val="0"/>
        </w:numPr>
        <w:rPr>
          <w:rFonts w:ascii="Arial" w:hAnsi="Arial" w:cs="Arial"/>
          <w:sz w:val="22"/>
          <w:szCs w:val="22"/>
        </w:rPr>
      </w:pPr>
      <w:bookmarkStart w:id="726" w:name="_Toc11394790"/>
      <w:r w:rsidRPr="00CB093C">
        <w:rPr>
          <w:rFonts w:ascii="Arial" w:hAnsi="Arial" w:cs="Arial"/>
          <w:sz w:val="22"/>
          <w:szCs w:val="22"/>
        </w:rPr>
        <w:t>Alpha testing</w:t>
      </w:r>
      <w:bookmarkEnd w:id="726"/>
    </w:p>
    <w:p w14:paraId="580C6C64" w14:textId="77777777" w:rsidR="00E830B3" w:rsidRPr="00CB093C" w:rsidRDefault="00C06A90" w:rsidP="00187926">
      <w:pPr>
        <w:tabs>
          <w:tab w:val="center" w:pos="5245"/>
        </w:tabs>
        <w:rPr>
          <w:rFonts w:ascii="Arial" w:hAnsi="Arial" w:cs="Arial"/>
          <w:szCs w:val="22"/>
        </w:rPr>
      </w:pPr>
      <w:r w:rsidRPr="00CB093C">
        <w:rPr>
          <w:rFonts w:ascii="Arial" w:hAnsi="Arial" w:cs="Arial"/>
          <w:szCs w:val="22"/>
        </w:rPr>
        <w:t xml:space="preserve">The software was </w:t>
      </w:r>
      <w:r w:rsidR="007A70FE" w:rsidRPr="00CB093C">
        <w:rPr>
          <w:rFonts w:ascii="Arial" w:hAnsi="Arial" w:cs="Arial"/>
          <w:szCs w:val="22"/>
        </w:rPr>
        <w:t>operationally</w:t>
      </w:r>
      <w:r w:rsidR="00454976" w:rsidRPr="00CB093C">
        <w:rPr>
          <w:rFonts w:ascii="Arial" w:hAnsi="Arial" w:cs="Arial"/>
          <w:szCs w:val="22"/>
        </w:rPr>
        <w:t xml:space="preserve"> tested </w:t>
      </w:r>
      <w:r w:rsidRPr="00CB093C">
        <w:rPr>
          <w:rFonts w:ascii="Arial" w:hAnsi="Arial" w:cs="Arial"/>
          <w:szCs w:val="22"/>
        </w:rPr>
        <w:t>internally</w:t>
      </w:r>
      <w:r w:rsidR="00454976" w:rsidRPr="00CB093C">
        <w:rPr>
          <w:rFonts w:ascii="Arial" w:hAnsi="Arial" w:cs="Arial"/>
          <w:szCs w:val="22"/>
        </w:rPr>
        <w:t>,</w:t>
      </w:r>
      <w:r w:rsidRPr="00CB093C">
        <w:rPr>
          <w:rFonts w:ascii="Arial" w:hAnsi="Arial" w:cs="Arial"/>
          <w:szCs w:val="22"/>
        </w:rPr>
        <w:t xml:space="preserve"> using actual data from four MMP locations, to assess application accuracy and credibility of model outputs. </w:t>
      </w:r>
      <w:r w:rsidR="00187926" w:rsidRPr="00CB093C">
        <w:rPr>
          <w:rFonts w:ascii="Arial" w:hAnsi="Arial" w:cs="Arial"/>
          <w:szCs w:val="22"/>
        </w:rPr>
        <w:t>I</w:t>
      </w:r>
      <w:r w:rsidRPr="00CB093C">
        <w:rPr>
          <w:rFonts w:ascii="Arial" w:hAnsi="Arial" w:cs="Arial"/>
          <w:szCs w:val="22"/>
        </w:rPr>
        <w:t>ntertidal and subtidal site</w:t>
      </w:r>
      <w:r w:rsidR="00187926" w:rsidRPr="00CB093C">
        <w:rPr>
          <w:rFonts w:ascii="Arial" w:hAnsi="Arial" w:cs="Arial"/>
          <w:szCs w:val="22"/>
        </w:rPr>
        <w:t>s</w:t>
      </w:r>
      <w:r w:rsidRPr="00CB093C">
        <w:rPr>
          <w:rFonts w:ascii="Arial" w:hAnsi="Arial" w:cs="Arial"/>
          <w:szCs w:val="22"/>
        </w:rPr>
        <w:t xml:space="preserve"> w</w:t>
      </w:r>
      <w:r w:rsidR="00187926" w:rsidRPr="00CB093C">
        <w:rPr>
          <w:rFonts w:ascii="Arial" w:hAnsi="Arial" w:cs="Arial"/>
          <w:szCs w:val="22"/>
        </w:rPr>
        <w:t>ere</w:t>
      </w:r>
      <w:r w:rsidRPr="00CB093C">
        <w:rPr>
          <w:rFonts w:ascii="Arial" w:hAnsi="Arial" w:cs="Arial"/>
          <w:szCs w:val="22"/>
        </w:rPr>
        <w:t xml:space="preserve"> selected from the Wet Tropics and the Burdekin (dry tropics) regions for comparison</w:t>
      </w:r>
      <w:r w:rsidR="00187926" w:rsidRPr="00CB093C">
        <w:rPr>
          <w:rFonts w:ascii="Arial" w:hAnsi="Arial" w:cs="Arial"/>
          <w:szCs w:val="22"/>
        </w:rPr>
        <w:t xml:space="preserve">, because conditions between the regions can be extreme (both good and bad), and the sites/locations also have long (nearly two decade) data series. </w:t>
      </w:r>
    </w:p>
    <w:p w14:paraId="329FAFB2" w14:textId="5A746467" w:rsidR="00E830B3" w:rsidRPr="00CB093C" w:rsidRDefault="00187926" w:rsidP="00187926">
      <w:pPr>
        <w:tabs>
          <w:tab w:val="center" w:pos="5245"/>
        </w:tabs>
        <w:rPr>
          <w:rFonts w:ascii="Arial" w:hAnsi="Arial" w:cs="Arial"/>
          <w:szCs w:val="22"/>
        </w:rPr>
      </w:pPr>
      <w:r w:rsidRPr="00CB093C">
        <w:rPr>
          <w:rFonts w:ascii="Arial" w:hAnsi="Arial" w:cs="Arial"/>
          <w:szCs w:val="22"/>
        </w:rPr>
        <w:t xml:space="preserve">The Cumulative Stress Index (CSI), average temperature and average daily light over the wet season (December to April) were plotted over the long-term for the four locations each monitoring period (Figure 2). Also included is the average </w:t>
      </w:r>
      <w:r w:rsidR="00034033" w:rsidRPr="00CB093C">
        <w:rPr>
          <w:rFonts w:ascii="Arial" w:hAnsi="Arial" w:cs="Arial"/>
          <w:szCs w:val="22"/>
        </w:rPr>
        <w:t>abundance score (</w:t>
      </w:r>
      <w:r w:rsidR="00882B72" w:rsidRPr="00CB093C">
        <w:rPr>
          <w:rFonts w:ascii="Arial" w:hAnsi="Arial" w:cs="Arial"/>
          <w:szCs w:val="22"/>
        </w:rPr>
        <w:t>%</w:t>
      </w:r>
      <w:r w:rsidRPr="00CB093C">
        <w:rPr>
          <w:rFonts w:ascii="Arial" w:hAnsi="Arial" w:cs="Arial"/>
          <w:szCs w:val="22"/>
        </w:rPr>
        <w:t xml:space="preserve"> cover </w:t>
      </w:r>
      <w:r w:rsidR="00034033" w:rsidRPr="00CB093C">
        <w:rPr>
          <w:rFonts w:ascii="Arial" w:hAnsi="Arial" w:cs="Arial"/>
          <w:szCs w:val="22"/>
        </w:rPr>
        <w:t xml:space="preserve">relative to guideline, see section </w:t>
      </w:r>
      <w:r w:rsidR="00034033" w:rsidRPr="00CB093C">
        <w:rPr>
          <w:rFonts w:ascii="Arial" w:hAnsi="Arial" w:cs="Arial"/>
          <w:szCs w:val="22"/>
        </w:rPr>
        <w:fldChar w:fldCharType="begin"/>
      </w:r>
      <w:r w:rsidR="00034033" w:rsidRPr="00CB093C">
        <w:rPr>
          <w:rFonts w:ascii="Arial" w:hAnsi="Arial" w:cs="Arial"/>
          <w:szCs w:val="22"/>
        </w:rPr>
        <w:instrText xml:space="preserve"> REF _Ref534355097 \r \h </w:instrText>
      </w:r>
      <w:r w:rsidR="00CB093C" w:rsidRPr="00CB093C">
        <w:rPr>
          <w:rFonts w:ascii="Arial" w:hAnsi="Arial" w:cs="Arial"/>
          <w:szCs w:val="22"/>
        </w:rPr>
        <w:instrText xml:space="preserve"> \* MERGEFORMAT </w:instrText>
      </w:r>
      <w:r w:rsidR="00034033" w:rsidRPr="00CB093C">
        <w:rPr>
          <w:rFonts w:ascii="Arial" w:hAnsi="Arial" w:cs="Arial"/>
          <w:szCs w:val="22"/>
        </w:rPr>
      </w:r>
      <w:r w:rsidR="00034033" w:rsidRPr="00CB093C">
        <w:rPr>
          <w:rFonts w:ascii="Arial" w:hAnsi="Arial" w:cs="Arial"/>
          <w:szCs w:val="22"/>
        </w:rPr>
        <w:fldChar w:fldCharType="separate"/>
      </w:r>
      <w:r w:rsidR="005F00D4">
        <w:rPr>
          <w:rFonts w:ascii="Arial" w:hAnsi="Arial" w:cs="Arial"/>
          <w:szCs w:val="22"/>
        </w:rPr>
        <w:t>2.5.1</w:t>
      </w:r>
      <w:r w:rsidR="00034033" w:rsidRPr="00CB093C">
        <w:rPr>
          <w:rFonts w:ascii="Arial" w:hAnsi="Arial" w:cs="Arial"/>
          <w:szCs w:val="22"/>
        </w:rPr>
        <w:fldChar w:fldCharType="end"/>
      </w:r>
      <w:r w:rsidR="00034033" w:rsidRPr="00CB093C">
        <w:rPr>
          <w:rFonts w:ascii="Arial" w:hAnsi="Arial" w:cs="Arial"/>
          <w:szCs w:val="22"/>
        </w:rPr>
        <w:t xml:space="preserve"> in main report) </w:t>
      </w:r>
      <w:r w:rsidRPr="00CB093C">
        <w:rPr>
          <w:rFonts w:ascii="Arial" w:hAnsi="Arial" w:cs="Arial"/>
          <w:szCs w:val="22"/>
        </w:rPr>
        <w:t xml:space="preserve">for the site/location to determine if there was any type of relationship. </w:t>
      </w:r>
    </w:p>
    <w:p w14:paraId="41E6BFA3" w14:textId="3E3CBADB" w:rsidR="00187926" w:rsidRPr="00CB093C" w:rsidRDefault="00187926" w:rsidP="00187926">
      <w:pPr>
        <w:tabs>
          <w:tab w:val="center" w:pos="5245"/>
        </w:tabs>
        <w:rPr>
          <w:rFonts w:ascii="Arial" w:hAnsi="Arial" w:cs="Arial"/>
          <w:szCs w:val="22"/>
        </w:rPr>
      </w:pPr>
      <w:r w:rsidRPr="00CB093C">
        <w:rPr>
          <w:rFonts w:ascii="Arial" w:hAnsi="Arial" w:cs="Arial"/>
          <w:szCs w:val="22"/>
        </w:rPr>
        <w:t xml:space="preserve">The </w:t>
      </w:r>
      <w:r w:rsidR="00DF5042" w:rsidRPr="00CB093C">
        <w:rPr>
          <w:rFonts w:ascii="Arial" w:hAnsi="Arial" w:cs="Arial"/>
          <w:szCs w:val="22"/>
        </w:rPr>
        <w:t xml:space="preserve">NRM </w:t>
      </w:r>
      <w:r w:rsidRPr="00CB093C">
        <w:rPr>
          <w:rFonts w:ascii="Arial" w:hAnsi="Arial" w:cs="Arial"/>
          <w:szCs w:val="22"/>
        </w:rPr>
        <w:t xml:space="preserve">regional seagrass condition index (i.e. </w:t>
      </w:r>
      <w:r w:rsidR="00882B72" w:rsidRPr="00CB093C">
        <w:rPr>
          <w:rFonts w:ascii="Arial" w:hAnsi="Arial" w:cs="Arial"/>
          <w:szCs w:val="22"/>
        </w:rPr>
        <w:t>%</w:t>
      </w:r>
      <w:r w:rsidRPr="00CB093C">
        <w:rPr>
          <w:rFonts w:ascii="Arial" w:hAnsi="Arial" w:cs="Arial"/>
          <w:szCs w:val="22"/>
        </w:rPr>
        <w:t xml:space="preserve"> cover, reproductive effort and tissue nutrient combined index</w:t>
      </w:r>
      <w:r w:rsidR="00034033" w:rsidRPr="00CB093C">
        <w:rPr>
          <w:rFonts w:ascii="Arial" w:hAnsi="Arial" w:cs="Arial"/>
          <w:szCs w:val="22"/>
        </w:rPr>
        <w:t xml:space="preserve">, see section </w:t>
      </w:r>
      <w:r w:rsidR="00034033" w:rsidRPr="00CB093C">
        <w:rPr>
          <w:rFonts w:ascii="Arial" w:hAnsi="Arial" w:cs="Arial"/>
          <w:szCs w:val="22"/>
        </w:rPr>
        <w:fldChar w:fldCharType="begin"/>
      </w:r>
      <w:r w:rsidR="00034033" w:rsidRPr="00CB093C">
        <w:rPr>
          <w:rFonts w:ascii="Arial" w:hAnsi="Arial" w:cs="Arial"/>
          <w:szCs w:val="22"/>
        </w:rPr>
        <w:instrText xml:space="preserve"> REF _Ref534355168 \r \h </w:instrText>
      </w:r>
      <w:r w:rsidR="00CB093C" w:rsidRPr="00CB093C">
        <w:rPr>
          <w:rFonts w:ascii="Arial" w:hAnsi="Arial" w:cs="Arial"/>
          <w:szCs w:val="22"/>
        </w:rPr>
        <w:instrText xml:space="preserve"> \* MERGEFORMAT </w:instrText>
      </w:r>
      <w:r w:rsidR="00034033" w:rsidRPr="00CB093C">
        <w:rPr>
          <w:rFonts w:ascii="Arial" w:hAnsi="Arial" w:cs="Arial"/>
          <w:szCs w:val="22"/>
        </w:rPr>
      </w:r>
      <w:r w:rsidR="00034033" w:rsidRPr="00CB093C">
        <w:rPr>
          <w:rFonts w:ascii="Arial" w:hAnsi="Arial" w:cs="Arial"/>
          <w:szCs w:val="22"/>
        </w:rPr>
        <w:fldChar w:fldCharType="separate"/>
      </w:r>
      <w:r w:rsidR="005F00D4">
        <w:rPr>
          <w:rFonts w:ascii="Arial" w:hAnsi="Arial" w:cs="Arial"/>
          <w:szCs w:val="22"/>
        </w:rPr>
        <w:t>0</w:t>
      </w:r>
      <w:r w:rsidR="00034033" w:rsidRPr="00CB093C">
        <w:rPr>
          <w:rFonts w:ascii="Arial" w:hAnsi="Arial" w:cs="Arial"/>
          <w:szCs w:val="22"/>
        </w:rPr>
        <w:fldChar w:fldCharType="end"/>
      </w:r>
      <w:r w:rsidR="00034033" w:rsidRPr="00CB093C">
        <w:rPr>
          <w:rFonts w:ascii="Arial" w:hAnsi="Arial" w:cs="Arial"/>
          <w:szCs w:val="22"/>
        </w:rPr>
        <w:t xml:space="preserve"> in main report</w:t>
      </w:r>
      <w:r w:rsidRPr="00CB093C">
        <w:rPr>
          <w:rFonts w:ascii="Arial" w:hAnsi="Arial" w:cs="Arial"/>
          <w:szCs w:val="22"/>
        </w:rPr>
        <w:t xml:space="preserve">), was used to provide some indication of whether overall resilience corresponds to the CSI. The variation in the CSI appears to relate more closely to variation in </w:t>
      </w:r>
      <w:r w:rsidR="00596539" w:rsidRPr="00CB093C">
        <w:rPr>
          <w:rFonts w:ascii="Arial" w:hAnsi="Arial" w:cs="Arial"/>
          <w:szCs w:val="22"/>
        </w:rPr>
        <w:t>the abundance indicator (</w:t>
      </w:r>
      <w:r w:rsidR="00882B72" w:rsidRPr="00CB093C">
        <w:rPr>
          <w:rFonts w:ascii="Arial" w:hAnsi="Arial" w:cs="Arial"/>
          <w:szCs w:val="22"/>
        </w:rPr>
        <w:t>%</w:t>
      </w:r>
      <w:r w:rsidRPr="00CB093C">
        <w:rPr>
          <w:rFonts w:ascii="Arial" w:hAnsi="Arial" w:cs="Arial"/>
          <w:szCs w:val="22"/>
        </w:rPr>
        <w:t xml:space="preserve"> cover</w:t>
      </w:r>
      <w:r w:rsidR="00596539" w:rsidRPr="00CB093C">
        <w:rPr>
          <w:rFonts w:ascii="Arial" w:hAnsi="Arial" w:cs="Arial"/>
          <w:szCs w:val="22"/>
        </w:rPr>
        <w:t>)</w:t>
      </w:r>
      <w:r w:rsidRPr="00CB093C">
        <w:rPr>
          <w:rFonts w:ascii="Arial" w:hAnsi="Arial" w:cs="Arial"/>
          <w:szCs w:val="22"/>
        </w:rPr>
        <w:t xml:space="preserve"> and the seagrass </w:t>
      </w:r>
      <w:r w:rsidR="007A70FE" w:rsidRPr="00CB093C">
        <w:rPr>
          <w:rFonts w:ascii="Arial" w:hAnsi="Arial" w:cs="Arial"/>
          <w:szCs w:val="22"/>
        </w:rPr>
        <w:t>condition</w:t>
      </w:r>
      <w:r w:rsidRPr="00CB093C">
        <w:rPr>
          <w:rFonts w:ascii="Arial" w:hAnsi="Arial" w:cs="Arial"/>
          <w:szCs w:val="22"/>
        </w:rPr>
        <w:t xml:space="preserve"> index, than either temperature or </w:t>
      </w:r>
      <w:r w:rsidR="00596539" w:rsidRPr="00CB093C">
        <w:rPr>
          <w:rFonts w:ascii="Arial" w:hAnsi="Arial" w:cs="Arial"/>
          <w:szCs w:val="22"/>
        </w:rPr>
        <w:t xml:space="preserve">daily </w:t>
      </w:r>
      <w:r w:rsidRPr="00CB093C">
        <w:rPr>
          <w:rFonts w:ascii="Arial" w:hAnsi="Arial" w:cs="Arial"/>
          <w:szCs w:val="22"/>
        </w:rPr>
        <w:t xml:space="preserve">light alone. Temperature and </w:t>
      </w:r>
      <w:r w:rsidR="00596539" w:rsidRPr="00CB093C">
        <w:rPr>
          <w:rFonts w:ascii="Arial" w:hAnsi="Arial" w:cs="Arial"/>
          <w:szCs w:val="22"/>
        </w:rPr>
        <w:t xml:space="preserve">daily </w:t>
      </w:r>
      <w:r w:rsidRPr="00CB093C">
        <w:rPr>
          <w:rFonts w:ascii="Arial" w:hAnsi="Arial" w:cs="Arial"/>
          <w:szCs w:val="22"/>
        </w:rPr>
        <w:t>light vary greatly, and don’t necessarily reflect biological responses. The CSI appears more consistent, with the exception at Yule Point where there seems to be a lag in response.</w:t>
      </w:r>
    </w:p>
    <w:p w14:paraId="0F95BD44" w14:textId="77777777" w:rsidR="00676C85" w:rsidRPr="00CB093C" w:rsidRDefault="00676C85" w:rsidP="00187926">
      <w:pPr>
        <w:keepNext/>
        <w:tabs>
          <w:tab w:val="center" w:pos="5245"/>
        </w:tabs>
        <w:jc w:val="center"/>
        <w:rPr>
          <w:rFonts w:ascii="Arial" w:hAnsi="Arial" w:cs="Arial"/>
          <w:szCs w:val="22"/>
        </w:rPr>
      </w:pPr>
      <w:r w:rsidRPr="00CB093C">
        <w:rPr>
          <w:rFonts w:ascii="Arial" w:hAnsi="Arial" w:cs="Arial"/>
          <w:noProof/>
          <w:szCs w:val="22"/>
          <w:lang w:val="en-US"/>
        </w:rPr>
        <w:drawing>
          <wp:inline distT="0" distB="0" distL="0" distR="0" wp14:anchorId="2F036DF7" wp14:editId="21512FA8">
            <wp:extent cx="5759450" cy="3184867"/>
            <wp:effectExtent l="0" t="0" r="0" b="0"/>
            <wp:docPr id="560" name="Picture 560" descr="Panel of four figures illustration example application of the CSI at sites in the Burdekin and Wet Tropics regions. The stress index was calculated for the wet season, from December to April, in each year. Also shown are the abundances and seagrass condition score for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 name="Figure 1 CSI 4 sites temporal plot.pdf"/>
                    <pic:cNvPicPr/>
                  </pic:nvPicPr>
                  <pic:blipFill>
                    <a:blip r:embed="rId163">
                      <a:extLst>
                        <a:ext uri="{28A0092B-C50C-407E-A947-70E740481C1C}">
                          <a14:useLocalDpi xmlns:a14="http://schemas.microsoft.com/office/drawing/2010/main" val="0"/>
                        </a:ext>
                      </a:extLst>
                    </a:blip>
                    <a:stretch>
                      <a:fillRect/>
                    </a:stretch>
                  </pic:blipFill>
                  <pic:spPr>
                    <a:xfrm>
                      <a:off x="0" y="0"/>
                      <a:ext cx="5759450" cy="3184867"/>
                    </a:xfrm>
                    <a:prstGeom prst="rect">
                      <a:avLst/>
                    </a:prstGeom>
                  </pic:spPr>
                </pic:pic>
              </a:graphicData>
            </a:graphic>
          </wp:inline>
        </w:drawing>
      </w:r>
    </w:p>
    <w:p w14:paraId="4B7D8796" w14:textId="38692282" w:rsidR="00187926" w:rsidRPr="00CB093C" w:rsidRDefault="00187926" w:rsidP="00187926">
      <w:pPr>
        <w:jc w:val="center"/>
        <w:rPr>
          <w:rFonts w:ascii="Arial" w:hAnsi="Arial" w:cs="Arial"/>
          <w:i/>
          <w:szCs w:val="22"/>
        </w:rPr>
      </w:pPr>
      <w:r w:rsidRPr="00CB093C">
        <w:rPr>
          <w:rFonts w:ascii="Arial" w:hAnsi="Arial" w:cs="Arial"/>
          <w:szCs w:val="22"/>
        </w:rPr>
        <w:t xml:space="preserve">Figure 2. </w:t>
      </w:r>
      <w:r w:rsidRPr="00CB093C">
        <w:rPr>
          <w:rFonts w:ascii="Arial" w:hAnsi="Arial" w:cs="Arial"/>
          <w:i/>
          <w:szCs w:val="22"/>
        </w:rPr>
        <w:t>Example application of the CSI at sites in the Burdekin and Wet Tropics regions</w:t>
      </w:r>
      <w:r w:rsidR="00B6602D" w:rsidRPr="00CB093C">
        <w:rPr>
          <w:rFonts w:ascii="Arial" w:hAnsi="Arial" w:cs="Arial"/>
          <w:i/>
          <w:szCs w:val="22"/>
        </w:rPr>
        <w:t xml:space="preserve"> (</w:t>
      </w:r>
      <w:r w:rsidR="00B6602D" w:rsidRPr="00CB093C">
        <w:rPr>
          <w:rFonts w:ascii="Arial" w:hAnsi="Arial" w:cs="Arial"/>
          <w:i/>
          <w:szCs w:val="22"/>
        </w:rPr>
        <w:fldChar w:fldCharType="begin"/>
      </w:r>
      <w:r w:rsidR="00B6602D" w:rsidRPr="00CB093C">
        <w:rPr>
          <w:rFonts w:ascii="Arial" w:hAnsi="Arial" w:cs="Arial"/>
          <w:i/>
          <w:szCs w:val="22"/>
        </w:rPr>
        <w:instrText xml:space="preserve"> REF _Ref533677820 \h </w:instrText>
      </w:r>
      <w:r w:rsidR="00CB093C" w:rsidRPr="00CB093C">
        <w:rPr>
          <w:rFonts w:ascii="Arial" w:hAnsi="Arial" w:cs="Arial"/>
          <w:i/>
          <w:szCs w:val="22"/>
        </w:rPr>
        <w:instrText xml:space="preserve"> \* MERGEFORMAT </w:instrText>
      </w:r>
      <w:r w:rsidR="00B6602D" w:rsidRPr="00CB093C">
        <w:rPr>
          <w:rFonts w:ascii="Arial" w:hAnsi="Arial" w:cs="Arial"/>
          <w:i/>
          <w:szCs w:val="22"/>
        </w:rPr>
      </w:r>
      <w:r w:rsidR="00B6602D" w:rsidRPr="00CB093C">
        <w:rPr>
          <w:rFonts w:ascii="Arial" w:hAnsi="Arial" w:cs="Arial"/>
          <w:i/>
          <w:szCs w:val="22"/>
        </w:rPr>
        <w:fldChar w:fldCharType="separate"/>
      </w:r>
      <w:r w:rsidR="005F00D4" w:rsidRPr="00CB093C">
        <w:rPr>
          <w:rFonts w:ascii="Arial" w:hAnsi="Arial" w:cs="Arial"/>
          <w:szCs w:val="22"/>
        </w:rPr>
        <w:t xml:space="preserve">Figure </w:t>
      </w:r>
      <w:r w:rsidR="005F00D4">
        <w:rPr>
          <w:rFonts w:ascii="Arial" w:hAnsi="Arial" w:cs="Arial"/>
          <w:noProof/>
          <w:szCs w:val="22"/>
        </w:rPr>
        <w:t>41</w:t>
      </w:r>
      <w:r w:rsidR="00B6602D" w:rsidRPr="00CB093C">
        <w:rPr>
          <w:rFonts w:ascii="Arial" w:hAnsi="Arial" w:cs="Arial"/>
          <w:i/>
          <w:szCs w:val="22"/>
        </w:rPr>
        <w:fldChar w:fldCharType="end"/>
      </w:r>
      <w:r w:rsidR="00B6602D" w:rsidRPr="00CB093C">
        <w:rPr>
          <w:rFonts w:ascii="Arial" w:hAnsi="Arial" w:cs="Arial"/>
          <w:i/>
          <w:szCs w:val="22"/>
        </w:rPr>
        <w:t xml:space="preserve">, </w:t>
      </w:r>
      <w:r w:rsidR="00B6602D" w:rsidRPr="00CB093C">
        <w:rPr>
          <w:rFonts w:ascii="Arial" w:hAnsi="Arial" w:cs="Arial"/>
          <w:i/>
          <w:szCs w:val="22"/>
        </w:rPr>
        <w:fldChar w:fldCharType="begin"/>
      </w:r>
      <w:r w:rsidR="00B6602D" w:rsidRPr="00CB093C">
        <w:rPr>
          <w:rFonts w:ascii="Arial" w:hAnsi="Arial" w:cs="Arial"/>
          <w:i/>
          <w:szCs w:val="22"/>
        </w:rPr>
        <w:instrText xml:space="preserve"> REF _Ref442441725 \h </w:instrText>
      </w:r>
      <w:r w:rsidR="00CB093C" w:rsidRPr="00CB093C">
        <w:rPr>
          <w:rFonts w:ascii="Arial" w:hAnsi="Arial" w:cs="Arial"/>
          <w:i/>
          <w:szCs w:val="22"/>
        </w:rPr>
        <w:instrText xml:space="preserve"> \* MERGEFORMAT </w:instrText>
      </w:r>
      <w:r w:rsidR="00B6602D" w:rsidRPr="00CB093C">
        <w:rPr>
          <w:rFonts w:ascii="Arial" w:hAnsi="Arial" w:cs="Arial"/>
          <w:i/>
          <w:szCs w:val="22"/>
        </w:rPr>
      </w:r>
      <w:r w:rsidR="00B6602D" w:rsidRPr="00CB093C">
        <w:rPr>
          <w:rFonts w:ascii="Arial" w:hAnsi="Arial" w:cs="Arial"/>
          <w:i/>
          <w:szCs w:val="22"/>
        </w:rPr>
        <w:fldChar w:fldCharType="separate"/>
      </w:r>
      <w:r w:rsidR="005F00D4" w:rsidRPr="00CB093C">
        <w:rPr>
          <w:rFonts w:ascii="Arial" w:hAnsi="Arial" w:cs="Arial"/>
          <w:szCs w:val="22"/>
        </w:rPr>
        <w:t xml:space="preserve">Figure </w:t>
      </w:r>
      <w:r w:rsidR="005F00D4">
        <w:rPr>
          <w:rFonts w:ascii="Arial" w:hAnsi="Arial" w:cs="Arial"/>
          <w:noProof/>
          <w:szCs w:val="22"/>
        </w:rPr>
        <w:t>55</w:t>
      </w:r>
      <w:r w:rsidR="00B6602D" w:rsidRPr="00CB093C">
        <w:rPr>
          <w:rFonts w:ascii="Arial" w:hAnsi="Arial" w:cs="Arial"/>
          <w:i/>
          <w:szCs w:val="22"/>
        </w:rPr>
        <w:fldChar w:fldCharType="end"/>
      </w:r>
      <w:r w:rsidR="00B6602D" w:rsidRPr="00CB093C">
        <w:rPr>
          <w:rFonts w:ascii="Arial" w:hAnsi="Arial" w:cs="Arial"/>
          <w:i/>
          <w:szCs w:val="22"/>
        </w:rPr>
        <w:t>)</w:t>
      </w:r>
      <w:r w:rsidRPr="00CB093C">
        <w:rPr>
          <w:rFonts w:ascii="Arial" w:hAnsi="Arial" w:cs="Arial"/>
          <w:i/>
          <w:szCs w:val="22"/>
        </w:rPr>
        <w:t xml:space="preserve">. The stress index was calculated for the wet season, from December to April, in each year. Also shown are the </w:t>
      </w:r>
      <w:r w:rsidR="00E830B3" w:rsidRPr="00CB093C">
        <w:rPr>
          <w:rFonts w:ascii="Arial" w:hAnsi="Arial" w:cs="Arial"/>
          <w:i/>
          <w:szCs w:val="22"/>
        </w:rPr>
        <w:t xml:space="preserve">abundances </w:t>
      </w:r>
      <w:r w:rsidRPr="00CB093C">
        <w:rPr>
          <w:rFonts w:ascii="Arial" w:hAnsi="Arial" w:cs="Arial"/>
          <w:i/>
          <w:szCs w:val="22"/>
        </w:rPr>
        <w:t xml:space="preserve">and </w:t>
      </w:r>
      <w:r w:rsidR="00E830B3" w:rsidRPr="00CB093C">
        <w:rPr>
          <w:rFonts w:ascii="Arial" w:hAnsi="Arial" w:cs="Arial"/>
          <w:i/>
          <w:szCs w:val="22"/>
        </w:rPr>
        <w:t xml:space="preserve">seagrass condition </w:t>
      </w:r>
      <w:r w:rsidRPr="00CB093C">
        <w:rPr>
          <w:rFonts w:ascii="Arial" w:hAnsi="Arial" w:cs="Arial"/>
          <w:i/>
          <w:szCs w:val="22"/>
        </w:rPr>
        <w:t>score for the region.</w:t>
      </w:r>
    </w:p>
    <w:p w14:paraId="05FC8D6B" w14:textId="77777777" w:rsidR="00D11F51" w:rsidRPr="00CB093C" w:rsidRDefault="00D11F51" w:rsidP="00D11F51">
      <w:pPr>
        <w:rPr>
          <w:rFonts w:ascii="Arial" w:hAnsi="Arial" w:cs="Arial"/>
          <w:szCs w:val="22"/>
        </w:rPr>
      </w:pPr>
    </w:p>
    <w:p w14:paraId="426AC74D" w14:textId="6AD25AFE" w:rsidR="00D11F51" w:rsidRPr="00CB093C" w:rsidRDefault="00D11F51" w:rsidP="00D11F51">
      <w:pPr>
        <w:rPr>
          <w:rFonts w:ascii="Arial" w:hAnsi="Arial" w:cs="Arial"/>
          <w:szCs w:val="22"/>
        </w:rPr>
      </w:pPr>
      <w:r w:rsidRPr="00CB093C">
        <w:rPr>
          <w:rFonts w:ascii="Arial" w:hAnsi="Arial" w:cs="Arial"/>
          <w:szCs w:val="22"/>
        </w:rPr>
        <w:t xml:space="preserve">CSI at some sites was always quite low (e.g. GI3), while at BB1 it was always quite high. For this reason, it may be more rational to examine how CSI varies relative to how it usually is at that site. Therefore, we plotted the CSI deviation from the long-term average at Burdekin and Wet Tropics sites (Figure 3), as evaluating between the individual light and temperature plots to determine </w:t>
      </w:r>
      <w:r w:rsidR="002877CC" w:rsidRPr="00CB093C">
        <w:rPr>
          <w:rFonts w:ascii="Arial" w:hAnsi="Arial" w:cs="Arial"/>
          <w:szCs w:val="22"/>
        </w:rPr>
        <w:t xml:space="preserve">whether </w:t>
      </w:r>
      <w:r w:rsidRPr="00CB093C">
        <w:rPr>
          <w:rFonts w:ascii="Arial" w:hAnsi="Arial" w:cs="Arial"/>
          <w:szCs w:val="22"/>
        </w:rPr>
        <w:t xml:space="preserve">the response relative to the long-term </w:t>
      </w:r>
      <w:r w:rsidR="001A3A81" w:rsidRPr="00CB093C">
        <w:rPr>
          <w:rFonts w:ascii="Arial" w:hAnsi="Arial" w:cs="Arial"/>
          <w:szCs w:val="22"/>
        </w:rPr>
        <w:t>is anomalous</w:t>
      </w:r>
      <w:r w:rsidRPr="00CB093C">
        <w:rPr>
          <w:rFonts w:ascii="Arial" w:hAnsi="Arial" w:cs="Arial"/>
          <w:szCs w:val="22"/>
        </w:rPr>
        <w:t xml:space="preserve">. This plot (Figure 3) provides a rapid view of the combined light and temperature risk, and assists in assessing how the wet season year was for these environmental variables at a glance. Overall, </w:t>
      </w:r>
      <w:r w:rsidR="003654C6">
        <w:rPr>
          <w:rFonts w:ascii="Arial" w:hAnsi="Arial" w:cs="Arial"/>
          <w:szCs w:val="22"/>
        </w:rPr>
        <w:t>2017–18</w:t>
      </w:r>
      <w:r w:rsidR="00C81636" w:rsidRPr="00CB093C">
        <w:rPr>
          <w:rFonts w:ascii="Arial" w:hAnsi="Arial" w:cs="Arial"/>
          <w:szCs w:val="22"/>
        </w:rPr>
        <w:t xml:space="preserve"> </w:t>
      </w:r>
      <w:r w:rsidRPr="00CB093C">
        <w:rPr>
          <w:rFonts w:ascii="Arial" w:hAnsi="Arial" w:cs="Arial"/>
          <w:szCs w:val="22"/>
        </w:rPr>
        <w:t>was a somewhat ‘moderate year’. In the Wet Tropics light was low at some sites, but temperature was moderate, so the overall CSI was quite neutral in terms of deviation from long-term average.</w:t>
      </w:r>
    </w:p>
    <w:p w14:paraId="156CB230" w14:textId="33D24A0A" w:rsidR="00D11F51" w:rsidRPr="00CB093C" w:rsidRDefault="00D11F51" w:rsidP="00D11F51">
      <w:pPr>
        <w:rPr>
          <w:rFonts w:ascii="Arial" w:hAnsi="Arial" w:cs="Arial"/>
          <w:szCs w:val="22"/>
        </w:rPr>
      </w:pPr>
      <w:r w:rsidRPr="00CB093C">
        <w:rPr>
          <w:rFonts w:ascii="Arial" w:hAnsi="Arial" w:cs="Arial"/>
          <w:szCs w:val="22"/>
        </w:rPr>
        <w:t xml:space="preserve">To provide a preliminary examination of the presence of any correlations between CSI, seagrass </w:t>
      </w:r>
      <w:r w:rsidR="00882B72" w:rsidRPr="00CB093C">
        <w:rPr>
          <w:rFonts w:ascii="Arial" w:hAnsi="Arial" w:cs="Arial"/>
          <w:szCs w:val="22"/>
        </w:rPr>
        <w:t>%</w:t>
      </w:r>
      <w:r w:rsidRPr="00CB093C">
        <w:rPr>
          <w:rFonts w:ascii="Arial" w:hAnsi="Arial" w:cs="Arial"/>
          <w:szCs w:val="22"/>
        </w:rPr>
        <w:t xml:space="preserve"> cover or the seagrass condition index, we plotted a few examples (Figure 4). The correlation is present but weak for the Index and CSI. This requires more detailed analysis and in the future, we plan to examine how the CSI relates to a biological response using a lag function, as the CSI is for the wet season (Dec</w:t>
      </w:r>
      <w:r w:rsidR="00C215FC" w:rsidRPr="00CB093C">
        <w:rPr>
          <w:rFonts w:ascii="Arial" w:hAnsi="Arial" w:cs="Arial"/>
          <w:szCs w:val="22"/>
        </w:rPr>
        <w:t>–</w:t>
      </w:r>
      <w:r w:rsidRPr="00CB093C">
        <w:rPr>
          <w:rFonts w:ascii="Arial" w:hAnsi="Arial" w:cs="Arial"/>
          <w:szCs w:val="22"/>
        </w:rPr>
        <w:t>April), but the Index is for the entire year (May</w:t>
      </w:r>
      <w:r w:rsidR="00C215FC" w:rsidRPr="00CB093C">
        <w:rPr>
          <w:rFonts w:ascii="Arial" w:hAnsi="Arial" w:cs="Arial"/>
          <w:szCs w:val="22"/>
        </w:rPr>
        <w:t>–</w:t>
      </w:r>
      <w:r w:rsidRPr="00CB093C">
        <w:rPr>
          <w:rFonts w:ascii="Arial" w:hAnsi="Arial" w:cs="Arial"/>
          <w:szCs w:val="22"/>
        </w:rPr>
        <w:t>April).</w:t>
      </w:r>
    </w:p>
    <w:p w14:paraId="241D71F9" w14:textId="77777777" w:rsidR="00676C85" w:rsidRPr="00CB093C" w:rsidRDefault="00676C85" w:rsidP="00187926">
      <w:pPr>
        <w:keepNext/>
        <w:tabs>
          <w:tab w:val="center" w:pos="5245"/>
        </w:tabs>
        <w:jc w:val="center"/>
        <w:rPr>
          <w:rFonts w:ascii="Arial" w:hAnsi="Arial" w:cs="Arial"/>
          <w:noProof/>
          <w:szCs w:val="22"/>
          <w:lang w:eastAsia="en-AU"/>
        </w:rPr>
      </w:pPr>
      <w:r w:rsidRPr="00CB093C">
        <w:rPr>
          <w:rFonts w:ascii="Arial" w:hAnsi="Arial" w:cs="Arial"/>
          <w:szCs w:val="22"/>
          <w:lang w:val="en-GB"/>
        </w:rPr>
        <w:br w:type="column"/>
      </w:r>
      <w:r w:rsidRPr="00CB093C">
        <w:rPr>
          <w:rFonts w:ascii="Arial" w:hAnsi="Arial" w:cs="Arial"/>
          <w:noProof/>
          <w:szCs w:val="22"/>
          <w:lang w:val="en-US"/>
        </w:rPr>
        <w:drawing>
          <wp:inline distT="0" distB="0" distL="0" distR="0" wp14:anchorId="2318A02D" wp14:editId="764F9D77">
            <wp:extent cx="5759450" cy="6978015"/>
            <wp:effectExtent l="0" t="0" r="0" b="0"/>
            <wp:docPr id="570" name="Picture 570" descr="Figure illustrating an example application of how the Cumulative Stress Index can be used in comparison to augment the interpretation of light and temperature anomalies. Example given is a figure of four panels which illustrates environmental pressures in the Reef during 2017-2018 and relative to the long-term, with the Cumulative Stress Index for the Burdekin and Wet Tropics sites. Left panel shows frequency of turbid water exposure from December 2017 to April 2018 and plume extent (10% boundary) in 2017–2018 relative to the long-term average, illustrating where plumes extended further in some areas and not as far in others in 2017–2018. Second panel shows within-canopy daily light for all sites, and the deviation in daily light relative to the long-term average. Third panel shows within-canopy water temperature, and deviation water temperature from the long-term average. Right panel shows the Cumulative Stress Index for the Burdekin and Wet Tropics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 name="all_sites_2018_v1-01.png"/>
                    <pic:cNvPicPr/>
                  </pic:nvPicPr>
                  <pic:blipFill>
                    <a:blip r:embed="rId164"/>
                    <a:stretch>
                      <a:fillRect/>
                    </a:stretch>
                  </pic:blipFill>
                  <pic:spPr>
                    <a:xfrm>
                      <a:off x="0" y="0"/>
                      <a:ext cx="5759450" cy="6978015"/>
                    </a:xfrm>
                    <a:prstGeom prst="rect">
                      <a:avLst/>
                    </a:prstGeom>
                  </pic:spPr>
                </pic:pic>
              </a:graphicData>
            </a:graphic>
          </wp:inline>
        </w:drawing>
      </w:r>
    </w:p>
    <w:p w14:paraId="71A1D20B" w14:textId="634A8EDC" w:rsidR="00187926" w:rsidRPr="00CB093C" w:rsidRDefault="00187926" w:rsidP="00187926">
      <w:pPr>
        <w:jc w:val="center"/>
        <w:rPr>
          <w:rFonts w:ascii="Arial" w:hAnsi="Arial" w:cs="Arial"/>
          <w:szCs w:val="22"/>
        </w:rPr>
      </w:pPr>
      <w:r w:rsidRPr="00CB093C">
        <w:rPr>
          <w:rFonts w:ascii="Arial" w:hAnsi="Arial" w:cs="Arial"/>
          <w:szCs w:val="22"/>
        </w:rPr>
        <w:t xml:space="preserve">Figure 3. </w:t>
      </w:r>
      <w:r w:rsidRPr="00CB093C">
        <w:rPr>
          <w:rFonts w:ascii="Arial" w:hAnsi="Arial" w:cs="Arial"/>
          <w:i/>
          <w:szCs w:val="22"/>
        </w:rPr>
        <w:t>Example application of the CSI in comparison to augment the interpretation of light and temperature anomalies. Example given is for the Burdekin and Wet Tropics sites.</w:t>
      </w:r>
    </w:p>
    <w:p w14:paraId="5027692F" w14:textId="716C1C56" w:rsidR="00676C85" w:rsidRPr="00CB093C" w:rsidRDefault="006668BE" w:rsidP="006668BE">
      <w:pPr>
        <w:keepNext/>
        <w:tabs>
          <w:tab w:val="center" w:pos="5245"/>
        </w:tabs>
        <w:jc w:val="center"/>
        <w:rPr>
          <w:rFonts w:ascii="Arial" w:hAnsi="Arial" w:cs="Arial"/>
          <w:noProof/>
          <w:szCs w:val="22"/>
          <w:lang w:eastAsia="en-AU"/>
        </w:rPr>
      </w:pPr>
      <w:r w:rsidRPr="00CB093C">
        <w:rPr>
          <w:rFonts w:ascii="Arial" w:hAnsi="Arial" w:cs="Arial"/>
          <w:noProof/>
          <w:szCs w:val="22"/>
          <w:lang w:val="en-US"/>
        </w:rPr>
        <w:drawing>
          <wp:inline distT="0" distB="0" distL="0" distR="0" wp14:anchorId="5B87F4D8" wp14:editId="4DCAF631">
            <wp:extent cx="5759450" cy="1800860"/>
            <wp:effectExtent l="0" t="0" r="0" b="8890"/>
            <wp:docPr id="1" name="Picture 1" descr="Two figures illustrating the results of preliminary examination to identify possible correlations at the Burdekin and Wet Tropics sites between CSI and the seagrass condition index (a), or the seagrass abundance indicator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3 CSI correlations_Index.png"/>
                    <pic:cNvPicPr/>
                  </pic:nvPicPr>
                  <pic:blipFill>
                    <a:blip r:embed="rId165">
                      <a:extLst>
                        <a:ext uri="{28A0092B-C50C-407E-A947-70E740481C1C}">
                          <a14:useLocalDpi xmlns:a14="http://schemas.microsoft.com/office/drawing/2010/main" val="0"/>
                        </a:ext>
                      </a:extLst>
                    </a:blip>
                    <a:stretch>
                      <a:fillRect/>
                    </a:stretch>
                  </pic:blipFill>
                  <pic:spPr>
                    <a:xfrm>
                      <a:off x="0" y="0"/>
                      <a:ext cx="5759450" cy="1800860"/>
                    </a:xfrm>
                    <a:prstGeom prst="rect">
                      <a:avLst/>
                    </a:prstGeom>
                  </pic:spPr>
                </pic:pic>
              </a:graphicData>
            </a:graphic>
          </wp:inline>
        </w:drawing>
      </w:r>
    </w:p>
    <w:p w14:paraId="55F4AF71" w14:textId="5D39BE2D" w:rsidR="00794DCB" w:rsidRPr="00CB093C" w:rsidRDefault="00794DCB" w:rsidP="00794DCB">
      <w:pPr>
        <w:jc w:val="center"/>
        <w:rPr>
          <w:rFonts w:ascii="Arial" w:hAnsi="Arial" w:cs="Arial"/>
          <w:szCs w:val="22"/>
        </w:rPr>
      </w:pPr>
      <w:r w:rsidRPr="00CB093C">
        <w:rPr>
          <w:rFonts w:ascii="Arial" w:hAnsi="Arial" w:cs="Arial"/>
          <w:szCs w:val="22"/>
        </w:rPr>
        <w:t xml:space="preserve">Figure 4. </w:t>
      </w:r>
      <w:r w:rsidRPr="00CB093C">
        <w:rPr>
          <w:rFonts w:ascii="Arial" w:hAnsi="Arial" w:cs="Arial"/>
          <w:i/>
          <w:szCs w:val="22"/>
        </w:rPr>
        <w:t xml:space="preserve">Preliminary examination to identify possible correlations at the Burdekin and Wet Tropics sites between CSI and the seagrass </w:t>
      </w:r>
      <w:r w:rsidR="007A70FE" w:rsidRPr="00CB093C">
        <w:rPr>
          <w:rFonts w:ascii="Arial" w:hAnsi="Arial" w:cs="Arial"/>
          <w:i/>
          <w:szCs w:val="22"/>
        </w:rPr>
        <w:t>condition</w:t>
      </w:r>
      <w:r w:rsidRPr="00CB093C">
        <w:rPr>
          <w:rFonts w:ascii="Arial" w:hAnsi="Arial" w:cs="Arial"/>
          <w:i/>
          <w:szCs w:val="22"/>
        </w:rPr>
        <w:t xml:space="preserve"> index (a), or the seagrass abundance indicator (b).</w:t>
      </w:r>
    </w:p>
    <w:p w14:paraId="1D3EAD64" w14:textId="77777777" w:rsidR="00794DCB" w:rsidRPr="00CB093C" w:rsidRDefault="00794DCB" w:rsidP="00676C85">
      <w:pPr>
        <w:rPr>
          <w:rFonts w:ascii="Arial" w:hAnsi="Arial" w:cs="Arial"/>
          <w:szCs w:val="22"/>
          <w:lang w:val="en-GB"/>
        </w:rPr>
      </w:pPr>
    </w:p>
    <w:p w14:paraId="12FB13A8" w14:textId="0594E588" w:rsidR="00676C85" w:rsidRPr="00CB093C" w:rsidRDefault="00676C85" w:rsidP="00D2585E">
      <w:pPr>
        <w:pStyle w:val="Heading3"/>
        <w:numPr>
          <w:ilvl w:val="0"/>
          <w:numId w:val="0"/>
        </w:numPr>
        <w:rPr>
          <w:rFonts w:ascii="Arial" w:hAnsi="Arial" w:cs="Arial"/>
          <w:sz w:val="22"/>
          <w:szCs w:val="22"/>
        </w:rPr>
      </w:pPr>
      <w:bookmarkStart w:id="727" w:name="_Toc11394791"/>
      <w:r w:rsidRPr="00CB093C">
        <w:rPr>
          <w:rFonts w:ascii="Arial" w:hAnsi="Arial" w:cs="Arial"/>
          <w:sz w:val="22"/>
          <w:szCs w:val="22"/>
        </w:rPr>
        <w:t>References</w:t>
      </w:r>
      <w:bookmarkEnd w:id="727"/>
    </w:p>
    <w:p w14:paraId="452DD6DE" w14:textId="24EDE616" w:rsidR="00676C85" w:rsidRPr="00CB093C" w:rsidRDefault="00676C85" w:rsidP="00676C85">
      <w:pPr>
        <w:ind w:left="567" w:hanging="567"/>
        <w:contextualSpacing/>
        <w:rPr>
          <w:rFonts w:ascii="Arial" w:hAnsi="Arial" w:cs="Arial"/>
          <w:szCs w:val="22"/>
          <w:lang w:val="en-GB"/>
        </w:rPr>
      </w:pPr>
      <w:r w:rsidRPr="00CB093C">
        <w:rPr>
          <w:rFonts w:ascii="Arial" w:hAnsi="Arial" w:cs="Arial"/>
          <w:szCs w:val="22"/>
          <w:lang w:val="en-GB"/>
        </w:rPr>
        <w:t>Collier, C.J., Adams, M.P., Langlois, L., Waycott, M., O’Brien, K.R., Maxwell, P.S., McKenzie, L.</w:t>
      </w:r>
      <w:r w:rsidR="00513C39" w:rsidRPr="00CB093C">
        <w:rPr>
          <w:rFonts w:ascii="Arial" w:hAnsi="Arial" w:cs="Arial"/>
          <w:szCs w:val="22"/>
          <w:lang w:val="en-GB"/>
        </w:rPr>
        <w:t>J.</w:t>
      </w:r>
      <w:r w:rsidRPr="00CB093C">
        <w:rPr>
          <w:rFonts w:ascii="Arial" w:hAnsi="Arial" w:cs="Arial"/>
          <w:szCs w:val="22"/>
          <w:lang w:val="en-GB"/>
        </w:rPr>
        <w:t xml:space="preserve"> 2016</w:t>
      </w:r>
      <w:r w:rsidR="00513C39" w:rsidRPr="00CB093C">
        <w:rPr>
          <w:rFonts w:ascii="Arial" w:hAnsi="Arial" w:cs="Arial"/>
          <w:szCs w:val="22"/>
          <w:lang w:val="en-GB"/>
        </w:rPr>
        <w:t>,</w:t>
      </w:r>
      <w:r w:rsidRPr="00CB093C">
        <w:rPr>
          <w:rFonts w:ascii="Arial" w:hAnsi="Arial" w:cs="Arial"/>
          <w:szCs w:val="22"/>
          <w:lang w:val="en-GB"/>
        </w:rPr>
        <w:t xml:space="preserve"> Thresholds for morphological response to light reduction for four tropical seagrass species. </w:t>
      </w:r>
      <w:r w:rsidRPr="00CB093C">
        <w:rPr>
          <w:rFonts w:ascii="Arial" w:hAnsi="Arial" w:cs="Arial"/>
          <w:i/>
          <w:szCs w:val="22"/>
          <w:lang w:val="en-GB"/>
        </w:rPr>
        <w:t>Ecological Indicators</w:t>
      </w:r>
      <w:r w:rsidRPr="00CB093C">
        <w:rPr>
          <w:rFonts w:ascii="Arial" w:hAnsi="Arial" w:cs="Arial"/>
          <w:szCs w:val="22"/>
          <w:lang w:val="en-GB"/>
        </w:rPr>
        <w:t xml:space="preserve"> 67: 358-366.</w:t>
      </w:r>
    </w:p>
    <w:p w14:paraId="0A98DD64" w14:textId="227C99BC" w:rsidR="00676C85" w:rsidRPr="00CB093C" w:rsidRDefault="00676C85" w:rsidP="00676C85">
      <w:pPr>
        <w:ind w:left="567" w:hanging="567"/>
        <w:contextualSpacing/>
        <w:rPr>
          <w:rFonts w:ascii="Arial" w:hAnsi="Arial" w:cs="Arial"/>
          <w:szCs w:val="22"/>
          <w:lang w:val="en-GB"/>
        </w:rPr>
      </w:pPr>
      <w:r w:rsidRPr="00CB093C">
        <w:rPr>
          <w:rFonts w:ascii="Arial" w:hAnsi="Arial" w:cs="Arial"/>
          <w:szCs w:val="22"/>
          <w:lang w:val="en-GB"/>
        </w:rPr>
        <w:t>Collier, C.J., Langlois, L., Ow, Y., Johansson, C., Giammusso, M., Adams, M.P</w:t>
      </w:r>
      <w:r w:rsidR="00513C39" w:rsidRPr="00CB093C">
        <w:rPr>
          <w:rFonts w:ascii="Arial" w:hAnsi="Arial" w:cs="Arial"/>
          <w:szCs w:val="22"/>
          <w:lang w:val="en-GB"/>
        </w:rPr>
        <w:t xml:space="preserve">., O’Brien, K.R., Uthicke, S. </w:t>
      </w:r>
      <w:r w:rsidRPr="00CB093C">
        <w:rPr>
          <w:rFonts w:ascii="Arial" w:hAnsi="Arial" w:cs="Arial"/>
          <w:szCs w:val="22"/>
          <w:lang w:val="en-GB"/>
        </w:rPr>
        <w:t>2018</w:t>
      </w:r>
      <w:r w:rsidR="00513C39" w:rsidRPr="00CB093C">
        <w:rPr>
          <w:rFonts w:ascii="Arial" w:hAnsi="Arial" w:cs="Arial"/>
          <w:szCs w:val="22"/>
          <w:lang w:val="en-GB"/>
        </w:rPr>
        <w:t>,</w:t>
      </w:r>
      <w:r w:rsidRPr="00CB093C">
        <w:rPr>
          <w:rFonts w:ascii="Arial" w:hAnsi="Arial" w:cs="Arial"/>
          <w:szCs w:val="22"/>
          <w:lang w:val="en-GB"/>
        </w:rPr>
        <w:t xml:space="preserve"> Losing a winner: thermal stress and local pressures outweigh the positive effects of ocean acidification for tropical seagrasses. </w:t>
      </w:r>
      <w:r w:rsidRPr="00CB093C">
        <w:rPr>
          <w:rFonts w:ascii="Arial" w:hAnsi="Arial" w:cs="Arial"/>
          <w:i/>
          <w:szCs w:val="22"/>
          <w:lang w:val="en-GB"/>
        </w:rPr>
        <w:t>New Phytologist</w:t>
      </w:r>
      <w:r w:rsidRPr="00CB093C">
        <w:rPr>
          <w:rFonts w:ascii="Arial" w:hAnsi="Arial" w:cs="Arial"/>
          <w:szCs w:val="22"/>
          <w:lang w:val="en-GB"/>
        </w:rPr>
        <w:t xml:space="preserve"> 219: 1005-1017.</w:t>
      </w:r>
    </w:p>
    <w:p w14:paraId="2571F788" w14:textId="3CE5FD75" w:rsidR="00676C85" w:rsidRPr="00CB093C" w:rsidRDefault="00676C85" w:rsidP="00676C85">
      <w:pPr>
        <w:ind w:left="567" w:hanging="567"/>
        <w:contextualSpacing/>
        <w:rPr>
          <w:rFonts w:ascii="Arial" w:hAnsi="Arial" w:cs="Arial"/>
          <w:szCs w:val="22"/>
          <w:lang w:val="en-GB"/>
        </w:rPr>
      </w:pPr>
      <w:r w:rsidRPr="00CB093C">
        <w:rPr>
          <w:rFonts w:ascii="Arial" w:hAnsi="Arial" w:cs="Arial"/>
          <w:szCs w:val="22"/>
          <w:lang w:val="en-GB"/>
        </w:rPr>
        <w:t>Girolami, M. 2008</w:t>
      </w:r>
      <w:r w:rsidR="00513C39" w:rsidRPr="00CB093C">
        <w:rPr>
          <w:rFonts w:ascii="Arial" w:hAnsi="Arial" w:cs="Arial"/>
          <w:szCs w:val="22"/>
          <w:lang w:val="en-GB"/>
        </w:rPr>
        <w:t>,</w:t>
      </w:r>
      <w:r w:rsidRPr="00CB093C">
        <w:rPr>
          <w:rFonts w:ascii="Arial" w:hAnsi="Arial" w:cs="Arial"/>
          <w:szCs w:val="22"/>
          <w:lang w:val="en-GB"/>
        </w:rPr>
        <w:t xml:space="preserve"> Bayesian inference for differential equations. </w:t>
      </w:r>
      <w:r w:rsidRPr="00CB093C">
        <w:rPr>
          <w:rFonts w:ascii="Arial" w:hAnsi="Arial" w:cs="Arial"/>
          <w:i/>
          <w:szCs w:val="22"/>
          <w:lang w:val="en-GB"/>
        </w:rPr>
        <w:t>Theoretical Computer Science</w:t>
      </w:r>
      <w:r w:rsidRPr="00CB093C">
        <w:rPr>
          <w:rFonts w:ascii="Arial" w:hAnsi="Arial" w:cs="Arial"/>
          <w:szCs w:val="22"/>
          <w:lang w:val="en-GB"/>
        </w:rPr>
        <w:t xml:space="preserve"> 408: 4-16.</w:t>
      </w:r>
    </w:p>
    <w:p w14:paraId="2031EAB5" w14:textId="75289A74" w:rsidR="00676C85" w:rsidRPr="00CB093C" w:rsidRDefault="00676C85" w:rsidP="00676C85">
      <w:pPr>
        <w:ind w:left="567" w:hanging="567"/>
        <w:contextualSpacing/>
        <w:rPr>
          <w:rFonts w:ascii="Arial" w:hAnsi="Arial" w:cs="Arial"/>
          <w:szCs w:val="22"/>
          <w:lang w:val="en-GB"/>
        </w:rPr>
      </w:pPr>
      <w:r w:rsidRPr="00CB093C">
        <w:rPr>
          <w:rFonts w:ascii="Arial" w:hAnsi="Arial" w:cs="Arial"/>
          <w:szCs w:val="22"/>
          <w:lang w:val="en-GB"/>
        </w:rPr>
        <w:t>Gleeson, M. W.</w:t>
      </w:r>
      <w:r w:rsidR="00513C39" w:rsidRPr="00CB093C">
        <w:rPr>
          <w:rFonts w:ascii="Arial" w:hAnsi="Arial" w:cs="Arial"/>
          <w:szCs w:val="22"/>
          <w:lang w:val="en-GB"/>
        </w:rPr>
        <w:t xml:space="preserve"> and</w:t>
      </w:r>
      <w:r w:rsidRPr="00CB093C">
        <w:rPr>
          <w:rFonts w:ascii="Arial" w:hAnsi="Arial" w:cs="Arial"/>
          <w:szCs w:val="22"/>
          <w:lang w:val="en-GB"/>
        </w:rPr>
        <w:t xml:space="preserve"> Strong, A.E. 1995</w:t>
      </w:r>
      <w:r w:rsidR="00513C39" w:rsidRPr="00CB093C">
        <w:rPr>
          <w:rFonts w:ascii="Arial" w:hAnsi="Arial" w:cs="Arial"/>
          <w:szCs w:val="22"/>
          <w:lang w:val="en-GB"/>
        </w:rPr>
        <w:t>,</w:t>
      </w:r>
      <w:r w:rsidRPr="00CB093C">
        <w:rPr>
          <w:rFonts w:ascii="Arial" w:hAnsi="Arial" w:cs="Arial"/>
          <w:szCs w:val="22"/>
          <w:lang w:val="en-GB"/>
        </w:rPr>
        <w:t xml:space="preserve"> Applying MCSST to coral reef bleaching. </w:t>
      </w:r>
      <w:r w:rsidRPr="00CB093C">
        <w:rPr>
          <w:rFonts w:ascii="Arial" w:hAnsi="Arial" w:cs="Arial"/>
          <w:i/>
          <w:szCs w:val="22"/>
          <w:lang w:val="en-GB"/>
        </w:rPr>
        <w:t>Advances in Space Research</w:t>
      </w:r>
      <w:r w:rsidRPr="00CB093C">
        <w:rPr>
          <w:rFonts w:ascii="Arial" w:hAnsi="Arial" w:cs="Arial"/>
          <w:szCs w:val="22"/>
          <w:lang w:val="en-GB"/>
        </w:rPr>
        <w:t xml:space="preserve"> 16: (10)151-(10)154.</w:t>
      </w:r>
    </w:p>
    <w:p w14:paraId="3605F47A" w14:textId="65CC8B13" w:rsidR="00676C85" w:rsidRPr="00CB093C" w:rsidRDefault="00676C85" w:rsidP="00676C85">
      <w:pPr>
        <w:ind w:left="567" w:hanging="567"/>
        <w:contextualSpacing/>
        <w:rPr>
          <w:rFonts w:ascii="Arial" w:hAnsi="Arial" w:cs="Arial"/>
          <w:szCs w:val="22"/>
          <w:lang w:val="en-GB"/>
        </w:rPr>
      </w:pPr>
      <w:r w:rsidRPr="00CB093C">
        <w:rPr>
          <w:rFonts w:ascii="Arial" w:hAnsi="Arial" w:cs="Arial"/>
          <w:szCs w:val="22"/>
          <w:lang w:val="en-GB"/>
        </w:rPr>
        <w:t>McKenzie, L.J., Collier, C.J., Langlois, L.A., Yoshida, R.L., Smith, N., Waycott, M. 2018</w:t>
      </w:r>
      <w:r w:rsidR="00513C39" w:rsidRPr="00CB093C">
        <w:rPr>
          <w:rFonts w:ascii="Arial" w:hAnsi="Arial" w:cs="Arial"/>
          <w:szCs w:val="22"/>
          <w:lang w:val="en-GB"/>
        </w:rPr>
        <w:t>,</w:t>
      </w:r>
      <w:r w:rsidRPr="00CB093C">
        <w:rPr>
          <w:rFonts w:ascii="Arial" w:hAnsi="Arial" w:cs="Arial"/>
          <w:szCs w:val="22"/>
          <w:lang w:val="en-GB"/>
        </w:rPr>
        <w:t xml:space="preserve"> </w:t>
      </w:r>
      <w:r w:rsidRPr="00CB093C">
        <w:rPr>
          <w:rFonts w:ascii="Arial" w:hAnsi="Arial" w:cs="Arial"/>
          <w:i/>
          <w:szCs w:val="22"/>
          <w:lang w:val="en-GB"/>
        </w:rPr>
        <w:t>Marine Monitoring Program: Annual Report for inshore seagrass monitoring 2016-2017. Report for the Great Barrier Reef Marine Park Authority</w:t>
      </w:r>
      <w:r w:rsidRPr="00CB093C">
        <w:rPr>
          <w:rFonts w:ascii="Arial" w:hAnsi="Arial" w:cs="Arial"/>
          <w:szCs w:val="22"/>
          <w:lang w:val="en-GB"/>
        </w:rPr>
        <w:t>. Great Barrier Reef Marine Park Authority, Townsville, 248 pp.</w:t>
      </w:r>
    </w:p>
    <w:p w14:paraId="1D80B42E" w14:textId="138887B6" w:rsidR="00676C85" w:rsidRPr="00CB093C" w:rsidRDefault="00513C39" w:rsidP="00513C39">
      <w:pPr>
        <w:ind w:left="567" w:hanging="567"/>
        <w:contextualSpacing/>
        <w:rPr>
          <w:rFonts w:ascii="Arial" w:hAnsi="Arial" w:cs="Arial"/>
          <w:szCs w:val="22"/>
          <w:lang w:val="en-GB"/>
        </w:rPr>
      </w:pPr>
      <w:r w:rsidRPr="00CB093C">
        <w:rPr>
          <w:rFonts w:ascii="Arial" w:hAnsi="Arial" w:cs="Arial"/>
          <w:szCs w:val="22"/>
          <w:lang w:val="en-GB"/>
        </w:rPr>
        <w:t xml:space="preserve">Monteith, J.L. 1965, Light Distribution and Photosynthesis in Field Crops. </w:t>
      </w:r>
      <w:r w:rsidRPr="00CB093C">
        <w:rPr>
          <w:rFonts w:ascii="Arial" w:hAnsi="Arial" w:cs="Arial"/>
          <w:i/>
          <w:szCs w:val="22"/>
          <w:lang w:val="en-GB"/>
        </w:rPr>
        <w:t>Annals of Bota</w:t>
      </w:r>
      <w:r w:rsidRPr="00CB093C">
        <w:rPr>
          <w:rFonts w:ascii="Arial" w:hAnsi="Arial" w:cs="Arial"/>
          <w:szCs w:val="22"/>
          <w:lang w:val="en-GB"/>
        </w:rPr>
        <w:t>ny 29(1): 17-37. doi: 10.1093/oxfordjournals.aob.a083934.</w:t>
      </w:r>
    </w:p>
    <w:p w14:paraId="6D8D039A" w14:textId="77777777" w:rsidR="00676C85" w:rsidRPr="00CB093C" w:rsidRDefault="00676C85" w:rsidP="00676C85">
      <w:pPr>
        <w:rPr>
          <w:rFonts w:ascii="Arial" w:hAnsi="Arial" w:cs="Arial"/>
          <w:b/>
          <w:szCs w:val="22"/>
        </w:rPr>
      </w:pPr>
    </w:p>
    <w:p w14:paraId="55D0224E" w14:textId="77777777" w:rsidR="00676C85" w:rsidRPr="00CB093C" w:rsidRDefault="00676C85" w:rsidP="00676C85">
      <w:pPr>
        <w:spacing w:before="0" w:after="0"/>
        <w:rPr>
          <w:rFonts w:ascii="Arial" w:hAnsi="Arial" w:cs="Arial"/>
          <w:b/>
          <w:szCs w:val="22"/>
        </w:rPr>
      </w:pPr>
      <w:r w:rsidRPr="00CB093C">
        <w:rPr>
          <w:rFonts w:ascii="Arial" w:hAnsi="Arial" w:cs="Arial"/>
          <w:b/>
          <w:szCs w:val="22"/>
        </w:rPr>
        <w:br w:type="page"/>
      </w:r>
    </w:p>
    <w:p w14:paraId="2CC0F1D0" w14:textId="700115DE" w:rsidR="00676C85" w:rsidRPr="00CB093C" w:rsidRDefault="00676C85" w:rsidP="0015509E">
      <w:pPr>
        <w:pStyle w:val="Heading2"/>
        <w:numPr>
          <w:ilvl w:val="0"/>
          <w:numId w:val="0"/>
        </w:numPr>
      </w:pPr>
      <w:bookmarkStart w:id="728" w:name="_Toc11394792"/>
      <w:r w:rsidRPr="00CB093C">
        <w:t>Case study #2: Reproductive effort as a predictor of future seagrass cover: Model assessment and implications for report card metrics and the development of a seagrass resilience indicator</w:t>
      </w:r>
      <w:bookmarkEnd w:id="728"/>
    </w:p>
    <w:p w14:paraId="01098C7D" w14:textId="52E51769" w:rsidR="00676C85" w:rsidRPr="00CB093C" w:rsidRDefault="006568B2" w:rsidP="00676C85">
      <w:pPr>
        <w:rPr>
          <w:rFonts w:ascii="Arial" w:hAnsi="Arial" w:cs="Arial"/>
          <w:szCs w:val="22"/>
        </w:rPr>
      </w:pPr>
      <w:r w:rsidRPr="006568B2">
        <w:rPr>
          <w:rFonts w:ascii="Arial" w:hAnsi="Arial" w:cs="Arial"/>
          <w:szCs w:val="22"/>
        </w:rPr>
        <w:t>Collier, C.J, Lawrence, E., Waycott, M., Langlois, L.A., and McKenzie, L.J.</w:t>
      </w:r>
    </w:p>
    <w:p w14:paraId="665F354E" w14:textId="2F754DCA" w:rsidR="00676C85" w:rsidRPr="00CB093C" w:rsidRDefault="00676C85" w:rsidP="00D2585E">
      <w:pPr>
        <w:pStyle w:val="Heading3"/>
        <w:numPr>
          <w:ilvl w:val="0"/>
          <w:numId w:val="0"/>
        </w:numPr>
        <w:rPr>
          <w:rFonts w:ascii="Arial" w:hAnsi="Arial" w:cs="Arial"/>
          <w:sz w:val="22"/>
          <w:szCs w:val="22"/>
        </w:rPr>
      </w:pPr>
      <w:bookmarkStart w:id="729" w:name="_Toc11394793"/>
      <w:r w:rsidRPr="00CB093C">
        <w:rPr>
          <w:rFonts w:ascii="Arial" w:hAnsi="Arial" w:cs="Arial"/>
          <w:sz w:val="22"/>
          <w:szCs w:val="22"/>
        </w:rPr>
        <w:t>Introduction</w:t>
      </w:r>
      <w:bookmarkEnd w:id="729"/>
    </w:p>
    <w:p w14:paraId="6D8CDD62" w14:textId="357B2164" w:rsidR="00676C85" w:rsidRPr="00CB093C" w:rsidRDefault="00676C85" w:rsidP="00676C85">
      <w:pPr>
        <w:rPr>
          <w:rFonts w:ascii="Arial" w:hAnsi="Arial" w:cs="Arial"/>
          <w:szCs w:val="22"/>
        </w:rPr>
      </w:pPr>
      <w:r w:rsidRPr="00CB093C">
        <w:rPr>
          <w:rFonts w:ascii="Arial" w:hAnsi="Arial" w:cs="Arial"/>
          <w:szCs w:val="22"/>
        </w:rPr>
        <w:t xml:space="preserve">Although seagrasses are clonal plants, sexual reproduction is a process critical for maintaining seagrass resilience because it leads to the formation of a seed bank and also increases clonal richness (diversity) of the population </w:t>
      </w:r>
      <w:r w:rsidR="00626629" w:rsidRPr="00CB093C">
        <w:rPr>
          <w:rFonts w:ascii="Arial" w:hAnsi="Arial" w:cs="Arial"/>
          <w:szCs w:val="22"/>
        </w:rPr>
        <w:t>(</w:t>
      </w:r>
      <w:hyperlink w:anchor="_ENREF_142" w:tooltip="Unsworth, 2015 #10447"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&lt;EndNote&gt;&lt;Cite&gt;&lt;Author&gt;Unsworth&lt;/Author&gt;&lt;Year&gt;2015&lt;/Year&gt;&lt;RecNum&gt;1307&lt;/RecNum&gt;&lt;DisplayText&gt;Unsworth&lt;style face="italic"&gt; et al.&lt;/style&gt; 2015&lt;/DisplayText&gt;&lt;record&gt;&lt;rec-number&gt;1307&lt;/rec-number&gt;&lt;foreign-keys&gt;&lt;key app="EN" db-id="xp95r2wt4pwtpyeavf5vadf4pa05f0ae5f0d" timestamp="1417481251"&gt;1307&lt;/key&gt;&lt;/foreign-keys&gt;&lt;ref-type name="Journal Article"&gt;17&lt;/ref-type&gt;&lt;contributors&gt;&lt;authors&gt;&lt;author&gt;Unsworth, R.K.F&lt;/author&gt;&lt;author&gt;Collier, C.J.&lt;/author&gt;&lt;author&gt;Waycott, M&lt;/author&gt;&lt;author&gt;McKenzie, L. J.&lt;/author&gt;&lt;author&gt;Cullen-Unsworth, L.C.&lt;/author&gt;&lt;/authors&gt;&lt;/contributors&gt;&lt;titles&gt;&lt;title&gt;A framework for the resilience of seagrass ecosystems&lt;/title&gt;&lt;secondary-title&gt;Marine Pollution Bulletin&lt;/secondary-title&gt;&lt;/titles&gt;&lt;periodical&gt;&lt;full-title&gt;Marine Pollution Bulletin&lt;/full-title&gt;&lt;abbr-1&gt;Mar. Pollut. Bull.&lt;/abbr-1&gt;&lt;abbr-2&gt;Mar Pollut Bull&lt;/abbr-2&gt;&lt;/periodical&gt;&lt;pages&gt;34-46&lt;/pages&gt;&lt;volume&gt;100&lt;/volume&gt;&lt;number&gt;1&lt;/number&gt;&lt;dates&gt;&lt;year&gt;2015&lt;/year&gt;&lt;/dates&gt;&lt;urls&gt;&lt;/urls&gt;&lt;/record&gt;&lt;/Cite&gt;&lt;/EndNote&gt;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Unsworth</w:t>
        </w:r>
        <w:r w:rsidR="00513C39" w:rsidRPr="00CB093C">
          <w:rPr>
            <w:rFonts w:ascii="Arial" w:hAnsi="Arial" w:cs="Arial"/>
            <w:i/>
            <w:noProof/>
            <w:szCs w:val="22"/>
          </w:rPr>
          <w:t xml:space="preserve"> et al.</w:t>
        </w:r>
        <w:r w:rsidR="00513C39" w:rsidRPr="00CB093C">
          <w:rPr>
            <w:rFonts w:ascii="Arial" w:hAnsi="Arial" w:cs="Arial"/>
            <w:noProof/>
            <w:szCs w:val="22"/>
          </w:rPr>
          <w:t xml:space="preserve"> 2015</w:t>
        </w:r>
        <w:r w:rsidR="00513C39" w:rsidRPr="00CB093C">
          <w:rPr>
            <w:rFonts w:ascii="Arial" w:hAnsi="Arial" w:cs="Arial"/>
            <w:szCs w:val="22"/>
          </w:rPr>
          <w:fldChar w:fldCharType="end"/>
        </w:r>
      </w:hyperlink>
      <w:r w:rsidR="00626629" w:rsidRPr="00CB093C">
        <w:rPr>
          <w:rFonts w:ascii="Arial" w:hAnsi="Arial" w:cs="Arial"/>
          <w:szCs w:val="22"/>
        </w:rPr>
        <w:t>)</w:t>
      </w:r>
      <w:r w:rsidRPr="00CB093C">
        <w:rPr>
          <w:rFonts w:ascii="Arial" w:hAnsi="Arial" w:cs="Arial"/>
          <w:szCs w:val="22"/>
        </w:rPr>
        <w:t xml:space="preserve">. Sexual reproduction is the most critical in meadows that are under stress, as high genetic diversity can increase the resistance of a population to stress </w:t>
      </w:r>
      <w:r w:rsidR="00513C39" w:rsidRPr="00CB093C">
        <w:rPr>
          <w:rFonts w:ascii="Arial" w:hAnsi="Arial" w:cs="Arial"/>
          <w:szCs w:val="22"/>
        </w:rPr>
        <w:t>(</w:t>
      </w:r>
      <w:hyperlink w:anchor="_ENREF_132" w:tooltip="Reynolds, 2016 #1503"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&lt;EndNote&gt;&lt;Cite&gt;&lt;Author&gt;Reynolds&lt;/Author&gt;&lt;Year&gt;2016&lt;/Year&gt;&lt;RecNum&gt;1503&lt;/RecNum&gt;&lt;DisplayText&gt;Reynolds&lt;style face="italic"&gt; et al.&lt;/style&gt; 2016&lt;/DisplayText&gt;&lt;record&gt;&lt;rec-number&gt;1503&lt;/rec-number&gt;&lt;foreign-keys&gt;&lt;key app="EN" db-id="xp95r2wt4pwtpyeavf5vadf4pa05f0ae5f0d" timestamp="1465347666"&gt;1503&lt;/key&gt;&lt;/foreign-keys&gt;&lt;ref-type name="Journal Article"&gt;17&lt;/ref-type&gt;&lt;contributors&gt;&lt;authors&gt;&lt;author&gt;Reynolds, Laura K.&lt;/author&gt;&lt;author&gt;DuBois, Katherine&lt;/author&gt;&lt;author&gt;Abbott, Jessica M.&lt;/author&gt;&lt;author&gt;Williams, Susan L.&lt;/author&gt;&lt;author&gt;Stachowicz, John J.&lt;/author&gt;&lt;/authors&gt;&lt;/contributors&gt;&lt;titles&gt;&lt;title&gt;Response of a Habitat-Forming Marine Plant to a Simulated Warming Event Is Delayed, Genotype Specific, and Varies with Phenology&lt;/title&gt;&lt;secondary-title&gt;PLoS ONE&lt;/secondary-title&gt;&lt;/titles&gt;&lt;periodical&gt;&lt;full-title&gt;PLoS ONE&lt;/full-title&gt;&lt;/periodical&gt;&lt;pages&gt;e0154532&lt;/pages&gt;&lt;volume&gt;11&lt;/volume&gt;&lt;number&gt;6&lt;/number&gt;&lt;dates&gt;&lt;year&gt;2016&lt;/year&gt;&lt;/dates&gt;&lt;publisher&gt;Public Library of Science&lt;/publisher&gt;&lt;urls&gt;&lt;related-urls&gt;&lt;url&gt;http://dx.doi.org/10.1371%2Fjournal.pone.0154532&lt;/url&gt;&lt;/related-urls&gt;&lt;/urls&gt;&lt;electronic-resource-num&gt;10.1371/journal.pone.0154532&lt;/electronic-resource-num&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Reynolds</w:t>
        </w:r>
        <w:r w:rsidR="00513C39" w:rsidRPr="00CB093C">
          <w:rPr>
            <w:rFonts w:ascii="Arial" w:hAnsi="Arial" w:cs="Arial"/>
            <w:i/>
            <w:noProof/>
            <w:szCs w:val="22"/>
          </w:rPr>
          <w:t xml:space="preserve"> et al.</w:t>
        </w:r>
        <w:r w:rsidR="00513C39" w:rsidRPr="00CB093C">
          <w:rPr>
            <w:rFonts w:ascii="Arial" w:hAnsi="Arial" w:cs="Arial"/>
            <w:noProof/>
            <w:szCs w:val="22"/>
          </w:rPr>
          <w:t xml:space="preserve"> 2016</w:t>
        </w:r>
        <w:r w:rsidR="00513C39" w:rsidRPr="00CB093C">
          <w:rPr>
            <w:rFonts w:ascii="Arial" w:hAnsi="Arial" w:cs="Arial"/>
            <w:szCs w:val="22"/>
          </w:rPr>
          <w:fldChar w:fldCharType="end"/>
        </w:r>
      </w:hyperlink>
      <w:r w:rsidR="00513C39" w:rsidRPr="00CB093C">
        <w:rPr>
          <w:rFonts w:ascii="Arial" w:hAnsi="Arial" w:cs="Arial"/>
          <w:szCs w:val="22"/>
        </w:rPr>
        <w:t>)</w:t>
      </w:r>
      <w:r w:rsidRPr="00CB093C">
        <w:rPr>
          <w:rFonts w:ascii="Arial" w:hAnsi="Arial" w:cs="Arial"/>
          <w:szCs w:val="22"/>
        </w:rPr>
        <w:t xml:space="preserve">, and both higher genetic diversity, and the presence of a seed bank can facilitate recovery following seagrass loss (declines in abundance) through local germination </w:t>
      </w:r>
      <w:r w:rsidR="00513C39" w:rsidRPr="00CB093C">
        <w:rPr>
          <w:rFonts w:ascii="Arial" w:hAnsi="Arial" w:cs="Arial"/>
          <w:szCs w:val="22"/>
        </w:rPr>
        <w:t>(</w:t>
      </w:r>
      <w:hyperlink w:anchor="_ENREF_73" w:tooltip="Jarvis, 2010 #1281"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&lt;EndNote&gt;&lt;Cite&gt;&lt;Author&gt;Jarvis&lt;/Author&gt;&lt;Year&gt;2010&lt;/Year&gt;&lt;RecNum&gt;1281&lt;/RecNum&gt;&lt;DisplayText&gt;Jarvis and Moore 2010&lt;/DisplayText&gt;&lt;record&gt;&lt;rec-number&gt;1281&lt;/rec-number&gt;&lt;foreign-keys&gt;&lt;key app="EN" db-id="xp95r2wt4pwtpyeavf5vadf4pa05f0ae5f0d" timestamp="1410831597"&gt;1281&lt;/key&gt;&lt;/foreign-keys&gt;&lt;ref-type name="Journal Article"&gt;17&lt;/ref-type&gt;&lt;contributors&gt;&lt;authors&gt;&lt;author&gt;Jarvis, JessieC&lt;/author&gt;&lt;author&gt;Moore, KennethA&lt;/author&gt;&lt;/authors&gt;&lt;/contributors&gt;&lt;titles&gt;&lt;title&gt;The role of seedlings and seed bank viability in the recovery of Chesapeake Bay, USA, Zostera marina populations following a large-scale decline&lt;/title&gt;&lt;secondary-title&gt;Hydrobiologia&lt;/secondary-title&gt;&lt;alt-title&gt;Hydrobiologia&lt;/alt-title&gt;&lt;/titles&gt;&lt;periodical&gt;&lt;full-title&gt;Hydrobiologia&lt;/full-title&gt;&lt;abbr-1&gt;Hydrobiologia&lt;/abbr-1&gt;&lt;abbr-2&gt;Hydrobiologia&lt;/abbr-2&gt;&lt;/periodical&gt;&lt;alt-periodical&gt;&lt;full-title&gt;Hydrobiologia&lt;/full-title&gt;&lt;abbr-1&gt;Hydrobiologia&lt;/abbr-1&gt;&lt;abbr-2&gt;Hydrobiologia&lt;/abbr-2&gt;&lt;/alt-periodical&gt;&lt;pages&gt;55-68&lt;/pages&gt;&lt;volume&gt;649&lt;/volume&gt;&lt;number&gt;1&lt;/number&gt;&lt;keywords&gt;&lt;keyword&gt;Zostera marina&lt;/keyword&gt;&lt;keyword&gt;Decline&lt;/keyword&gt;&lt;keyword&gt;Sexual reproduction&lt;/keyword&gt;&lt;keyword&gt;Seedling&lt;/keyword&gt;&lt;keyword&gt;Seed-bank&lt;/keyword&gt;&lt;/keywords&gt;&lt;dates&gt;&lt;year&gt;2010&lt;/year&gt;&lt;pub-dates&gt;&lt;date&gt;2010/07/01&lt;/date&gt;&lt;/pub-dates&gt;&lt;/dates&gt;&lt;publisher&gt;Springer Netherlands&lt;/publisher&gt;&lt;isbn&gt;0018-8158&lt;/isbn&gt;&lt;urls&gt;&lt;related-urls&gt;&lt;url&gt;http://dx.doi.org/10.1007/s10750-010-0258-z&lt;/url&gt;&lt;/related-urls&gt;&lt;/urls&gt;&lt;electronic-resource-num&gt;10.1007/s10750-010-0258-z&lt;/electronic-resource-num&gt;&lt;language&gt;English&lt;/language&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Jarvis and Moore 2010</w:t>
        </w:r>
        <w:r w:rsidR="00513C39" w:rsidRPr="00CB093C">
          <w:rPr>
            <w:rFonts w:ascii="Arial" w:hAnsi="Arial" w:cs="Arial"/>
            <w:szCs w:val="22"/>
          </w:rPr>
          <w:fldChar w:fldCharType="end"/>
        </w:r>
      </w:hyperlink>
      <w:r w:rsidR="00513C39" w:rsidRPr="00CB093C">
        <w:rPr>
          <w:rFonts w:ascii="Arial" w:hAnsi="Arial" w:cs="Arial"/>
          <w:szCs w:val="22"/>
        </w:rPr>
        <w:t>)</w:t>
      </w:r>
      <w:r w:rsidRPr="00CB093C">
        <w:rPr>
          <w:rFonts w:ascii="Arial" w:hAnsi="Arial" w:cs="Arial"/>
          <w:szCs w:val="22"/>
        </w:rPr>
        <w:t xml:space="preserve"> and recruitment from external meadows </w:t>
      </w:r>
      <w:r w:rsidR="00513C39" w:rsidRPr="00CB093C">
        <w:rPr>
          <w:rFonts w:ascii="Arial" w:hAnsi="Arial" w:cs="Arial"/>
          <w:szCs w:val="22"/>
        </w:rPr>
        <w:t>(</w:t>
      </w:r>
      <w:r w:rsidRPr="00CB093C">
        <w:rPr>
          <w:rFonts w:ascii="Arial" w:hAnsi="Arial" w:cs="Arial"/>
          <w:szCs w:val="22"/>
        </w:rPr>
        <w:fldChar w:fldCharType="begin">
          <w:fldData xml:space="preserve">PEVuZE5vdGU+PENpdGU+PEF1dGhvcj5HcmVjaDwvQXV0aG9yPjxZZWFyPjIwMTY8L1llYXI+PFJl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</w:fldData>
        </w:fldChar>
      </w:r>
      <w:r w:rsidR="00A2551D" w:rsidRPr="00CB093C">
        <w:rPr>
          <w:rFonts w:ascii="Arial" w:hAnsi="Arial" w:cs="Arial"/>
          <w:szCs w:val="22"/>
        </w:rPr>
        <w:instrText xml:space="preserve"> ADDIN EN.CITE </w:instrText>
      </w:r>
      <w:r w:rsidR="00A2551D" w:rsidRPr="00CB093C">
        <w:rPr>
          <w:rFonts w:ascii="Arial" w:hAnsi="Arial" w:cs="Arial"/>
          <w:szCs w:val="22"/>
        </w:rPr>
        <w:fldChar w:fldCharType="begin">
          <w:fldData xml:space="preserve">PEVuZE5vdGU+PENpdGU+PEF1dGhvcj5HcmVjaDwvQXV0aG9yPjxZZWFyPjIwMTY8L1llYXI+PFJl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</w:fldData>
        </w:fldChar>
      </w:r>
      <w:r w:rsidR="00A2551D" w:rsidRPr="00CB093C">
        <w:rPr>
          <w:rFonts w:ascii="Arial" w:hAnsi="Arial" w:cs="Arial"/>
          <w:szCs w:val="22"/>
        </w:rPr>
        <w:instrText xml:space="preserve"> ADDIN EN.CITE.DATA </w:instrText>
      </w:r>
      <w:r w:rsidR="00A2551D" w:rsidRPr="00CB093C">
        <w:rPr>
          <w:rFonts w:ascii="Arial" w:hAnsi="Arial" w:cs="Arial"/>
          <w:szCs w:val="22"/>
        </w:rPr>
      </w:r>
      <w:r w:rsidR="00A2551D" w:rsidRPr="00CB093C">
        <w:rPr>
          <w:rFonts w:ascii="Arial" w:hAnsi="Arial" w:cs="Arial"/>
          <w:szCs w:val="22"/>
        </w:rPr>
        <w:fldChar w:fldCharType="end"/>
      </w:r>
      <w:r w:rsidRPr="00CB093C">
        <w:rPr>
          <w:rFonts w:ascii="Arial" w:hAnsi="Arial" w:cs="Arial"/>
          <w:szCs w:val="22"/>
        </w:rPr>
      </w:r>
      <w:r w:rsidRPr="00CB093C">
        <w:rPr>
          <w:rFonts w:ascii="Arial" w:hAnsi="Arial" w:cs="Arial"/>
          <w:szCs w:val="22"/>
        </w:rPr>
        <w:fldChar w:fldCharType="separate"/>
      </w:r>
      <w:hyperlink w:anchor="_ENREF_112" w:tooltip="McMahon, 2014 #1723" w:history="1">
        <w:r w:rsidR="00513C39" w:rsidRPr="00CB093C">
          <w:rPr>
            <w:rFonts w:ascii="Arial" w:hAnsi="Arial" w:cs="Arial"/>
            <w:noProof/>
            <w:szCs w:val="22"/>
          </w:rPr>
          <w:t>McMahon</w:t>
        </w:r>
        <w:r w:rsidR="00513C39" w:rsidRPr="00CB093C">
          <w:rPr>
            <w:rFonts w:ascii="Arial" w:hAnsi="Arial" w:cs="Arial"/>
            <w:i/>
            <w:noProof/>
            <w:szCs w:val="22"/>
          </w:rPr>
          <w:t xml:space="preserve"> et al.</w:t>
        </w:r>
        <w:r w:rsidR="00513C39" w:rsidRPr="00CB093C">
          <w:rPr>
            <w:rFonts w:ascii="Arial" w:hAnsi="Arial" w:cs="Arial"/>
            <w:noProof/>
            <w:szCs w:val="22"/>
          </w:rPr>
          <w:t xml:space="preserve"> 2014b</w:t>
        </w:r>
      </w:hyperlink>
      <w:r w:rsidR="00A2551D" w:rsidRPr="00CB093C">
        <w:rPr>
          <w:rFonts w:ascii="Arial" w:hAnsi="Arial" w:cs="Arial"/>
          <w:noProof/>
          <w:szCs w:val="22"/>
        </w:rPr>
        <w:t xml:space="preserve">; </w:t>
      </w:r>
      <w:hyperlink w:anchor="_ENREF_62" w:tooltip="Grech, 2016 #11976" w:history="1">
        <w:r w:rsidR="00513C39" w:rsidRPr="00CB093C">
          <w:rPr>
            <w:rFonts w:ascii="Arial" w:hAnsi="Arial" w:cs="Arial"/>
            <w:noProof/>
            <w:szCs w:val="22"/>
          </w:rPr>
          <w:t>Grech</w:t>
        </w:r>
        <w:r w:rsidR="00513C39" w:rsidRPr="00CB093C">
          <w:rPr>
            <w:rFonts w:ascii="Arial" w:hAnsi="Arial" w:cs="Arial"/>
            <w:i/>
            <w:noProof/>
            <w:szCs w:val="22"/>
          </w:rPr>
          <w:t xml:space="preserve"> et al.</w:t>
        </w:r>
        <w:r w:rsidR="00513C39" w:rsidRPr="00CB093C">
          <w:rPr>
            <w:rFonts w:ascii="Arial" w:hAnsi="Arial" w:cs="Arial"/>
            <w:noProof/>
            <w:szCs w:val="22"/>
          </w:rPr>
          <w:t xml:space="preserve"> 2016b</w:t>
        </w:r>
      </w:hyperlink>
      <w:r w:rsidRPr="00CB093C">
        <w:rPr>
          <w:rFonts w:ascii="Arial" w:hAnsi="Arial" w:cs="Arial"/>
          <w:szCs w:val="22"/>
        </w:rPr>
        <w:fldChar w:fldCharType="end"/>
      </w:r>
      <w:r w:rsidR="00513C39" w:rsidRPr="00CB093C">
        <w:rPr>
          <w:rFonts w:ascii="Arial" w:hAnsi="Arial" w:cs="Arial"/>
          <w:szCs w:val="22"/>
        </w:rPr>
        <w:t>)</w:t>
      </w:r>
      <w:r w:rsidRPr="00CB093C">
        <w:rPr>
          <w:rFonts w:ascii="Arial" w:hAnsi="Arial" w:cs="Arial"/>
          <w:szCs w:val="22"/>
        </w:rPr>
        <w:t xml:space="preserve">. </w:t>
      </w:r>
    </w:p>
    <w:p w14:paraId="5015DB0F" w14:textId="77777777" w:rsidR="00676C85" w:rsidRPr="00CB093C" w:rsidRDefault="00676C85" w:rsidP="00676C85">
      <w:pPr>
        <w:rPr>
          <w:rFonts w:ascii="Arial" w:hAnsi="Arial" w:cs="Arial"/>
          <w:szCs w:val="22"/>
        </w:rPr>
      </w:pPr>
    </w:p>
    <w:p w14:paraId="71819BFF" w14:textId="4F286B94" w:rsidR="00676C85" w:rsidRPr="00CB093C" w:rsidRDefault="00E72305" w:rsidP="00676C85">
      <w:pPr>
        <w:rPr>
          <w:rFonts w:ascii="Arial" w:hAnsi="Arial" w:cs="Arial"/>
          <w:szCs w:val="22"/>
        </w:rPr>
      </w:pPr>
      <w:r w:rsidRPr="00CB093C">
        <w:rPr>
          <w:rFonts w:ascii="Arial" w:hAnsi="Arial" w:cs="Arial"/>
          <w:szCs w:val="22"/>
        </w:rPr>
        <w:t>As i</w:t>
      </w:r>
      <w:r w:rsidR="00676C85" w:rsidRPr="00CB093C">
        <w:rPr>
          <w:rFonts w:ascii="Arial" w:hAnsi="Arial" w:cs="Arial"/>
          <w:szCs w:val="22"/>
        </w:rPr>
        <w:t>nvestment of the plant into sexual reproduction is generally considered to impart a benefit following a major decline</w:t>
      </w:r>
      <w:r w:rsidRPr="00CB093C">
        <w:rPr>
          <w:rFonts w:ascii="Arial" w:hAnsi="Arial" w:cs="Arial"/>
          <w:szCs w:val="22"/>
        </w:rPr>
        <w:t>, i</w:t>
      </w:r>
      <w:r w:rsidR="00676C85" w:rsidRPr="00CB093C">
        <w:rPr>
          <w:rFonts w:ascii="Arial" w:hAnsi="Arial" w:cs="Arial"/>
          <w:szCs w:val="22"/>
        </w:rPr>
        <w:t xml:space="preserve">t follows therefore, that reproductive effort should </w:t>
      </w:r>
      <w:r w:rsidRPr="00CB093C">
        <w:rPr>
          <w:rFonts w:ascii="Arial" w:hAnsi="Arial" w:cs="Arial"/>
          <w:szCs w:val="22"/>
        </w:rPr>
        <w:t>affect</w:t>
      </w:r>
      <w:r w:rsidR="00676C85" w:rsidRPr="00CB093C">
        <w:rPr>
          <w:rFonts w:ascii="Arial" w:hAnsi="Arial" w:cs="Arial"/>
          <w:szCs w:val="22"/>
        </w:rPr>
        <w:t xml:space="preserve"> future seagrass cover. The aims of this case study were to explore the value of the seagrass reproductive data collected in the inshore seagrass MMP for predicting percent cover, as detailed in </w:t>
      </w:r>
      <w:r w:rsidR="00BC16CD" w:rsidRPr="00CB093C">
        <w:rPr>
          <w:rFonts w:ascii="Arial" w:hAnsi="Arial" w:cs="Arial"/>
          <w:szCs w:val="22"/>
        </w:rPr>
        <w:t>(</w:t>
      </w:r>
      <w:hyperlink w:anchor="_ENREF_82" w:tooltip="Lawrence, 2018 #1853"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 AuthorYear="1"&gt;&lt;Author&gt;Lawrence&lt;/Author&gt;&lt;Year&gt;2018&lt;/Year&gt;&lt;RecNum&gt;1853&lt;/RecNum&gt;&lt;DisplayText&gt;Lawrence and Gladish 2018&lt;/DisplayText&gt;&lt;record&gt;&lt;rec-number&gt;1853&lt;/rec-number&gt;&lt;foreign-keys&gt;&lt;key app="EN" db-id="xp95r2wt4pwtpyeavf5vadf4pa05f0ae5f0d" timestamp="1544757029"&gt;1853&lt;/key&gt;&lt;/foreign-keys&gt;&lt;ref-type name="Report"&gt;27&lt;/ref-type&gt;&lt;contributors&gt;&lt;authors&gt;&lt;author&gt;Lawrence, E.&lt;/author&gt;&lt;author&gt;Gladish, D.&lt;/author&gt;&lt;/authors&gt;&lt;/contributors&gt;&lt;titles&gt;&lt;title&gt;Analysis of seagrass and pressures data across the Great Barrier Reef&lt;/title&gt;&lt;secondary-title&gt;A report to the Great Barrier Reef Marine Park Authority&lt;/secondary-title&gt;&lt;/titles&gt;&lt;dates&gt;&lt;year&gt;2018&lt;/year&gt;&lt;/dates&gt;&lt;pub-location&gt;Townsville&lt;/pub-location&gt;&lt;publisher&gt;Great Barrier Reef Marine Park Authorityt&lt;/publisher&gt;&lt;urls&gt;&lt;/urls&gt;&lt;/record&gt;&lt;/Cite&gt;&lt;/EndNote&gt;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Lawrence and Gladish 2018</w:t>
        </w:r>
        <w:r w:rsidR="00513C39" w:rsidRPr="00CB093C">
          <w:rPr>
            <w:rFonts w:ascii="Arial" w:hAnsi="Arial" w:cs="Arial"/>
            <w:szCs w:val="22"/>
          </w:rPr>
          <w:fldChar w:fldCharType="end"/>
        </w:r>
      </w:hyperlink>
      <w:r w:rsidR="00BC16CD" w:rsidRPr="00CB093C">
        <w:rPr>
          <w:rFonts w:ascii="Arial" w:hAnsi="Arial" w:cs="Arial"/>
          <w:szCs w:val="22"/>
        </w:rPr>
        <w:t>)</w:t>
      </w:r>
      <w:r w:rsidR="00676C85" w:rsidRPr="00CB093C">
        <w:rPr>
          <w:rFonts w:ascii="Arial" w:hAnsi="Arial" w:cs="Arial"/>
          <w:szCs w:val="22"/>
        </w:rPr>
        <w:t xml:space="preserve">, and to use these findings to make recommendations for future inclusion of reproductive effort in the Reef Water Quality Protection Plan annual report card. </w:t>
      </w:r>
    </w:p>
    <w:p w14:paraId="144A85C4" w14:textId="77777777" w:rsidR="00676C85" w:rsidRPr="00CB093C" w:rsidRDefault="00676C85" w:rsidP="00676C85">
      <w:pPr>
        <w:rPr>
          <w:rFonts w:ascii="Arial" w:hAnsi="Arial" w:cs="Arial"/>
          <w:szCs w:val="22"/>
        </w:rPr>
      </w:pPr>
    </w:p>
    <w:p w14:paraId="09FA7B0F" w14:textId="22632D63" w:rsidR="00676C85" w:rsidRPr="00CB093C" w:rsidRDefault="00676C85" w:rsidP="00D2585E">
      <w:pPr>
        <w:pStyle w:val="Heading3"/>
        <w:numPr>
          <w:ilvl w:val="0"/>
          <w:numId w:val="0"/>
        </w:numPr>
        <w:rPr>
          <w:rFonts w:ascii="Arial" w:hAnsi="Arial" w:cs="Arial"/>
          <w:sz w:val="22"/>
          <w:szCs w:val="22"/>
        </w:rPr>
      </w:pPr>
      <w:bookmarkStart w:id="730" w:name="_Toc11394794"/>
      <w:r w:rsidRPr="00CB093C">
        <w:rPr>
          <w:rFonts w:ascii="Arial" w:hAnsi="Arial" w:cs="Arial"/>
          <w:sz w:val="22"/>
          <w:szCs w:val="22"/>
        </w:rPr>
        <w:t>Methods</w:t>
      </w:r>
      <w:bookmarkEnd w:id="730"/>
    </w:p>
    <w:p w14:paraId="694FB388" w14:textId="63709E9B" w:rsidR="00676C85" w:rsidRPr="00CB093C" w:rsidRDefault="00676C85" w:rsidP="00676C85">
      <w:pPr>
        <w:rPr>
          <w:rFonts w:ascii="Arial" w:hAnsi="Arial" w:cs="Arial"/>
          <w:szCs w:val="22"/>
        </w:rPr>
      </w:pPr>
      <w:r w:rsidRPr="00CB093C">
        <w:rPr>
          <w:rFonts w:ascii="Arial" w:hAnsi="Arial" w:cs="Arial"/>
          <w:szCs w:val="22"/>
        </w:rPr>
        <w:t>Data on seagrass percent cover, species composition, flower, spathe and fruit density, node (i.e. leaf scar) density, and seed density were compiled for all sites and all years of the inshore seagrass MMP (2005–2016) (</w:t>
      </w:r>
      <w:r w:rsidRPr="00CB093C">
        <w:rPr>
          <w:rFonts w:ascii="Arial" w:hAnsi="Arial" w:cs="Arial"/>
          <w:szCs w:val="22"/>
        </w:rPr>
        <w:fldChar w:fldCharType="begin"/>
      </w:r>
      <w:r w:rsidRPr="00CB093C">
        <w:rPr>
          <w:rFonts w:ascii="Arial" w:hAnsi="Arial" w:cs="Arial"/>
          <w:szCs w:val="22"/>
        </w:rPr>
        <w:instrText xml:space="preserve"> REF _Ref532387421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Table </w:t>
      </w:r>
      <w:r w:rsidR="005F00D4">
        <w:rPr>
          <w:rFonts w:ascii="Arial" w:hAnsi="Arial" w:cs="Arial"/>
          <w:noProof/>
          <w:szCs w:val="22"/>
        </w:rPr>
        <w:t>17</w:t>
      </w:r>
      <w:r w:rsidRPr="00CB093C">
        <w:rPr>
          <w:rFonts w:ascii="Arial" w:hAnsi="Arial" w:cs="Arial"/>
          <w:szCs w:val="22"/>
        </w:rPr>
        <w:fldChar w:fldCharType="end"/>
      </w:r>
      <w:r w:rsidRPr="00CB093C">
        <w:rPr>
          <w:rFonts w:ascii="Arial" w:hAnsi="Arial" w:cs="Arial"/>
          <w:szCs w:val="22"/>
        </w:rPr>
        <w:t>). Two modelling frameworks were explored and the methods used are detailed in Lawrence and Gladish (201</w:t>
      </w:r>
      <w:r w:rsidR="00DF2079">
        <w:rPr>
          <w:rFonts w:ascii="Arial" w:hAnsi="Arial" w:cs="Arial"/>
          <w:szCs w:val="22"/>
        </w:rPr>
        <w:t>9</w:t>
      </w:r>
      <w:r w:rsidRPr="00CB093C">
        <w:rPr>
          <w:rFonts w:ascii="Arial" w:hAnsi="Arial" w:cs="Arial"/>
          <w:szCs w:val="22"/>
        </w:rPr>
        <w:t>). These were: (i) a parametric Generalized Linear Model (GLM); and (ii) a non-parametric statistical model (Random Forest).</w:t>
      </w:r>
    </w:p>
    <w:p w14:paraId="31A75461" w14:textId="77777777" w:rsidR="00676C85" w:rsidRPr="00CB093C" w:rsidRDefault="00676C85" w:rsidP="00676C85">
      <w:pPr>
        <w:rPr>
          <w:rFonts w:ascii="Arial" w:hAnsi="Arial" w:cs="Arial"/>
          <w:szCs w:val="22"/>
        </w:rPr>
      </w:pPr>
      <w:r w:rsidRPr="00CB093C">
        <w:rPr>
          <w:rFonts w:ascii="Arial" w:hAnsi="Arial" w:cs="Arial"/>
          <w:szCs w:val="22"/>
        </w:rPr>
        <w:br w:type="column"/>
      </w:r>
    </w:p>
    <w:p w14:paraId="7B5CDD42" w14:textId="77777777" w:rsidR="00676C85" w:rsidRPr="00CB093C" w:rsidRDefault="00676C85" w:rsidP="00676C85">
      <w:pPr>
        <w:rPr>
          <w:rFonts w:ascii="Arial" w:hAnsi="Arial" w:cs="Arial"/>
          <w:szCs w:val="22"/>
        </w:rPr>
      </w:pPr>
    </w:p>
    <w:p w14:paraId="34A12CE1" w14:textId="714EAA7E" w:rsidR="00676C85" w:rsidRPr="00CB093C" w:rsidRDefault="00676C85" w:rsidP="00676C85">
      <w:pPr>
        <w:pStyle w:val="Caption"/>
        <w:rPr>
          <w:rFonts w:ascii="Arial" w:hAnsi="Arial" w:cs="Arial"/>
          <w:szCs w:val="22"/>
        </w:rPr>
      </w:pPr>
      <w:bookmarkStart w:id="731" w:name="_Ref532387421"/>
      <w:bookmarkStart w:id="732" w:name="_Toc514974580"/>
      <w:bookmarkStart w:id="733" w:name="_Toc523229490"/>
      <w:bookmarkStart w:id="734" w:name="_Toc5616045"/>
      <w:r w:rsidRPr="00CB093C">
        <w:rPr>
          <w:rFonts w:ascii="Arial" w:hAnsi="Arial" w:cs="Arial"/>
          <w:szCs w:val="22"/>
        </w:rPr>
        <w:t xml:space="preserve">Table </w:t>
      </w:r>
      <w:r w:rsidRPr="00CB093C">
        <w:rPr>
          <w:rFonts w:ascii="Arial" w:hAnsi="Arial" w:cs="Arial"/>
          <w:szCs w:val="22"/>
        </w:rPr>
        <w:fldChar w:fldCharType="begin"/>
      </w:r>
      <w:r w:rsidRPr="00CB093C">
        <w:rPr>
          <w:rFonts w:ascii="Arial" w:hAnsi="Arial" w:cs="Arial"/>
          <w:szCs w:val="22"/>
        </w:rPr>
        <w:instrText xml:space="preserve"> SEQ Table \* ARABIC </w:instrText>
      </w:r>
      <w:r w:rsidRPr="00CB093C">
        <w:rPr>
          <w:rFonts w:ascii="Arial" w:hAnsi="Arial" w:cs="Arial"/>
          <w:szCs w:val="22"/>
        </w:rPr>
        <w:fldChar w:fldCharType="separate"/>
      </w:r>
      <w:r w:rsidR="005F00D4">
        <w:rPr>
          <w:rFonts w:ascii="Arial" w:hAnsi="Arial" w:cs="Arial"/>
          <w:noProof/>
          <w:szCs w:val="22"/>
        </w:rPr>
        <w:t>17</w:t>
      </w:r>
      <w:r w:rsidRPr="00CB093C">
        <w:rPr>
          <w:rFonts w:ascii="Arial" w:hAnsi="Arial" w:cs="Arial"/>
          <w:szCs w:val="22"/>
        </w:rPr>
        <w:fldChar w:fldCharType="end"/>
      </w:r>
      <w:bookmarkEnd w:id="731"/>
      <w:r w:rsidRPr="00CB093C">
        <w:rPr>
          <w:rFonts w:ascii="Arial" w:hAnsi="Arial" w:cs="Arial"/>
          <w:szCs w:val="22"/>
        </w:rPr>
        <w:t xml:space="preserve">. </w:t>
      </w:r>
      <w:r w:rsidRPr="00CB093C">
        <w:rPr>
          <w:rFonts w:ascii="Arial" w:hAnsi="Arial" w:cs="Arial"/>
          <w:i/>
          <w:szCs w:val="22"/>
        </w:rPr>
        <w:t>List of variables used for statistical modelling</w:t>
      </w:r>
      <w:bookmarkEnd w:id="732"/>
      <w:bookmarkEnd w:id="733"/>
      <w:r w:rsidRPr="00CB093C">
        <w:rPr>
          <w:rFonts w:ascii="Arial" w:hAnsi="Arial" w:cs="Arial"/>
          <w:i/>
          <w:szCs w:val="22"/>
        </w:rPr>
        <w:t xml:space="preserve"> from Lawrence and Gladish (2018)</w:t>
      </w:r>
      <w:bookmarkEnd w:id="734"/>
    </w:p>
    <w:tbl>
      <w:tblPr>
        <w:tblStyle w:val="TableGrid"/>
        <w:tblW w:w="9471" w:type="dxa"/>
        <w:jc w:val="center"/>
        <w:tblLayout w:type="fixed"/>
        <w:tblCellMar>
          <w:left w:w="0" w:type="dxa"/>
          <w:right w:w="0" w:type="dxa"/>
        </w:tblCellMar>
        <w:tblLook w:val="04A0" w:firstRow="1" w:lastRow="0" w:firstColumn="1" w:lastColumn="0" w:noHBand="0" w:noVBand="1"/>
        <w:tblDescription w:val="List of variables used for statistical modelling from Lawrence and Gladish (2018)"/>
      </w:tblPr>
      <w:tblGrid>
        <w:gridCol w:w="2044"/>
        <w:gridCol w:w="7427"/>
      </w:tblGrid>
      <w:tr w:rsidR="00676C85" w:rsidRPr="00CB093C" w14:paraId="0E9E3695" w14:textId="77777777" w:rsidTr="002A704F">
        <w:trPr>
          <w:trHeight w:val="20"/>
          <w:tblHeader/>
          <w:jc w:val="center"/>
        </w:trPr>
        <w:tc>
          <w:tcPr>
            <w:tcW w:w="2044" w:type="dxa"/>
            <w:tcBorders>
              <w:bottom w:val="single" w:sz="4" w:space="0" w:color="auto"/>
              <w:right w:val="single" w:sz="4" w:space="0" w:color="806000" w:themeColor="accent4" w:themeShade="80"/>
            </w:tcBorders>
            <w:vAlign w:val="center"/>
          </w:tcPr>
          <w:p w14:paraId="26438FFA" w14:textId="77777777" w:rsidR="00676C85" w:rsidRPr="00CB093C" w:rsidRDefault="00676C85" w:rsidP="005E0801">
            <w:pPr>
              <w:pStyle w:val="BodyText"/>
              <w:spacing w:after="0"/>
              <w:ind w:left="57"/>
              <w:jc w:val="left"/>
              <w:rPr>
                <w:rFonts w:ascii="Arial" w:hAnsi="Arial" w:cs="Arial"/>
                <w:b/>
              </w:rPr>
            </w:pPr>
            <w:r w:rsidRPr="00CB093C">
              <w:rPr>
                <w:rFonts w:ascii="Arial" w:hAnsi="Arial" w:cs="Arial"/>
                <w:b/>
              </w:rPr>
              <w:t>Variable Name</w:t>
            </w:r>
          </w:p>
        </w:tc>
        <w:tc>
          <w:tcPr>
            <w:tcW w:w="7427" w:type="dxa"/>
            <w:tcBorders>
              <w:left w:val="single" w:sz="4" w:space="0" w:color="806000" w:themeColor="accent4" w:themeShade="80"/>
              <w:bottom w:val="single" w:sz="4" w:space="0" w:color="auto"/>
            </w:tcBorders>
            <w:vAlign w:val="center"/>
          </w:tcPr>
          <w:p w14:paraId="08F7344D" w14:textId="77777777" w:rsidR="00676C85" w:rsidRPr="00CB093C" w:rsidRDefault="00676C85" w:rsidP="005E0801">
            <w:pPr>
              <w:pStyle w:val="BodyText"/>
              <w:spacing w:after="0"/>
              <w:ind w:left="57"/>
              <w:rPr>
                <w:rFonts w:ascii="Arial" w:hAnsi="Arial" w:cs="Arial"/>
                <w:b/>
              </w:rPr>
            </w:pPr>
            <w:r w:rsidRPr="00CB093C">
              <w:rPr>
                <w:rFonts w:ascii="Arial" w:hAnsi="Arial" w:cs="Arial"/>
                <w:b/>
              </w:rPr>
              <w:t>Description</w:t>
            </w:r>
          </w:p>
        </w:tc>
      </w:tr>
      <w:tr w:rsidR="00676C85" w:rsidRPr="00CB093C" w14:paraId="413F1407" w14:textId="77777777" w:rsidTr="005F5C58">
        <w:trPr>
          <w:trHeight w:val="20"/>
          <w:jc w:val="center"/>
        </w:trPr>
        <w:tc>
          <w:tcPr>
            <w:tcW w:w="2044" w:type="dxa"/>
            <w:tcBorders>
              <w:top w:val="single" w:sz="4" w:space="0" w:color="auto"/>
              <w:right w:val="single" w:sz="4" w:space="0" w:color="806000" w:themeColor="accent4" w:themeShade="80"/>
            </w:tcBorders>
            <w:vAlign w:val="center"/>
          </w:tcPr>
          <w:p w14:paraId="66A0A5FA"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rPr>
              <w:t>Peak growth season</w:t>
            </w:r>
          </w:p>
        </w:tc>
        <w:tc>
          <w:tcPr>
            <w:tcW w:w="7427" w:type="dxa"/>
            <w:tcBorders>
              <w:top w:val="single" w:sz="4" w:space="0" w:color="auto"/>
              <w:left w:val="single" w:sz="4" w:space="0" w:color="806000" w:themeColor="accent4" w:themeShade="80"/>
            </w:tcBorders>
            <w:vAlign w:val="center"/>
          </w:tcPr>
          <w:p w14:paraId="3C0C5C56"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Indicator variable dictating if the cover measure was made in the peak (Sep-Nov) or non-peak season (all other months)</w:t>
            </w:r>
          </w:p>
        </w:tc>
      </w:tr>
      <w:tr w:rsidR="00676C85" w:rsidRPr="00CB093C" w14:paraId="2E0C6809" w14:textId="77777777" w:rsidTr="005F5C58">
        <w:trPr>
          <w:trHeight w:val="20"/>
          <w:jc w:val="center"/>
        </w:trPr>
        <w:tc>
          <w:tcPr>
            <w:tcW w:w="2044" w:type="dxa"/>
            <w:tcBorders>
              <w:right w:val="single" w:sz="4" w:space="0" w:color="806000" w:themeColor="accent4" w:themeShade="80"/>
            </w:tcBorders>
            <w:vAlign w:val="center"/>
          </w:tcPr>
          <w:p w14:paraId="2BF020A5"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rPr>
              <w:t>No. of species</w:t>
            </w:r>
          </w:p>
        </w:tc>
        <w:tc>
          <w:tcPr>
            <w:tcW w:w="7427" w:type="dxa"/>
            <w:tcBorders>
              <w:left w:val="single" w:sz="4" w:space="0" w:color="806000" w:themeColor="accent4" w:themeShade="80"/>
            </w:tcBorders>
            <w:vAlign w:val="center"/>
          </w:tcPr>
          <w:p w14:paraId="36211416"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Integer showing the number of species at the site for the season and year</w:t>
            </w:r>
          </w:p>
        </w:tc>
      </w:tr>
      <w:tr w:rsidR="00676C85" w:rsidRPr="00CB093C" w14:paraId="56812FE5" w14:textId="77777777" w:rsidTr="005F5C58">
        <w:trPr>
          <w:trHeight w:val="20"/>
          <w:jc w:val="center"/>
        </w:trPr>
        <w:tc>
          <w:tcPr>
            <w:tcW w:w="2044" w:type="dxa"/>
            <w:tcBorders>
              <w:right w:val="single" w:sz="4" w:space="0" w:color="806000" w:themeColor="accent4" w:themeShade="80"/>
            </w:tcBorders>
            <w:vAlign w:val="center"/>
          </w:tcPr>
          <w:p w14:paraId="2CFFE528"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rPr>
              <w:t>Max no. of nodes</w:t>
            </w:r>
          </w:p>
        </w:tc>
        <w:tc>
          <w:tcPr>
            <w:tcW w:w="7427" w:type="dxa"/>
            <w:tcBorders>
              <w:left w:val="single" w:sz="4" w:space="0" w:color="806000" w:themeColor="accent4" w:themeShade="80"/>
            </w:tcBorders>
            <w:vAlign w:val="center"/>
          </w:tcPr>
          <w:p w14:paraId="7006F8BC"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Maximum total number of nodes counted during one sampling point in the period</w:t>
            </w:r>
          </w:p>
        </w:tc>
      </w:tr>
      <w:tr w:rsidR="00676C85" w:rsidRPr="00CB093C" w14:paraId="6EBD6A56" w14:textId="77777777" w:rsidTr="005F5C58">
        <w:trPr>
          <w:trHeight w:val="20"/>
          <w:jc w:val="center"/>
        </w:trPr>
        <w:tc>
          <w:tcPr>
            <w:tcW w:w="2044" w:type="dxa"/>
            <w:tcBorders>
              <w:right w:val="single" w:sz="4" w:space="0" w:color="806000" w:themeColor="accent4" w:themeShade="80"/>
            </w:tcBorders>
            <w:vAlign w:val="center"/>
          </w:tcPr>
          <w:p w14:paraId="351737BD"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rPr>
              <w:t>Max no. of flowers</w:t>
            </w:r>
          </w:p>
        </w:tc>
        <w:tc>
          <w:tcPr>
            <w:tcW w:w="7427" w:type="dxa"/>
            <w:tcBorders>
              <w:left w:val="single" w:sz="4" w:space="0" w:color="806000" w:themeColor="accent4" w:themeShade="80"/>
            </w:tcBorders>
            <w:vAlign w:val="center"/>
          </w:tcPr>
          <w:p w14:paraId="56C21571"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Maximum total number of flowers counted during one sampling point in the period</w:t>
            </w:r>
          </w:p>
        </w:tc>
      </w:tr>
      <w:tr w:rsidR="00676C85" w:rsidRPr="00CB093C" w14:paraId="05504E59" w14:textId="77777777" w:rsidTr="005F5C58">
        <w:trPr>
          <w:trHeight w:val="20"/>
          <w:jc w:val="center"/>
        </w:trPr>
        <w:tc>
          <w:tcPr>
            <w:tcW w:w="2044" w:type="dxa"/>
            <w:tcBorders>
              <w:right w:val="single" w:sz="4" w:space="0" w:color="806000" w:themeColor="accent4" w:themeShade="80"/>
            </w:tcBorders>
            <w:vAlign w:val="center"/>
          </w:tcPr>
          <w:p w14:paraId="73A560B9"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rPr>
              <w:t>Max no. of fruits &amp; spathes</w:t>
            </w:r>
          </w:p>
        </w:tc>
        <w:tc>
          <w:tcPr>
            <w:tcW w:w="7427" w:type="dxa"/>
            <w:tcBorders>
              <w:left w:val="single" w:sz="4" w:space="0" w:color="806000" w:themeColor="accent4" w:themeShade="80"/>
            </w:tcBorders>
            <w:vAlign w:val="center"/>
          </w:tcPr>
          <w:p w14:paraId="2A7C803C"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Maximum total number of fruits and spathes combined during one sampling point in the period</w:t>
            </w:r>
          </w:p>
        </w:tc>
      </w:tr>
      <w:tr w:rsidR="00676C85" w:rsidRPr="00CB093C" w14:paraId="7B9870B6" w14:textId="77777777" w:rsidTr="005F5C58">
        <w:trPr>
          <w:trHeight w:val="20"/>
          <w:jc w:val="center"/>
        </w:trPr>
        <w:tc>
          <w:tcPr>
            <w:tcW w:w="2044" w:type="dxa"/>
            <w:tcBorders>
              <w:right w:val="single" w:sz="4" w:space="0" w:color="806000" w:themeColor="accent4" w:themeShade="80"/>
            </w:tcBorders>
            <w:vAlign w:val="center"/>
          </w:tcPr>
          <w:p w14:paraId="74DA69EC"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rPr>
              <w:t>Seed density (seeds m</w:t>
            </w:r>
            <w:r w:rsidRPr="00CB093C">
              <w:rPr>
                <w:rFonts w:ascii="Arial" w:hAnsi="Arial" w:cs="Arial"/>
                <w:vertAlign w:val="superscript"/>
              </w:rPr>
              <w:t>-2</w:t>
            </w:r>
            <w:r w:rsidRPr="00CB093C">
              <w:rPr>
                <w:rFonts w:ascii="Arial" w:hAnsi="Arial" w:cs="Arial"/>
              </w:rPr>
              <w:t>)</w:t>
            </w:r>
          </w:p>
        </w:tc>
        <w:tc>
          <w:tcPr>
            <w:tcW w:w="7427" w:type="dxa"/>
            <w:tcBorders>
              <w:left w:val="single" w:sz="4" w:space="0" w:color="806000" w:themeColor="accent4" w:themeShade="80"/>
            </w:tcBorders>
            <w:vAlign w:val="center"/>
          </w:tcPr>
          <w:p w14:paraId="7A1E6869" w14:textId="50183055" w:rsidR="00676C85" w:rsidRPr="00CB093C" w:rsidRDefault="00676C85" w:rsidP="005E0801">
            <w:pPr>
              <w:spacing w:before="0" w:after="0"/>
              <w:ind w:left="57"/>
              <w:rPr>
                <w:rFonts w:ascii="Arial" w:hAnsi="Arial" w:cs="Arial"/>
                <w:szCs w:val="22"/>
              </w:rPr>
            </w:pPr>
            <w:r w:rsidRPr="00CB093C">
              <w:rPr>
                <w:rFonts w:ascii="Arial" w:hAnsi="Arial" w:cs="Arial"/>
                <w:szCs w:val="22"/>
              </w:rPr>
              <w:t>Estimated sum of seeds per square meter</w:t>
            </w:r>
          </w:p>
        </w:tc>
      </w:tr>
      <w:tr w:rsidR="00676C85" w:rsidRPr="00CB093C" w14:paraId="37178DFA" w14:textId="77777777" w:rsidTr="005F5C58">
        <w:trPr>
          <w:trHeight w:val="20"/>
          <w:jc w:val="center"/>
        </w:trPr>
        <w:tc>
          <w:tcPr>
            <w:tcW w:w="2044" w:type="dxa"/>
            <w:tcBorders>
              <w:right w:val="single" w:sz="4" w:space="0" w:color="806000" w:themeColor="accent4" w:themeShade="80"/>
            </w:tcBorders>
            <w:vAlign w:val="center"/>
          </w:tcPr>
          <w:p w14:paraId="2228FDF7"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rPr>
              <w:t>Site</w:t>
            </w:r>
          </w:p>
        </w:tc>
        <w:tc>
          <w:tcPr>
            <w:tcW w:w="7427" w:type="dxa"/>
            <w:tcBorders>
              <w:left w:val="single" w:sz="4" w:space="0" w:color="806000" w:themeColor="accent4" w:themeShade="80"/>
            </w:tcBorders>
            <w:vAlign w:val="center"/>
          </w:tcPr>
          <w:p w14:paraId="19A3AC59"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Factor variable indicating which Site</w:t>
            </w:r>
          </w:p>
        </w:tc>
      </w:tr>
      <w:tr w:rsidR="00676C85" w:rsidRPr="00CB093C" w14:paraId="2F47B6BF" w14:textId="77777777" w:rsidTr="005F5C58">
        <w:trPr>
          <w:trHeight w:val="20"/>
          <w:jc w:val="center"/>
        </w:trPr>
        <w:tc>
          <w:tcPr>
            <w:tcW w:w="2044" w:type="dxa"/>
            <w:tcBorders>
              <w:right w:val="single" w:sz="4" w:space="0" w:color="806000" w:themeColor="accent4" w:themeShade="80"/>
            </w:tcBorders>
            <w:vAlign w:val="center"/>
          </w:tcPr>
          <w:p w14:paraId="1DAE79C7"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C. rotundata</w:t>
            </w:r>
          </w:p>
        </w:tc>
        <w:tc>
          <w:tcPr>
            <w:tcW w:w="7427" w:type="dxa"/>
            <w:tcBorders>
              <w:left w:val="single" w:sz="4" w:space="0" w:color="806000" w:themeColor="accent4" w:themeShade="80"/>
            </w:tcBorders>
            <w:vAlign w:val="center"/>
          </w:tcPr>
          <w:p w14:paraId="4982857C"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presence of species </w:t>
            </w:r>
            <w:r w:rsidRPr="00CB093C">
              <w:rPr>
                <w:rFonts w:ascii="Arial" w:hAnsi="Arial" w:cs="Arial"/>
                <w:i/>
                <w:szCs w:val="22"/>
              </w:rPr>
              <w:t xml:space="preserve">Cymodocea rotundata </w:t>
            </w:r>
            <w:r w:rsidRPr="00CB093C">
              <w:rPr>
                <w:rFonts w:ascii="Arial" w:hAnsi="Arial" w:cs="Arial"/>
                <w:szCs w:val="22"/>
              </w:rPr>
              <w:t>(binary)</w:t>
            </w:r>
          </w:p>
        </w:tc>
      </w:tr>
      <w:tr w:rsidR="00676C85" w:rsidRPr="00CB093C" w14:paraId="0A381A60" w14:textId="77777777" w:rsidTr="005F5C58">
        <w:trPr>
          <w:trHeight w:val="20"/>
          <w:jc w:val="center"/>
        </w:trPr>
        <w:tc>
          <w:tcPr>
            <w:tcW w:w="2044" w:type="dxa"/>
            <w:tcBorders>
              <w:right w:val="single" w:sz="4" w:space="0" w:color="806000" w:themeColor="accent4" w:themeShade="80"/>
            </w:tcBorders>
            <w:vAlign w:val="center"/>
          </w:tcPr>
          <w:p w14:paraId="6D3A88E9"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C. serrulata</w:t>
            </w:r>
          </w:p>
        </w:tc>
        <w:tc>
          <w:tcPr>
            <w:tcW w:w="7427" w:type="dxa"/>
            <w:tcBorders>
              <w:left w:val="single" w:sz="4" w:space="0" w:color="806000" w:themeColor="accent4" w:themeShade="80"/>
            </w:tcBorders>
            <w:vAlign w:val="center"/>
          </w:tcPr>
          <w:p w14:paraId="79A35671"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species </w:t>
            </w:r>
            <w:r w:rsidRPr="00CB093C">
              <w:rPr>
                <w:rFonts w:ascii="Arial" w:hAnsi="Arial" w:cs="Arial"/>
                <w:i/>
                <w:szCs w:val="22"/>
              </w:rPr>
              <w:t>Cymodocea serrulata</w:t>
            </w:r>
          </w:p>
        </w:tc>
      </w:tr>
      <w:tr w:rsidR="00676C85" w:rsidRPr="00CB093C" w14:paraId="745B5CA9" w14:textId="77777777" w:rsidTr="005F5C58">
        <w:trPr>
          <w:trHeight w:val="20"/>
          <w:jc w:val="center"/>
        </w:trPr>
        <w:tc>
          <w:tcPr>
            <w:tcW w:w="2044" w:type="dxa"/>
            <w:tcBorders>
              <w:right w:val="single" w:sz="4" w:space="0" w:color="806000" w:themeColor="accent4" w:themeShade="80"/>
            </w:tcBorders>
            <w:vAlign w:val="center"/>
          </w:tcPr>
          <w:p w14:paraId="255888F4"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E. acoroides</w:t>
            </w:r>
          </w:p>
        </w:tc>
        <w:tc>
          <w:tcPr>
            <w:tcW w:w="7427" w:type="dxa"/>
            <w:tcBorders>
              <w:left w:val="single" w:sz="4" w:space="0" w:color="806000" w:themeColor="accent4" w:themeShade="80"/>
            </w:tcBorders>
            <w:vAlign w:val="center"/>
          </w:tcPr>
          <w:p w14:paraId="508AB555"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species </w:t>
            </w:r>
            <w:r w:rsidRPr="00CB093C">
              <w:rPr>
                <w:rFonts w:ascii="Arial" w:hAnsi="Arial" w:cs="Arial"/>
                <w:i/>
                <w:szCs w:val="22"/>
              </w:rPr>
              <w:t>Enhalus acoroides</w:t>
            </w:r>
          </w:p>
        </w:tc>
      </w:tr>
      <w:tr w:rsidR="00676C85" w:rsidRPr="00CB093C" w14:paraId="3ED25FA7" w14:textId="77777777" w:rsidTr="005F5C58">
        <w:trPr>
          <w:trHeight w:val="20"/>
          <w:jc w:val="center"/>
        </w:trPr>
        <w:tc>
          <w:tcPr>
            <w:tcW w:w="2044" w:type="dxa"/>
            <w:tcBorders>
              <w:right w:val="single" w:sz="4" w:space="0" w:color="806000" w:themeColor="accent4" w:themeShade="80"/>
            </w:tcBorders>
            <w:vAlign w:val="center"/>
          </w:tcPr>
          <w:p w14:paraId="6FFEB6FA"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H. decipiens</w:t>
            </w:r>
          </w:p>
        </w:tc>
        <w:tc>
          <w:tcPr>
            <w:tcW w:w="7427" w:type="dxa"/>
            <w:tcBorders>
              <w:left w:val="single" w:sz="4" w:space="0" w:color="806000" w:themeColor="accent4" w:themeShade="80"/>
            </w:tcBorders>
            <w:vAlign w:val="center"/>
          </w:tcPr>
          <w:p w14:paraId="19BE9121"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species </w:t>
            </w:r>
            <w:r w:rsidRPr="00CB093C">
              <w:rPr>
                <w:rFonts w:ascii="Arial" w:hAnsi="Arial" w:cs="Arial"/>
                <w:i/>
                <w:szCs w:val="22"/>
              </w:rPr>
              <w:t>Halophila decipiens</w:t>
            </w:r>
          </w:p>
        </w:tc>
      </w:tr>
      <w:tr w:rsidR="00676C85" w:rsidRPr="00CB093C" w14:paraId="3141F39D" w14:textId="77777777" w:rsidTr="005F5C58">
        <w:trPr>
          <w:trHeight w:val="20"/>
          <w:jc w:val="center"/>
        </w:trPr>
        <w:tc>
          <w:tcPr>
            <w:tcW w:w="2044" w:type="dxa"/>
            <w:tcBorders>
              <w:right w:val="single" w:sz="4" w:space="0" w:color="806000" w:themeColor="accent4" w:themeShade="80"/>
            </w:tcBorders>
            <w:vAlign w:val="center"/>
          </w:tcPr>
          <w:p w14:paraId="27AC5A25"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H. spinulosa</w:t>
            </w:r>
          </w:p>
        </w:tc>
        <w:tc>
          <w:tcPr>
            <w:tcW w:w="7427" w:type="dxa"/>
            <w:tcBorders>
              <w:left w:val="single" w:sz="4" w:space="0" w:color="806000" w:themeColor="accent4" w:themeShade="80"/>
            </w:tcBorders>
            <w:vAlign w:val="center"/>
          </w:tcPr>
          <w:p w14:paraId="1A0AF411"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species </w:t>
            </w:r>
            <w:r w:rsidRPr="00CB093C">
              <w:rPr>
                <w:rFonts w:ascii="Arial" w:hAnsi="Arial" w:cs="Arial"/>
                <w:i/>
                <w:szCs w:val="22"/>
              </w:rPr>
              <w:t>Halophila spinulosa</w:t>
            </w:r>
          </w:p>
        </w:tc>
      </w:tr>
      <w:tr w:rsidR="00676C85" w:rsidRPr="00CB093C" w14:paraId="7B74E10C" w14:textId="77777777" w:rsidTr="005F5C58">
        <w:trPr>
          <w:trHeight w:val="20"/>
          <w:jc w:val="center"/>
        </w:trPr>
        <w:tc>
          <w:tcPr>
            <w:tcW w:w="2044" w:type="dxa"/>
            <w:tcBorders>
              <w:right w:val="single" w:sz="4" w:space="0" w:color="806000" w:themeColor="accent4" w:themeShade="80"/>
            </w:tcBorders>
            <w:vAlign w:val="center"/>
          </w:tcPr>
          <w:p w14:paraId="4A2B93CB"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H. ovalis</w:t>
            </w:r>
          </w:p>
        </w:tc>
        <w:tc>
          <w:tcPr>
            <w:tcW w:w="7427" w:type="dxa"/>
            <w:tcBorders>
              <w:left w:val="single" w:sz="4" w:space="0" w:color="806000" w:themeColor="accent4" w:themeShade="80"/>
            </w:tcBorders>
            <w:vAlign w:val="center"/>
          </w:tcPr>
          <w:p w14:paraId="04D1B0B6"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species </w:t>
            </w:r>
            <w:r w:rsidRPr="00CB093C">
              <w:rPr>
                <w:rFonts w:ascii="Arial" w:hAnsi="Arial" w:cs="Arial"/>
                <w:i/>
                <w:szCs w:val="22"/>
              </w:rPr>
              <w:t>Halophila ovalis</w:t>
            </w:r>
          </w:p>
        </w:tc>
      </w:tr>
      <w:tr w:rsidR="00676C85" w:rsidRPr="00CB093C" w14:paraId="4640D474" w14:textId="77777777" w:rsidTr="005F5C58">
        <w:trPr>
          <w:trHeight w:val="20"/>
          <w:jc w:val="center"/>
        </w:trPr>
        <w:tc>
          <w:tcPr>
            <w:tcW w:w="2044" w:type="dxa"/>
            <w:tcBorders>
              <w:right w:val="single" w:sz="4" w:space="0" w:color="806000" w:themeColor="accent4" w:themeShade="80"/>
            </w:tcBorders>
            <w:vAlign w:val="center"/>
          </w:tcPr>
          <w:p w14:paraId="4DEA8CA2"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H. uninervis</w:t>
            </w:r>
          </w:p>
        </w:tc>
        <w:tc>
          <w:tcPr>
            <w:tcW w:w="7427" w:type="dxa"/>
            <w:tcBorders>
              <w:left w:val="single" w:sz="4" w:space="0" w:color="806000" w:themeColor="accent4" w:themeShade="80"/>
            </w:tcBorders>
            <w:vAlign w:val="center"/>
          </w:tcPr>
          <w:p w14:paraId="3A2205AF"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species </w:t>
            </w:r>
            <w:r w:rsidRPr="00CB093C">
              <w:rPr>
                <w:rFonts w:ascii="Arial" w:hAnsi="Arial" w:cs="Arial"/>
                <w:i/>
                <w:szCs w:val="22"/>
              </w:rPr>
              <w:t>Halodule uninervis</w:t>
            </w:r>
          </w:p>
        </w:tc>
      </w:tr>
      <w:tr w:rsidR="00676C85" w:rsidRPr="00CB093C" w14:paraId="64C3C67B" w14:textId="77777777" w:rsidTr="005F5C58">
        <w:trPr>
          <w:trHeight w:val="20"/>
          <w:jc w:val="center"/>
        </w:trPr>
        <w:tc>
          <w:tcPr>
            <w:tcW w:w="2044" w:type="dxa"/>
            <w:tcBorders>
              <w:right w:val="single" w:sz="4" w:space="0" w:color="806000" w:themeColor="accent4" w:themeShade="80"/>
            </w:tcBorders>
            <w:vAlign w:val="center"/>
          </w:tcPr>
          <w:p w14:paraId="402343BA"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S. isoetifolium</w:t>
            </w:r>
          </w:p>
        </w:tc>
        <w:tc>
          <w:tcPr>
            <w:tcW w:w="7427" w:type="dxa"/>
            <w:tcBorders>
              <w:left w:val="single" w:sz="4" w:space="0" w:color="806000" w:themeColor="accent4" w:themeShade="80"/>
            </w:tcBorders>
            <w:vAlign w:val="center"/>
          </w:tcPr>
          <w:p w14:paraId="23EA0B64"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species </w:t>
            </w:r>
            <w:r w:rsidRPr="00CB093C">
              <w:rPr>
                <w:rFonts w:ascii="Arial" w:hAnsi="Arial" w:cs="Arial"/>
                <w:i/>
                <w:szCs w:val="22"/>
              </w:rPr>
              <w:t>Syringodium isoetifolium</w:t>
            </w:r>
          </w:p>
        </w:tc>
      </w:tr>
      <w:tr w:rsidR="00676C85" w:rsidRPr="00CB093C" w14:paraId="7C8D95B2" w14:textId="77777777" w:rsidTr="005F5C58">
        <w:trPr>
          <w:trHeight w:val="20"/>
          <w:jc w:val="center"/>
        </w:trPr>
        <w:tc>
          <w:tcPr>
            <w:tcW w:w="2044" w:type="dxa"/>
            <w:tcBorders>
              <w:right w:val="single" w:sz="4" w:space="0" w:color="806000" w:themeColor="accent4" w:themeShade="80"/>
            </w:tcBorders>
            <w:vAlign w:val="center"/>
          </w:tcPr>
          <w:p w14:paraId="45A23DA4"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T. hemprichii</w:t>
            </w:r>
          </w:p>
        </w:tc>
        <w:tc>
          <w:tcPr>
            <w:tcW w:w="7427" w:type="dxa"/>
            <w:tcBorders>
              <w:left w:val="single" w:sz="4" w:space="0" w:color="806000" w:themeColor="accent4" w:themeShade="80"/>
            </w:tcBorders>
            <w:vAlign w:val="center"/>
          </w:tcPr>
          <w:p w14:paraId="7C239810"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species </w:t>
            </w:r>
            <w:r w:rsidRPr="00CB093C">
              <w:rPr>
                <w:rFonts w:ascii="Arial" w:hAnsi="Arial" w:cs="Arial"/>
                <w:i/>
                <w:szCs w:val="22"/>
              </w:rPr>
              <w:t>Thalassia hemprichii</w:t>
            </w:r>
          </w:p>
        </w:tc>
      </w:tr>
      <w:tr w:rsidR="00676C85" w:rsidRPr="00CB093C" w14:paraId="679C8B0A" w14:textId="77777777" w:rsidTr="005F5C58">
        <w:trPr>
          <w:trHeight w:val="20"/>
          <w:jc w:val="center"/>
        </w:trPr>
        <w:tc>
          <w:tcPr>
            <w:tcW w:w="2044" w:type="dxa"/>
            <w:tcBorders>
              <w:right w:val="single" w:sz="4" w:space="0" w:color="806000" w:themeColor="accent4" w:themeShade="80"/>
            </w:tcBorders>
            <w:vAlign w:val="center"/>
          </w:tcPr>
          <w:p w14:paraId="5EB4BF7B"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i/>
              </w:rPr>
              <w:t>Z. muelleri</w:t>
            </w:r>
          </w:p>
        </w:tc>
        <w:tc>
          <w:tcPr>
            <w:tcW w:w="7427" w:type="dxa"/>
            <w:tcBorders>
              <w:left w:val="single" w:sz="4" w:space="0" w:color="806000" w:themeColor="accent4" w:themeShade="80"/>
            </w:tcBorders>
            <w:vAlign w:val="center"/>
          </w:tcPr>
          <w:p w14:paraId="5722A83A"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 xml:space="preserve">Indicator for species </w:t>
            </w:r>
            <w:r w:rsidRPr="00CB093C">
              <w:rPr>
                <w:rFonts w:ascii="Arial" w:hAnsi="Arial" w:cs="Arial"/>
                <w:i/>
                <w:szCs w:val="22"/>
              </w:rPr>
              <w:t>Zostera muelleri</w:t>
            </w:r>
          </w:p>
        </w:tc>
      </w:tr>
      <w:tr w:rsidR="00676C85" w:rsidRPr="00CB093C" w14:paraId="56C03CDC" w14:textId="77777777" w:rsidTr="005F5C58">
        <w:trPr>
          <w:trHeight w:val="20"/>
          <w:jc w:val="center"/>
        </w:trPr>
        <w:tc>
          <w:tcPr>
            <w:tcW w:w="2044" w:type="dxa"/>
            <w:tcBorders>
              <w:right w:val="single" w:sz="4" w:space="0" w:color="806000" w:themeColor="accent4" w:themeShade="80"/>
            </w:tcBorders>
            <w:vAlign w:val="center"/>
          </w:tcPr>
          <w:p w14:paraId="7B8EF3E4" w14:textId="77777777" w:rsidR="00676C85" w:rsidRPr="00CB093C" w:rsidRDefault="00676C85" w:rsidP="005E0801">
            <w:pPr>
              <w:pStyle w:val="BodyText"/>
              <w:spacing w:after="0"/>
              <w:ind w:left="57"/>
              <w:jc w:val="left"/>
              <w:rPr>
                <w:rFonts w:ascii="Arial" w:hAnsi="Arial" w:cs="Arial"/>
              </w:rPr>
            </w:pPr>
            <w:r w:rsidRPr="00CB093C">
              <w:rPr>
                <w:rFonts w:ascii="Arial" w:hAnsi="Arial" w:cs="Arial"/>
              </w:rPr>
              <w:t>Percent cover, lagged</w:t>
            </w:r>
          </w:p>
        </w:tc>
        <w:tc>
          <w:tcPr>
            <w:tcW w:w="7427" w:type="dxa"/>
            <w:tcBorders>
              <w:left w:val="single" w:sz="4" w:space="0" w:color="806000" w:themeColor="accent4" w:themeShade="80"/>
            </w:tcBorders>
            <w:vAlign w:val="center"/>
          </w:tcPr>
          <w:p w14:paraId="362F7C4C" w14:textId="77777777" w:rsidR="00676C85" w:rsidRPr="00CB093C" w:rsidRDefault="00676C85" w:rsidP="005E0801">
            <w:pPr>
              <w:spacing w:before="0" w:after="0"/>
              <w:ind w:left="57"/>
              <w:rPr>
                <w:rFonts w:ascii="Arial" w:hAnsi="Arial" w:cs="Arial"/>
                <w:szCs w:val="22"/>
              </w:rPr>
            </w:pPr>
            <w:r w:rsidRPr="00CB093C">
              <w:rPr>
                <w:rFonts w:ascii="Arial" w:hAnsi="Arial" w:cs="Arial"/>
                <w:szCs w:val="22"/>
              </w:rPr>
              <w:t>A variable indicating the previous year mean percent cover</w:t>
            </w:r>
          </w:p>
        </w:tc>
      </w:tr>
    </w:tbl>
    <w:p w14:paraId="27EBA82D" w14:textId="77777777" w:rsidR="00676C85" w:rsidRPr="00CB093C" w:rsidRDefault="00676C85" w:rsidP="00676C85">
      <w:pPr>
        <w:pStyle w:val="BodyText"/>
        <w:rPr>
          <w:rFonts w:ascii="Arial" w:hAnsi="Arial" w:cs="Arial"/>
        </w:rPr>
      </w:pPr>
    </w:p>
    <w:p w14:paraId="169FA18A" w14:textId="5CB3EED8" w:rsidR="00676C85" w:rsidRPr="00CB093C" w:rsidRDefault="00676C85" w:rsidP="00676C85">
      <w:pPr>
        <w:rPr>
          <w:rFonts w:ascii="Arial" w:hAnsi="Arial" w:cs="Arial"/>
          <w:szCs w:val="22"/>
        </w:rPr>
      </w:pPr>
      <w:r w:rsidRPr="00CB093C">
        <w:rPr>
          <w:rFonts w:ascii="Arial" w:hAnsi="Arial" w:cs="Arial"/>
          <w:szCs w:val="22"/>
        </w:rPr>
        <w:t xml:space="preserve">Both the zero-inflated beta regression model and the random forest model link the explanatory variables in Table </w:t>
      </w:r>
      <w:r w:rsidRPr="00CB093C">
        <w:rPr>
          <w:rFonts w:ascii="Arial" w:hAnsi="Arial" w:cs="Arial"/>
          <w:noProof/>
          <w:szCs w:val="22"/>
        </w:rPr>
        <w:t>2</w:t>
      </w:r>
      <w:r w:rsidRPr="00CB093C">
        <w:rPr>
          <w:rFonts w:ascii="Arial" w:hAnsi="Arial" w:cs="Arial"/>
          <w:szCs w:val="22"/>
        </w:rPr>
        <w:t xml:space="preserve"> to the percent cover of seagrass. Four different models were considered in Lawrence and Gladish (2018), which included the sequential addition of species and/or percent cover from the previous year (lag cover). These were:</w:t>
      </w:r>
    </w:p>
    <w:p w14:paraId="0504E0C9" w14:textId="77777777" w:rsidR="00676C85" w:rsidRPr="00CB093C" w:rsidRDefault="00676C85" w:rsidP="00AD06D4">
      <w:pPr>
        <w:pStyle w:val="ListParagraph"/>
        <w:numPr>
          <w:ilvl w:val="0"/>
          <w:numId w:val="10"/>
        </w:numPr>
        <w:spacing w:before="0" w:after="0"/>
        <w:rPr>
          <w:rFonts w:ascii="Arial" w:hAnsi="Arial" w:cs="Arial"/>
          <w:szCs w:val="22"/>
        </w:rPr>
      </w:pPr>
      <w:r w:rsidRPr="00CB093C">
        <w:rPr>
          <w:rFonts w:ascii="Arial" w:hAnsi="Arial" w:cs="Arial"/>
          <w:szCs w:val="22"/>
        </w:rPr>
        <w:t xml:space="preserve">M1 is predicting seagrass percent cover based on site, current season, number of species present in the previous year, the reproductive/resilience variables from the peak of the previous year (nodes, flowers, fruits, spathes and seeds). </w:t>
      </w:r>
    </w:p>
    <w:p w14:paraId="27303498" w14:textId="77777777" w:rsidR="00676C85" w:rsidRPr="00CB093C" w:rsidRDefault="00676C85" w:rsidP="00AD06D4">
      <w:pPr>
        <w:pStyle w:val="ListParagraph"/>
        <w:numPr>
          <w:ilvl w:val="0"/>
          <w:numId w:val="10"/>
        </w:numPr>
        <w:spacing w:before="0" w:after="0"/>
        <w:rPr>
          <w:rFonts w:ascii="Arial" w:hAnsi="Arial" w:cs="Arial"/>
          <w:szCs w:val="22"/>
        </w:rPr>
      </w:pPr>
      <w:r w:rsidRPr="00CB093C">
        <w:rPr>
          <w:rFonts w:ascii="Arial" w:hAnsi="Arial" w:cs="Arial"/>
          <w:szCs w:val="22"/>
        </w:rPr>
        <w:t xml:space="preserve">M2 is the same but with indicator variables showing which species were present in the previous year. </w:t>
      </w:r>
    </w:p>
    <w:p w14:paraId="7F5E802F" w14:textId="77777777" w:rsidR="00676C85" w:rsidRPr="00CB093C" w:rsidRDefault="00676C85" w:rsidP="00AD06D4">
      <w:pPr>
        <w:pStyle w:val="ListParagraph"/>
        <w:numPr>
          <w:ilvl w:val="0"/>
          <w:numId w:val="10"/>
        </w:numPr>
        <w:spacing w:before="0" w:after="0"/>
        <w:rPr>
          <w:rFonts w:ascii="Arial" w:hAnsi="Arial" w:cs="Arial"/>
          <w:szCs w:val="22"/>
        </w:rPr>
      </w:pPr>
      <w:r w:rsidRPr="00CB093C">
        <w:rPr>
          <w:rFonts w:ascii="Arial" w:hAnsi="Arial" w:cs="Arial"/>
          <w:szCs w:val="22"/>
        </w:rPr>
        <w:t xml:space="preserve">M3 is the same as M1 but with the addition of the seagrass cover in the previous year. </w:t>
      </w:r>
    </w:p>
    <w:p w14:paraId="67688A86" w14:textId="77777777" w:rsidR="00676C85" w:rsidRPr="00CB093C" w:rsidRDefault="00676C85" w:rsidP="00AD06D4">
      <w:pPr>
        <w:pStyle w:val="ListParagraph"/>
        <w:numPr>
          <w:ilvl w:val="0"/>
          <w:numId w:val="10"/>
        </w:numPr>
        <w:spacing w:before="0" w:after="0"/>
        <w:rPr>
          <w:rFonts w:ascii="Arial" w:hAnsi="Arial" w:cs="Arial"/>
          <w:szCs w:val="22"/>
        </w:rPr>
      </w:pPr>
      <w:r w:rsidRPr="00CB093C">
        <w:rPr>
          <w:rFonts w:ascii="Arial" w:hAnsi="Arial" w:cs="Arial"/>
          <w:szCs w:val="22"/>
        </w:rPr>
        <w:t xml:space="preserve">M4 is the same as M3 with the addition of the species indicator variables. </w:t>
      </w:r>
    </w:p>
    <w:p w14:paraId="309735D6" w14:textId="77777777" w:rsidR="00676C85" w:rsidRPr="00CB093C" w:rsidRDefault="00676C85" w:rsidP="00676C85">
      <w:pPr>
        <w:rPr>
          <w:rFonts w:ascii="Arial" w:hAnsi="Arial" w:cs="Arial"/>
          <w:szCs w:val="22"/>
        </w:rPr>
      </w:pPr>
    </w:p>
    <w:p w14:paraId="33F90F96" w14:textId="6CBD9A89" w:rsidR="00676C85" w:rsidRPr="00CB093C" w:rsidRDefault="00676C85" w:rsidP="00676C85">
      <w:pPr>
        <w:rPr>
          <w:rFonts w:ascii="Arial" w:hAnsi="Arial" w:cs="Arial"/>
          <w:szCs w:val="22"/>
        </w:rPr>
      </w:pPr>
      <w:r w:rsidRPr="00CB093C">
        <w:rPr>
          <w:rFonts w:ascii="Arial" w:hAnsi="Arial" w:cs="Arial"/>
          <w:szCs w:val="22"/>
        </w:rPr>
        <w:t xml:space="preserve">For this </w:t>
      </w:r>
      <w:r w:rsidR="00FA1D90" w:rsidRPr="00CB093C">
        <w:rPr>
          <w:rFonts w:ascii="Arial" w:hAnsi="Arial" w:cs="Arial"/>
          <w:szCs w:val="22"/>
        </w:rPr>
        <w:t xml:space="preserve">case </w:t>
      </w:r>
      <w:r w:rsidRPr="00CB093C">
        <w:rPr>
          <w:rFonts w:ascii="Arial" w:hAnsi="Arial" w:cs="Arial"/>
          <w:szCs w:val="22"/>
        </w:rPr>
        <w:t>study, we further considered three definitions of reproductive effort. These were:</w:t>
      </w:r>
    </w:p>
    <w:p w14:paraId="74D7B3D9" w14:textId="06828E56" w:rsidR="00676C85" w:rsidRPr="00CB093C" w:rsidRDefault="00676C85" w:rsidP="00AD06D4">
      <w:pPr>
        <w:pStyle w:val="ListParagraph"/>
        <w:numPr>
          <w:ilvl w:val="0"/>
          <w:numId w:val="11"/>
        </w:numPr>
        <w:spacing w:before="0" w:after="0"/>
        <w:rPr>
          <w:rFonts w:ascii="Arial" w:hAnsi="Arial" w:cs="Arial"/>
          <w:szCs w:val="22"/>
        </w:rPr>
      </w:pPr>
      <w:r w:rsidRPr="00CB093C">
        <w:rPr>
          <w:rFonts w:ascii="Arial" w:hAnsi="Arial" w:cs="Arial"/>
          <w:szCs w:val="22"/>
        </w:rPr>
        <w:t>Based on the total number of nodes or reproductive structures across the sample points collected during the peak season (September</w:t>
      </w:r>
      <w:r w:rsidR="00C215FC" w:rsidRPr="00CB093C">
        <w:rPr>
          <w:rFonts w:ascii="Arial" w:hAnsi="Arial" w:cs="Arial"/>
          <w:szCs w:val="22"/>
        </w:rPr>
        <w:t>–</w:t>
      </w:r>
      <w:r w:rsidRPr="00CB093C">
        <w:rPr>
          <w:rFonts w:ascii="Arial" w:hAnsi="Arial" w:cs="Arial"/>
          <w:szCs w:val="22"/>
        </w:rPr>
        <w:t xml:space="preserve">December) of the previous year (a,b </w:t>
      </w:r>
      <w:r w:rsidRPr="00CB093C">
        <w:rPr>
          <w:rFonts w:ascii="Arial" w:hAnsi="Arial" w:cs="Arial"/>
          <w:szCs w:val="22"/>
        </w:rPr>
        <w:fldChar w:fldCharType="begin"/>
      </w:r>
      <w:r w:rsidRPr="00CB093C">
        <w:rPr>
          <w:rFonts w:ascii="Arial" w:hAnsi="Arial" w:cs="Arial"/>
          <w:szCs w:val="22"/>
        </w:rPr>
        <w:instrText xml:space="preserve"> REF _Ref532460166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Table </w:t>
      </w:r>
      <w:r w:rsidR="005F00D4">
        <w:rPr>
          <w:rFonts w:ascii="Arial" w:hAnsi="Arial" w:cs="Arial"/>
          <w:noProof/>
          <w:szCs w:val="22"/>
        </w:rPr>
        <w:t>18</w:t>
      </w:r>
      <w:r w:rsidRPr="00CB093C">
        <w:rPr>
          <w:rFonts w:ascii="Arial" w:hAnsi="Arial" w:cs="Arial"/>
          <w:szCs w:val="22"/>
        </w:rPr>
        <w:fldChar w:fldCharType="end"/>
      </w:r>
      <w:r w:rsidRPr="00CB093C">
        <w:rPr>
          <w:rFonts w:ascii="Arial" w:hAnsi="Arial" w:cs="Arial"/>
          <w:szCs w:val="22"/>
        </w:rPr>
        <w:t>)</w:t>
      </w:r>
    </w:p>
    <w:p w14:paraId="121B7B2E" w14:textId="599B3F26" w:rsidR="00676C85" w:rsidRPr="00CB093C" w:rsidRDefault="00676C85" w:rsidP="00AD06D4">
      <w:pPr>
        <w:pStyle w:val="ListParagraph"/>
        <w:numPr>
          <w:ilvl w:val="0"/>
          <w:numId w:val="11"/>
        </w:numPr>
        <w:spacing w:before="0" w:after="0"/>
        <w:rPr>
          <w:rFonts w:ascii="Arial" w:hAnsi="Arial" w:cs="Arial"/>
          <w:szCs w:val="22"/>
        </w:rPr>
      </w:pPr>
      <w:r w:rsidRPr="00CB093C">
        <w:rPr>
          <w:rFonts w:ascii="Arial" w:hAnsi="Arial" w:cs="Arial"/>
          <w:szCs w:val="22"/>
        </w:rPr>
        <w:t>Maximum total number of structures recorded during one sampling point in the preceding July</w:t>
      </w:r>
      <w:r w:rsidR="003158FC" w:rsidRPr="00CB093C">
        <w:rPr>
          <w:rFonts w:ascii="Arial" w:hAnsi="Arial" w:cs="Arial"/>
          <w:szCs w:val="22"/>
        </w:rPr>
        <w:t>–</w:t>
      </w:r>
      <w:r w:rsidRPr="00CB093C">
        <w:rPr>
          <w:rFonts w:ascii="Arial" w:hAnsi="Arial" w:cs="Arial"/>
          <w:szCs w:val="22"/>
        </w:rPr>
        <w:t xml:space="preserve">June (i.e. irrespective of the season in which it was observed, the maximum total count of reproductive effort for the previous period year was used) (as described in </w:t>
      </w:r>
      <w:r w:rsidRPr="00CB093C">
        <w:rPr>
          <w:rFonts w:ascii="Arial" w:hAnsi="Arial" w:cs="Arial"/>
          <w:szCs w:val="22"/>
        </w:rPr>
        <w:fldChar w:fldCharType="begin"/>
      </w:r>
      <w:r w:rsidRPr="00CB093C">
        <w:rPr>
          <w:rFonts w:ascii="Arial" w:hAnsi="Arial" w:cs="Arial"/>
          <w:szCs w:val="22"/>
        </w:rPr>
        <w:instrText xml:space="preserve"> REF _Ref532387421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Table </w:t>
      </w:r>
      <w:r w:rsidR="005F00D4">
        <w:rPr>
          <w:rFonts w:ascii="Arial" w:hAnsi="Arial" w:cs="Arial"/>
          <w:noProof/>
          <w:szCs w:val="22"/>
        </w:rPr>
        <w:t>17</w:t>
      </w:r>
      <w:r w:rsidRPr="00CB093C">
        <w:rPr>
          <w:rFonts w:ascii="Arial" w:hAnsi="Arial" w:cs="Arial"/>
          <w:szCs w:val="22"/>
        </w:rPr>
        <w:fldChar w:fldCharType="end"/>
      </w:r>
      <w:r w:rsidRPr="00CB093C">
        <w:rPr>
          <w:rFonts w:ascii="Arial" w:hAnsi="Arial" w:cs="Arial"/>
          <w:szCs w:val="22"/>
        </w:rPr>
        <w:t>). This is the version of the models detailed in this case study (c,d)</w:t>
      </w:r>
    </w:p>
    <w:p w14:paraId="43514431" w14:textId="77777777" w:rsidR="00676C85" w:rsidRPr="00CB093C" w:rsidRDefault="00676C85" w:rsidP="00AD06D4">
      <w:pPr>
        <w:pStyle w:val="ListParagraph"/>
        <w:numPr>
          <w:ilvl w:val="0"/>
          <w:numId w:val="11"/>
        </w:numPr>
        <w:spacing w:before="0" w:after="0"/>
        <w:rPr>
          <w:rFonts w:ascii="Arial" w:hAnsi="Arial" w:cs="Arial"/>
          <w:szCs w:val="22"/>
        </w:rPr>
      </w:pPr>
      <w:r w:rsidRPr="00CB093C">
        <w:rPr>
          <w:rFonts w:ascii="Arial" w:hAnsi="Arial" w:cs="Arial"/>
          <w:szCs w:val="22"/>
        </w:rPr>
        <w:t xml:space="preserve">The presence or absence of reproductive structures and nodes in the sampling period (i.e. binary classification of whether reproductive structures were observed at any time in the previous peak) (e,f). </w:t>
      </w:r>
    </w:p>
    <w:p w14:paraId="1FB1D349" w14:textId="77777777" w:rsidR="00676C85" w:rsidRPr="00CB093C" w:rsidRDefault="00676C85" w:rsidP="00676C85">
      <w:pPr>
        <w:rPr>
          <w:rFonts w:ascii="Arial" w:hAnsi="Arial" w:cs="Arial"/>
          <w:szCs w:val="22"/>
        </w:rPr>
      </w:pPr>
    </w:p>
    <w:p w14:paraId="040355F0" w14:textId="6D48CD0B" w:rsidR="00676C85" w:rsidRPr="00CB093C" w:rsidRDefault="00676C85" w:rsidP="00D2585E">
      <w:pPr>
        <w:pStyle w:val="Heading3"/>
        <w:numPr>
          <w:ilvl w:val="0"/>
          <w:numId w:val="0"/>
        </w:numPr>
        <w:rPr>
          <w:rFonts w:ascii="Arial" w:hAnsi="Arial" w:cs="Arial"/>
          <w:sz w:val="22"/>
          <w:szCs w:val="22"/>
        </w:rPr>
      </w:pPr>
      <w:bookmarkStart w:id="735" w:name="_Toc11394795"/>
      <w:r w:rsidRPr="00CB093C">
        <w:rPr>
          <w:rFonts w:ascii="Arial" w:hAnsi="Arial" w:cs="Arial"/>
          <w:sz w:val="22"/>
          <w:szCs w:val="22"/>
        </w:rPr>
        <w:t>Results</w:t>
      </w:r>
      <w:bookmarkEnd w:id="735"/>
    </w:p>
    <w:p w14:paraId="0F04976E" w14:textId="2D73AB40" w:rsidR="00676C85" w:rsidRPr="00CB093C" w:rsidRDefault="00676C85" w:rsidP="00676C85">
      <w:pPr>
        <w:rPr>
          <w:rFonts w:ascii="Arial" w:hAnsi="Arial" w:cs="Arial"/>
          <w:szCs w:val="22"/>
        </w:rPr>
      </w:pPr>
      <w:r w:rsidRPr="00CB093C">
        <w:rPr>
          <w:rFonts w:ascii="Arial" w:hAnsi="Arial" w:cs="Arial"/>
          <w:szCs w:val="22"/>
        </w:rPr>
        <w:t xml:space="preserve">All formulations fit the data reasonably well for both statistical models, with R-squared values between 0.63 and 0.74. We note that the </w:t>
      </w:r>
      <w:r w:rsidR="00FA1D90" w:rsidRPr="00CB093C">
        <w:rPr>
          <w:rFonts w:ascii="Arial" w:hAnsi="Arial" w:cs="Arial"/>
          <w:szCs w:val="22"/>
        </w:rPr>
        <w:t>R-</w:t>
      </w:r>
      <w:r w:rsidRPr="00CB093C">
        <w:rPr>
          <w:rFonts w:ascii="Arial" w:hAnsi="Arial" w:cs="Arial"/>
          <w:szCs w:val="22"/>
        </w:rPr>
        <w:t xml:space="preserve">squared values for the zero-inflated beta model is always at least slightly better than the random forest models, although the increase is sometimes very modest. The </w:t>
      </w:r>
      <w:r w:rsidR="00FA1D90" w:rsidRPr="00CB093C">
        <w:rPr>
          <w:rFonts w:ascii="Arial" w:hAnsi="Arial" w:cs="Arial"/>
          <w:szCs w:val="22"/>
        </w:rPr>
        <w:t>R-</w:t>
      </w:r>
      <w:r w:rsidRPr="00CB093C">
        <w:rPr>
          <w:rFonts w:ascii="Arial" w:hAnsi="Arial" w:cs="Arial"/>
          <w:szCs w:val="22"/>
        </w:rPr>
        <w:t xml:space="preserve">squared values also increase moving from M1 to M4 indicating that the models are improved by considering both species composition and the amount of seagrass in the year prior. </w:t>
      </w:r>
    </w:p>
    <w:p w14:paraId="3E321620" w14:textId="77777777" w:rsidR="00676C85" w:rsidRPr="00CB093C" w:rsidRDefault="00676C85" w:rsidP="00676C85">
      <w:pPr>
        <w:rPr>
          <w:rFonts w:ascii="Arial" w:hAnsi="Arial" w:cs="Arial"/>
          <w:szCs w:val="22"/>
        </w:rPr>
      </w:pPr>
    </w:p>
    <w:p w14:paraId="2287A830" w14:textId="77777777" w:rsidR="00676C85" w:rsidRPr="00CB093C" w:rsidRDefault="00676C85" w:rsidP="00676C85">
      <w:pPr>
        <w:rPr>
          <w:rFonts w:ascii="Arial" w:hAnsi="Arial" w:cs="Arial"/>
          <w:szCs w:val="22"/>
        </w:rPr>
      </w:pPr>
    </w:p>
    <w:p w14:paraId="494BF5C1" w14:textId="12483FAA" w:rsidR="00676C85" w:rsidRPr="00CB093C" w:rsidRDefault="00676C85" w:rsidP="00676C85">
      <w:pPr>
        <w:pStyle w:val="Caption"/>
        <w:rPr>
          <w:rFonts w:ascii="Arial" w:hAnsi="Arial" w:cs="Arial"/>
          <w:i/>
          <w:szCs w:val="22"/>
        </w:rPr>
      </w:pPr>
      <w:bookmarkStart w:id="736" w:name="_Ref532460166"/>
      <w:bookmarkStart w:id="737" w:name="_Toc5616046"/>
      <w:r w:rsidRPr="00CB093C">
        <w:rPr>
          <w:rFonts w:ascii="Arial" w:hAnsi="Arial" w:cs="Arial"/>
          <w:szCs w:val="22"/>
        </w:rPr>
        <w:t xml:space="preserve">Table </w:t>
      </w:r>
      <w:r w:rsidRPr="00CB093C">
        <w:rPr>
          <w:rFonts w:ascii="Arial" w:hAnsi="Arial" w:cs="Arial"/>
          <w:szCs w:val="22"/>
        </w:rPr>
        <w:fldChar w:fldCharType="begin"/>
      </w:r>
      <w:r w:rsidRPr="00CB093C">
        <w:rPr>
          <w:rFonts w:ascii="Arial" w:hAnsi="Arial" w:cs="Arial"/>
          <w:szCs w:val="22"/>
        </w:rPr>
        <w:instrText xml:space="preserve"> SEQ Table \* ARABIC </w:instrText>
      </w:r>
      <w:r w:rsidRPr="00CB093C">
        <w:rPr>
          <w:rFonts w:ascii="Arial" w:hAnsi="Arial" w:cs="Arial"/>
          <w:szCs w:val="22"/>
        </w:rPr>
        <w:fldChar w:fldCharType="separate"/>
      </w:r>
      <w:r w:rsidR="005F00D4">
        <w:rPr>
          <w:rFonts w:ascii="Arial" w:hAnsi="Arial" w:cs="Arial"/>
          <w:noProof/>
          <w:szCs w:val="22"/>
        </w:rPr>
        <w:t>18</w:t>
      </w:r>
      <w:r w:rsidRPr="00CB093C">
        <w:rPr>
          <w:rFonts w:ascii="Arial" w:hAnsi="Arial" w:cs="Arial"/>
          <w:szCs w:val="22"/>
        </w:rPr>
        <w:fldChar w:fldCharType="end"/>
      </w:r>
      <w:bookmarkEnd w:id="736"/>
      <w:r w:rsidRPr="00CB093C">
        <w:rPr>
          <w:rFonts w:ascii="Arial" w:hAnsi="Arial" w:cs="Arial"/>
          <w:szCs w:val="22"/>
        </w:rPr>
        <w:t xml:space="preserve">. </w:t>
      </w:r>
      <w:r w:rsidRPr="00CB093C">
        <w:rPr>
          <w:rFonts w:ascii="Arial" w:hAnsi="Arial" w:cs="Arial"/>
          <w:i/>
          <w:szCs w:val="22"/>
        </w:rPr>
        <w:t>R-squared values for models M1 – M4 using both the zero-inflated beta regression models and Random forest models, also testing different definitions of reproductive effort in the previous period.</w:t>
      </w:r>
      <w:bookmarkEnd w:id="737"/>
      <w:r w:rsidRPr="00CB093C">
        <w:rPr>
          <w:rFonts w:ascii="Arial" w:hAnsi="Arial" w:cs="Arial"/>
          <w:i/>
          <w:szCs w:val="22"/>
        </w:rPr>
        <w:t xml:space="preserve">  </w:t>
      </w:r>
    </w:p>
    <w:tbl>
      <w:tblPr>
        <w:tblW w:w="9779" w:type="dxa"/>
        <w:jc w:val="center"/>
        <w:tblBorders>
          <w:top w:val="single" w:sz="4" w:space="0" w:color="auto"/>
          <w:bottom w:val="single" w:sz="4" w:space="0" w:color="auto"/>
        </w:tblBorders>
        <w:tblLook w:val="04A0" w:firstRow="1" w:lastRow="0" w:firstColumn="1" w:lastColumn="0" w:noHBand="0" w:noVBand="1"/>
      </w:tblPr>
      <w:tblGrid>
        <w:gridCol w:w="816"/>
        <w:gridCol w:w="1751"/>
        <w:gridCol w:w="1244"/>
        <w:gridCol w:w="1263"/>
        <w:gridCol w:w="1329"/>
        <w:gridCol w:w="1295"/>
        <w:gridCol w:w="1244"/>
        <w:gridCol w:w="1146"/>
      </w:tblGrid>
      <w:tr w:rsidR="00676C85" w:rsidRPr="00CB093C" w14:paraId="14063C49" w14:textId="77777777" w:rsidTr="005F5C58">
        <w:trPr>
          <w:trHeight w:val="300"/>
          <w:jc w:val="center"/>
        </w:trPr>
        <w:tc>
          <w:tcPr>
            <w:tcW w:w="796" w:type="dxa"/>
            <w:tcBorders>
              <w:top w:val="single" w:sz="4" w:space="0" w:color="auto"/>
              <w:left w:val="single" w:sz="4" w:space="0" w:color="auto"/>
              <w:bottom w:val="nil"/>
            </w:tcBorders>
            <w:vAlign w:val="center"/>
          </w:tcPr>
          <w:p w14:paraId="021FCF6C" w14:textId="77777777" w:rsidR="00676C85" w:rsidRPr="00CB093C" w:rsidRDefault="00676C85" w:rsidP="005E0801">
            <w:pPr>
              <w:spacing w:before="0" w:after="0"/>
              <w:jc w:val="center"/>
              <w:rPr>
                <w:rFonts w:ascii="Arial" w:hAnsi="Arial" w:cs="Arial"/>
                <w:color w:val="000000"/>
                <w:szCs w:val="22"/>
              </w:rPr>
            </w:pPr>
          </w:p>
        </w:tc>
        <w:tc>
          <w:tcPr>
            <w:tcW w:w="1751" w:type="dxa"/>
            <w:tcBorders>
              <w:top w:val="single" w:sz="4" w:space="0" w:color="auto"/>
              <w:bottom w:val="nil"/>
            </w:tcBorders>
            <w:shd w:val="clear" w:color="auto" w:fill="auto"/>
            <w:noWrap/>
            <w:vAlign w:val="center"/>
          </w:tcPr>
          <w:p w14:paraId="196521B4" w14:textId="77777777" w:rsidR="00676C85" w:rsidRPr="00CB093C" w:rsidRDefault="00676C85" w:rsidP="005E0801">
            <w:pPr>
              <w:spacing w:before="0" w:after="0"/>
              <w:jc w:val="center"/>
              <w:rPr>
                <w:rFonts w:ascii="Arial" w:hAnsi="Arial" w:cs="Arial"/>
                <w:color w:val="000000"/>
                <w:szCs w:val="22"/>
              </w:rPr>
            </w:pPr>
          </w:p>
        </w:tc>
        <w:tc>
          <w:tcPr>
            <w:tcW w:w="7232" w:type="dxa"/>
            <w:gridSpan w:val="6"/>
            <w:tcBorders>
              <w:top w:val="single" w:sz="4" w:space="0" w:color="auto"/>
              <w:left w:val="single" w:sz="4" w:space="0" w:color="auto"/>
              <w:bottom w:val="nil"/>
              <w:right w:val="single" w:sz="4" w:space="0" w:color="auto"/>
            </w:tcBorders>
            <w:shd w:val="clear" w:color="auto" w:fill="auto"/>
            <w:noWrap/>
            <w:vAlign w:val="center"/>
          </w:tcPr>
          <w:p w14:paraId="57CAA419"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Reproductive structures and node data treatment</w:t>
            </w:r>
          </w:p>
        </w:tc>
      </w:tr>
      <w:tr w:rsidR="00676C85" w:rsidRPr="00CB093C" w14:paraId="1B270B09" w14:textId="77777777" w:rsidTr="005F5C58">
        <w:trPr>
          <w:trHeight w:val="300"/>
          <w:jc w:val="center"/>
        </w:trPr>
        <w:tc>
          <w:tcPr>
            <w:tcW w:w="796" w:type="dxa"/>
            <w:tcBorders>
              <w:top w:val="nil"/>
              <w:left w:val="single" w:sz="4" w:space="0" w:color="auto"/>
              <w:bottom w:val="single" w:sz="4" w:space="0" w:color="auto"/>
            </w:tcBorders>
            <w:vAlign w:val="center"/>
          </w:tcPr>
          <w:p w14:paraId="4E4370E5" w14:textId="77777777" w:rsidR="00676C85" w:rsidRPr="00CB093C" w:rsidRDefault="00676C85" w:rsidP="005E0801">
            <w:pPr>
              <w:spacing w:before="0" w:after="0"/>
              <w:jc w:val="center"/>
              <w:rPr>
                <w:rFonts w:ascii="Arial" w:hAnsi="Arial" w:cs="Arial"/>
                <w:color w:val="000000"/>
                <w:szCs w:val="22"/>
              </w:rPr>
            </w:pPr>
          </w:p>
        </w:tc>
        <w:tc>
          <w:tcPr>
            <w:tcW w:w="1751" w:type="dxa"/>
            <w:tcBorders>
              <w:top w:val="nil"/>
              <w:bottom w:val="single" w:sz="4" w:space="0" w:color="auto"/>
            </w:tcBorders>
            <w:shd w:val="clear" w:color="auto" w:fill="auto"/>
            <w:noWrap/>
            <w:vAlign w:val="center"/>
          </w:tcPr>
          <w:p w14:paraId="0C4ED9C3" w14:textId="77777777" w:rsidR="00676C85" w:rsidRPr="00CB093C" w:rsidRDefault="00676C85" w:rsidP="005E0801">
            <w:pPr>
              <w:spacing w:before="0" w:after="0"/>
              <w:jc w:val="center"/>
              <w:rPr>
                <w:rFonts w:ascii="Arial" w:hAnsi="Arial" w:cs="Arial"/>
                <w:color w:val="000000"/>
                <w:szCs w:val="22"/>
              </w:rPr>
            </w:pPr>
          </w:p>
        </w:tc>
        <w:tc>
          <w:tcPr>
            <w:tcW w:w="2410" w:type="dxa"/>
            <w:gridSpan w:val="2"/>
            <w:tcBorders>
              <w:top w:val="nil"/>
              <w:left w:val="single" w:sz="4" w:space="0" w:color="auto"/>
              <w:bottom w:val="single" w:sz="4" w:space="0" w:color="auto"/>
              <w:right w:val="nil"/>
            </w:tcBorders>
            <w:shd w:val="clear" w:color="auto" w:fill="auto"/>
            <w:noWrap/>
            <w:vAlign w:val="center"/>
          </w:tcPr>
          <w:p w14:paraId="4804B5C7"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original</w:t>
            </w:r>
          </w:p>
        </w:tc>
        <w:tc>
          <w:tcPr>
            <w:tcW w:w="2551" w:type="dxa"/>
            <w:gridSpan w:val="2"/>
            <w:tcBorders>
              <w:top w:val="nil"/>
              <w:left w:val="nil"/>
              <w:bottom w:val="single" w:sz="4" w:space="0" w:color="auto"/>
              <w:right w:val="nil"/>
            </w:tcBorders>
            <w:shd w:val="clear" w:color="auto" w:fill="auto"/>
            <w:noWrap/>
            <w:vAlign w:val="center"/>
          </w:tcPr>
          <w:p w14:paraId="77BE6603"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maximum</w:t>
            </w:r>
          </w:p>
        </w:tc>
        <w:tc>
          <w:tcPr>
            <w:tcW w:w="2271" w:type="dxa"/>
            <w:gridSpan w:val="2"/>
            <w:tcBorders>
              <w:top w:val="nil"/>
              <w:left w:val="nil"/>
              <w:bottom w:val="single" w:sz="4" w:space="0" w:color="auto"/>
              <w:right w:val="single" w:sz="4" w:space="0" w:color="auto"/>
            </w:tcBorders>
            <w:shd w:val="clear" w:color="auto" w:fill="auto"/>
            <w:noWrap/>
            <w:vAlign w:val="center"/>
          </w:tcPr>
          <w:p w14:paraId="5E5C6F4F"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binary</w:t>
            </w:r>
          </w:p>
        </w:tc>
      </w:tr>
      <w:tr w:rsidR="00676C85" w:rsidRPr="00CB093C" w14:paraId="248EDE9A" w14:textId="77777777" w:rsidTr="005F5C58">
        <w:trPr>
          <w:trHeight w:val="300"/>
          <w:jc w:val="center"/>
        </w:trPr>
        <w:tc>
          <w:tcPr>
            <w:tcW w:w="796" w:type="dxa"/>
            <w:tcBorders>
              <w:top w:val="single" w:sz="4" w:space="0" w:color="auto"/>
              <w:left w:val="single" w:sz="4" w:space="0" w:color="auto"/>
              <w:bottom w:val="single" w:sz="4" w:space="0" w:color="auto"/>
            </w:tcBorders>
            <w:vAlign w:val="center"/>
          </w:tcPr>
          <w:p w14:paraId="43DF09DF" w14:textId="509F4E2A"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 xml:space="preserve">Model </w:t>
            </w:r>
            <w:r w:rsidR="00BA1C51" w:rsidRPr="00CB093C">
              <w:rPr>
                <w:rFonts w:ascii="Arial" w:hAnsi="Arial" w:cs="Arial"/>
                <w:color w:val="000000"/>
                <w:szCs w:val="22"/>
              </w:rPr>
              <w:t>n</w:t>
            </w:r>
            <w:r w:rsidRPr="00CB093C">
              <w:rPr>
                <w:rFonts w:ascii="Arial" w:hAnsi="Arial" w:cs="Arial"/>
                <w:color w:val="000000"/>
                <w:szCs w:val="22"/>
              </w:rPr>
              <w:t>o.</w:t>
            </w:r>
          </w:p>
        </w:tc>
        <w:tc>
          <w:tcPr>
            <w:tcW w:w="1751" w:type="dxa"/>
            <w:tcBorders>
              <w:top w:val="single" w:sz="4" w:space="0" w:color="auto"/>
              <w:bottom w:val="single" w:sz="4" w:space="0" w:color="auto"/>
            </w:tcBorders>
            <w:shd w:val="clear" w:color="auto" w:fill="auto"/>
            <w:noWrap/>
            <w:vAlign w:val="center"/>
            <w:hideMark/>
          </w:tcPr>
          <w:p w14:paraId="5E8A934A"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Parameters included</w:t>
            </w:r>
          </w:p>
        </w:tc>
        <w:tc>
          <w:tcPr>
            <w:tcW w:w="1147" w:type="dxa"/>
            <w:tcBorders>
              <w:top w:val="single" w:sz="4" w:space="0" w:color="auto"/>
              <w:left w:val="single" w:sz="4" w:space="0" w:color="auto"/>
              <w:bottom w:val="single" w:sz="4" w:space="0" w:color="auto"/>
            </w:tcBorders>
            <w:shd w:val="clear" w:color="auto" w:fill="auto"/>
            <w:noWrap/>
            <w:vAlign w:val="center"/>
            <w:hideMark/>
          </w:tcPr>
          <w:p w14:paraId="05417193"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a. Beta regression</w:t>
            </w:r>
          </w:p>
        </w:tc>
        <w:tc>
          <w:tcPr>
            <w:tcW w:w="1263" w:type="dxa"/>
            <w:tcBorders>
              <w:top w:val="single" w:sz="4" w:space="0" w:color="auto"/>
              <w:bottom w:val="single" w:sz="4" w:space="0" w:color="auto"/>
              <w:right w:val="single" w:sz="4" w:space="0" w:color="auto"/>
            </w:tcBorders>
            <w:shd w:val="clear" w:color="auto" w:fill="auto"/>
            <w:noWrap/>
            <w:vAlign w:val="center"/>
            <w:hideMark/>
          </w:tcPr>
          <w:p w14:paraId="3AAED943" w14:textId="04504169"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 xml:space="preserve">b. Random </w:t>
            </w:r>
            <w:r w:rsidR="00BA1C51" w:rsidRPr="00CB093C">
              <w:rPr>
                <w:rFonts w:ascii="Arial" w:hAnsi="Arial" w:cs="Arial"/>
                <w:color w:val="000000"/>
                <w:szCs w:val="22"/>
              </w:rPr>
              <w:t>f</w:t>
            </w:r>
            <w:r w:rsidRPr="00CB093C">
              <w:rPr>
                <w:rFonts w:ascii="Arial" w:hAnsi="Arial" w:cs="Arial"/>
                <w:color w:val="000000"/>
                <w:szCs w:val="22"/>
              </w:rPr>
              <w:t>orest</w:t>
            </w:r>
          </w:p>
        </w:tc>
        <w:tc>
          <w:tcPr>
            <w:tcW w:w="1256" w:type="dxa"/>
            <w:tcBorders>
              <w:top w:val="single" w:sz="4" w:space="0" w:color="auto"/>
              <w:left w:val="single" w:sz="4" w:space="0" w:color="auto"/>
              <w:bottom w:val="single" w:sz="4" w:space="0" w:color="auto"/>
            </w:tcBorders>
            <w:shd w:val="clear" w:color="auto" w:fill="auto"/>
            <w:noWrap/>
            <w:vAlign w:val="center"/>
            <w:hideMark/>
          </w:tcPr>
          <w:p w14:paraId="60D1B668"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c. Beta regression*</w:t>
            </w:r>
          </w:p>
        </w:tc>
        <w:tc>
          <w:tcPr>
            <w:tcW w:w="1295" w:type="dxa"/>
            <w:tcBorders>
              <w:top w:val="single" w:sz="4" w:space="0" w:color="auto"/>
              <w:bottom w:val="single" w:sz="4" w:space="0" w:color="auto"/>
              <w:right w:val="single" w:sz="4" w:space="0" w:color="auto"/>
            </w:tcBorders>
            <w:shd w:val="clear" w:color="auto" w:fill="auto"/>
            <w:noWrap/>
            <w:vAlign w:val="center"/>
            <w:hideMark/>
          </w:tcPr>
          <w:p w14:paraId="684F902A" w14:textId="06EDB0B1"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 xml:space="preserve">d. Random </w:t>
            </w:r>
            <w:r w:rsidR="00BA1C51" w:rsidRPr="00CB093C">
              <w:rPr>
                <w:rFonts w:ascii="Arial" w:hAnsi="Arial" w:cs="Arial"/>
                <w:color w:val="000000"/>
                <w:szCs w:val="22"/>
              </w:rPr>
              <w:t>f</w:t>
            </w:r>
            <w:r w:rsidRPr="00CB093C">
              <w:rPr>
                <w:rFonts w:ascii="Arial" w:hAnsi="Arial" w:cs="Arial"/>
                <w:color w:val="000000"/>
                <w:szCs w:val="22"/>
              </w:rPr>
              <w:t>orest</w:t>
            </w:r>
          </w:p>
        </w:tc>
        <w:tc>
          <w:tcPr>
            <w:tcW w:w="1125" w:type="dxa"/>
            <w:tcBorders>
              <w:top w:val="single" w:sz="4" w:space="0" w:color="auto"/>
              <w:left w:val="single" w:sz="4" w:space="0" w:color="auto"/>
              <w:bottom w:val="single" w:sz="4" w:space="0" w:color="auto"/>
            </w:tcBorders>
            <w:shd w:val="clear" w:color="auto" w:fill="auto"/>
            <w:noWrap/>
            <w:vAlign w:val="center"/>
            <w:hideMark/>
          </w:tcPr>
          <w:p w14:paraId="4F5A9A09"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e. Beta regression</w:t>
            </w:r>
          </w:p>
        </w:tc>
        <w:tc>
          <w:tcPr>
            <w:tcW w:w="1146" w:type="dxa"/>
            <w:tcBorders>
              <w:top w:val="single" w:sz="4" w:space="0" w:color="auto"/>
              <w:bottom w:val="single" w:sz="4" w:space="0" w:color="auto"/>
              <w:right w:val="single" w:sz="4" w:space="0" w:color="auto"/>
            </w:tcBorders>
            <w:shd w:val="clear" w:color="auto" w:fill="auto"/>
            <w:noWrap/>
            <w:vAlign w:val="center"/>
            <w:hideMark/>
          </w:tcPr>
          <w:p w14:paraId="61D431FF" w14:textId="77CCE39B"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 xml:space="preserve">f. Random </w:t>
            </w:r>
            <w:r w:rsidR="00BA1C51" w:rsidRPr="00CB093C">
              <w:rPr>
                <w:rFonts w:ascii="Arial" w:hAnsi="Arial" w:cs="Arial"/>
                <w:color w:val="000000"/>
                <w:szCs w:val="22"/>
              </w:rPr>
              <w:t>f</w:t>
            </w:r>
            <w:r w:rsidRPr="00CB093C">
              <w:rPr>
                <w:rFonts w:ascii="Arial" w:hAnsi="Arial" w:cs="Arial"/>
                <w:color w:val="000000"/>
                <w:szCs w:val="22"/>
              </w:rPr>
              <w:t>orest</w:t>
            </w:r>
          </w:p>
        </w:tc>
      </w:tr>
      <w:tr w:rsidR="00676C85" w:rsidRPr="00CB093C" w14:paraId="3EFFE461" w14:textId="77777777" w:rsidTr="005F5C58">
        <w:trPr>
          <w:trHeight w:val="300"/>
          <w:jc w:val="center"/>
        </w:trPr>
        <w:tc>
          <w:tcPr>
            <w:tcW w:w="796" w:type="dxa"/>
            <w:tcBorders>
              <w:top w:val="single" w:sz="4" w:space="0" w:color="auto"/>
              <w:left w:val="single" w:sz="4" w:space="0" w:color="auto"/>
            </w:tcBorders>
            <w:vAlign w:val="center"/>
          </w:tcPr>
          <w:p w14:paraId="17FE810E" w14:textId="77777777" w:rsidR="00676C85" w:rsidRPr="00CB093C" w:rsidRDefault="00676C85" w:rsidP="005E0801">
            <w:pPr>
              <w:spacing w:before="0" w:after="0"/>
              <w:jc w:val="center"/>
              <w:rPr>
                <w:rFonts w:ascii="Arial" w:hAnsi="Arial" w:cs="Arial"/>
                <w:b/>
                <w:color w:val="000000"/>
                <w:szCs w:val="22"/>
              </w:rPr>
            </w:pPr>
            <w:r w:rsidRPr="00CB093C">
              <w:rPr>
                <w:rFonts w:ascii="Arial" w:hAnsi="Arial" w:cs="Arial"/>
                <w:b/>
                <w:color w:val="000000"/>
                <w:szCs w:val="22"/>
              </w:rPr>
              <w:t>M1</w:t>
            </w:r>
          </w:p>
        </w:tc>
        <w:tc>
          <w:tcPr>
            <w:tcW w:w="1751" w:type="dxa"/>
            <w:tcBorders>
              <w:top w:val="single" w:sz="4" w:space="0" w:color="auto"/>
            </w:tcBorders>
            <w:shd w:val="clear" w:color="auto" w:fill="auto"/>
            <w:noWrap/>
            <w:vAlign w:val="center"/>
            <w:hideMark/>
          </w:tcPr>
          <w:p w14:paraId="19A9B807"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No Species</w:t>
            </w:r>
          </w:p>
        </w:tc>
        <w:tc>
          <w:tcPr>
            <w:tcW w:w="1147" w:type="dxa"/>
            <w:tcBorders>
              <w:top w:val="single" w:sz="4" w:space="0" w:color="auto"/>
              <w:left w:val="single" w:sz="4" w:space="0" w:color="auto"/>
            </w:tcBorders>
            <w:shd w:val="clear" w:color="auto" w:fill="auto"/>
            <w:noWrap/>
            <w:vAlign w:val="center"/>
            <w:hideMark/>
          </w:tcPr>
          <w:p w14:paraId="1F059207"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0.672</w:t>
            </w:r>
          </w:p>
        </w:tc>
        <w:tc>
          <w:tcPr>
            <w:tcW w:w="1263" w:type="dxa"/>
            <w:tcBorders>
              <w:top w:val="single" w:sz="4" w:space="0" w:color="auto"/>
              <w:right w:val="single" w:sz="4" w:space="0" w:color="auto"/>
            </w:tcBorders>
            <w:shd w:val="clear" w:color="auto" w:fill="auto"/>
            <w:noWrap/>
            <w:vAlign w:val="center"/>
            <w:hideMark/>
          </w:tcPr>
          <w:p w14:paraId="33BFD3D6"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0.649</w:t>
            </w:r>
          </w:p>
        </w:tc>
        <w:tc>
          <w:tcPr>
            <w:tcW w:w="1256" w:type="dxa"/>
            <w:tcBorders>
              <w:top w:val="single" w:sz="4" w:space="0" w:color="auto"/>
              <w:left w:val="single" w:sz="4" w:space="0" w:color="auto"/>
            </w:tcBorders>
            <w:shd w:val="clear" w:color="auto" w:fill="auto"/>
            <w:noWrap/>
            <w:vAlign w:val="center"/>
            <w:hideMark/>
          </w:tcPr>
          <w:p w14:paraId="612E828B"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0.653</w:t>
            </w:r>
          </w:p>
        </w:tc>
        <w:tc>
          <w:tcPr>
            <w:tcW w:w="1295" w:type="dxa"/>
            <w:tcBorders>
              <w:top w:val="single" w:sz="4" w:space="0" w:color="auto"/>
              <w:right w:val="single" w:sz="4" w:space="0" w:color="auto"/>
            </w:tcBorders>
            <w:shd w:val="clear" w:color="auto" w:fill="auto"/>
            <w:noWrap/>
            <w:vAlign w:val="center"/>
            <w:hideMark/>
          </w:tcPr>
          <w:p w14:paraId="50530B7A"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0.63</w:t>
            </w:r>
          </w:p>
        </w:tc>
        <w:tc>
          <w:tcPr>
            <w:tcW w:w="1125" w:type="dxa"/>
            <w:tcBorders>
              <w:top w:val="single" w:sz="4" w:space="0" w:color="auto"/>
              <w:left w:val="single" w:sz="4" w:space="0" w:color="auto"/>
            </w:tcBorders>
            <w:shd w:val="clear" w:color="auto" w:fill="auto"/>
            <w:noWrap/>
            <w:vAlign w:val="center"/>
            <w:hideMark/>
          </w:tcPr>
          <w:p w14:paraId="1CEC2043"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0.633</w:t>
            </w:r>
          </w:p>
        </w:tc>
        <w:tc>
          <w:tcPr>
            <w:tcW w:w="1146" w:type="dxa"/>
            <w:tcBorders>
              <w:top w:val="single" w:sz="4" w:space="0" w:color="auto"/>
              <w:right w:val="single" w:sz="4" w:space="0" w:color="auto"/>
            </w:tcBorders>
            <w:shd w:val="clear" w:color="auto" w:fill="auto"/>
            <w:noWrap/>
            <w:vAlign w:val="center"/>
            <w:hideMark/>
          </w:tcPr>
          <w:p w14:paraId="299E751F"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0.605</w:t>
            </w:r>
          </w:p>
        </w:tc>
      </w:tr>
      <w:tr w:rsidR="00676C85" w:rsidRPr="00CB093C" w14:paraId="3596A512" w14:textId="77777777" w:rsidTr="005F5C58">
        <w:trPr>
          <w:trHeight w:val="300"/>
          <w:jc w:val="center"/>
        </w:trPr>
        <w:tc>
          <w:tcPr>
            <w:tcW w:w="796" w:type="dxa"/>
            <w:tcBorders>
              <w:left w:val="single" w:sz="4" w:space="0" w:color="auto"/>
            </w:tcBorders>
            <w:vAlign w:val="center"/>
          </w:tcPr>
          <w:p w14:paraId="79E926F7" w14:textId="77777777" w:rsidR="00676C85" w:rsidRPr="00CB093C" w:rsidRDefault="00676C85" w:rsidP="005E0801">
            <w:pPr>
              <w:spacing w:before="0" w:after="0"/>
              <w:jc w:val="center"/>
              <w:rPr>
                <w:rFonts w:ascii="Arial" w:hAnsi="Arial" w:cs="Arial"/>
                <w:b/>
                <w:color w:val="000000"/>
                <w:szCs w:val="22"/>
              </w:rPr>
            </w:pPr>
            <w:r w:rsidRPr="00CB093C">
              <w:rPr>
                <w:rFonts w:ascii="Arial" w:hAnsi="Arial" w:cs="Arial"/>
                <w:b/>
                <w:color w:val="000000"/>
                <w:szCs w:val="22"/>
              </w:rPr>
              <w:t>M2</w:t>
            </w:r>
          </w:p>
        </w:tc>
        <w:tc>
          <w:tcPr>
            <w:tcW w:w="1751" w:type="dxa"/>
            <w:shd w:val="clear" w:color="auto" w:fill="auto"/>
            <w:noWrap/>
            <w:vAlign w:val="center"/>
            <w:hideMark/>
          </w:tcPr>
          <w:p w14:paraId="0088C7BF"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Species</w:t>
            </w:r>
          </w:p>
        </w:tc>
        <w:tc>
          <w:tcPr>
            <w:tcW w:w="1147" w:type="dxa"/>
            <w:tcBorders>
              <w:left w:val="single" w:sz="4" w:space="0" w:color="auto"/>
            </w:tcBorders>
            <w:shd w:val="clear" w:color="auto" w:fill="auto"/>
            <w:noWrap/>
            <w:vAlign w:val="center"/>
            <w:hideMark/>
          </w:tcPr>
          <w:p w14:paraId="1A63A129"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0.689</w:t>
            </w:r>
          </w:p>
        </w:tc>
        <w:tc>
          <w:tcPr>
            <w:tcW w:w="1263" w:type="dxa"/>
            <w:tcBorders>
              <w:right w:val="single" w:sz="4" w:space="0" w:color="auto"/>
            </w:tcBorders>
            <w:shd w:val="clear" w:color="auto" w:fill="auto"/>
            <w:noWrap/>
            <w:vAlign w:val="center"/>
            <w:hideMark/>
          </w:tcPr>
          <w:p w14:paraId="7B2A7344"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0.663</w:t>
            </w:r>
          </w:p>
        </w:tc>
        <w:tc>
          <w:tcPr>
            <w:tcW w:w="1256" w:type="dxa"/>
            <w:tcBorders>
              <w:left w:val="single" w:sz="4" w:space="0" w:color="auto"/>
            </w:tcBorders>
            <w:shd w:val="clear" w:color="auto" w:fill="auto"/>
            <w:noWrap/>
            <w:vAlign w:val="center"/>
            <w:hideMark/>
          </w:tcPr>
          <w:p w14:paraId="2694E716"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0.674</w:t>
            </w:r>
          </w:p>
        </w:tc>
        <w:tc>
          <w:tcPr>
            <w:tcW w:w="1295" w:type="dxa"/>
            <w:tcBorders>
              <w:right w:val="single" w:sz="4" w:space="0" w:color="auto"/>
            </w:tcBorders>
            <w:shd w:val="clear" w:color="auto" w:fill="auto"/>
            <w:noWrap/>
            <w:vAlign w:val="center"/>
            <w:hideMark/>
          </w:tcPr>
          <w:p w14:paraId="3971FE1A"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0.652</w:t>
            </w:r>
          </w:p>
        </w:tc>
        <w:tc>
          <w:tcPr>
            <w:tcW w:w="1125" w:type="dxa"/>
            <w:tcBorders>
              <w:left w:val="single" w:sz="4" w:space="0" w:color="auto"/>
            </w:tcBorders>
            <w:shd w:val="clear" w:color="auto" w:fill="auto"/>
            <w:noWrap/>
            <w:vAlign w:val="center"/>
            <w:hideMark/>
          </w:tcPr>
          <w:p w14:paraId="652DED61"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0.657</w:t>
            </w:r>
          </w:p>
        </w:tc>
        <w:tc>
          <w:tcPr>
            <w:tcW w:w="1146" w:type="dxa"/>
            <w:tcBorders>
              <w:right w:val="single" w:sz="4" w:space="0" w:color="auto"/>
            </w:tcBorders>
            <w:shd w:val="clear" w:color="auto" w:fill="auto"/>
            <w:noWrap/>
            <w:vAlign w:val="center"/>
            <w:hideMark/>
          </w:tcPr>
          <w:p w14:paraId="2DF89C73"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0.631</w:t>
            </w:r>
          </w:p>
        </w:tc>
      </w:tr>
      <w:tr w:rsidR="00676C85" w:rsidRPr="00CB093C" w14:paraId="3727ADE6" w14:textId="77777777" w:rsidTr="005F5C58">
        <w:trPr>
          <w:trHeight w:val="300"/>
          <w:jc w:val="center"/>
        </w:trPr>
        <w:tc>
          <w:tcPr>
            <w:tcW w:w="796" w:type="dxa"/>
            <w:tcBorders>
              <w:left w:val="single" w:sz="4" w:space="0" w:color="auto"/>
            </w:tcBorders>
            <w:vAlign w:val="center"/>
          </w:tcPr>
          <w:p w14:paraId="6F476D57" w14:textId="77777777" w:rsidR="00676C85" w:rsidRPr="00CB093C" w:rsidRDefault="00676C85" w:rsidP="005E0801">
            <w:pPr>
              <w:spacing w:before="0" w:after="0"/>
              <w:jc w:val="center"/>
              <w:rPr>
                <w:rFonts w:ascii="Arial" w:hAnsi="Arial" w:cs="Arial"/>
                <w:b/>
                <w:color w:val="000000"/>
                <w:szCs w:val="22"/>
              </w:rPr>
            </w:pPr>
            <w:r w:rsidRPr="00CB093C">
              <w:rPr>
                <w:rFonts w:ascii="Arial" w:hAnsi="Arial" w:cs="Arial"/>
                <w:b/>
                <w:color w:val="000000"/>
                <w:szCs w:val="22"/>
              </w:rPr>
              <w:t>M3</w:t>
            </w:r>
          </w:p>
        </w:tc>
        <w:tc>
          <w:tcPr>
            <w:tcW w:w="1751" w:type="dxa"/>
            <w:shd w:val="clear" w:color="auto" w:fill="auto"/>
            <w:noWrap/>
            <w:vAlign w:val="center"/>
            <w:hideMark/>
          </w:tcPr>
          <w:p w14:paraId="223A9F97"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Lag, No Species</w:t>
            </w:r>
          </w:p>
        </w:tc>
        <w:tc>
          <w:tcPr>
            <w:tcW w:w="1147" w:type="dxa"/>
            <w:tcBorders>
              <w:left w:val="single" w:sz="4" w:space="0" w:color="auto"/>
            </w:tcBorders>
            <w:shd w:val="clear" w:color="auto" w:fill="auto"/>
            <w:noWrap/>
            <w:vAlign w:val="center"/>
            <w:hideMark/>
          </w:tcPr>
          <w:p w14:paraId="3E09166F"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0.716</w:t>
            </w:r>
          </w:p>
        </w:tc>
        <w:tc>
          <w:tcPr>
            <w:tcW w:w="1263" w:type="dxa"/>
            <w:tcBorders>
              <w:right w:val="single" w:sz="4" w:space="0" w:color="auto"/>
            </w:tcBorders>
            <w:shd w:val="clear" w:color="auto" w:fill="auto"/>
            <w:noWrap/>
            <w:vAlign w:val="center"/>
            <w:hideMark/>
          </w:tcPr>
          <w:p w14:paraId="7DAE6B19"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0.684</w:t>
            </w:r>
          </w:p>
        </w:tc>
        <w:tc>
          <w:tcPr>
            <w:tcW w:w="1256" w:type="dxa"/>
            <w:tcBorders>
              <w:left w:val="single" w:sz="4" w:space="0" w:color="auto"/>
            </w:tcBorders>
            <w:shd w:val="clear" w:color="auto" w:fill="auto"/>
            <w:noWrap/>
            <w:vAlign w:val="center"/>
            <w:hideMark/>
          </w:tcPr>
          <w:p w14:paraId="274FA8ED"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0.709</w:t>
            </w:r>
          </w:p>
        </w:tc>
        <w:tc>
          <w:tcPr>
            <w:tcW w:w="1295" w:type="dxa"/>
            <w:tcBorders>
              <w:right w:val="single" w:sz="4" w:space="0" w:color="auto"/>
            </w:tcBorders>
            <w:shd w:val="clear" w:color="auto" w:fill="auto"/>
            <w:noWrap/>
            <w:vAlign w:val="center"/>
            <w:hideMark/>
          </w:tcPr>
          <w:p w14:paraId="361055E7"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0.673</w:t>
            </w:r>
          </w:p>
        </w:tc>
        <w:tc>
          <w:tcPr>
            <w:tcW w:w="1125" w:type="dxa"/>
            <w:tcBorders>
              <w:left w:val="single" w:sz="4" w:space="0" w:color="auto"/>
            </w:tcBorders>
            <w:shd w:val="clear" w:color="auto" w:fill="auto"/>
            <w:noWrap/>
            <w:vAlign w:val="center"/>
            <w:hideMark/>
          </w:tcPr>
          <w:p w14:paraId="2BBC5589"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0.704</w:t>
            </w:r>
          </w:p>
        </w:tc>
        <w:tc>
          <w:tcPr>
            <w:tcW w:w="1146" w:type="dxa"/>
            <w:tcBorders>
              <w:right w:val="single" w:sz="4" w:space="0" w:color="auto"/>
            </w:tcBorders>
            <w:shd w:val="clear" w:color="auto" w:fill="auto"/>
            <w:noWrap/>
            <w:vAlign w:val="center"/>
            <w:hideMark/>
          </w:tcPr>
          <w:p w14:paraId="732A41B5"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0.658</w:t>
            </w:r>
          </w:p>
        </w:tc>
      </w:tr>
      <w:tr w:rsidR="00676C85" w:rsidRPr="00CB093C" w14:paraId="7DB1241F" w14:textId="77777777" w:rsidTr="005F5C58">
        <w:trPr>
          <w:trHeight w:val="300"/>
          <w:jc w:val="center"/>
        </w:trPr>
        <w:tc>
          <w:tcPr>
            <w:tcW w:w="796" w:type="dxa"/>
            <w:tcBorders>
              <w:left w:val="single" w:sz="4" w:space="0" w:color="auto"/>
              <w:bottom w:val="single" w:sz="4" w:space="0" w:color="auto"/>
            </w:tcBorders>
            <w:vAlign w:val="center"/>
          </w:tcPr>
          <w:p w14:paraId="08470ED3" w14:textId="77777777" w:rsidR="00676C85" w:rsidRPr="00CB093C" w:rsidRDefault="00676C85" w:rsidP="005E0801">
            <w:pPr>
              <w:spacing w:before="0" w:after="0"/>
              <w:jc w:val="center"/>
              <w:rPr>
                <w:rFonts w:ascii="Arial" w:hAnsi="Arial" w:cs="Arial"/>
                <w:b/>
                <w:color w:val="000000"/>
                <w:szCs w:val="22"/>
              </w:rPr>
            </w:pPr>
            <w:r w:rsidRPr="00CB093C">
              <w:rPr>
                <w:rFonts w:ascii="Arial" w:hAnsi="Arial" w:cs="Arial"/>
                <w:b/>
                <w:color w:val="000000"/>
                <w:szCs w:val="22"/>
              </w:rPr>
              <w:t>M4</w:t>
            </w:r>
          </w:p>
        </w:tc>
        <w:tc>
          <w:tcPr>
            <w:tcW w:w="1751" w:type="dxa"/>
            <w:shd w:val="clear" w:color="auto" w:fill="auto"/>
            <w:noWrap/>
            <w:vAlign w:val="center"/>
            <w:hideMark/>
          </w:tcPr>
          <w:p w14:paraId="291065F5"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Lag, Species</w:t>
            </w:r>
          </w:p>
        </w:tc>
        <w:tc>
          <w:tcPr>
            <w:tcW w:w="1147" w:type="dxa"/>
            <w:tcBorders>
              <w:left w:val="single" w:sz="4" w:space="0" w:color="auto"/>
              <w:bottom w:val="single" w:sz="4" w:space="0" w:color="auto"/>
            </w:tcBorders>
            <w:shd w:val="clear" w:color="auto" w:fill="auto"/>
            <w:noWrap/>
            <w:vAlign w:val="center"/>
            <w:hideMark/>
          </w:tcPr>
          <w:p w14:paraId="75242F68"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0.741</w:t>
            </w:r>
          </w:p>
        </w:tc>
        <w:tc>
          <w:tcPr>
            <w:tcW w:w="1263" w:type="dxa"/>
            <w:tcBorders>
              <w:right w:val="single" w:sz="4" w:space="0" w:color="auto"/>
            </w:tcBorders>
            <w:shd w:val="clear" w:color="auto" w:fill="auto"/>
            <w:noWrap/>
            <w:vAlign w:val="center"/>
            <w:hideMark/>
          </w:tcPr>
          <w:p w14:paraId="083BACF5"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0.688</w:t>
            </w:r>
          </w:p>
        </w:tc>
        <w:tc>
          <w:tcPr>
            <w:tcW w:w="1256" w:type="dxa"/>
            <w:tcBorders>
              <w:left w:val="single" w:sz="4" w:space="0" w:color="auto"/>
              <w:bottom w:val="single" w:sz="4" w:space="0" w:color="auto"/>
            </w:tcBorders>
            <w:shd w:val="clear" w:color="auto" w:fill="auto"/>
            <w:noWrap/>
            <w:vAlign w:val="center"/>
            <w:hideMark/>
          </w:tcPr>
          <w:p w14:paraId="7466F65D"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0.738</w:t>
            </w:r>
          </w:p>
        </w:tc>
        <w:tc>
          <w:tcPr>
            <w:tcW w:w="1295" w:type="dxa"/>
            <w:tcBorders>
              <w:right w:val="single" w:sz="4" w:space="0" w:color="auto"/>
            </w:tcBorders>
            <w:shd w:val="clear" w:color="auto" w:fill="auto"/>
            <w:noWrap/>
            <w:vAlign w:val="center"/>
            <w:hideMark/>
          </w:tcPr>
          <w:p w14:paraId="2D0632F1"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0.684</w:t>
            </w:r>
          </w:p>
        </w:tc>
        <w:tc>
          <w:tcPr>
            <w:tcW w:w="1125" w:type="dxa"/>
            <w:tcBorders>
              <w:left w:val="single" w:sz="4" w:space="0" w:color="auto"/>
              <w:bottom w:val="single" w:sz="4" w:space="0" w:color="auto"/>
            </w:tcBorders>
            <w:shd w:val="clear" w:color="auto" w:fill="auto"/>
            <w:noWrap/>
            <w:vAlign w:val="center"/>
            <w:hideMark/>
          </w:tcPr>
          <w:p w14:paraId="61DD036B"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0.733</w:t>
            </w:r>
          </w:p>
        </w:tc>
        <w:tc>
          <w:tcPr>
            <w:tcW w:w="1146" w:type="dxa"/>
            <w:tcBorders>
              <w:bottom w:val="single" w:sz="4" w:space="0" w:color="auto"/>
              <w:right w:val="single" w:sz="4" w:space="0" w:color="auto"/>
            </w:tcBorders>
            <w:shd w:val="clear" w:color="auto" w:fill="auto"/>
            <w:noWrap/>
            <w:vAlign w:val="center"/>
            <w:hideMark/>
          </w:tcPr>
          <w:p w14:paraId="76D8FEBA"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0.68</w:t>
            </w:r>
          </w:p>
        </w:tc>
      </w:tr>
    </w:tbl>
    <w:p w14:paraId="0FC3B186" w14:textId="3D7FD56C" w:rsidR="00676C85" w:rsidRPr="00CB093C" w:rsidRDefault="00676C85" w:rsidP="00676C85">
      <w:pPr>
        <w:rPr>
          <w:rFonts w:ascii="Arial" w:hAnsi="Arial" w:cs="Arial"/>
          <w:szCs w:val="22"/>
        </w:rPr>
      </w:pPr>
      <w:r w:rsidRPr="00CB093C">
        <w:rPr>
          <w:rFonts w:ascii="Arial" w:hAnsi="Arial" w:cs="Arial"/>
          <w:szCs w:val="22"/>
        </w:rPr>
        <w:t xml:space="preserve">*variables providing key indicators of seagrass cover for models M1 – M4 are detailed in </w:t>
      </w:r>
      <w:r w:rsidRPr="00CB093C">
        <w:rPr>
          <w:rFonts w:ascii="Arial" w:hAnsi="Arial" w:cs="Arial"/>
          <w:szCs w:val="22"/>
        </w:rPr>
        <w:fldChar w:fldCharType="begin"/>
      </w:r>
      <w:r w:rsidRPr="00CB093C">
        <w:rPr>
          <w:rFonts w:ascii="Arial" w:hAnsi="Arial" w:cs="Arial"/>
          <w:szCs w:val="22"/>
        </w:rPr>
        <w:instrText xml:space="preserve"> REF _Ref532460199 \h  \* MERGEFORMAT </w:instrText>
      </w:r>
      <w:r w:rsidRPr="00CB093C">
        <w:rPr>
          <w:rFonts w:ascii="Arial" w:hAnsi="Arial" w:cs="Arial"/>
          <w:szCs w:val="22"/>
        </w:rPr>
      </w:r>
      <w:r w:rsidRPr="00CB093C">
        <w:rPr>
          <w:rFonts w:ascii="Arial" w:hAnsi="Arial" w:cs="Arial"/>
          <w:szCs w:val="22"/>
        </w:rPr>
        <w:fldChar w:fldCharType="separate"/>
      </w:r>
      <w:r w:rsidR="005F00D4" w:rsidRPr="00CB093C">
        <w:rPr>
          <w:rFonts w:ascii="Arial" w:hAnsi="Arial" w:cs="Arial"/>
          <w:szCs w:val="22"/>
        </w:rPr>
        <w:t xml:space="preserve">Table </w:t>
      </w:r>
      <w:r w:rsidR="005F00D4">
        <w:rPr>
          <w:rFonts w:ascii="Arial" w:hAnsi="Arial" w:cs="Arial"/>
          <w:noProof/>
          <w:szCs w:val="22"/>
        </w:rPr>
        <w:t>19</w:t>
      </w:r>
      <w:r w:rsidRPr="00CB093C">
        <w:rPr>
          <w:rFonts w:ascii="Arial" w:hAnsi="Arial" w:cs="Arial"/>
          <w:szCs w:val="22"/>
        </w:rPr>
        <w:fldChar w:fldCharType="end"/>
      </w:r>
    </w:p>
    <w:p w14:paraId="617E29AF" w14:textId="77777777" w:rsidR="00676C85" w:rsidRPr="00CB093C" w:rsidRDefault="00676C85" w:rsidP="00676C85">
      <w:pPr>
        <w:rPr>
          <w:rFonts w:ascii="Arial" w:hAnsi="Arial" w:cs="Arial"/>
          <w:szCs w:val="22"/>
        </w:rPr>
      </w:pPr>
    </w:p>
    <w:p w14:paraId="40120DC5" w14:textId="0CA32F97" w:rsidR="00676C85" w:rsidRPr="00CB093C" w:rsidRDefault="00676C85" w:rsidP="00676C85">
      <w:pPr>
        <w:pStyle w:val="BodyText"/>
        <w:rPr>
          <w:rFonts w:ascii="Arial" w:hAnsi="Arial" w:cs="Arial"/>
        </w:rPr>
      </w:pPr>
      <w:r w:rsidRPr="00CB093C">
        <w:rPr>
          <w:rFonts w:ascii="Arial" w:hAnsi="Arial" w:cs="Arial"/>
        </w:rPr>
        <w:t>There are a lot of interesting relationships highlighted through the results of these models so we have summarised our findings for the zero-inflated beta regression model based on maximum reproductive effort (</w:t>
      </w:r>
      <w:r w:rsidRPr="00CB093C">
        <w:rPr>
          <w:rFonts w:ascii="Arial" w:hAnsi="Arial" w:cs="Arial"/>
        </w:rPr>
        <w:fldChar w:fldCharType="begin"/>
      </w:r>
      <w:r w:rsidRPr="00CB093C">
        <w:rPr>
          <w:rFonts w:ascii="Arial" w:hAnsi="Arial" w:cs="Arial"/>
        </w:rPr>
        <w:instrText xml:space="preserve"> REF _Ref532460199 \h </w:instrText>
      </w:r>
      <w:r w:rsidR="00FA1D90" w:rsidRPr="00CB093C">
        <w:rPr>
          <w:rFonts w:ascii="Arial" w:hAnsi="Arial" w:cs="Arial"/>
        </w:rPr>
        <w:instrText xml:space="preserve"> \* MERGEFORMAT </w:instrText>
      </w:r>
      <w:r w:rsidRPr="00CB093C">
        <w:rPr>
          <w:rFonts w:ascii="Arial" w:hAnsi="Arial" w:cs="Arial"/>
        </w:rPr>
      </w:r>
      <w:r w:rsidRPr="00CB093C">
        <w:rPr>
          <w:rFonts w:ascii="Arial" w:hAnsi="Arial" w:cs="Arial"/>
        </w:rPr>
        <w:fldChar w:fldCharType="separate"/>
      </w:r>
      <w:r w:rsidR="005F00D4" w:rsidRPr="00CB093C">
        <w:rPr>
          <w:rFonts w:ascii="Arial" w:hAnsi="Arial" w:cs="Arial"/>
        </w:rPr>
        <w:t xml:space="preserve">Table </w:t>
      </w:r>
      <w:r w:rsidR="005F00D4">
        <w:rPr>
          <w:rFonts w:ascii="Arial" w:hAnsi="Arial" w:cs="Arial"/>
          <w:noProof/>
        </w:rPr>
        <w:t>19</w:t>
      </w:r>
      <w:r w:rsidRPr="00CB093C">
        <w:rPr>
          <w:rFonts w:ascii="Arial" w:hAnsi="Arial" w:cs="Arial"/>
        </w:rPr>
        <w:fldChar w:fldCharType="end"/>
      </w:r>
      <w:r w:rsidRPr="00CB093C">
        <w:rPr>
          <w:rFonts w:ascii="Arial" w:hAnsi="Arial" w:cs="Arial"/>
        </w:rPr>
        <w:t>):</w:t>
      </w:r>
    </w:p>
    <w:p w14:paraId="0FA70753" w14:textId="0A4D501F" w:rsidR="00676C85" w:rsidRPr="00CB093C" w:rsidRDefault="00676C85" w:rsidP="00AD06D4">
      <w:pPr>
        <w:pStyle w:val="BodyText"/>
        <w:numPr>
          <w:ilvl w:val="0"/>
          <w:numId w:val="9"/>
        </w:numPr>
        <w:jc w:val="left"/>
        <w:rPr>
          <w:rFonts w:ascii="Arial" w:hAnsi="Arial" w:cs="Arial"/>
        </w:rPr>
      </w:pPr>
      <w:r w:rsidRPr="00CB093C">
        <w:rPr>
          <w:rFonts w:ascii="Arial" w:hAnsi="Arial" w:cs="Arial"/>
        </w:rPr>
        <w:t>The number of species in the year prior is significant in the models that don’t have the individual species indicators or lagged cover (M1, M2 and M3)</w:t>
      </w:r>
    </w:p>
    <w:p w14:paraId="15D0BCF1" w14:textId="53076B36" w:rsidR="00676C85" w:rsidRPr="00CB093C" w:rsidRDefault="00676C85" w:rsidP="00AD06D4">
      <w:pPr>
        <w:pStyle w:val="BodyText"/>
        <w:numPr>
          <w:ilvl w:val="0"/>
          <w:numId w:val="9"/>
        </w:numPr>
        <w:jc w:val="left"/>
        <w:rPr>
          <w:rFonts w:ascii="Arial" w:hAnsi="Arial" w:cs="Arial"/>
        </w:rPr>
      </w:pPr>
      <w:r w:rsidRPr="00CB093C">
        <w:rPr>
          <w:rFonts w:ascii="Arial" w:hAnsi="Arial" w:cs="Arial"/>
        </w:rPr>
        <w:t xml:space="preserve">The number of nodes in the year prior is significant in M4. The coefficients are negative indicating that a higher number of nodes in the year prior results in less seagrass. This could be due to the seagrass “working hard” to regenerate in periods of loss </w:t>
      </w:r>
    </w:p>
    <w:p w14:paraId="03ED2F76" w14:textId="5EA8C810" w:rsidR="00676C85" w:rsidRPr="00CB093C" w:rsidRDefault="00676C85" w:rsidP="00AD06D4">
      <w:pPr>
        <w:pStyle w:val="BodyText"/>
        <w:numPr>
          <w:ilvl w:val="0"/>
          <w:numId w:val="9"/>
        </w:numPr>
        <w:jc w:val="left"/>
        <w:rPr>
          <w:rFonts w:ascii="Arial" w:hAnsi="Arial" w:cs="Arial"/>
        </w:rPr>
      </w:pPr>
      <w:r w:rsidRPr="00CB093C">
        <w:rPr>
          <w:rFonts w:ascii="Arial" w:hAnsi="Arial" w:cs="Arial"/>
        </w:rPr>
        <w:t>The number of flowers was significant in all of the models. In each case, the greater the number of flowers in the year prior, the greater the mean seagrass prediction</w:t>
      </w:r>
    </w:p>
    <w:p w14:paraId="3D428767" w14:textId="0C0FF8AA" w:rsidR="00676C85" w:rsidRPr="00CB093C" w:rsidRDefault="00676C85" w:rsidP="00AD06D4">
      <w:pPr>
        <w:pStyle w:val="BodyText"/>
        <w:numPr>
          <w:ilvl w:val="0"/>
          <w:numId w:val="9"/>
        </w:numPr>
        <w:jc w:val="left"/>
        <w:rPr>
          <w:rFonts w:ascii="Arial" w:hAnsi="Arial" w:cs="Arial"/>
        </w:rPr>
      </w:pPr>
      <w:r w:rsidRPr="00CB093C">
        <w:rPr>
          <w:rFonts w:ascii="Arial" w:hAnsi="Arial" w:cs="Arial"/>
        </w:rPr>
        <w:t>The number of combined fruits/spathes was significant for M1 and M2 but not once lagged cover was added</w:t>
      </w:r>
    </w:p>
    <w:p w14:paraId="3C514379" w14:textId="6D609F2C" w:rsidR="00676C85" w:rsidRPr="00CB093C" w:rsidRDefault="00676C85" w:rsidP="00AD06D4">
      <w:pPr>
        <w:pStyle w:val="BodyText"/>
        <w:numPr>
          <w:ilvl w:val="0"/>
          <w:numId w:val="9"/>
        </w:numPr>
        <w:jc w:val="left"/>
        <w:rPr>
          <w:rFonts w:ascii="Arial" w:hAnsi="Arial" w:cs="Arial"/>
        </w:rPr>
      </w:pPr>
      <w:r w:rsidRPr="00CB093C">
        <w:rPr>
          <w:rFonts w:ascii="Arial" w:hAnsi="Arial" w:cs="Arial"/>
        </w:rPr>
        <w:t>The seed bank variable was never significant</w:t>
      </w:r>
    </w:p>
    <w:p w14:paraId="1496569F" w14:textId="2EC757E4" w:rsidR="00676C85" w:rsidRPr="00CB093C" w:rsidRDefault="00676C85" w:rsidP="00AD06D4">
      <w:pPr>
        <w:pStyle w:val="BodyText"/>
        <w:numPr>
          <w:ilvl w:val="0"/>
          <w:numId w:val="9"/>
        </w:numPr>
        <w:jc w:val="left"/>
        <w:rPr>
          <w:rFonts w:ascii="Arial" w:hAnsi="Arial" w:cs="Arial"/>
        </w:rPr>
      </w:pPr>
      <w:r w:rsidRPr="00CB093C">
        <w:rPr>
          <w:rFonts w:ascii="Arial" w:hAnsi="Arial" w:cs="Arial"/>
          <w:i/>
        </w:rPr>
        <w:t>Cymodocea serrulata and</w:t>
      </w:r>
      <w:r w:rsidRPr="00CB093C">
        <w:rPr>
          <w:rFonts w:ascii="Arial" w:hAnsi="Arial" w:cs="Arial"/>
        </w:rPr>
        <w:t xml:space="preserve"> </w:t>
      </w:r>
      <w:r w:rsidRPr="00CB093C">
        <w:rPr>
          <w:rFonts w:ascii="Arial" w:hAnsi="Arial" w:cs="Arial"/>
          <w:i/>
        </w:rPr>
        <w:t>Zostera</w:t>
      </w:r>
      <w:r w:rsidRPr="00CB093C">
        <w:rPr>
          <w:rFonts w:ascii="Arial" w:hAnsi="Arial" w:cs="Arial"/>
        </w:rPr>
        <w:t xml:space="preserve"> </w:t>
      </w:r>
      <w:r w:rsidRPr="00CB093C">
        <w:rPr>
          <w:rFonts w:ascii="Arial" w:hAnsi="Arial" w:cs="Arial"/>
          <w:i/>
        </w:rPr>
        <w:t>muelleri</w:t>
      </w:r>
      <w:r w:rsidRPr="00CB093C">
        <w:rPr>
          <w:rFonts w:ascii="Arial" w:hAnsi="Arial" w:cs="Arial"/>
        </w:rPr>
        <w:t xml:space="preserve"> were significant in both of the models where they were considered. Each had a positive coefficient indicating that the presence of these seagrass in a particular year is an indicator for higher mean seagrass the following year. These are all considered to be foundation species in the Reef</w:t>
      </w:r>
    </w:p>
    <w:p w14:paraId="6685C72F" w14:textId="77777777" w:rsidR="00676C85" w:rsidRPr="00CB093C" w:rsidRDefault="00676C85" w:rsidP="00AD06D4">
      <w:pPr>
        <w:pStyle w:val="BodyText"/>
        <w:numPr>
          <w:ilvl w:val="0"/>
          <w:numId w:val="9"/>
        </w:numPr>
        <w:jc w:val="left"/>
        <w:rPr>
          <w:rFonts w:ascii="Arial" w:hAnsi="Arial" w:cs="Arial"/>
        </w:rPr>
      </w:pPr>
      <w:r w:rsidRPr="00CB093C">
        <w:rPr>
          <w:rFonts w:ascii="Arial" w:hAnsi="Arial" w:cs="Arial"/>
        </w:rPr>
        <w:t>Lagged cover was always significant when included in the models.</w:t>
      </w:r>
    </w:p>
    <w:p w14:paraId="35374378" w14:textId="77777777" w:rsidR="00676C85" w:rsidRPr="00CB093C" w:rsidRDefault="00676C85" w:rsidP="00676C85">
      <w:pPr>
        <w:pStyle w:val="BodyText"/>
        <w:rPr>
          <w:rFonts w:ascii="Arial" w:hAnsi="Arial" w:cs="Arial"/>
        </w:rPr>
      </w:pPr>
    </w:p>
    <w:p w14:paraId="242433ED" w14:textId="77777777" w:rsidR="00676C85" w:rsidRPr="00CB093C" w:rsidRDefault="00676C85" w:rsidP="00676C85">
      <w:pPr>
        <w:pStyle w:val="BodyText"/>
        <w:rPr>
          <w:rFonts w:ascii="Arial" w:hAnsi="Arial" w:cs="Arial"/>
        </w:rPr>
      </w:pPr>
      <w:r w:rsidRPr="00CB093C">
        <w:rPr>
          <w:rFonts w:ascii="Arial" w:hAnsi="Arial" w:cs="Arial"/>
        </w:rPr>
        <w:t>The models comparing original, maximum and binary counts of reproductive structures and nodes had decreasing goodness of fit (R</w:t>
      </w:r>
      <w:r w:rsidRPr="00CB093C">
        <w:rPr>
          <w:rFonts w:ascii="Arial" w:hAnsi="Arial" w:cs="Arial"/>
          <w:vertAlign w:val="superscript"/>
        </w:rPr>
        <w:t>2</w:t>
      </w:r>
      <w:r w:rsidRPr="00CB093C">
        <w:rPr>
          <w:rFonts w:ascii="Arial" w:hAnsi="Arial" w:cs="Arial"/>
        </w:rPr>
        <w:t>), but these were very small reductions in R</w:t>
      </w:r>
      <w:r w:rsidRPr="00CB093C">
        <w:rPr>
          <w:rFonts w:ascii="Arial" w:hAnsi="Arial" w:cs="Arial"/>
          <w:vertAlign w:val="superscript"/>
        </w:rPr>
        <w:t>2</w:t>
      </w:r>
      <w:r w:rsidRPr="00CB093C">
        <w:rPr>
          <w:rFonts w:ascii="Arial" w:hAnsi="Arial" w:cs="Arial"/>
        </w:rPr>
        <w:t xml:space="preserve">. This demonstrates that while the count of reproductive structures can improve predictions of seagrass percent cover in the following year, it adds only a small amount of information (a-d). The presence of any structures alone provides a suitable alternative (e and f). </w:t>
      </w:r>
    </w:p>
    <w:p w14:paraId="1BE8E311" w14:textId="77777777" w:rsidR="00676C85" w:rsidRPr="00CB093C" w:rsidRDefault="00676C85" w:rsidP="00676C85">
      <w:pPr>
        <w:pStyle w:val="BodyText"/>
        <w:rPr>
          <w:rFonts w:ascii="Arial" w:hAnsi="Arial" w:cs="Arial"/>
        </w:rPr>
      </w:pPr>
      <w:r w:rsidRPr="00CB093C">
        <w:rPr>
          <w:rFonts w:ascii="Arial" w:hAnsi="Arial" w:cs="Arial"/>
        </w:rPr>
        <w:t xml:space="preserve">We haven’t tried to interpret the coefficients, other than their direction, as the model is complex and a logit link was applied meaning that the relationships are non-linear. </w:t>
      </w:r>
    </w:p>
    <w:p w14:paraId="505BC018" w14:textId="77777777" w:rsidR="00676C85" w:rsidRPr="00CB093C" w:rsidRDefault="00676C85" w:rsidP="00676C85">
      <w:pPr>
        <w:pStyle w:val="BodyText"/>
        <w:rPr>
          <w:rFonts w:ascii="Arial" w:hAnsi="Arial" w:cs="Arial"/>
        </w:rPr>
      </w:pPr>
    </w:p>
    <w:p w14:paraId="6AE5260B" w14:textId="4E123FF6" w:rsidR="00676C85" w:rsidRPr="00CB093C" w:rsidRDefault="00676C85" w:rsidP="00676C85">
      <w:pPr>
        <w:pStyle w:val="Caption"/>
        <w:rPr>
          <w:rFonts w:ascii="Arial" w:hAnsi="Arial" w:cs="Arial"/>
          <w:i/>
          <w:szCs w:val="22"/>
        </w:rPr>
      </w:pPr>
      <w:bookmarkStart w:id="738" w:name="_Ref532460199"/>
      <w:bookmarkStart w:id="739" w:name="_Toc5616047"/>
      <w:r w:rsidRPr="00CB093C">
        <w:rPr>
          <w:rFonts w:ascii="Arial" w:hAnsi="Arial" w:cs="Arial"/>
          <w:szCs w:val="22"/>
        </w:rPr>
        <w:t xml:space="preserve">Table </w:t>
      </w:r>
      <w:r w:rsidRPr="00CB093C">
        <w:rPr>
          <w:rFonts w:ascii="Arial" w:hAnsi="Arial" w:cs="Arial"/>
          <w:szCs w:val="22"/>
        </w:rPr>
        <w:fldChar w:fldCharType="begin"/>
      </w:r>
      <w:r w:rsidRPr="00CB093C">
        <w:rPr>
          <w:rFonts w:ascii="Arial" w:hAnsi="Arial" w:cs="Arial"/>
          <w:szCs w:val="22"/>
        </w:rPr>
        <w:instrText xml:space="preserve"> SEQ Table \* ARABIC </w:instrText>
      </w:r>
      <w:r w:rsidRPr="00CB093C">
        <w:rPr>
          <w:rFonts w:ascii="Arial" w:hAnsi="Arial" w:cs="Arial"/>
          <w:szCs w:val="22"/>
        </w:rPr>
        <w:fldChar w:fldCharType="separate"/>
      </w:r>
      <w:r w:rsidR="005F00D4">
        <w:rPr>
          <w:rFonts w:ascii="Arial" w:hAnsi="Arial" w:cs="Arial"/>
          <w:noProof/>
          <w:szCs w:val="22"/>
        </w:rPr>
        <w:t>19</w:t>
      </w:r>
      <w:r w:rsidRPr="00CB093C">
        <w:rPr>
          <w:rFonts w:ascii="Arial" w:hAnsi="Arial" w:cs="Arial"/>
          <w:szCs w:val="22"/>
        </w:rPr>
        <w:fldChar w:fldCharType="end"/>
      </w:r>
      <w:bookmarkEnd w:id="738"/>
      <w:r w:rsidRPr="00CB093C">
        <w:rPr>
          <w:rFonts w:ascii="Arial" w:hAnsi="Arial" w:cs="Arial"/>
          <w:szCs w:val="22"/>
        </w:rPr>
        <w:t xml:space="preserve">. </w:t>
      </w:r>
      <w:r w:rsidRPr="00CB093C">
        <w:rPr>
          <w:rFonts w:ascii="Arial" w:hAnsi="Arial" w:cs="Arial"/>
          <w:i/>
          <w:szCs w:val="22"/>
        </w:rPr>
        <w:t>Coefficients and p-values for the Zero-inflated beta regression for percent cover response under formulations M1-M4 (model and data treatment c).  The p-value is in the brackets and bold indicates p-value less than 0.05.</w:t>
      </w:r>
      <w:bookmarkEnd w:id="739"/>
    </w:p>
    <w:tbl>
      <w:tblPr>
        <w:tblStyle w:val="TableGrid"/>
        <w:tblW w:w="6799" w:type="dxa"/>
        <w:jc w:val="center"/>
        <w:tblLayout w:type="fixed"/>
        <w:tblCellMar>
          <w:left w:w="0" w:type="dxa"/>
          <w:right w:w="0" w:type="dxa"/>
        </w:tblCellMar>
        <w:tblLook w:val="04A0" w:firstRow="1" w:lastRow="0" w:firstColumn="1" w:lastColumn="0" w:noHBand="0" w:noVBand="1"/>
        <w:tblDescription w:val="Coefficients and p-values for the Zero-inflated beta regression for percent cover response under formulations M1-M4 (model and data treatment c).  The p-value is in the brackets and bold indicates p-value less than 0.05."/>
      </w:tblPr>
      <w:tblGrid>
        <w:gridCol w:w="2405"/>
        <w:gridCol w:w="992"/>
        <w:gridCol w:w="1134"/>
        <w:gridCol w:w="1134"/>
        <w:gridCol w:w="1134"/>
      </w:tblGrid>
      <w:tr w:rsidR="00676C85" w:rsidRPr="00CB093C" w14:paraId="4CF7F5FD" w14:textId="77777777" w:rsidTr="002A704F">
        <w:trPr>
          <w:trHeight w:val="20"/>
          <w:tblHeader/>
          <w:jc w:val="center"/>
        </w:trPr>
        <w:tc>
          <w:tcPr>
            <w:tcW w:w="2405" w:type="dxa"/>
            <w:tcBorders>
              <w:bottom w:val="single" w:sz="4" w:space="0" w:color="auto"/>
              <w:right w:val="single" w:sz="4" w:space="0" w:color="auto"/>
            </w:tcBorders>
            <w:vAlign w:val="center"/>
          </w:tcPr>
          <w:p w14:paraId="73F15F37" w14:textId="77777777" w:rsidR="00676C85" w:rsidRPr="00CB093C" w:rsidRDefault="00676C85" w:rsidP="005E0801">
            <w:pPr>
              <w:pStyle w:val="BodyText"/>
              <w:spacing w:after="0"/>
              <w:ind w:left="137"/>
              <w:jc w:val="left"/>
              <w:rPr>
                <w:rFonts w:ascii="Arial" w:hAnsi="Arial" w:cs="Arial"/>
                <w:b/>
              </w:rPr>
            </w:pPr>
            <w:r w:rsidRPr="00CB093C">
              <w:rPr>
                <w:rFonts w:ascii="Arial" w:hAnsi="Arial" w:cs="Arial"/>
                <w:b/>
              </w:rPr>
              <w:t>Variable</w:t>
            </w:r>
          </w:p>
        </w:tc>
        <w:tc>
          <w:tcPr>
            <w:tcW w:w="992" w:type="dxa"/>
            <w:tcBorders>
              <w:left w:val="single" w:sz="4" w:space="0" w:color="auto"/>
              <w:bottom w:val="single" w:sz="4" w:space="0" w:color="auto"/>
            </w:tcBorders>
            <w:vAlign w:val="center"/>
          </w:tcPr>
          <w:p w14:paraId="0DDEBE7D" w14:textId="77777777" w:rsidR="00676C85" w:rsidRPr="00CB093C" w:rsidRDefault="00676C85" w:rsidP="005E0801">
            <w:pPr>
              <w:pStyle w:val="BodyText"/>
              <w:spacing w:after="0"/>
              <w:jc w:val="center"/>
              <w:rPr>
                <w:rFonts w:ascii="Arial" w:hAnsi="Arial" w:cs="Arial"/>
                <w:b/>
              </w:rPr>
            </w:pPr>
            <w:r w:rsidRPr="00CB093C">
              <w:rPr>
                <w:rFonts w:ascii="Arial" w:hAnsi="Arial" w:cs="Arial"/>
                <w:b/>
              </w:rPr>
              <w:t>M1</w:t>
            </w:r>
          </w:p>
        </w:tc>
        <w:tc>
          <w:tcPr>
            <w:tcW w:w="1134" w:type="dxa"/>
            <w:tcBorders>
              <w:left w:val="single" w:sz="4" w:space="0" w:color="806000" w:themeColor="accent4" w:themeShade="80"/>
              <w:bottom w:val="single" w:sz="4" w:space="0" w:color="auto"/>
            </w:tcBorders>
            <w:vAlign w:val="center"/>
          </w:tcPr>
          <w:p w14:paraId="353E7E7A" w14:textId="77777777" w:rsidR="00676C85" w:rsidRPr="00CB093C" w:rsidRDefault="00676C85" w:rsidP="005E0801">
            <w:pPr>
              <w:pStyle w:val="BodyText"/>
              <w:spacing w:after="0"/>
              <w:jc w:val="center"/>
              <w:rPr>
                <w:rFonts w:ascii="Arial" w:hAnsi="Arial" w:cs="Arial"/>
                <w:b/>
              </w:rPr>
            </w:pPr>
            <w:r w:rsidRPr="00CB093C">
              <w:rPr>
                <w:rFonts w:ascii="Arial" w:hAnsi="Arial" w:cs="Arial"/>
                <w:b/>
              </w:rPr>
              <w:t>M2</w:t>
            </w:r>
          </w:p>
        </w:tc>
        <w:tc>
          <w:tcPr>
            <w:tcW w:w="1134" w:type="dxa"/>
            <w:tcBorders>
              <w:left w:val="single" w:sz="4" w:space="0" w:color="806000" w:themeColor="accent4" w:themeShade="80"/>
              <w:bottom w:val="single" w:sz="4" w:space="0" w:color="auto"/>
            </w:tcBorders>
            <w:vAlign w:val="center"/>
          </w:tcPr>
          <w:p w14:paraId="3986E995" w14:textId="77777777" w:rsidR="00676C85" w:rsidRPr="00CB093C" w:rsidRDefault="00676C85" w:rsidP="005E0801">
            <w:pPr>
              <w:pStyle w:val="BodyText"/>
              <w:spacing w:after="0"/>
              <w:jc w:val="center"/>
              <w:rPr>
                <w:rFonts w:ascii="Arial" w:hAnsi="Arial" w:cs="Arial"/>
                <w:b/>
              </w:rPr>
            </w:pPr>
            <w:r w:rsidRPr="00CB093C">
              <w:rPr>
                <w:rFonts w:ascii="Arial" w:hAnsi="Arial" w:cs="Arial"/>
                <w:b/>
              </w:rPr>
              <w:t>M3</w:t>
            </w:r>
          </w:p>
        </w:tc>
        <w:tc>
          <w:tcPr>
            <w:tcW w:w="1134" w:type="dxa"/>
            <w:tcBorders>
              <w:left w:val="single" w:sz="4" w:space="0" w:color="806000" w:themeColor="accent4" w:themeShade="80"/>
              <w:bottom w:val="single" w:sz="4" w:space="0" w:color="auto"/>
            </w:tcBorders>
            <w:vAlign w:val="center"/>
          </w:tcPr>
          <w:p w14:paraId="07BBDC1D" w14:textId="77777777" w:rsidR="00676C85" w:rsidRPr="00CB093C" w:rsidRDefault="00676C85" w:rsidP="005E0801">
            <w:pPr>
              <w:pStyle w:val="BodyText"/>
              <w:spacing w:after="0"/>
              <w:jc w:val="center"/>
              <w:rPr>
                <w:rFonts w:ascii="Arial" w:hAnsi="Arial" w:cs="Arial"/>
                <w:b/>
              </w:rPr>
            </w:pPr>
            <w:r w:rsidRPr="00CB093C">
              <w:rPr>
                <w:rFonts w:ascii="Arial" w:hAnsi="Arial" w:cs="Arial"/>
                <w:b/>
              </w:rPr>
              <w:t>M4</w:t>
            </w:r>
          </w:p>
        </w:tc>
      </w:tr>
      <w:tr w:rsidR="00676C85" w:rsidRPr="00CB093C" w14:paraId="07FF8433" w14:textId="77777777" w:rsidTr="005F5C58">
        <w:trPr>
          <w:trHeight w:val="20"/>
          <w:jc w:val="center"/>
        </w:trPr>
        <w:tc>
          <w:tcPr>
            <w:tcW w:w="2405" w:type="dxa"/>
            <w:tcBorders>
              <w:top w:val="single" w:sz="4" w:space="0" w:color="auto"/>
              <w:right w:val="single" w:sz="4" w:space="0" w:color="auto"/>
            </w:tcBorders>
            <w:vAlign w:val="center"/>
          </w:tcPr>
          <w:p w14:paraId="5FA4C040" w14:textId="77777777" w:rsidR="00676C85" w:rsidRPr="00CB093C" w:rsidRDefault="00676C85" w:rsidP="005E0801">
            <w:pPr>
              <w:pStyle w:val="BodyText"/>
              <w:spacing w:after="0"/>
              <w:ind w:left="137"/>
              <w:jc w:val="left"/>
              <w:rPr>
                <w:rFonts w:ascii="Arial" w:hAnsi="Arial" w:cs="Arial"/>
              </w:rPr>
            </w:pPr>
            <w:bookmarkStart w:id="740" w:name="RANGE!A3"/>
            <w:r w:rsidRPr="00CB093C">
              <w:rPr>
                <w:rFonts w:ascii="Arial" w:hAnsi="Arial" w:cs="Arial"/>
              </w:rPr>
              <w:t>Peak</w:t>
            </w:r>
            <w:bookmarkEnd w:id="740"/>
            <w:r w:rsidRPr="00CB093C">
              <w:rPr>
                <w:rFonts w:ascii="Arial" w:hAnsi="Arial" w:cs="Arial"/>
              </w:rPr>
              <w:t xml:space="preserve"> season (Sep-Dec)</w:t>
            </w:r>
          </w:p>
        </w:tc>
        <w:tc>
          <w:tcPr>
            <w:tcW w:w="992" w:type="dxa"/>
            <w:tcBorders>
              <w:top w:val="single" w:sz="4" w:space="0" w:color="auto"/>
              <w:left w:val="single" w:sz="4" w:space="0" w:color="auto"/>
            </w:tcBorders>
            <w:vAlign w:val="center"/>
          </w:tcPr>
          <w:p w14:paraId="4E70532E"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0.085</w:t>
            </w:r>
          </w:p>
          <w:p w14:paraId="4633F62F"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(0.22)</w:t>
            </w:r>
          </w:p>
        </w:tc>
        <w:tc>
          <w:tcPr>
            <w:tcW w:w="1134" w:type="dxa"/>
            <w:tcBorders>
              <w:top w:val="single" w:sz="4" w:space="0" w:color="auto"/>
              <w:left w:val="single" w:sz="4" w:space="0" w:color="806000" w:themeColor="accent4" w:themeShade="80"/>
            </w:tcBorders>
            <w:vAlign w:val="center"/>
          </w:tcPr>
          <w:p w14:paraId="5278472F"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0.052</w:t>
            </w:r>
          </w:p>
          <w:p w14:paraId="6B4FB54E"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(0.452)</w:t>
            </w:r>
          </w:p>
        </w:tc>
        <w:tc>
          <w:tcPr>
            <w:tcW w:w="1134" w:type="dxa"/>
            <w:tcBorders>
              <w:top w:val="single" w:sz="4" w:space="0" w:color="auto"/>
              <w:left w:val="single" w:sz="4" w:space="0" w:color="806000" w:themeColor="accent4" w:themeShade="80"/>
            </w:tcBorders>
            <w:vAlign w:val="center"/>
          </w:tcPr>
          <w:p w14:paraId="6BEB6C5E"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-0.002</w:t>
            </w:r>
          </w:p>
          <w:p w14:paraId="41A935E1"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(0.974)</w:t>
            </w:r>
          </w:p>
        </w:tc>
        <w:tc>
          <w:tcPr>
            <w:tcW w:w="1134" w:type="dxa"/>
            <w:tcBorders>
              <w:top w:val="single" w:sz="4" w:space="0" w:color="auto"/>
              <w:left w:val="single" w:sz="4" w:space="0" w:color="806000" w:themeColor="accent4" w:themeShade="80"/>
            </w:tcBorders>
            <w:vAlign w:val="center"/>
          </w:tcPr>
          <w:p w14:paraId="1384C997"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-0.046</w:t>
            </w:r>
          </w:p>
          <w:p w14:paraId="683658F4"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(0.48)</w:t>
            </w:r>
          </w:p>
        </w:tc>
      </w:tr>
      <w:tr w:rsidR="00676C85" w:rsidRPr="00CB093C" w14:paraId="167DFBDE" w14:textId="77777777" w:rsidTr="005F5C58">
        <w:trPr>
          <w:trHeight w:val="20"/>
          <w:jc w:val="center"/>
        </w:trPr>
        <w:tc>
          <w:tcPr>
            <w:tcW w:w="2405" w:type="dxa"/>
            <w:tcBorders>
              <w:right w:val="single" w:sz="4" w:space="0" w:color="auto"/>
            </w:tcBorders>
            <w:vAlign w:val="center"/>
          </w:tcPr>
          <w:p w14:paraId="707F6028" w14:textId="77777777" w:rsidR="00676C85" w:rsidRPr="00CB093C" w:rsidRDefault="00676C85" w:rsidP="005E0801">
            <w:pPr>
              <w:pStyle w:val="BodyText"/>
              <w:spacing w:after="0"/>
              <w:ind w:left="137"/>
              <w:jc w:val="left"/>
              <w:rPr>
                <w:rFonts w:ascii="Arial" w:hAnsi="Arial" w:cs="Arial"/>
              </w:rPr>
            </w:pPr>
            <w:r w:rsidRPr="00CB093C">
              <w:rPr>
                <w:rFonts w:ascii="Arial" w:hAnsi="Arial" w:cs="Arial"/>
              </w:rPr>
              <w:t>No. species</w:t>
            </w:r>
          </w:p>
        </w:tc>
        <w:tc>
          <w:tcPr>
            <w:tcW w:w="992" w:type="dxa"/>
            <w:tcBorders>
              <w:left w:val="single" w:sz="4" w:space="0" w:color="auto"/>
            </w:tcBorders>
            <w:vAlign w:val="center"/>
          </w:tcPr>
          <w:p w14:paraId="6198D13F" w14:textId="77777777" w:rsidR="00676C85" w:rsidRPr="00CB093C" w:rsidRDefault="00676C85" w:rsidP="005E0801">
            <w:pPr>
              <w:spacing w:before="0" w:after="0"/>
              <w:jc w:val="center"/>
              <w:rPr>
                <w:rFonts w:ascii="Arial" w:hAnsi="Arial" w:cs="Arial"/>
                <w:b/>
                <w:bCs/>
                <w:color w:val="000000"/>
                <w:szCs w:val="22"/>
              </w:rPr>
            </w:pPr>
            <w:r w:rsidRPr="00CB093C">
              <w:rPr>
                <w:rFonts w:ascii="Arial" w:hAnsi="Arial" w:cs="Arial"/>
                <w:b/>
                <w:bCs/>
                <w:color w:val="000000"/>
                <w:szCs w:val="22"/>
              </w:rPr>
              <w:t>0.306</w:t>
            </w:r>
          </w:p>
          <w:p w14:paraId="3EA03B53" w14:textId="77777777" w:rsidR="00676C85" w:rsidRPr="00CB093C" w:rsidRDefault="00676C85" w:rsidP="005E0801">
            <w:pPr>
              <w:spacing w:before="0" w:after="0"/>
              <w:jc w:val="center"/>
              <w:rPr>
                <w:rFonts w:ascii="Arial" w:hAnsi="Arial" w:cs="Arial"/>
                <w:szCs w:val="22"/>
              </w:rPr>
            </w:pPr>
            <w:r w:rsidRPr="00CB093C">
              <w:rPr>
                <w:rFonts w:ascii="Arial" w:hAnsi="Arial" w:cs="Arial"/>
                <w:b/>
                <w:bCs/>
                <w:color w:val="000000"/>
                <w:szCs w:val="22"/>
              </w:rPr>
              <w:t>(0.000)</w:t>
            </w:r>
          </w:p>
        </w:tc>
        <w:tc>
          <w:tcPr>
            <w:tcW w:w="1134" w:type="dxa"/>
            <w:tcBorders>
              <w:left w:val="single" w:sz="4" w:space="0" w:color="806000" w:themeColor="accent4" w:themeShade="80"/>
            </w:tcBorders>
            <w:vAlign w:val="center"/>
          </w:tcPr>
          <w:p w14:paraId="2410A609" w14:textId="77777777" w:rsidR="00676C85" w:rsidRPr="00CB093C" w:rsidRDefault="00676C85" w:rsidP="005E0801">
            <w:pPr>
              <w:spacing w:before="0" w:after="0"/>
              <w:jc w:val="center"/>
              <w:rPr>
                <w:rFonts w:ascii="Arial" w:hAnsi="Arial" w:cs="Arial"/>
                <w:b/>
                <w:iCs/>
                <w:color w:val="000000"/>
                <w:szCs w:val="22"/>
              </w:rPr>
            </w:pPr>
            <w:r w:rsidRPr="00CB093C">
              <w:rPr>
                <w:rFonts w:ascii="Arial" w:hAnsi="Arial" w:cs="Arial"/>
                <w:b/>
                <w:iCs/>
                <w:color w:val="000000"/>
                <w:szCs w:val="22"/>
              </w:rPr>
              <w:t>0.253</w:t>
            </w:r>
          </w:p>
          <w:p w14:paraId="2DBE7AAB" w14:textId="77777777" w:rsidR="00676C85" w:rsidRPr="00CB093C" w:rsidRDefault="00676C85" w:rsidP="005E0801">
            <w:pPr>
              <w:spacing w:before="0" w:after="0"/>
              <w:jc w:val="center"/>
              <w:rPr>
                <w:rFonts w:ascii="Arial" w:hAnsi="Arial" w:cs="Arial"/>
                <w:b/>
                <w:szCs w:val="22"/>
              </w:rPr>
            </w:pPr>
            <w:r w:rsidRPr="00CB093C">
              <w:rPr>
                <w:rFonts w:ascii="Arial" w:hAnsi="Arial" w:cs="Arial"/>
                <w:b/>
                <w:iCs/>
                <w:color w:val="000000"/>
                <w:szCs w:val="22"/>
              </w:rPr>
              <w:t>(0.017)</w:t>
            </w:r>
          </w:p>
        </w:tc>
        <w:tc>
          <w:tcPr>
            <w:tcW w:w="1134" w:type="dxa"/>
            <w:tcBorders>
              <w:left w:val="single" w:sz="4" w:space="0" w:color="806000" w:themeColor="accent4" w:themeShade="80"/>
            </w:tcBorders>
            <w:vAlign w:val="center"/>
          </w:tcPr>
          <w:p w14:paraId="7F74ABF6" w14:textId="77777777" w:rsidR="00676C85" w:rsidRPr="00CB093C" w:rsidRDefault="00676C85" w:rsidP="005E0801">
            <w:pPr>
              <w:spacing w:before="0" w:after="0"/>
              <w:jc w:val="center"/>
              <w:rPr>
                <w:rFonts w:ascii="Arial" w:hAnsi="Arial" w:cs="Arial"/>
                <w:b/>
                <w:bCs/>
                <w:color w:val="000000"/>
                <w:szCs w:val="22"/>
              </w:rPr>
            </w:pPr>
            <w:r w:rsidRPr="00CB093C">
              <w:rPr>
                <w:rFonts w:ascii="Arial" w:hAnsi="Arial" w:cs="Arial"/>
                <w:b/>
                <w:bCs/>
                <w:color w:val="000000"/>
                <w:szCs w:val="22"/>
              </w:rPr>
              <w:t>0.265</w:t>
            </w:r>
          </w:p>
          <w:p w14:paraId="39F60543" w14:textId="77777777" w:rsidR="00676C85" w:rsidRPr="00CB093C" w:rsidRDefault="00676C85" w:rsidP="005E0801">
            <w:pPr>
              <w:spacing w:before="0" w:after="0"/>
              <w:jc w:val="center"/>
              <w:rPr>
                <w:rFonts w:ascii="Arial" w:hAnsi="Arial" w:cs="Arial"/>
                <w:b/>
                <w:szCs w:val="22"/>
              </w:rPr>
            </w:pPr>
            <w:r w:rsidRPr="00CB093C">
              <w:rPr>
                <w:rFonts w:ascii="Arial" w:hAnsi="Arial" w:cs="Arial"/>
                <w:b/>
                <w:bCs/>
                <w:color w:val="000000"/>
                <w:szCs w:val="22"/>
              </w:rPr>
              <w:t>(0.000)</w:t>
            </w:r>
          </w:p>
        </w:tc>
        <w:tc>
          <w:tcPr>
            <w:tcW w:w="1134" w:type="dxa"/>
            <w:tcBorders>
              <w:left w:val="single" w:sz="4" w:space="0" w:color="806000" w:themeColor="accent4" w:themeShade="80"/>
            </w:tcBorders>
            <w:vAlign w:val="center"/>
          </w:tcPr>
          <w:p w14:paraId="2E34AFC9" w14:textId="77777777" w:rsidR="00676C85" w:rsidRPr="00CB093C" w:rsidRDefault="00676C85" w:rsidP="005E0801">
            <w:pPr>
              <w:spacing w:before="0" w:after="0"/>
              <w:jc w:val="center"/>
              <w:rPr>
                <w:rFonts w:ascii="Arial" w:hAnsi="Arial" w:cs="Arial"/>
                <w:iCs/>
                <w:color w:val="000000"/>
                <w:szCs w:val="22"/>
              </w:rPr>
            </w:pPr>
            <w:r w:rsidRPr="00CB093C">
              <w:rPr>
                <w:rFonts w:ascii="Arial" w:hAnsi="Arial" w:cs="Arial"/>
                <w:iCs/>
                <w:color w:val="000000"/>
                <w:szCs w:val="22"/>
              </w:rPr>
              <w:t>0.147</w:t>
            </w:r>
          </w:p>
          <w:p w14:paraId="364880B2" w14:textId="77777777" w:rsidR="00676C85" w:rsidRPr="00CB093C" w:rsidRDefault="00676C85" w:rsidP="005E0801">
            <w:pPr>
              <w:spacing w:before="0" w:after="0"/>
              <w:jc w:val="center"/>
              <w:rPr>
                <w:rFonts w:ascii="Arial" w:hAnsi="Arial" w:cs="Arial"/>
                <w:b/>
                <w:szCs w:val="22"/>
              </w:rPr>
            </w:pPr>
            <w:r w:rsidRPr="00CB093C">
              <w:rPr>
                <w:rFonts w:ascii="Arial" w:hAnsi="Arial" w:cs="Arial"/>
                <w:iCs/>
                <w:color w:val="000000"/>
                <w:szCs w:val="22"/>
              </w:rPr>
              <w:t>(0.135)</w:t>
            </w:r>
          </w:p>
        </w:tc>
      </w:tr>
      <w:tr w:rsidR="00676C85" w:rsidRPr="00CB093C" w14:paraId="56ACB6CC" w14:textId="77777777" w:rsidTr="005F5C58">
        <w:trPr>
          <w:trHeight w:val="20"/>
          <w:jc w:val="center"/>
        </w:trPr>
        <w:tc>
          <w:tcPr>
            <w:tcW w:w="2405" w:type="dxa"/>
            <w:tcBorders>
              <w:right w:val="single" w:sz="4" w:space="0" w:color="auto"/>
            </w:tcBorders>
            <w:vAlign w:val="center"/>
          </w:tcPr>
          <w:p w14:paraId="7A3426E5" w14:textId="77777777" w:rsidR="00676C85" w:rsidRPr="00CB093C" w:rsidRDefault="00676C85" w:rsidP="005E0801">
            <w:pPr>
              <w:pStyle w:val="BodyText"/>
              <w:spacing w:after="0"/>
              <w:ind w:left="137"/>
              <w:jc w:val="left"/>
              <w:rPr>
                <w:rFonts w:ascii="Arial" w:hAnsi="Arial" w:cs="Arial"/>
              </w:rPr>
            </w:pPr>
            <w:r w:rsidRPr="00CB093C">
              <w:rPr>
                <w:rFonts w:ascii="Arial" w:hAnsi="Arial" w:cs="Arial"/>
              </w:rPr>
              <w:t>Max no. nodes</w:t>
            </w:r>
          </w:p>
        </w:tc>
        <w:tc>
          <w:tcPr>
            <w:tcW w:w="992" w:type="dxa"/>
            <w:tcBorders>
              <w:left w:val="single" w:sz="4" w:space="0" w:color="auto"/>
            </w:tcBorders>
            <w:vAlign w:val="center"/>
          </w:tcPr>
          <w:p w14:paraId="3DC528AF" w14:textId="77777777" w:rsidR="00676C85" w:rsidRPr="00CB093C" w:rsidRDefault="00676C85" w:rsidP="005E0801">
            <w:pPr>
              <w:spacing w:before="0" w:after="0"/>
              <w:jc w:val="center"/>
              <w:rPr>
                <w:rFonts w:ascii="Arial" w:hAnsi="Arial" w:cs="Arial"/>
                <w:bCs/>
                <w:color w:val="000000"/>
                <w:szCs w:val="22"/>
              </w:rPr>
            </w:pPr>
            <w:r w:rsidRPr="00CB093C">
              <w:rPr>
                <w:rFonts w:ascii="Arial" w:hAnsi="Arial" w:cs="Arial"/>
                <w:bCs/>
                <w:color w:val="000000"/>
                <w:szCs w:val="22"/>
              </w:rPr>
              <w:t>-0.001</w:t>
            </w:r>
          </w:p>
          <w:p w14:paraId="4FB6A767" w14:textId="77777777" w:rsidR="00676C85" w:rsidRPr="00CB093C" w:rsidRDefault="00676C85" w:rsidP="005E0801">
            <w:pPr>
              <w:spacing w:before="0" w:after="0"/>
              <w:jc w:val="center"/>
              <w:rPr>
                <w:rFonts w:ascii="Arial" w:hAnsi="Arial" w:cs="Arial"/>
                <w:szCs w:val="22"/>
              </w:rPr>
            </w:pPr>
            <w:r w:rsidRPr="00CB093C">
              <w:rPr>
                <w:rFonts w:ascii="Arial" w:hAnsi="Arial" w:cs="Arial"/>
                <w:bCs/>
                <w:color w:val="000000"/>
                <w:szCs w:val="22"/>
              </w:rPr>
              <w:t>(0.05)</w:t>
            </w:r>
          </w:p>
        </w:tc>
        <w:tc>
          <w:tcPr>
            <w:tcW w:w="1134" w:type="dxa"/>
            <w:tcBorders>
              <w:left w:val="single" w:sz="4" w:space="0" w:color="806000" w:themeColor="accent4" w:themeShade="80"/>
            </w:tcBorders>
            <w:vAlign w:val="center"/>
          </w:tcPr>
          <w:p w14:paraId="2D40EE7D" w14:textId="77777777" w:rsidR="00676C85" w:rsidRPr="00CB093C" w:rsidRDefault="00676C85" w:rsidP="005E0801">
            <w:pPr>
              <w:spacing w:before="0" w:after="0"/>
              <w:jc w:val="center"/>
              <w:rPr>
                <w:rFonts w:ascii="Arial" w:hAnsi="Arial" w:cs="Arial"/>
                <w:bCs/>
                <w:color w:val="000000"/>
                <w:szCs w:val="22"/>
              </w:rPr>
            </w:pPr>
            <w:r w:rsidRPr="00CB093C">
              <w:rPr>
                <w:rFonts w:ascii="Arial" w:hAnsi="Arial" w:cs="Arial"/>
                <w:bCs/>
                <w:color w:val="000000"/>
                <w:szCs w:val="22"/>
              </w:rPr>
              <w:t>-0.001</w:t>
            </w:r>
          </w:p>
          <w:p w14:paraId="2F0A039C" w14:textId="77777777" w:rsidR="00676C85" w:rsidRPr="00CB093C" w:rsidRDefault="00676C85" w:rsidP="005E0801">
            <w:pPr>
              <w:spacing w:before="0" w:after="0"/>
              <w:jc w:val="center"/>
              <w:rPr>
                <w:rFonts w:ascii="Arial" w:hAnsi="Arial" w:cs="Arial"/>
                <w:szCs w:val="22"/>
              </w:rPr>
            </w:pPr>
            <w:r w:rsidRPr="00CB093C">
              <w:rPr>
                <w:rFonts w:ascii="Arial" w:hAnsi="Arial" w:cs="Arial"/>
                <w:bCs/>
                <w:color w:val="000000"/>
                <w:szCs w:val="22"/>
              </w:rPr>
              <w:t>(0.06)</w:t>
            </w:r>
          </w:p>
        </w:tc>
        <w:tc>
          <w:tcPr>
            <w:tcW w:w="1134" w:type="dxa"/>
            <w:tcBorders>
              <w:left w:val="single" w:sz="4" w:space="0" w:color="806000" w:themeColor="accent4" w:themeShade="80"/>
            </w:tcBorders>
            <w:vAlign w:val="center"/>
          </w:tcPr>
          <w:p w14:paraId="2E39351D" w14:textId="77777777" w:rsidR="00676C85" w:rsidRPr="00CB093C" w:rsidRDefault="00676C85" w:rsidP="005E0801">
            <w:pPr>
              <w:spacing w:before="0" w:after="0"/>
              <w:jc w:val="center"/>
              <w:rPr>
                <w:rFonts w:ascii="Arial" w:hAnsi="Arial" w:cs="Arial"/>
                <w:iCs/>
                <w:color w:val="000000"/>
                <w:szCs w:val="22"/>
              </w:rPr>
            </w:pPr>
            <w:r w:rsidRPr="00CB093C">
              <w:rPr>
                <w:rFonts w:ascii="Arial" w:hAnsi="Arial" w:cs="Arial"/>
                <w:iCs/>
                <w:color w:val="000000"/>
                <w:szCs w:val="22"/>
              </w:rPr>
              <w:t>-0.001</w:t>
            </w:r>
          </w:p>
          <w:p w14:paraId="63B77146" w14:textId="77777777" w:rsidR="00676C85" w:rsidRPr="00CB093C" w:rsidRDefault="00676C85" w:rsidP="005E0801">
            <w:pPr>
              <w:spacing w:before="0" w:after="0"/>
              <w:jc w:val="center"/>
              <w:rPr>
                <w:rFonts w:ascii="Arial" w:hAnsi="Arial" w:cs="Arial"/>
                <w:szCs w:val="22"/>
              </w:rPr>
            </w:pPr>
            <w:r w:rsidRPr="00CB093C">
              <w:rPr>
                <w:rFonts w:ascii="Arial" w:hAnsi="Arial" w:cs="Arial"/>
                <w:iCs/>
                <w:color w:val="000000"/>
                <w:szCs w:val="22"/>
              </w:rPr>
              <w:t>(0.088)</w:t>
            </w:r>
          </w:p>
        </w:tc>
        <w:tc>
          <w:tcPr>
            <w:tcW w:w="1134" w:type="dxa"/>
            <w:tcBorders>
              <w:left w:val="single" w:sz="4" w:space="0" w:color="806000" w:themeColor="accent4" w:themeShade="80"/>
            </w:tcBorders>
            <w:vAlign w:val="center"/>
          </w:tcPr>
          <w:p w14:paraId="0F817F2C" w14:textId="77777777" w:rsidR="00676C85" w:rsidRPr="00CB093C" w:rsidRDefault="00676C85" w:rsidP="005E0801">
            <w:pPr>
              <w:spacing w:before="0" w:after="0"/>
              <w:jc w:val="center"/>
              <w:rPr>
                <w:rFonts w:ascii="Arial" w:hAnsi="Arial" w:cs="Arial"/>
                <w:b/>
                <w:bCs/>
                <w:color w:val="000000"/>
                <w:szCs w:val="22"/>
              </w:rPr>
            </w:pPr>
            <w:r w:rsidRPr="00CB093C">
              <w:rPr>
                <w:rFonts w:ascii="Arial" w:hAnsi="Arial" w:cs="Arial"/>
                <w:b/>
                <w:bCs/>
                <w:color w:val="000000"/>
                <w:szCs w:val="22"/>
              </w:rPr>
              <w:t>-0.001</w:t>
            </w:r>
          </w:p>
          <w:p w14:paraId="75F86E4F" w14:textId="77777777" w:rsidR="00676C85" w:rsidRPr="00CB093C" w:rsidRDefault="00676C85" w:rsidP="005E0801">
            <w:pPr>
              <w:spacing w:before="0" w:after="0"/>
              <w:jc w:val="center"/>
              <w:rPr>
                <w:rFonts w:ascii="Arial" w:hAnsi="Arial" w:cs="Arial"/>
                <w:szCs w:val="22"/>
              </w:rPr>
            </w:pPr>
            <w:r w:rsidRPr="00CB093C">
              <w:rPr>
                <w:rFonts w:ascii="Arial" w:hAnsi="Arial" w:cs="Arial"/>
                <w:b/>
                <w:bCs/>
                <w:color w:val="000000"/>
                <w:szCs w:val="22"/>
              </w:rPr>
              <w:t>(0.043)</w:t>
            </w:r>
          </w:p>
        </w:tc>
      </w:tr>
      <w:tr w:rsidR="00676C85" w:rsidRPr="00CB093C" w14:paraId="17EC3158" w14:textId="77777777" w:rsidTr="005F5C58">
        <w:trPr>
          <w:trHeight w:val="20"/>
          <w:jc w:val="center"/>
        </w:trPr>
        <w:tc>
          <w:tcPr>
            <w:tcW w:w="2405" w:type="dxa"/>
            <w:tcBorders>
              <w:right w:val="single" w:sz="4" w:space="0" w:color="auto"/>
            </w:tcBorders>
            <w:vAlign w:val="center"/>
          </w:tcPr>
          <w:p w14:paraId="3AED91BE" w14:textId="77777777" w:rsidR="00676C85" w:rsidRPr="00CB093C" w:rsidRDefault="00676C85" w:rsidP="005E0801">
            <w:pPr>
              <w:pStyle w:val="BodyText"/>
              <w:spacing w:after="0"/>
              <w:ind w:left="137"/>
              <w:jc w:val="left"/>
              <w:rPr>
                <w:rFonts w:ascii="Arial" w:hAnsi="Arial" w:cs="Arial"/>
              </w:rPr>
            </w:pPr>
            <w:r w:rsidRPr="00CB093C">
              <w:rPr>
                <w:rFonts w:ascii="Arial" w:hAnsi="Arial" w:cs="Arial"/>
              </w:rPr>
              <w:t>Max_Flowers</w:t>
            </w:r>
          </w:p>
        </w:tc>
        <w:tc>
          <w:tcPr>
            <w:tcW w:w="992" w:type="dxa"/>
            <w:tcBorders>
              <w:left w:val="single" w:sz="4" w:space="0" w:color="auto"/>
            </w:tcBorders>
            <w:vAlign w:val="center"/>
          </w:tcPr>
          <w:p w14:paraId="46FCF380" w14:textId="77777777" w:rsidR="00676C85" w:rsidRPr="00CB093C" w:rsidRDefault="00676C85" w:rsidP="005E0801">
            <w:pPr>
              <w:spacing w:before="0" w:after="0"/>
              <w:jc w:val="center"/>
              <w:rPr>
                <w:rFonts w:ascii="Arial" w:hAnsi="Arial" w:cs="Arial"/>
                <w:b/>
                <w:iCs/>
                <w:color w:val="000000"/>
                <w:szCs w:val="22"/>
              </w:rPr>
            </w:pPr>
            <w:r w:rsidRPr="00CB093C">
              <w:rPr>
                <w:rFonts w:ascii="Arial" w:hAnsi="Arial" w:cs="Arial"/>
                <w:b/>
                <w:iCs/>
                <w:color w:val="000000"/>
                <w:szCs w:val="22"/>
              </w:rPr>
              <w:t>0.0207</w:t>
            </w:r>
          </w:p>
          <w:p w14:paraId="7116484B" w14:textId="77777777" w:rsidR="00676C85" w:rsidRPr="00CB093C" w:rsidRDefault="00676C85" w:rsidP="005E0801">
            <w:pPr>
              <w:spacing w:before="0" w:after="0"/>
              <w:jc w:val="center"/>
              <w:rPr>
                <w:rFonts w:ascii="Arial" w:hAnsi="Arial" w:cs="Arial"/>
                <w:b/>
                <w:szCs w:val="22"/>
              </w:rPr>
            </w:pPr>
            <w:r w:rsidRPr="00CB093C">
              <w:rPr>
                <w:rFonts w:ascii="Arial" w:hAnsi="Arial" w:cs="Arial"/>
                <w:b/>
                <w:iCs/>
                <w:color w:val="000000"/>
                <w:szCs w:val="22"/>
              </w:rPr>
              <w:t>(0.000)</w:t>
            </w:r>
          </w:p>
        </w:tc>
        <w:tc>
          <w:tcPr>
            <w:tcW w:w="1134" w:type="dxa"/>
            <w:tcBorders>
              <w:left w:val="single" w:sz="4" w:space="0" w:color="806000" w:themeColor="accent4" w:themeShade="80"/>
            </w:tcBorders>
            <w:vAlign w:val="center"/>
          </w:tcPr>
          <w:p w14:paraId="7EE05A6E" w14:textId="77777777" w:rsidR="00676C85" w:rsidRPr="00CB093C" w:rsidRDefault="00676C85" w:rsidP="005E0801">
            <w:pPr>
              <w:spacing w:before="0" w:after="0"/>
              <w:jc w:val="center"/>
              <w:rPr>
                <w:rFonts w:ascii="Arial" w:hAnsi="Arial" w:cs="Arial"/>
                <w:b/>
                <w:color w:val="000000"/>
                <w:szCs w:val="22"/>
              </w:rPr>
            </w:pPr>
            <w:r w:rsidRPr="00CB093C">
              <w:rPr>
                <w:rFonts w:ascii="Arial" w:hAnsi="Arial" w:cs="Arial"/>
                <w:b/>
                <w:color w:val="000000"/>
                <w:szCs w:val="22"/>
              </w:rPr>
              <w:t>0.020</w:t>
            </w:r>
          </w:p>
          <w:p w14:paraId="7FFA3175" w14:textId="77777777" w:rsidR="00676C85" w:rsidRPr="00CB093C" w:rsidRDefault="00676C85" w:rsidP="005E0801">
            <w:pPr>
              <w:spacing w:before="0" w:after="0"/>
              <w:jc w:val="center"/>
              <w:rPr>
                <w:rFonts w:ascii="Arial" w:hAnsi="Arial" w:cs="Arial"/>
                <w:b/>
                <w:szCs w:val="22"/>
              </w:rPr>
            </w:pPr>
            <w:r w:rsidRPr="00CB093C">
              <w:rPr>
                <w:rFonts w:ascii="Arial" w:hAnsi="Arial" w:cs="Arial"/>
                <w:b/>
                <w:color w:val="000000"/>
                <w:szCs w:val="22"/>
              </w:rPr>
              <w:t>(0.000)</w:t>
            </w:r>
          </w:p>
        </w:tc>
        <w:tc>
          <w:tcPr>
            <w:tcW w:w="1134" w:type="dxa"/>
            <w:tcBorders>
              <w:left w:val="single" w:sz="4" w:space="0" w:color="806000" w:themeColor="accent4" w:themeShade="80"/>
            </w:tcBorders>
            <w:vAlign w:val="center"/>
          </w:tcPr>
          <w:p w14:paraId="3C484D51" w14:textId="77777777" w:rsidR="00676C85" w:rsidRPr="00CB093C" w:rsidRDefault="00676C85" w:rsidP="005E0801">
            <w:pPr>
              <w:spacing w:before="0" w:after="0"/>
              <w:jc w:val="center"/>
              <w:rPr>
                <w:rFonts w:ascii="Arial" w:hAnsi="Arial" w:cs="Arial"/>
                <w:b/>
                <w:iCs/>
                <w:color w:val="000000"/>
                <w:szCs w:val="22"/>
              </w:rPr>
            </w:pPr>
            <w:r w:rsidRPr="00CB093C">
              <w:rPr>
                <w:rFonts w:ascii="Arial" w:hAnsi="Arial" w:cs="Arial"/>
                <w:b/>
                <w:iCs/>
                <w:color w:val="000000"/>
                <w:szCs w:val="22"/>
              </w:rPr>
              <w:t>0.015</w:t>
            </w:r>
          </w:p>
          <w:p w14:paraId="3CCAE0FC" w14:textId="77777777" w:rsidR="00676C85" w:rsidRPr="00CB093C" w:rsidRDefault="00676C85" w:rsidP="005E0801">
            <w:pPr>
              <w:spacing w:before="0" w:after="0"/>
              <w:jc w:val="center"/>
              <w:rPr>
                <w:rFonts w:ascii="Arial" w:hAnsi="Arial" w:cs="Arial"/>
                <w:b/>
                <w:szCs w:val="22"/>
              </w:rPr>
            </w:pPr>
            <w:r w:rsidRPr="00CB093C">
              <w:rPr>
                <w:rFonts w:ascii="Arial" w:hAnsi="Arial" w:cs="Arial"/>
                <w:b/>
                <w:iCs/>
                <w:color w:val="000000"/>
                <w:szCs w:val="22"/>
              </w:rPr>
              <w:t>(0.001)</w:t>
            </w:r>
          </w:p>
        </w:tc>
        <w:tc>
          <w:tcPr>
            <w:tcW w:w="1134" w:type="dxa"/>
            <w:tcBorders>
              <w:left w:val="single" w:sz="4" w:space="0" w:color="806000" w:themeColor="accent4" w:themeShade="80"/>
            </w:tcBorders>
            <w:vAlign w:val="center"/>
          </w:tcPr>
          <w:p w14:paraId="4E26051A" w14:textId="77777777" w:rsidR="00676C85" w:rsidRPr="00CB093C" w:rsidRDefault="00676C85" w:rsidP="005E0801">
            <w:pPr>
              <w:spacing w:before="0" w:after="0"/>
              <w:jc w:val="center"/>
              <w:rPr>
                <w:rFonts w:ascii="Arial" w:hAnsi="Arial" w:cs="Arial"/>
                <w:b/>
                <w:color w:val="000000"/>
                <w:szCs w:val="22"/>
              </w:rPr>
            </w:pPr>
            <w:r w:rsidRPr="00CB093C">
              <w:rPr>
                <w:rFonts w:ascii="Arial" w:hAnsi="Arial" w:cs="Arial"/>
                <w:b/>
                <w:color w:val="000000"/>
                <w:szCs w:val="22"/>
              </w:rPr>
              <w:t>0.014</w:t>
            </w:r>
          </w:p>
          <w:p w14:paraId="239EA351" w14:textId="77777777" w:rsidR="00676C85" w:rsidRPr="00CB093C" w:rsidRDefault="00676C85" w:rsidP="005E0801">
            <w:pPr>
              <w:spacing w:before="0" w:after="0"/>
              <w:jc w:val="center"/>
              <w:rPr>
                <w:rFonts w:ascii="Arial" w:hAnsi="Arial" w:cs="Arial"/>
                <w:b/>
                <w:szCs w:val="22"/>
              </w:rPr>
            </w:pPr>
            <w:r w:rsidRPr="00CB093C">
              <w:rPr>
                <w:rFonts w:ascii="Arial" w:hAnsi="Arial" w:cs="Arial"/>
                <w:b/>
                <w:color w:val="000000"/>
                <w:szCs w:val="22"/>
              </w:rPr>
              <w:t>(0.001)</w:t>
            </w:r>
          </w:p>
        </w:tc>
      </w:tr>
      <w:tr w:rsidR="00676C85" w:rsidRPr="00CB093C" w14:paraId="0DAEB791" w14:textId="77777777" w:rsidTr="005F5C58">
        <w:trPr>
          <w:trHeight w:val="20"/>
          <w:jc w:val="center"/>
        </w:trPr>
        <w:tc>
          <w:tcPr>
            <w:tcW w:w="2405" w:type="dxa"/>
            <w:tcBorders>
              <w:right w:val="single" w:sz="4" w:space="0" w:color="auto"/>
            </w:tcBorders>
            <w:vAlign w:val="center"/>
          </w:tcPr>
          <w:p w14:paraId="5B2DCB6B" w14:textId="77777777" w:rsidR="00676C85" w:rsidRPr="00CB093C" w:rsidRDefault="00676C85" w:rsidP="005E0801">
            <w:pPr>
              <w:pStyle w:val="BodyText"/>
              <w:spacing w:after="0"/>
              <w:ind w:left="137"/>
              <w:jc w:val="left"/>
              <w:rPr>
                <w:rFonts w:ascii="Arial" w:hAnsi="Arial" w:cs="Arial"/>
              </w:rPr>
            </w:pPr>
            <w:r w:rsidRPr="00CB093C">
              <w:rPr>
                <w:rFonts w:ascii="Arial" w:hAnsi="Arial" w:cs="Arial"/>
              </w:rPr>
              <w:t>Max no. fruits &amp; spathes</w:t>
            </w:r>
          </w:p>
        </w:tc>
        <w:tc>
          <w:tcPr>
            <w:tcW w:w="992" w:type="dxa"/>
            <w:tcBorders>
              <w:left w:val="single" w:sz="4" w:space="0" w:color="auto"/>
            </w:tcBorders>
            <w:vAlign w:val="center"/>
          </w:tcPr>
          <w:p w14:paraId="06E1A888" w14:textId="77777777" w:rsidR="00676C85" w:rsidRPr="00CB093C" w:rsidRDefault="00676C85" w:rsidP="005E0801">
            <w:pPr>
              <w:spacing w:before="0" w:after="0"/>
              <w:jc w:val="center"/>
              <w:rPr>
                <w:rFonts w:ascii="Arial" w:hAnsi="Arial" w:cs="Arial"/>
                <w:b/>
                <w:iCs/>
                <w:color w:val="000000"/>
                <w:szCs w:val="22"/>
              </w:rPr>
            </w:pPr>
            <w:r w:rsidRPr="00CB093C">
              <w:rPr>
                <w:rFonts w:ascii="Arial" w:hAnsi="Arial" w:cs="Arial"/>
                <w:b/>
                <w:iCs/>
                <w:color w:val="000000"/>
                <w:szCs w:val="22"/>
              </w:rPr>
              <w:t>0.013</w:t>
            </w:r>
          </w:p>
          <w:p w14:paraId="1A0B2906" w14:textId="77777777" w:rsidR="00676C85" w:rsidRPr="00CB093C" w:rsidRDefault="00676C85" w:rsidP="005E0801">
            <w:pPr>
              <w:spacing w:before="0" w:after="0"/>
              <w:jc w:val="center"/>
              <w:rPr>
                <w:rFonts w:ascii="Arial" w:hAnsi="Arial" w:cs="Arial"/>
                <w:szCs w:val="22"/>
              </w:rPr>
            </w:pPr>
            <w:r w:rsidRPr="00CB093C">
              <w:rPr>
                <w:rFonts w:ascii="Arial" w:hAnsi="Arial" w:cs="Arial"/>
                <w:b/>
                <w:iCs/>
                <w:color w:val="000000"/>
                <w:szCs w:val="22"/>
              </w:rPr>
              <w:t>(0.001</w:t>
            </w:r>
          </w:p>
        </w:tc>
        <w:tc>
          <w:tcPr>
            <w:tcW w:w="1134" w:type="dxa"/>
            <w:tcBorders>
              <w:left w:val="single" w:sz="4" w:space="0" w:color="806000" w:themeColor="accent4" w:themeShade="80"/>
            </w:tcBorders>
            <w:vAlign w:val="center"/>
          </w:tcPr>
          <w:p w14:paraId="393186D3" w14:textId="77777777" w:rsidR="00676C85" w:rsidRPr="00CB093C" w:rsidRDefault="00676C85" w:rsidP="005E0801">
            <w:pPr>
              <w:spacing w:before="0" w:after="0"/>
              <w:jc w:val="center"/>
              <w:rPr>
                <w:rFonts w:ascii="Arial" w:hAnsi="Arial" w:cs="Arial"/>
                <w:b/>
                <w:bCs/>
                <w:color w:val="000000"/>
                <w:szCs w:val="22"/>
              </w:rPr>
            </w:pPr>
            <w:r w:rsidRPr="00CB093C">
              <w:rPr>
                <w:rFonts w:ascii="Arial" w:hAnsi="Arial" w:cs="Arial"/>
                <w:b/>
                <w:bCs/>
                <w:color w:val="000000"/>
                <w:szCs w:val="22"/>
              </w:rPr>
              <w:t>0.014</w:t>
            </w:r>
          </w:p>
          <w:p w14:paraId="3C0E169B" w14:textId="77777777" w:rsidR="00676C85" w:rsidRPr="00CB093C" w:rsidRDefault="00676C85" w:rsidP="005E0801">
            <w:pPr>
              <w:spacing w:before="0" w:after="0"/>
              <w:jc w:val="center"/>
              <w:rPr>
                <w:rFonts w:ascii="Arial" w:hAnsi="Arial" w:cs="Arial"/>
                <w:szCs w:val="22"/>
              </w:rPr>
            </w:pPr>
            <w:r w:rsidRPr="00CB093C">
              <w:rPr>
                <w:rFonts w:ascii="Arial" w:hAnsi="Arial" w:cs="Arial"/>
                <w:b/>
                <w:bCs/>
                <w:color w:val="000000"/>
                <w:szCs w:val="22"/>
              </w:rPr>
              <w:t>(0.000)</w:t>
            </w:r>
          </w:p>
        </w:tc>
        <w:tc>
          <w:tcPr>
            <w:tcW w:w="1134" w:type="dxa"/>
            <w:tcBorders>
              <w:left w:val="single" w:sz="4" w:space="0" w:color="806000" w:themeColor="accent4" w:themeShade="80"/>
            </w:tcBorders>
            <w:vAlign w:val="center"/>
          </w:tcPr>
          <w:p w14:paraId="03861CDE"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0.005</w:t>
            </w:r>
          </w:p>
          <w:p w14:paraId="4B0E1AFC" w14:textId="77777777" w:rsidR="00676C85" w:rsidRPr="00CB093C" w:rsidRDefault="00676C85" w:rsidP="005E0801">
            <w:pPr>
              <w:spacing w:before="0" w:after="0"/>
              <w:jc w:val="center"/>
              <w:rPr>
                <w:rFonts w:ascii="Arial" w:hAnsi="Arial" w:cs="Arial"/>
                <w:b/>
                <w:szCs w:val="22"/>
              </w:rPr>
            </w:pPr>
            <w:r w:rsidRPr="00CB093C">
              <w:rPr>
                <w:rFonts w:ascii="Arial" w:hAnsi="Arial" w:cs="Arial"/>
                <w:color w:val="000000"/>
                <w:szCs w:val="22"/>
              </w:rPr>
              <w:t>(0.253)</w:t>
            </w:r>
          </w:p>
        </w:tc>
        <w:tc>
          <w:tcPr>
            <w:tcW w:w="1134" w:type="dxa"/>
            <w:tcBorders>
              <w:left w:val="single" w:sz="4" w:space="0" w:color="806000" w:themeColor="accent4" w:themeShade="80"/>
            </w:tcBorders>
            <w:vAlign w:val="center"/>
          </w:tcPr>
          <w:p w14:paraId="772E0112"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0.006</w:t>
            </w:r>
          </w:p>
          <w:p w14:paraId="3AEC1357" w14:textId="77777777" w:rsidR="00676C85" w:rsidRPr="00CB093C" w:rsidRDefault="00676C85" w:rsidP="005E0801">
            <w:pPr>
              <w:spacing w:before="0" w:after="0"/>
              <w:jc w:val="center"/>
              <w:rPr>
                <w:rFonts w:ascii="Arial" w:hAnsi="Arial" w:cs="Arial"/>
                <w:b/>
                <w:szCs w:val="22"/>
              </w:rPr>
            </w:pPr>
            <w:r w:rsidRPr="00CB093C">
              <w:rPr>
                <w:rFonts w:ascii="Arial" w:hAnsi="Arial" w:cs="Arial"/>
                <w:color w:val="000000"/>
                <w:szCs w:val="22"/>
              </w:rPr>
              <w:t>(0.101)</w:t>
            </w:r>
          </w:p>
        </w:tc>
      </w:tr>
      <w:tr w:rsidR="00676C85" w:rsidRPr="00CB093C" w14:paraId="188B1B36" w14:textId="77777777" w:rsidTr="005F5C58">
        <w:trPr>
          <w:trHeight w:val="20"/>
          <w:jc w:val="center"/>
        </w:trPr>
        <w:tc>
          <w:tcPr>
            <w:tcW w:w="2405" w:type="dxa"/>
            <w:tcBorders>
              <w:right w:val="single" w:sz="4" w:space="0" w:color="auto"/>
            </w:tcBorders>
            <w:vAlign w:val="center"/>
          </w:tcPr>
          <w:p w14:paraId="02C4E9AE" w14:textId="77777777" w:rsidR="00676C85" w:rsidRPr="00CB093C" w:rsidRDefault="00676C85" w:rsidP="005E0801">
            <w:pPr>
              <w:pStyle w:val="BodyText"/>
              <w:spacing w:after="0"/>
              <w:ind w:left="137"/>
              <w:jc w:val="left"/>
              <w:rPr>
                <w:rFonts w:ascii="Arial" w:hAnsi="Arial" w:cs="Arial"/>
              </w:rPr>
            </w:pPr>
            <w:r w:rsidRPr="00CB093C">
              <w:rPr>
                <w:rFonts w:ascii="Arial" w:hAnsi="Arial" w:cs="Arial"/>
              </w:rPr>
              <w:t>Seed density (seeds m</w:t>
            </w:r>
            <w:r w:rsidRPr="00CB093C">
              <w:rPr>
                <w:rFonts w:ascii="Arial" w:hAnsi="Arial" w:cs="Arial"/>
                <w:vertAlign w:val="superscript"/>
              </w:rPr>
              <w:t>-2</w:t>
            </w:r>
            <w:r w:rsidRPr="00CB093C">
              <w:rPr>
                <w:rFonts w:ascii="Arial" w:hAnsi="Arial" w:cs="Arial"/>
              </w:rPr>
              <w:t>)</w:t>
            </w:r>
          </w:p>
        </w:tc>
        <w:tc>
          <w:tcPr>
            <w:tcW w:w="992" w:type="dxa"/>
            <w:tcBorders>
              <w:left w:val="single" w:sz="4" w:space="0" w:color="auto"/>
            </w:tcBorders>
            <w:vAlign w:val="center"/>
          </w:tcPr>
          <w:p w14:paraId="57456DEF"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0.000</w:t>
            </w:r>
          </w:p>
          <w:p w14:paraId="1D974CBC"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(0.297)</w:t>
            </w:r>
          </w:p>
        </w:tc>
        <w:tc>
          <w:tcPr>
            <w:tcW w:w="1134" w:type="dxa"/>
            <w:tcBorders>
              <w:left w:val="single" w:sz="4" w:space="0" w:color="806000" w:themeColor="accent4" w:themeShade="80"/>
            </w:tcBorders>
            <w:vAlign w:val="center"/>
          </w:tcPr>
          <w:p w14:paraId="506789C9"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0.000</w:t>
            </w:r>
          </w:p>
          <w:p w14:paraId="2F1DB46B"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(0.393)</w:t>
            </w:r>
          </w:p>
        </w:tc>
        <w:tc>
          <w:tcPr>
            <w:tcW w:w="1134" w:type="dxa"/>
            <w:tcBorders>
              <w:left w:val="single" w:sz="4" w:space="0" w:color="806000" w:themeColor="accent4" w:themeShade="80"/>
            </w:tcBorders>
            <w:vAlign w:val="center"/>
          </w:tcPr>
          <w:p w14:paraId="219F42E4"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0.000</w:t>
            </w:r>
          </w:p>
          <w:p w14:paraId="75D5EC62"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(0.671)</w:t>
            </w:r>
          </w:p>
        </w:tc>
        <w:tc>
          <w:tcPr>
            <w:tcW w:w="1134" w:type="dxa"/>
            <w:tcBorders>
              <w:left w:val="single" w:sz="4" w:space="0" w:color="806000" w:themeColor="accent4" w:themeShade="80"/>
            </w:tcBorders>
            <w:vAlign w:val="center"/>
          </w:tcPr>
          <w:p w14:paraId="2ADA575A"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0.000</w:t>
            </w:r>
          </w:p>
          <w:p w14:paraId="1555D2F7"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(0.827)</w:t>
            </w:r>
          </w:p>
        </w:tc>
      </w:tr>
      <w:tr w:rsidR="00676C85" w:rsidRPr="00CB093C" w14:paraId="02D3BA9B" w14:textId="77777777" w:rsidTr="005F5C58">
        <w:trPr>
          <w:trHeight w:val="20"/>
          <w:jc w:val="center"/>
        </w:trPr>
        <w:tc>
          <w:tcPr>
            <w:tcW w:w="2405" w:type="dxa"/>
            <w:tcBorders>
              <w:right w:val="single" w:sz="4" w:space="0" w:color="auto"/>
            </w:tcBorders>
            <w:vAlign w:val="center"/>
          </w:tcPr>
          <w:p w14:paraId="2B9F930D"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C. rotundata</w:t>
            </w:r>
          </w:p>
        </w:tc>
        <w:tc>
          <w:tcPr>
            <w:tcW w:w="992" w:type="dxa"/>
            <w:tcBorders>
              <w:left w:val="single" w:sz="4" w:space="0" w:color="auto"/>
            </w:tcBorders>
            <w:vAlign w:val="center"/>
          </w:tcPr>
          <w:p w14:paraId="23D9288D" w14:textId="0C2F72D6"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NA</w:t>
            </w:r>
          </w:p>
        </w:tc>
        <w:tc>
          <w:tcPr>
            <w:tcW w:w="1134" w:type="dxa"/>
            <w:tcBorders>
              <w:left w:val="single" w:sz="4" w:space="0" w:color="806000" w:themeColor="accent4" w:themeShade="80"/>
            </w:tcBorders>
            <w:vAlign w:val="center"/>
          </w:tcPr>
          <w:p w14:paraId="5CF55FFE"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0.141</w:t>
            </w:r>
          </w:p>
          <w:p w14:paraId="4C708B02"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(0.556)</w:t>
            </w:r>
          </w:p>
        </w:tc>
        <w:tc>
          <w:tcPr>
            <w:tcW w:w="1134" w:type="dxa"/>
            <w:tcBorders>
              <w:left w:val="single" w:sz="4" w:space="0" w:color="806000" w:themeColor="accent4" w:themeShade="80"/>
            </w:tcBorders>
            <w:vAlign w:val="center"/>
          </w:tcPr>
          <w:p w14:paraId="1491AF9C" w14:textId="13552AF3"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340AAC05"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0.07</w:t>
            </w:r>
          </w:p>
          <w:p w14:paraId="18760613"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(0.975)</w:t>
            </w:r>
          </w:p>
        </w:tc>
      </w:tr>
      <w:tr w:rsidR="00676C85" w:rsidRPr="00CB093C" w14:paraId="3F57BD89" w14:textId="77777777" w:rsidTr="005F5C58">
        <w:trPr>
          <w:trHeight w:val="20"/>
          <w:jc w:val="center"/>
        </w:trPr>
        <w:tc>
          <w:tcPr>
            <w:tcW w:w="2405" w:type="dxa"/>
            <w:tcBorders>
              <w:right w:val="single" w:sz="4" w:space="0" w:color="auto"/>
            </w:tcBorders>
            <w:vAlign w:val="center"/>
          </w:tcPr>
          <w:p w14:paraId="0FAA8C87"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C. serrulata</w:t>
            </w:r>
          </w:p>
        </w:tc>
        <w:tc>
          <w:tcPr>
            <w:tcW w:w="992" w:type="dxa"/>
            <w:tcBorders>
              <w:left w:val="single" w:sz="4" w:space="0" w:color="auto"/>
            </w:tcBorders>
            <w:vAlign w:val="center"/>
          </w:tcPr>
          <w:p w14:paraId="1CDDBDB6" w14:textId="455D7063"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NA</w:t>
            </w:r>
          </w:p>
        </w:tc>
        <w:tc>
          <w:tcPr>
            <w:tcW w:w="1134" w:type="dxa"/>
            <w:tcBorders>
              <w:left w:val="single" w:sz="4" w:space="0" w:color="806000" w:themeColor="accent4" w:themeShade="80"/>
            </w:tcBorders>
            <w:vAlign w:val="center"/>
          </w:tcPr>
          <w:p w14:paraId="01C3AF1C" w14:textId="77777777" w:rsidR="00676C85" w:rsidRPr="00CB093C" w:rsidRDefault="00676C85" w:rsidP="005E0801">
            <w:pPr>
              <w:spacing w:before="0" w:after="0"/>
              <w:jc w:val="center"/>
              <w:rPr>
                <w:rFonts w:ascii="Arial" w:hAnsi="Arial" w:cs="Arial"/>
                <w:b/>
                <w:iCs/>
                <w:color w:val="000000"/>
                <w:szCs w:val="22"/>
              </w:rPr>
            </w:pPr>
            <w:r w:rsidRPr="00CB093C">
              <w:rPr>
                <w:rFonts w:ascii="Arial" w:hAnsi="Arial" w:cs="Arial"/>
                <w:b/>
                <w:iCs/>
                <w:color w:val="000000"/>
                <w:szCs w:val="22"/>
              </w:rPr>
              <w:t>0.375</w:t>
            </w:r>
          </w:p>
          <w:p w14:paraId="4B217D4B" w14:textId="77777777" w:rsidR="00676C85" w:rsidRPr="00CB093C" w:rsidRDefault="00676C85" w:rsidP="005E0801">
            <w:pPr>
              <w:spacing w:before="0" w:after="0"/>
              <w:jc w:val="center"/>
              <w:rPr>
                <w:rFonts w:ascii="Arial" w:hAnsi="Arial" w:cs="Arial"/>
                <w:szCs w:val="22"/>
              </w:rPr>
            </w:pPr>
            <w:r w:rsidRPr="00CB093C">
              <w:rPr>
                <w:rFonts w:ascii="Arial" w:hAnsi="Arial" w:cs="Arial"/>
                <w:b/>
                <w:iCs/>
                <w:color w:val="000000"/>
                <w:szCs w:val="22"/>
              </w:rPr>
              <w:t>(0.026)</w:t>
            </w:r>
          </w:p>
        </w:tc>
        <w:tc>
          <w:tcPr>
            <w:tcW w:w="1134" w:type="dxa"/>
            <w:tcBorders>
              <w:left w:val="single" w:sz="4" w:space="0" w:color="806000" w:themeColor="accent4" w:themeShade="80"/>
            </w:tcBorders>
            <w:vAlign w:val="center"/>
          </w:tcPr>
          <w:p w14:paraId="5ED081F6" w14:textId="2CAD6414"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00169170" w14:textId="77777777" w:rsidR="00676C85" w:rsidRPr="00CB093C" w:rsidRDefault="00676C85" w:rsidP="005E0801">
            <w:pPr>
              <w:spacing w:before="0" w:after="0"/>
              <w:jc w:val="center"/>
              <w:rPr>
                <w:rFonts w:ascii="Arial" w:hAnsi="Arial" w:cs="Arial"/>
                <w:b/>
                <w:iCs/>
                <w:color w:val="000000"/>
                <w:szCs w:val="22"/>
              </w:rPr>
            </w:pPr>
            <w:r w:rsidRPr="00CB093C">
              <w:rPr>
                <w:rFonts w:ascii="Arial" w:hAnsi="Arial" w:cs="Arial"/>
                <w:b/>
                <w:iCs/>
                <w:color w:val="000000"/>
                <w:szCs w:val="22"/>
              </w:rPr>
              <w:t>0.471</w:t>
            </w:r>
          </w:p>
          <w:p w14:paraId="7CD62BB5" w14:textId="77777777" w:rsidR="00676C85" w:rsidRPr="00CB093C" w:rsidRDefault="00676C85" w:rsidP="005E0801">
            <w:pPr>
              <w:spacing w:before="0" w:after="0"/>
              <w:jc w:val="center"/>
              <w:rPr>
                <w:rFonts w:ascii="Arial" w:hAnsi="Arial" w:cs="Arial"/>
                <w:szCs w:val="22"/>
              </w:rPr>
            </w:pPr>
            <w:r w:rsidRPr="00CB093C">
              <w:rPr>
                <w:rFonts w:ascii="Arial" w:hAnsi="Arial" w:cs="Arial"/>
                <w:b/>
                <w:iCs/>
                <w:color w:val="000000"/>
                <w:szCs w:val="22"/>
              </w:rPr>
              <w:t>(0.003)</w:t>
            </w:r>
          </w:p>
        </w:tc>
      </w:tr>
      <w:tr w:rsidR="00676C85" w:rsidRPr="00CB093C" w14:paraId="0685A7B9" w14:textId="77777777" w:rsidTr="005F5C58">
        <w:trPr>
          <w:trHeight w:val="20"/>
          <w:jc w:val="center"/>
        </w:trPr>
        <w:tc>
          <w:tcPr>
            <w:tcW w:w="2405" w:type="dxa"/>
            <w:tcBorders>
              <w:right w:val="single" w:sz="4" w:space="0" w:color="auto"/>
            </w:tcBorders>
            <w:vAlign w:val="center"/>
          </w:tcPr>
          <w:p w14:paraId="240EFEEC"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E. acoroides</w:t>
            </w:r>
          </w:p>
        </w:tc>
        <w:tc>
          <w:tcPr>
            <w:tcW w:w="992" w:type="dxa"/>
            <w:tcBorders>
              <w:left w:val="single" w:sz="4" w:space="0" w:color="auto"/>
            </w:tcBorders>
            <w:vAlign w:val="center"/>
          </w:tcPr>
          <w:p w14:paraId="6E566884" w14:textId="12E50C24"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NA</w:t>
            </w:r>
          </w:p>
        </w:tc>
        <w:tc>
          <w:tcPr>
            <w:tcW w:w="1134" w:type="dxa"/>
            <w:tcBorders>
              <w:left w:val="single" w:sz="4" w:space="0" w:color="806000" w:themeColor="accent4" w:themeShade="80"/>
            </w:tcBorders>
            <w:vAlign w:val="center"/>
          </w:tcPr>
          <w:p w14:paraId="03F4866B"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-0.279</w:t>
            </w:r>
          </w:p>
          <w:p w14:paraId="56D57117" w14:textId="77777777" w:rsidR="00676C85" w:rsidRPr="00CB093C" w:rsidRDefault="00676C85" w:rsidP="005E0801">
            <w:pPr>
              <w:spacing w:before="0" w:after="0"/>
              <w:jc w:val="center"/>
              <w:rPr>
                <w:rFonts w:ascii="Arial" w:hAnsi="Arial" w:cs="Arial"/>
                <w:b/>
                <w:szCs w:val="22"/>
              </w:rPr>
            </w:pPr>
            <w:r w:rsidRPr="00CB093C">
              <w:rPr>
                <w:rFonts w:ascii="Arial" w:hAnsi="Arial" w:cs="Arial"/>
                <w:color w:val="000000"/>
                <w:szCs w:val="22"/>
              </w:rPr>
              <w:t>(0.587)</w:t>
            </w:r>
          </w:p>
        </w:tc>
        <w:tc>
          <w:tcPr>
            <w:tcW w:w="1134" w:type="dxa"/>
            <w:tcBorders>
              <w:left w:val="single" w:sz="4" w:space="0" w:color="806000" w:themeColor="accent4" w:themeShade="80"/>
            </w:tcBorders>
            <w:vAlign w:val="center"/>
          </w:tcPr>
          <w:p w14:paraId="55605E5D" w14:textId="780F6F61"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6D10FBE9"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-0.786</w:t>
            </w:r>
          </w:p>
          <w:p w14:paraId="3F9D0996" w14:textId="77777777" w:rsidR="00676C85" w:rsidRPr="00CB093C" w:rsidRDefault="00676C85" w:rsidP="005E0801">
            <w:pPr>
              <w:spacing w:before="0" w:after="0"/>
              <w:jc w:val="center"/>
              <w:rPr>
                <w:rFonts w:ascii="Arial" w:hAnsi="Arial" w:cs="Arial"/>
                <w:b/>
                <w:szCs w:val="22"/>
              </w:rPr>
            </w:pPr>
            <w:r w:rsidRPr="00CB093C">
              <w:rPr>
                <w:rFonts w:ascii="Arial" w:hAnsi="Arial" w:cs="Arial"/>
                <w:color w:val="000000"/>
                <w:szCs w:val="22"/>
              </w:rPr>
              <w:t>(0.118)</w:t>
            </w:r>
          </w:p>
        </w:tc>
      </w:tr>
      <w:tr w:rsidR="00676C85" w:rsidRPr="00CB093C" w14:paraId="7D3617D8" w14:textId="77777777" w:rsidTr="005F5C58">
        <w:trPr>
          <w:trHeight w:val="20"/>
          <w:jc w:val="center"/>
        </w:trPr>
        <w:tc>
          <w:tcPr>
            <w:tcW w:w="2405" w:type="dxa"/>
            <w:tcBorders>
              <w:right w:val="single" w:sz="4" w:space="0" w:color="auto"/>
            </w:tcBorders>
            <w:vAlign w:val="center"/>
          </w:tcPr>
          <w:p w14:paraId="50800AB8"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H. decipiens</w:t>
            </w:r>
          </w:p>
        </w:tc>
        <w:tc>
          <w:tcPr>
            <w:tcW w:w="992" w:type="dxa"/>
            <w:tcBorders>
              <w:left w:val="single" w:sz="4" w:space="0" w:color="auto"/>
            </w:tcBorders>
            <w:vAlign w:val="center"/>
          </w:tcPr>
          <w:p w14:paraId="5B281C9E" w14:textId="0330E62F"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NA</w:t>
            </w:r>
          </w:p>
        </w:tc>
        <w:tc>
          <w:tcPr>
            <w:tcW w:w="1134" w:type="dxa"/>
            <w:tcBorders>
              <w:left w:val="single" w:sz="4" w:space="0" w:color="806000" w:themeColor="accent4" w:themeShade="80"/>
            </w:tcBorders>
            <w:vAlign w:val="center"/>
          </w:tcPr>
          <w:p w14:paraId="2CDEC931"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-0.162</w:t>
            </w:r>
          </w:p>
          <w:p w14:paraId="79D936F0" w14:textId="05FB5BFD"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(0.768)</w:t>
            </w:r>
          </w:p>
        </w:tc>
        <w:tc>
          <w:tcPr>
            <w:tcW w:w="1134" w:type="dxa"/>
            <w:tcBorders>
              <w:left w:val="single" w:sz="4" w:space="0" w:color="806000" w:themeColor="accent4" w:themeShade="80"/>
            </w:tcBorders>
            <w:vAlign w:val="center"/>
          </w:tcPr>
          <w:p w14:paraId="1D1D82BC" w14:textId="1704B442"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102D2F5B"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0.105</w:t>
            </w:r>
          </w:p>
          <w:p w14:paraId="307E6D5B"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(0.838)</w:t>
            </w:r>
          </w:p>
        </w:tc>
      </w:tr>
      <w:tr w:rsidR="00676C85" w:rsidRPr="00CB093C" w14:paraId="3FEDF0D1" w14:textId="77777777" w:rsidTr="005F5C58">
        <w:trPr>
          <w:trHeight w:val="20"/>
          <w:jc w:val="center"/>
        </w:trPr>
        <w:tc>
          <w:tcPr>
            <w:tcW w:w="2405" w:type="dxa"/>
            <w:tcBorders>
              <w:right w:val="single" w:sz="4" w:space="0" w:color="auto"/>
            </w:tcBorders>
            <w:vAlign w:val="center"/>
          </w:tcPr>
          <w:p w14:paraId="1F3DA6DE"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H. spinulosa</w:t>
            </w:r>
          </w:p>
        </w:tc>
        <w:tc>
          <w:tcPr>
            <w:tcW w:w="992" w:type="dxa"/>
            <w:tcBorders>
              <w:left w:val="single" w:sz="4" w:space="0" w:color="auto"/>
            </w:tcBorders>
            <w:vAlign w:val="center"/>
          </w:tcPr>
          <w:p w14:paraId="1B374D9F" w14:textId="2A840D0D"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NA</w:t>
            </w:r>
          </w:p>
        </w:tc>
        <w:tc>
          <w:tcPr>
            <w:tcW w:w="1134" w:type="dxa"/>
            <w:tcBorders>
              <w:left w:val="single" w:sz="4" w:space="0" w:color="806000" w:themeColor="accent4" w:themeShade="80"/>
            </w:tcBorders>
            <w:vAlign w:val="center"/>
          </w:tcPr>
          <w:p w14:paraId="33A97E5E"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-0.282</w:t>
            </w:r>
          </w:p>
          <w:p w14:paraId="08619912" w14:textId="26F58873"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(0.603)</w:t>
            </w:r>
          </w:p>
        </w:tc>
        <w:tc>
          <w:tcPr>
            <w:tcW w:w="1134" w:type="dxa"/>
            <w:tcBorders>
              <w:left w:val="single" w:sz="4" w:space="0" w:color="806000" w:themeColor="accent4" w:themeShade="80"/>
            </w:tcBorders>
            <w:vAlign w:val="center"/>
          </w:tcPr>
          <w:p w14:paraId="2339EE81" w14:textId="34806202"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007F8FBA"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-0.954</w:t>
            </w:r>
          </w:p>
          <w:p w14:paraId="38B98346" w14:textId="3C3CA7BA"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(0.065)</w:t>
            </w:r>
          </w:p>
        </w:tc>
      </w:tr>
      <w:tr w:rsidR="00676C85" w:rsidRPr="00CB093C" w14:paraId="3756DBC1" w14:textId="77777777" w:rsidTr="005F5C58">
        <w:trPr>
          <w:trHeight w:val="20"/>
          <w:jc w:val="center"/>
        </w:trPr>
        <w:tc>
          <w:tcPr>
            <w:tcW w:w="2405" w:type="dxa"/>
            <w:tcBorders>
              <w:right w:val="single" w:sz="4" w:space="0" w:color="auto"/>
            </w:tcBorders>
            <w:vAlign w:val="center"/>
          </w:tcPr>
          <w:p w14:paraId="263C65CF"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H. ovalis</w:t>
            </w:r>
          </w:p>
        </w:tc>
        <w:tc>
          <w:tcPr>
            <w:tcW w:w="992" w:type="dxa"/>
            <w:tcBorders>
              <w:left w:val="single" w:sz="4" w:space="0" w:color="auto"/>
            </w:tcBorders>
            <w:vAlign w:val="center"/>
          </w:tcPr>
          <w:p w14:paraId="761A6E8B" w14:textId="7DFB673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NA</w:t>
            </w:r>
          </w:p>
        </w:tc>
        <w:tc>
          <w:tcPr>
            <w:tcW w:w="1134" w:type="dxa"/>
            <w:tcBorders>
              <w:left w:val="single" w:sz="4" w:space="0" w:color="806000" w:themeColor="accent4" w:themeShade="80"/>
            </w:tcBorders>
            <w:vAlign w:val="center"/>
          </w:tcPr>
          <w:p w14:paraId="6F0FBB1C"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-0.000</w:t>
            </w:r>
          </w:p>
          <w:p w14:paraId="498A21AC"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(0.995)</w:t>
            </w:r>
          </w:p>
        </w:tc>
        <w:tc>
          <w:tcPr>
            <w:tcW w:w="1134" w:type="dxa"/>
            <w:tcBorders>
              <w:left w:val="single" w:sz="4" w:space="0" w:color="806000" w:themeColor="accent4" w:themeShade="80"/>
            </w:tcBorders>
            <w:vAlign w:val="center"/>
          </w:tcPr>
          <w:p w14:paraId="533AB11B" w14:textId="30B3AD01"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0DA928B0"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0.156</w:t>
            </w:r>
          </w:p>
          <w:p w14:paraId="2D8A8D2E"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(0.266)</w:t>
            </w:r>
          </w:p>
        </w:tc>
      </w:tr>
      <w:tr w:rsidR="00676C85" w:rsidRPr="00CB093C" w14:paraId="70FF651A" w14:textId="77777777" w:rsidTr="005F5C58">
        <w:trPr>
          <w:trHeight w:val="20"/>
          <w:jc w:val="center"/>
        </w:trPr>
        <w:tc>
          <w:tcPr>
            <w:tcW w:w="2405" w:type="dxa"/>
            <w:tcBorders>
              <w:right w:val="single" w:sz="4" w:space="0" w:color="auto"/>
            </w:tcBorders>
            <w:vAlign w:val="center"/>
          </w:tcPr>
          <w:p w14:paraId="1A393DE1"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H. uninervis</w:t>
            </w:r>
          </w:p>
        </w:tc>
        <w:tc>
          <w:tcPr>
            <w:tcW w:w="992" w:type="dxa"/>
            <w:tcBorders>
              <w:left w:val="single" w:sz="4" w:space="0" w:color="auto"/>
            </w:tcBorders>
            <w:vAlign w:val="center"/>
          </w:tcPr>
          <w:p w14:paraId="21078E26" w14:textId="7800DB4C"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NA</w:t>
            </w:r>
          </w:p>
        </w:tc>
        <w:tc>
          <w:tcPr>
            <w:tcW w:w="1134" w:type="dxa"/>
            <w:tcBorders>
              <w:left w:val="single" w:sz="4" w:space="0" w:color="806000" w:themeColor="accent4" w:themeShade="80"/>
            </w:tcBorders>
            <w:vAlign w:val="center"/>
          </w:tcPr>
          <w:p w14:paraId="39E4FE21"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-0.119</w:t>
            </w:r>
          </w:p>
          <w:p w14:paraId="20F605EA"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(0.473)</w:t>
            </w:r>
          </w:p>
        </w:tc>
        <w:tc>
          <w:tcPr>
            <w:tcW w:w="1134" w:type="dxa"/>
            <w:tcBorders>
              <w:left w:val="single" w:sz="4" w:space="0" w:color="806000" w:themeColor="accent4" w:themeShade="80"/>
            </w:tcBorders>
            <w:vAlign w:val="center"/>
          </w:tcPr>
          <w:p w14:paraId="194DB841" w14:textId="53E9EDF1"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55A24BB6"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0.003</w:t>
            </w:r>
          </w:p>
          <w:p w14:paraId="4E3F6480"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(0.986)</w:t>
            </w:r>
          </w:p>
        </w:tc>
      </w:tr>
      <w:tr w:rsidR="00676C85" w:rsidRPr="00CB093C" w14:paraId="3558E583" w14:textId="77777777" w:rsidTr="005F5C58">
        <w:trPr>
          <w:trHeight w:val="20"/>
          <w:jc w:val="center"/>
        </w:trPr>
        <w:tc>
          <w:tcPr>
            <w:tcW w:w="2405" w:type="dxa"/>
            <w:tcBorders>
              <w:right w:val="single" w:sz="4" w:space="0" w:color="auto"/>
            </w:tcBorders>
            <w:vAlign w:val="center"/>
          </w:tcPr>
          <w:p w14:paraId="10D69826"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S. isoetifolium</w:t>
            </w:r>
          </w:p>
        </w:tc>
        <w:tc>
          <w:tcPr>
            <w:tcW w:w="992" w:type="dxa"/>
            <w:tcBorders>
              <w:left w:val="single" w:sz="4" w:space="0" w:color="auto"/>
            </w:tcBorders>
            <w:vAlign w:val="center"/>
          </w:tcPr>
          <w:p w14:paraId="1397AD78" w14:textId="505A0FCA"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NA</w:t>
            </w:r>
          </w:p>
        </w:tc>
        <w:tc>
          <w:tcPr>
            <w:tcW w:w="1134" w:type="dxa"/>
            <w:tcBorders>
              <w:left w:val="single" w:sz="4" w:space="0" w:color="806000" w:themeColor="accent4" w:themeShade="80"/>
            </w:tcBorders>
            <w:vAlign w:val="center"/>
          </w:tcPr>
          <w:p w14:paraId="3CE688E5"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-0.115</w:t>
            </w:r>
          </w:p>
          <w:p w14:paraId="731E8AC9"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(0.779)</w:t>
            </w:r>
          </w:p>
        </w:tc>
        <w:tc>
          <w:tcPr>
            <w:tcW w:w="1134" w:type="dxa"/>
            <w:tcBorders>
              <w:left w:val="single" w:sz="4" w:space="0" w:color="806000" w:themeColor="accent4" w:themeShade="80"/>
            </w:tcBorders>
            <w:vAlign w:val="center"/>
          </w:tcPr>
          <w:p w14:paraId="75BF39CD" w14:textId="2A1C9F09"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4419662F"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-0.192</w:t>
            </w:r>
          </w:p>
          <w:p w14:paraId="1D71E488"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(0.637)</w:t>
            </w:r>
          </w:p>
        </w:tc>
      </w:tr>
      <w:tr w:rsidR="00676C85" w:rsidRPr="00CB093C" w14:paraId="0BB185A9" w14:textId="77777777" w:rsidTr="005F5C58">
        <w:trPr>
          <w:trHeight w:val="20"/>
          <w:jc w:val="center"/>
        </w:trPr>
        <w:tc>
          <w:tcPr>
            <w:tcW w:w="2405" w:type="dxa"/>
            <w:tcBorders>
              <w:right w:val="single" w:sz="4" w:space="0" w:color="auto"/>
            </w:tcBorders>
            <w:vAlign w:val="center"/>
          </w:tcPr>
          <w:p w14:paraId="2E699D98"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T. hemprichii</w:t>
            </w:r>
          </w:p>
        </w:tc>
        <w:tc>
          <w:tcPr>
            <w:tcW w:w="992" w:type="dxa"/>
            <w:tcBorders>
              <w:left w:val="single" w:sz="4" w:space="0" w:color="auto"/>
            </w:tcBorders>
            <w:vAlign w:val="center"/>
          </w:tcPr>
          <w:p w14:paraId="24CFA33E" w14:textId="270DF044"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NA</w:t>
            </w:r>
          </w:p>
        </w:tc>
        <w:tc>
          <w:tcPr>
            <w:tcW w:w="1134" w:type="dxa"/>
            <w:tcBorders>
              <w:left w:val="single" w:sz="4" w:space="0" w:color="806000" w:themeColor="accent4" w:themeShade="80"/>
            </w:tcBorders>
            <w:vAlign w:val="center"/>
          </w:tcPr>
          <w:p w14:paraId="4CB63EE4" w14:textId="77777777" w:rsidR="00676C85" w:rsidRPr="00CB093C" w:rsidRDefault="00676C85" w:rsidP="005E0801">
            <w:pPr>
              <w:spacing w:before="0" w:after="0"/>
              <w:jc w:val="center"/>
              <w:rPr>
                <w:rFonts w:ascii="Arial" w:hAnsi="Arial" w:cs="Arial"/>
                <w:color w:val="000000"/>
                <w:szCs w:val="22"/>
              </w:rPr>
            </w:pPr>
            <w:r w:rsidRPr="00CB093C">
              <w:rPr>
                <w:rFonts w:ascii="Arial" w:hAnsi="Arial" w:cs="Arial"/>
                <w:color w:val="000000"/>
                <w:szCs w:val="22"/>
              </w:rPr>
              <w:t>-0.153</w:t>
            </w:r>
          </w:p>
          <w:p w14:paraId="0697819B" w14:textId="77777777" w:rsidR="00676C85" w:rsidRPr="00CB093C" w:rsidRDefault="00676C85" w:rsidP="005E0801">
            <w:pPr>
              <w:spacing w:before="0" w:after="0"/>
              <w:jc w:val="center"/>
              <w:rPr>
                <w:rFonts w:ascii="Arial" w:hAnsi="Arial" w:cs="Arial"/>
                <w:szCs w:val="22"/>
              </w:rPr>
            </w:pPr>
            <w:r w:rsidRPr="00CB093C">
              <w:rPr>
                <w:rFonts w:ascii="Arial" w:hAnsi="Arial" w:cs="Arial"/>
                <w:color w:val="000000"/>
                <w:szCs w:val="22"/>
              </w:rPr>
              <w:t>(0.365)</w:t>
            </w:r>
          </w:p>
        </w:tc>
        <w:tc>
          <w:tcPr>
            <w:tcW w:w="1134" w:type="dxa"/>
            <w:tcBorders>
              <w:left w:val="single" w:sz="4" w:space="0" w:color="806000" w:themeColor="accent4" w:themeShade="80"/>
            </w:tcBorders>
            <w:vAlign w:val="center"/>
          </w:tcPr>
          <w:p w14:paraId="7D53C370" w14:textId="5CC72BEE"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117D9F5E" w14:textId="77777777" w:rsidR="00676C85" w:rsidRPr="00CB093C" w:rsidRDefault="00676C85" w:rsidP="005E0801">
            <w:pPr>
              <w:spacing w:before="0" w:after="0"/>
              <w:jc w:val="center"/>
              <w:rPr>
                <w:rFonts w:ascii="Arial" w:hAnsi="Arial" w:cs="Arial"/>
                <w:bCs/>
                <w:color w:val="000000"/>
                <w:szCs w:val="22"/>
              </w:rPr>
            </w:pPr>
            <w:r w:rsidRPr="00CB093C">
              <w:rPr>
                <w:rFonts w:ascii="Arial" w:hAnsi="Arial" w:cs="Arial"/>
                <w:bCs/>
                <w:color w:val="000000"/>
                <w:szCs w:val="22"/>
              </w:rPr>
              <w:t>-0.132</w:t>
            </w:r>
          </w:p>
          <w:p w14:paraId="1B57A068" w14:textId="5FED3163" w:rsidR="00676C85" w:rsidRPr="00CB093C" w:rsidRDefault="00676C85" w:rsidP="005E0801">
            <w:pPr>
              <w:spacing w:before="0" w:after="0"/>
              <w:jc w:val="center"/>
              <w:rPr>
                <w:rFonts w:ascii="Arial" w:hAnsi="Arial" w:cs="Arial"/>
                <w:szCs w:val="22"/>
              </w:rPr>
            </w:pPr>
            <w:r w:rsidRPr="00CB093C">
              <w:rPr>
                <w:rFonts w:ascii="Arial" w:hAnsi="Arial" w:cs="Arial"/>
                <w:bCs/>
                <w:color w:val="000000"/>
                <w:szCs w:val="22"/>
              </w:rPr>
              <w:t>(0.396)</w:t>
            </w:r>
          </w:p>
        </w:tc>
      </w:tr>
      <w:tr w:rsidR="00676C85" w:rsidRPr="00CB093C" w14:paraId="20E7DC63" w14:textId="77777777" w:rsidTr="005F5C58">
        <w:trPr>
          <w:trHeight w:val="20"/>
          <w:jc w:val="center"/>
        </w:trPr>
        <w:tc>
          <w:tcPr>
            <w:tcW w:w="2405" w:type="dxa"/>
            <w:tcBorders>
              <w:right w:val="single" w:sz="4" w:space="0" w:color="auto"/>
            </w:tcBorders>
            <w:vAlign w:val="center"/>
          </w:tcPr>
          <w:p w14:paraId="346149A3" w14:textId="77777777" w:rsidR="00676C85" w:rsidRPr="00CB093C" w:rsidRDefault="00676C85" w:rsidP="005E0801">
            <w:pPr>
              <w:pStyle w:val="BodyText"/>
              <w:spacing w:after="0"/>
              <w:ind w:left="137"/>
              <w:jc w:val="left"/>
              <w:rPr>
                <w:rFonts w:ascii="Arial" w:hAnsi="Arial" w:cs="Arial"/>
                <w:i/>
              </w:rPr>
            </w:pPr>
            <w:r w:rsidRPr="00CB093C">
              <w:rPr>
                <w:rFonts w:ascii="Arial" w:hAnsi="Arial" w:cs="Arial"/>
                <w:i/>
              </w:rPr>
              <w:t>Z. muelleri</w:t>
            </w:r>
          </w:p>
        </w:tc>
        <w:tc>
          <w:tcPr>
            <w:tcW w:w="992" w:type="dxa"/>
            <w:tcBorders>
              <w:left w:val="single" w:sz="4" w:space="0" w:color="auto"/>
            </w:tcBorders>
            <w:vAlign w:val="center"/>
          </w:tcPr>
          <w:p w14:paraId="1352B042" w14:textId="298C7A55"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664096BC" w14:textId="77777777" w:rsidR="00676C85" w:rsidRPr="00CB093C" w:rsidRDefault="00676C85" w:rsidP="005E0801">
            <w:pPr>
              <w:spacing w:before="0" w:after="0"/>
              <w:jc w:val="center"/>
              <w:rPr>
                <w:rFonts w:ascii="Arial" w:hAnsi="Arial" w:cs="Arial"/>
                <w:b/>
                <w:iCs/>
                <w:color w:val="000000"/>
                <w:szCs w:val="22"/>
              </w:rPr>
            </w:pPr>
            <w:r w:rsidRPr="00CB093C">
              <w:rPr>
                <w:rFonts w:ascii="Arial" w:hAnsi="Arial" w:cs="Arial"/>
                <w:b/>
                <w:iCs/>
                <w:color w:val="000000"/>
                <w:szCs w:val="22"/>
              </w:rPr>
              <w:t>0.491</w:t>
            </w:r>
          </w:p>
          <w:p w14:paraId="56E3A46E" w14:textId="77777777" w:rsidR="00676C85" w:rsidRPr="00CB093C" w:rsidRDefault="00676C85" w:rsidP="005E0801">
            <w:pPr>
              <w:spacing w:before="0" w:after="0"/>
              <w:jc w:val="center"/>
              <w:rPr>
                <w:rFonts w:ascii="Arial" w:hAnsi="Arial" w:cs="Arial"/>
                <w:szCs w:val="22"/>
              </w:rPr>
            </w:pPr>
            <w:r w:rsidRPr="00CB093C">
              <w:rPr>
                <w:rFonts w:ascii="Arial" w:hAnsi="Arial" w:cs="Arial"/>
                <w:b/>
                <w:iCs/>
                <w:color w:val="000000"/>
                <w:szCs w:val="22"/>
              </w:rPr>
              <w:t>(0.003)</w:t>
            </w:r>
          </w:p>
        </w:tc>
        <w:tc>
          <w:tcPr>
            <w:tcW w:w="1134" w:type="dxa"/>
            <w:tcBorders>
              <w:left w:val="single" w:sz="4" w:space="0" w:color="806000" w:themeColor="accent4" w:themeShade="80"/>
            </w:tcBorders>
            <w:vAlign w:val="center"/>
          </w:tcPr>
          <w:p w14:paraId="7627ECA5" w14:textId="0D3DE0C7"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74AE6A3A" w14:textId="77777777" w:rsidR="00676C85" w:rsidRPr="00CB093C" w:rsidRDefault="00676C85" w:rsidP="005E0801">
            <w:pPr>
              <w:spacing w:before="0" w:after="0"/>
              <w:jc w:val="center"/>
              <w:rPr>
                <w:rFonts w:ascii="Arial" w:hAnsi="Arial" w:cs="Arial"/>
                <w:b/>
                <w:bCs/>
                <w:color w:val="000000"/>
                <w:szCs w:val="22"/>
              </w:rPr>
            </w:pPr>
            <w:r w:rsidRPr="00CB093C">
              <w:rPr>
                <w:rFonts w:ascii="Arial" w:hAnsi="Arial" w:cs="Arial"/>
                <w:b/>
                <w:bCs/>
                <w:color w:val="000000"/>
                <w:szCs w:val="22"/>
              </w:rPr>
              <w:t>0.491</w:t>
            </w:r>
          </w:p>
          <w:p w14:paraId="622E2FAD" w14:textId="77777777" w:rsidR="00676C85" w:rsidRPr="00CB093C" w:rsidRDefault="00676C85" w:rsidP="005E0801">
            <w:pPr>
              <w:spacing w:before="0" w:after="0"/>
              <w:jc w:val="center"/>
              <w:rPr>
                <w:rFonts w:ascii="Arial" w:hAnsi="Arial" w:cs="Arial"/>
                <w:szCs w:val="22"/>
              </w:rPr>
            </w:pPr>
            <w:r w:rsidRPr="00CB093C">
              <w:rPr>
                <w:rFonts w:ascii="Arial" w:hAnsi="Arial" w:cs="Arial"/>
                <w:b/>
                <w:bCs/>
                <w:color w:val="000000"/>
                <w:szCs w:val="22"/>
              </w:rPr>
              <w:t>(0.001)</w:t>
            </w:r>
          </w:p>
        </w:tc>
      </w:tr>
      <w:tr w:rsidR="00676C85" w:rsidRPr="00CB093C" w14:paraId="732DBFD0" w14:textId="77777777" w:rsidTr="005F5C58">
        <w:trPr>
          <w:trHeight w:val="20"/>
          <w:jc w:val="center"/>
        </w:trPr>
        <w:tc>
          <w:tcPr>
            <w:tcW w:w="2405" w:type="dxa"/>
            <w:tcBorders>
              <w:right w:val="single" w:sz="4" w:space="0" w:color="auto"/>
            </w:tcBorders>
            <w:vAlign w:val="center"/>
          </w:tcPr>
          <w:p w14:paraId="79FE81F3" w14:textId="77777777" w:rsidR="00676C85" w:rsidRPr="00CB093C" w:rsidRDefault="00676C85" w:rsidP="005E0801">
            <w:pPr>
              <w:pStyle w:val="BodyText"/>
              <w:spacing w:after="0"/>
              <w:ind w:left="137"/>
              <w:jc w:val="left"/>
              <w:rPr>
                <w:rFonts w:ascii="Arial" w:hAnsi="Arial" w:cs="Arial"/>
              </w:rPr>
            </w:pPr>
            <w:r w:rsidRPr="00CB093C">
              <w:rPr>
                <w:rFonts w:ascii="Arial" w:hAnsi="Arial" w:cs="Arial"/>
              </w:rPr>
              <w:t>Percent cover, lagged</w:t>
            </w:r>
          </w:p>
        </w:tc>
        <w:tc>
          <w:tcPr>
            <w:tcW w:w="992" w:type="dxa"/>
            <w:tcBorders>
              <w:left w:val="single" w:sz="4" w:space="0" w:color="auto"/>
            </w:tcBorders>
            <w:vAlign w:val="center"/>
          </w:tcPr>
          <w:p w14:paraId="33CC4C20" w14:textId="19E4FA3A" w:rsidR="00676C85" w:rsidRPr="00CB093C" w:rsidRDefault="00676C85" w:rsidP="005E0801">
            <w:pPr>
              <w:spacing w:before="0" w:after="0"/>
              <w:jc w:val="center"/>
              <w:rPr>
                <w:rFonts w:ascii="Arial" w:hAnsi="Arial" w:cs="Arial"/>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3F91436A" w14:textId="006044F0" w:rsidR="00676C85" w:rsidRPr="00CB093C" w:rsidRDefault="00676C85" w:rsidP="005E0801">
            <w:pPr>
              <w:spacing w:before="0" w:after="0"/>
              <w:jc w:val="center"/>
              <w:rPr>
                <w:rFonts w:ascii="Arial" w:hAnsi="Arial" w:cs="Arial"/>
                <w:b/>
                <w:szCs w:val="22"/>
              </w:rPr>
            </w:pPr>
            <w:r w:rsidRPr="00CB093C">
              <w:rPr>
                <w:rFonts w:ascii="Arial" w:hAnsi="Arial" w:cs="Arial"/>
                <w:szCs w:val="22"/>
              </w:rPr>
              <w:t>NA</w:t>
            </w:r>
          </w:p>
        </w:tc>
        <w:tc>
          <w:tcPr>
            <w:tcW w:w="1134" w:type="dxa"/>
            <w:tcBorders>
              <w:left w:val="single" w:sz="4" w:space="0" w:color="806000" w:themeColor="accent4" w:themeShade="80"/>
            </w:tcBorders>
            <w:vAlign w:val="center"/>
          </w:tcPr>
          <w:p w14:paraId="42D4008A" w14:textId="77777777" w:rsidR="00676C85" w:rsidRPr="00CB093C" w:rsidRDefault="00676C85" w:rsidP="005E0801">
            <w:pPr>
              <w:spacing w:before="0" w:after="0"/>
              <w:jc w:val="center"/>
              <w:rPr>
                <w:rFonts w:ascii="Arial" w:hAnsi="Arial" w:cs="Arial"/>
                <w:b/>
                <w:bCs/>
                <w:color w:val="000000"/>
                <w:szCs w:val="22"/>
              </w:rPr>
            </w:pPr>
            <w:r w:rsidRPr="00CB093C">
              <w:rPr>
                <w:rFonts w:ascii="Arial" w:hAnsi="Arial" w:cs="Arial"/>
                <w:b/>
                <w:bCs/>
                <w:color w:val="000000"/>
                <w:szCs w:val="22"/>
              </w:rPr>
              <w:t>3.271</w:t>
            </w:r>
          </w:p>
          <w:p w14:paraId="5A258F77" w14:textId="77777777" w:rsidR="00676C85" w:rsidRPr="00CB093C" w:rsidRDefault="00676C85" w:rsidP="005E0801">
            <w:pPr>
              <w:spacing w:before="0" w:after="0"/>
              <w:jc w:val="center"/>
              <w:rPr>
                <w:rFonts w:ascii="Arial" w:hAnsi="Arial" w:cs="Arial"/>
                <w:szCs w:val="22"/>
              </w:rPr>
            </w:pPr>
            <w:r w:rsidRPr="00CB093C">
              <w:rPr>
                <w:rFonts w:ascii="Arial" w:hAnsi="Arial" w:cs="Arial"/>
                <w:b/>
                <w:bCs/>
                <w:color w:val="000000"/>
                <w:szCs w:val="22"/>
              </w:rPr>
              <w:t>(0.000)</w:t>
            </w:r>
          </w:p>
        </w:tc>
        <w:tc>
          <w:tcPr>
            <w:tcW w:w="1134" w:type="dxa"/>
            <w:tcBorders>
              <w:left w:val="single" w:sz="4" w:space="0" w:color="806000" w:themeColor="accent4" w:themeShade="80"/>
            </w:tcBorders>
            <w:vAlign w:val="center"/>
          </w:tcPr>
          <w:p w14:paraId="6DFDA032" w14:textId="77777777" w:rsidR="00676C85" w:rsidRPr="00CB093C" w:rsidRDefault="00676C85" w:rsidP="005E0801">
            <w:pPr>
              <w:spacing w:before="0" w:after="0"/>
              <w:jc w:val="center"/>
              <w:rPr>
                <w:rFonts w:ascii="Arial" w:hAnsi="Arial" w:cs="Arial"/>
                <w:b/>
                <w:bCs/>
                <w:color w:val="000000"/>
                <w:szCs w:val="22"/>
              </w:rPr>
            </w:pPr>
            <w:r w:rsidRPr="00CB093C">
              <w:rPr>
                <w:rFonts w:ascii="Arial" w:hAnsi="Arial" w:cs="Arial"/>
                <w:b/>
                <w:bCs/>
                <w:color w:val="000000"/>
                <w:szCs w:val="22"/>
              </w:rPr>
              <w:t>3.570</w:t>
            </w:r>
          </w:p>
          <w:p w14:paraId="35F78172" w14:textId="77777777" w:rsidR="00676C85" w:rsidRPr="00CB093C" w:rsidRDefault="00676C85" w:rsidP="005E0801">
            <w:pPr>
              <w:spacing w:before="0" w:after="0"/>
              <w:jc w:val="center"/>
              <w:rPr>
                <w:rFonts w:ascii="Arial" w:hAnsi="Arial" w:cs="Arial"/>
                <w:szCs w:val="22"/>
              </w:rPr>
            </w:pPr>
            <w:r w:rsidRPr="00CB093C">
              <w:rPr>
                <w:rFonts w:ascii="Arial" w:hAnsi="Arial" w:cs="Arial"/>
                <w:b/>
                <w:bCs/>
                <w:color w:val="000000"/>
                <w:szCs w:val="22"/>
              </w:rPr>
              <w:t>(0.000)</w:t>
            </w:r>
          </w:p>
        </w:tc>
      </w:tr>
    </w:tbl>
    <w:p w14:paraId="3D2480C1" w14:textId="77777777" w:rsidR="00676C85" w:rsidRPr="00CB093C" w:rsidRDefault="00676C85" w:rsidP="00676C85">
      <w:pPr>
        <w:rPr>
          <w:rFonts w:ascii="Arial" w:hAnsi="Arial" w:cs="Arial"/>
          <w:szCs w:val="22"/>
        </w:rPr>
      </w:pPr>
    </w:p>
    <w:p w14:paraId="3C6C3F0F" w14:textId="77777777" w:rsidR="00676C85" w:rsidRPr="00CB093C" w:rsidRDefault="00676C85" w:rsidP="00676C85">
      <w:pPr>
        <w:rPr>
          <w:rFonts w:ascii="Arial" w:hAnsi="Arial" w:cs="Arial"/>
          <w:szCs w:val="22"/>
        </w:rPr>
      </w:pPr>
      <w:r w:rsidRPr="00CB093C">
        <w:rPr>
          <w:rFonts w:ascii="Arial" w:hAnsi="Arial" w:cs="Arial"/>
          <w:szCs w:val="22"/>
        </w:rPr>
        <w:t>We next present the results for the random forest models.  Since random forests are non-parametric in nature, we rank the importance of the variable rather than their indicating significance.  Importance is based on what is known as reduction in MSE which indicates the reduction in error achieved through the introduction of each variable, with the variables depicted in decreasing value (importance) (see Breiman, 2001 for details).</w:t>
      </w:r>
    </w:p>
    <w:p w14:paraId="0A3A8F84" w14:textId="77777777" w:rsidR="00676C85" w:rsidRPr="00CB093C" w:rsidRDefault="00676C85" w:rsidP="00676C85">
      <w:pPr>
        <w:rPr>
          <w:rFonts w:ascii="Arial" w:hAnsi="Arial" w:cs="Arial"/>
          <w:i/>
          <w:szCs w:val="22"/>
        </w:rPr>
      </w:pPr>
      <w:r w:rsidRPr="00CB093C">
        <w:rPr>
          <w:rFonts w:ascii="Arial" w:hAnsi="Arial" w:cs="Arial"/>
          <w:szCs w:val="22"/>
        </w:rPr>
        <w:t xml:space="preserve">As with the zero-inflated beta regression, the number of species, nodes, number of flowers, number of fruits/spathes and lagged cover were consistently important predictors of percent cover. The two </w:t>
      </w:r>
      <w:r w:rsidRPr="00CB093C">
        <w:rPr>
          <w:rFonts w:ascii="Arial" w:hAnsi="Arial" w:cs="Arial"/>
          <w:i/>
          <w:szCs w:val="22"/>
        </w:rPr>
        <w:t xml:space="preserve">Cymodocea </w:t>
      </w:r>
      <w:r w:rsidRPr="00CB093C">
        <w:rPr>
          <w:rFonts w:ascii="Arial" w:hAnsi="Arial" w:cs="Arial"/>
          <w:szCs w:val="22"/>
        </w:rPr>
        <w:t>species (</w:t>
      </w:r>
      <w:r w:rsidRPr="00CB093C">
        <w:rPr>
          <w:rFonts w:ascii="Arial" w:hAnsi="Arial" w:cs="Arial"/>
          <w:i/>
          <w:szCs w:val="22"/>
        </w:rPr>
        <w:t>C. serrulata</w:t>
      </w:r>
      <w:r w:rsidRPr="00CB093C">
        <w:rPr>
          <w:rFonts w:ascii="Arial" w:hAnsi="Arial" w:cs="Arial"/>
          <w:szCs w:val="22"/>
        </w:rPr>
        <w:t xml:space="preserve"> and </w:t>
      </w:r>
      <w:r w:rsidRPr="00CB093C">
        <w:rPr>
          <w:rFonts w:ascii="Arial" w:hAnsi="Arial" w:cs="Arial"/>
          <w:i/>
          <w:szCs w:val="22"/>
        </w:rPr>
        <w:t>C. rotundata</w:t>
      </w:r>
      <w:r w:rsidRPr="00CB093C">
        <w:rPr>
          <w:rFonts w:ascii="Arial" w:hAnsi="Arial" w:cs="Arial"/>
          <w:szCs w:val="22"/>
        </w:rPr>
        <w:t xml:space="preserve">) and </w:t>
      </w:r>
      <w:r w:rsidRPr="00CB093C">
        <w:rPr>
          <w:rFonts w:ascii="Arial" w:hAnsi="Arial" w:cs="Arial"/>
          <w:i/>
          <w:szCs w:val="22"/>
        </w:rPr>
        <w:t>Zostera</w:t>
      </w:r>
      <w:r w:rsidRPr="00CB093C">
        <w:rPr>
          <w:rFonts w:ascii="Arial" w:hAnsi="Arial" w:cs="Arial"/>
          <w:szCs w:val="22"/>
        </w:rPr>
        <w:t xml:space="preserve"> </w:t>
      </w:r>
      <w:r w:rsidRPr="00CB093C">
        <w:rPr>
          <w:rFonts w:ascii="Arial" w:hAnsi="Arial" w:cs="Arial"/>
          <w:i/>
          <w:szCs w:val="22"/>
        </w:rPr>
        <w:t>muelleri</w:t>
      </w:r>
      <w:r w:rsidRPr="00CB093C">
        <w:rPr>
          <w:rFonts w:ascii="Arial" w:hAnsi="Arial" w:cs="Arial"/>
          <w:szCs w:val="22"/>
        </w:rPr>
        <w:t xml:space="preserve"> also showed importance when species were added, supporting the zero-inflated beta regression results</w:t>
      </w:r>
      <w:r w:rsidRPr="00CB093C">
        <w:rPr>
          <w:rFonts w:ascii="Arial" w:hAnsi="Arial" w:cs="Arial"/>
          <w:i/>
          <w:szCs w:val="22"/>
        </w:rPr>
        <w:t xml:space="preserve">. </w:t>
      </w:r>
    </w:p>
    <w:p w14:paraId="3B9130F4" w14:textId="673B8B8B" w:rsidR="00676C85" w:rsidRPr="00CB093C" w:rsidRDefault="00676C85" w:rsidP="00676C85">
      <w:pPr>
        <w:rPr>
          <w:rFonts w:ascii="Arial" w:hAnsi="Arial" w:cs="Arial"/>
          <w:szCs w:val="22"/>
        </w:rPr>
      </w:pPr>
      <w:r w:rsidRPr="00CB093C">
        <w:rPr>
          <w:rFonts w:ascii="Arial" w:hAnsi="Arial" w:cs="Arial"/>
          <w:szCs w:val="22"/>
        </w:rPr>
        <w:t xml:space="preserve">Interestingly, seed density is important in the random forest model, disagreeing with the zero-inflated beta regression. This is likely to mean that seeds are important in predicting seagrass, and in particular seagrass recovery, but due to the sparcity of the data there is not enough power to display significance in the beta regression model. As such, while seed density may be too variable to be a good indicator of seagrass cover currently (due to low seed numbers), it may still be valuable in predicting seagrass recovery when combined with other relevant variables. This is a slight but critical distinction to note.  </w:t>
      </w:r>
    </w:p>
    <w:p w14:paraId="4C0FDC81" w14:textId="77777777" w:rsidR="00676C85" w:rsidRPr="00CB093C" w:rsidRDefault="00676C85" w:rsidP="00676C85">
      <w:pPr>
        <w:rPr>
          <w:rFonts w:ascii="Arial" w:hAnsi="Arial" w:cs="Arial"/>
          <w:szCs w:val="22"/>
        </w:rPr>
      </w:pPr>
    </w:p>
    <w:p w14:paraId="178B0EDE" w14:textId="77777777" w:rsidR="00676C85" w:rsidRPr="00CB093C" w:rsidRDefault="00676C85" w:rsidP="00676C85">
      <w:pPr>
        <w:rPr>
          <w:rFonts w:ascii="Arial" w:hAnsi="Arial" w:cs="Arial"/>
          <w:szCs w:val="22"/>
        </w:rPr>
      </w:pPr>
      <w:r w:rsidRPr="00CB093C">
        <w:rPr>
          <w:rFonts w:ascii="Arial" w:hAnsi="Arial" w:cs="Arial"/>
          <w:noProof/>
          <w:szCs w:val="22"/>
          <w:lang w:val="en-US"/>
        </w:rPr>
        <w:drawing>
          <wp:inline distT="0" distB="0" distL="0" distR="0" wp14:anchorId="72D6A209" wp14:editId="6AAFEEC6">
            <wp:extent cx="6004471" cy="3281680"/>
            <wp:effectExtent l="0" t="0" r="0" b="0"/>
            <wp:docPr id="572" name="Picture 572" descr="Scatter plot showing variability importance ranking of the Random forest model for M4. Variables higher in the list are more important in predicting percent co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 random forest-01.png"/>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6015162" cy="3287523"/>
                    </a:xfrm>
                    <a:prstGeom prst="rect">
                      <a:avLst/>
                    </a:prstGeom>
                  </pic:spPr>
                </pic:pic>
              </a:graphicData>
            </a:graphic>
          </wp:inline>
        </w:drawing>
      </w:r>
    </w:p>
    <w:p w14:paraId="4CC6117F" w14:textId="3715C603" w:rsidR="00676C85" w:rsidRPr="00CB093C" w:rsidRDefault="00676C85" w:rsidP="00676C85">
      <w:pPr>
        <w:pStyle w:val="Caption"/>
        <w:rPr>
          <w:rFonts w:ascii="Arial" w:hAnsi="Arial" w:cs="Arial"/>
          <w:szCs w:val="22"/>
        </w:rPr>
      </w:pPr>
      <w:bookmarkStart w:id="741" w:name="_Toc6402854"/>
      <w:r w:rsidRPr="00CB093C">
        <w:rPr>
          <w:rFonts w:ascii="Arial" w:hAnsi="Arial" w:cs="Arial"/>
          <w:szCs w:val="22"/>
        </w:rPr>
        <w:t xml:space="preserve">Figure </w:t>
      </w:r>
      <w:r w:rsidRPr="00CB093C">
        <w:rPr>
          <w:rFonts w:ascii="Arial" w:hAnsi="Arial" w:cs="Arial"/>
          <w:szCs w:val="22"/>
        </w:rPr>
        <w:fldChar w:fldCharType="begin"/>
      </w:r>
      <w:r w:rsidRPr="00CB093C">
        <w:rPr>
          <w:rFonts w:ascii="Arial" w:hAnsi="Arial" w:cs="Arial"/>
          <w:szCs w:val="22"/>
        </w:rPr>
        <w:instrText xml:space="preserve"> SEQ Figure \* ARABIC </w:instrText>
      </w:r>
      <w:r w:rsidRPr="00CB093C">
        <w:rPr>
          <w:rFonts w:ascii="Arial" w:hAnsi="Arial" w:cs="Arial"/>
          <w:szCs w:val="22"/>
        </w:rPr>
        <w:fldChar w:fldCharType="separate"/>
      </w:r>
      <w:r w:rsidR="005F00D4">
        <w:rPr>
          <w:rFonts w:ascii="Arial" w:hAnsi="Arial" w:cs="Arial"/>
          <w:noProof/>
          <w:szCs w:val="22"/>
        </w:rPr>
        <w:t>89</w:t>
      </w:r>
      <w:r w:rsidRPr="00CB093C">
        <w:rPr>
          <w:rFonts w:ascii="Arial" w:hAnsi="Arial" w:cs="Arial"/>
          <w:szCs w:val="22"/>
        </w:rPr>
        <w:fldChar w:fldCharType="end"/>
      </w:r>
      <w:r w:rsidRPr="00CB093C">
        <w:rPr>
          <w:rFonts w:ascii="Arial" w:hAnsi="Arial" w:cs="Arial"/>
          <w:szCs w:val="22"/>
        </w:rPr>
        <w:t>. Variability importance ranking of the Random forest model for M4. Variables higher in the list are more important in predicting percent cover.</w:t>
      </w:r>
      <w:bookmarkEnd w:id="741"/>
      <w:r w:rsidRPr="00CB093C">
        <w:rPr>
          <w:rFonts w:ascii="Arial" w:hAnsi="Arial" w:cs="Arial"/>
          <w:szCs w:val="22"/>
        </w:rPr>
        <w:t xml:space="preserve"> </w:t>
      </w:r>
    </w:p>
    <w:p w14:paraId="659A0D7A" w14:textId="5B2253D7" w:rsidR="00676C85" w:rsidRPr="00CB093C" w:rsidRDefault="00676C85" w:rsidP="00D2585E">
      <w:pPr>
        <w:pStyle w:val="Heading3"/>
        <w:numPr>
          <w:ilvl w:val="0"/>
          <w:numId w:val="0"/>
        </w:numPr>
        <w:rPr>
          <w:rFonts w:ascii="Arial" w:hAnsi="Arial" w:cs="Arial"/>
          <w:sz w:val="22"/>
          <w:szCs w:val="22"/>
        </w:rPr>
      </w:pPr>
      <w:bookmarkStart w:id="742" w:name="_Toc11394796"/>
      <w:r w:rsidRPr="00CB093C">
        <w:rPr>
          <w:rFonts w:ascii="Arial" w:hAnsi="Arial" w:cs="Arial"/>
          <w:sz w:val="22"/>
          <w:szCs w:val="22"/>
        </w:rPr>
        <w:t>Discussion</w:t>
      </w:r>
      <w:bookmarkEnd w:id="742"/>
    </w:p>
    <w:p w14:paraId="6203E114" w14:textId="77777777" w:rsidR="00676C85" w:rsidRPr="00CB093C" w:rsidRDefault="00676C85" w:rsidP="00676C85">
      <w:pPr>
        <w:rPr>
          <w:rFonts w:ascii="Arial" w:hAnsi="Arial" w:cs="Arial"/>
          <w:szCs w:val="22"/>
        </w:rPr>
      </w:pPr>
      <w:r w:rsidRPr="00CB093C">
        <w:rPr>
          <w:rFonts w:ascii="Arial" w:hAnsi="Arial" w:cs="Arial"/>
          <w:szCs w:val="22"/>
        </w:rPr>
        <w:t>The analysis outlined in this case study, and in Lawrence and Gladish (2018) has led to the following conclusions:</w:t>
      </w:r>
    </w:p>
    <w:p w14:paraId="49DE9B59" w14:textId="77777777" w:rsidR="00676C85" w:rsidRPr="00CB093C" w:rsidRDefault="00676C85" w:rsidP="00676C85">
      <w:pPr>
        <w:rPr>
          <w:rFonts w:ascii="Arial" w:hAnsi="Arial" w:cs="Arial"/>
          <w:szCs w:val="22"/>
        </w:rPr>
      </w:pPr>
    </w:p>
    <w:p w14:paraId="7BFA926D" w14:textId="3D760847" w:rsidR="00676C85" w:rsidRPr="00CB093C" w:rsidRDefault="00676C85" w:rsidP="00AD06D4">
      <w:pPr>
        <w:pStyle w:val="ListParagraph"/>
        <w:numPr>
          <w:ilvl w:val="0"/>
          <w:numId w:val="8"/>
        </w:numPr>
        <w:spacing w:before="0" w:after="0"/>
        <w:rPr>
          <w:rFonts w:ascii="Arial" w:hAnsi="Arial" w:cs="Arial"/>
          <w:b/>
          <w:szCs w:val="22"/>
        </w:rPr>
      </w:pPr>
      <w:r w:rsidRPr="00CB093C">
        <w:rPr>
          <w:rFonts w:ascii="Arial" w:hAnsi="Arial" w:cs="Arial"/>
          <w:b/>
          <w:szCs w:val="22"/>
        </w:rPr>
        <w:t>Percent cover of seagrass in the previous year provides the best predictor of seagrass cover and weighting of the report card metrics should reflect this.</w:t>
      </w:r>
      <w:r w:rsidRPr="00CB093C">
        <w:rPr>
          <w:rFonts w:ascii="Arial" w:hAnsi="Arial" w:cs="Arial"/>
          <w:szCs w:val="22"/>
        </w:rPr>
        <w:t xml:space="preserve"> In the beta regression model, the percent cover in the previous year was a highly significant variable (p&lt;0.001) and in the random forest models, it had the highest importance ranking, far exceeding the importance ranking of other variables. We can consider the importance of this finding for the annual </w:t>
      </w:r>
      <w:r w:rsidR="0011227C" w:rsidRPr="00CB093C">
        <w:rPr>
          <w:rFonts w:ascii="Arial" w:hAnsi="Arial" w:cs="Arial"/>
          <w:szCs w:val="22"/>
        </w:rPr>
        <w:t>Reef</w:t>
      </w:r>
      <w:r w:rsidR="00DC23F8" w:rsidRPr="00CB093C">
        <w:rPr>
          <w:rFonts w:ascii="Arial" w:hAnsi="Arial" w:cs="Arial"/>
          <w:szCs w:val="22"/>
        </w:rPr>
        <w:t xml:space="preserve"> </w:t>
      </w:r>
      <w:r w:rsidR="0011227C" w:rsidRPr="00CB093C">
        <w:rPr>
          <w:rFonts w:ascii="Arial" w:hAnsi="Arial" w:cs="Arial"/>
          <w:szCs w:val="22"/>
        </w:rPr>
        <w:t>2050 WQIP</w:t>
      </w:r>
      <w:r w:rsidRPr="00CB093C">
        <w:rPr>
          <w:rFonts w:ascii="Arial" w:hAnsi="Arial" w:cs="Arial"/>
          <w:szCs w:val="22"/>
        </w:rPr>
        <w:t xml:space="preserve"> report card. The consistency with which percent cover lagged influenced the percent cover predictions highlights that there is a strong case to be made for also increasing the weighting of percent cover in the report card metric.</w:t>
      </w:r>
    </w:p>
    <w:p w14:paraId="56D04B6B" w14:textId="77777777" w:rsidR="00676C85" w:rsidRPr="00CB093C" w:rsidRDefault="00676C85" w:rsidP="00676C85">
      <w:pPr>
        <w:ind w:left="360"/>
        <w:rPr>
          <w:rFonts w:ascii="Arial" w:hAnsi="Arial" w:cs="Arial"/>
          <w:b/>
          <w:szCs w:val="22"/>
        </w:rPr>
      </w:pPr>
      <w:r w:rsidRPr="00CB093C">
        <w:rPr>
          <w:rFonts w:ascii="Arial" w:hAnsi="Arial" w:cs="Arial"/>
          <w:szCs w:val="22"/>
        </w:rPr>
        <w:t xml:space="preserve"> </w:t>
      </w:r>
    </w:p>
    <w:p w14:paraId="6CD6DC26" w14:textId="77777777" w:rsidR="0011227C" w:rsidRPr="00CB093C" w:rsidRDefault="00676C85" w:rsidP="00AD06D4">
      <w:pPr>
        <w:pStyle w:val="ListParagraph"/>
        <w:numPr>
          <w:ilvl w:val="0"/>
          <w:numId w:val="8"/>
        </w:numPr>
        <w:spacing w:before="0" w:after="0"/>
        <w:ind w:left="714" w:hanging="357"/>
        <w:rPr>
          <w:rFonts w:ascii="Arial" w:hAnsi="Arial" w:cs="Arial"/>
          <w:szCs w:val="22"/>
        </w:rPr>
      </w:pPr>
      <w:r w:rsidRPr="00CB093C">
        <w:rPr>
          <w:rFonts w:ascii="Arial" w:hAnsi="Arial" w:cs="Arial"/>
          <w:b/>
          <w:szCs w:val="22"/>
        </w:rPr>
        <w:t>The measurement of reproductive effort is useful and important, but low power of this variable indicates that reducing its weighting in the report card is required.</w:t>
      </w:r>
      <w:r w:rsidRPr="00CB093C">
        <w:rPr>
          <w:rFonts w:ascii="Arial" w:hAnsi="Arial" w:cs="Arial"/>
          <w:szCs w:val="22"/>
        </w:rPr>
        <w:t xml:space="preserve"> Reproductive effort data showed some promise in improving the predictions of seagrass coverage. Flowers, fruits and spathes (the variables currently forming the MMP reproductive effort indicator) were all significant in some of the models indicating that they have some value in predicting seagrass coverage and are therefore useful variables to continue to monitor and report on. However, the models typically found weak associations due to the power in the data (Lawrence and Gladish, 2018, Kuhnert et al 2015). </w:t>
      </w:r>
    </w:p>
    <w:p w14:paraId="6DD04229" w14:textId="77777777" w:rsidR="0011227C" w:rsidRPr="00CB093C" w:rsidRDefault="0011227C" w:rsidP="00D2585E">
      <w:pPr>
        <w:pStyle w:val="ListParagraph"/>
        <w:rPr>
          <w:rFonts w:ascii="Arial" w:hAnsi="Arial" w:cs="Arial"/>
          <w:szCs w:val="22"/>
        </w:rPr>
      </w:pPr>
    </w:p>
    <w:p w14:paraId="0FEA3066" w14:textId="33D280B4" w:rsidR="00676C85" w:rsidRPr="00CB093C" w:rsidRDefault="00676C85" w:rsidP="00E72305">
      <w:pPr>
        <w:spacing w:before="0" w:after="0"/>
        <w:ind w:left="714"/>
        <w:rPr>
          <w:rFonts w:ascii="Arial" w:hAnsi="Arial" w:cs="Arial"/>
          <w:szCs w:val="22"/>
        </w:rPr>
      </w:pPr>
      <w:r w:rsidRPr="00CB093C">
        <w:rPr>
          <w:rFonts w:ascii="Arial" w:hAnsi="Arial" w:cs="Arial"/>
          <w:szCs w:val="22"/>
        </w:rPr>
        <w:t xml:space="preserve">This highlights the need to investigate options for improving the power of the data if quantification of reproductive effort is required. For example, power could be potentially increased by increasing the temporal resolution of sampling and/or increasing the number of cores collected, and this would require investigation. However, the binary models which explored the presence/absence of reproductive structures, were also good models, with only little loss of information by removing the count of structures. This finding demonstrates that the effort placed into quantifying reproductive structures may be unnecessary, which would enable allocation of time/resources to the collection of additional, perhaps more informative data (as described in point </w:t>
      </w:r>
      <w:r w:rsidRPr="00CB093C">
        <w:rPr>
          <w:rFonts w:ascii="Arial" w:hAnsi="Arial" w:cs="Arial"/>
          <w:szCs w:val="22"/>
        </w:rPr>
        <w:fldChar w:fldCharType="begin"/>
      </w:r>
      <w:r w:rsidRPr="00CB093C">
        <w:rPr>
          <w:rFonts w:ascii="Arial" w:hAnsi="Arial" w:cs="Arial"/>
          <w:szCs w:val="22"/>
        </w:rPr>
        <w:instrText xml:space="preserve"> REF _Ref532550884 \r \h </w:instrText>
      </w:r>
      <w:r w:rsidR="00CB093C" w:rsidRPr="00CB093C">
        <w:rPr>
          <w:rFonts w:ascii="Arial" w:hAnsi="Arial" w:cs="Arial"/>
          <w:szCs w:val="22"/>
        </w:rPr>
        <w:instrText xml:space="preserve"> \* MERGEFORMAT </w:instrText>
      </w:r>
      <w:r w:rsidRPr="00CB093C">
        <w:rPr>
          <w:rFonts w:ascii="Arial" w:hAnsi="Arial" w:cs="Arial"/>
          <w:szCs w:val="22"/>
        </w:rPr>
      </w:r>
      <w:r w:rsidRPr="00CB093C">
        <w:rPr>
          <w:rFonts w:ascii="Arial" w:hAnsi="Arial" w:cs="Arial"/>
          <w:szCs w:val="22"/>
        </w:rPr>
        <w:fldChar w:fldCharType="separate"/>
      </w:r>
      <w:r w:rsidR="005F00D4">
        <w:rPr>
          <w:rFonts w:ascii="Arial" w:hAnsi="Arial" w:cs="Arial"/>
          <w:szCs w:val="22"/>
        </w:rPr>
        <w:t>5</w:t>
      </w:r>
      <w:r w:rsidRPr="00CB093C">
        <w:rPr>
          <w:rFonts w:ascii="Arial" w:hAnsi="Arial" w:cs="Arial"/>
          <w:szCs w:val="22"/>
        </w:rPr>
        <w:fldChar w:fldCharType="end"/>
      </w:r>
      <w:r w:rsidRPr="00CB093C">
        <w:rPr>
          <w:rFonts w:ascii="Arial" w:hAnsi="Arial" w:cs="Arial"/>
          <w:szCs w:val="22"/>
        </w:rPr>
        <w:t xml:space="preserve">). Furthermore, low reproductive effort at some sites, in particular reef sites (e.g. Green Island), does not correlate to low seagrass coverage highlighting the need to reduce the weighting of this metric. </w:t>
      </w:r>
    </w:p>
    <w:p w14:paraId="264F7B71" w14:textId="77777777" w:rsidR="00676C85" w:rsidRPr="00CB093C" w:rsidRDefault="00676C85" w:rsidP="00676C85">
      <w:pPr>
        <w:ind w:left="360"/>
        <w:rPr>
          <w:rFonts w:ascii="Arial" w:hAnsi="Arial" w:cs="Arial"/>
          <w:szCs w:val="22"/>
        </w:rPr>
      </w:pPr>
    </w:p>
    <w:p w14:paraId="523F7557" w14:textId="77777777" w:rsidR="00676C85" w:rsidRPr="00CB093C" w:rsidRDefault="00676C85" w:rsidP="00AD06D4">
      <w:pPr>
        <w:pStyle w:val="ListParagraph"/>
        <w:numPr>
          <w:ilvl w:val="0"/>
          <w:numId w:val="8"/>
        </w:numPr>
        <w:spacing w:before="0" w:after="0"/>
        <w:rPr>
          <w:rFonts w:ascii="Arial" w:hAnsi="Arial" w:cs="Arial"/>
          <w:szCs w:val="22"/>
        </w:rPr>
      </w:pPr>
      <w:r w:rsidRPr="00CB093C">
        <w:rPr>
          <w:rFonts w:ascii="Arial" w:hAnsi="Arial" w:cs="Arial"/>
          <w:b/>
          <w:szCs w:val="22"/>
        </w:rPr>
        <w:t>The presence of a seed bank showed importance in the models for predicting seagrass cover, but due to a lack of power should not be added to the report card.</w:t>
      </w:r>
      <w:r w:rsidRPr="00CB093C">
        <w:rPr>
          <w:rFonts w:ascii="Arial" w:hAnsi="Arial" w:cs="Arial"/>
          <w:szCs w:val="22"/>
        </w:rPr>
        <w:t xml:space="preserve"> While the seed density data came out as very important in the random forests, most likely the lack of power in this data prevented this variable from being significant in most of the parametric models. We suggest the importance of continuing to continue to collect the seed density data and evaluate if an increase in power for this dataset in the future. The ongoing collection of seed density data will improve our understanding of how seed banks contribute to recovery in the Reef. We would not recommend adding it to the reproductive effort metric at this stage as these analyses do not indicate an analytical approach that would overcome seed density data adding further variability to an already highly uncertain metric. </w:t>
      </w:r>
    </w:p>
    <w:p w14:paraId="67857BE5" w14:textId="77777777" w:rsidR="00676C85" w:rsidRPr="00CB093C" w:rsidRDefault="00676C85" w:rsidP="00676C85">
      <w:pPr>
        <w:pStyle w:val="ListParagraph"/>
        <w:rPr>
          <w:rFonts w:ascii="Arial" w:hAnsi="Arial" w:cs="Arial"/>
          <w:szCs w:val="22"/>
        </w:rPr>
      </w:pPr>
    </w:p>
    <w:p w14:paraId="06EEF29C" w14:textId="7428693A" w:rsidR="00676C85" w:rsidRPr="00CB093C" w:rsidRDefault="00676C85" w:rsidP="00AD06D4">
      <w:pPr>
        <w:pStyle w:val="ListParagraph"/>
        <w:numPr>
          <w:ilvl w:val="0"/>
          <w:numId w:val="8"/>
        </w:numPr>
        <w:spacing w:before="0" w:after="0"/>
        <w:rPr>
          <w:rFonts w:ascii="Arial" w:hAnsi="Arial" w:cs="Arial"/>
          <w:szCs w:val="22"/>
        </w:rPr>
      </w:pPr>
      <w:r w:rsidRPr="00CB093C">
        <w:rPr>
          <w:rFonts w:ascii="Arial" w:hAnsi="Arial" w:cs="Arial"/>
          <w:b/>
          <w:szCs w:val="22"/>
        </w:rPr>
        <w:t xml:space="preserve">A resilience metric should be developed for reporting on seagrass in the </w:t>
      </w:r>
      <w:r w:rsidR="0011227C" w:rsidRPr="00CB093C">
        <w:rPr>
          <w:rFonts w:ascii="Arial" w:hAnsi="Arial" w:cs="Arial"/>
          <w:b/>
          <w:szCs w:val="22"/>
        </w:rPr>
        <w:t xml:space="preserve">Reef </w:t>
      </w:r>
      <w:r w:rsidRPr="00CB093C">
        <w:rPr>
          <w:rFonts w:ascii="Arial" w:hAnsi="Arial" w:cs="Arial"/>
          <w:b/>
          <w:szCs w:val="22"/>
        </w:rPr>
        <w:t xml:space="preserve">that incorporates multivariate resilience indicators. </w:t>
      </w:r>
      <w:r w:rsidRPr="00CB093C">
        <w:rPr>
          <w:rFonts w:ascii="Arial" w:hAnsi="Arial" w:cs="Arial"/>
          <w:szCs w:val="22"/>
        </w:rPr>
        <w:t xml:space="preserve">This could take the form of a quantitative decision tree such that the weighting and importance of a metric is conditional on the status of another metric. For example, seed density and reproductive effort have a higher importance rating at sites that are dependent on recovery from seed bank. Alternatively, multiple metrics are considered together e.g. if percent cover is lower than a given threshold and there are no signs of reproductive effort then a site is given a low score. </w:t>
      </w:r>
    </w:p>
    <w:p w14:paraId="17DE0C29" w14:textId="77777777" w:rsidR="00676C85" w:rsidRPr="00CB093C" w:rsidRDefault="00676C85" w:rsidP="00676C85">
      <w:pPr>
        <w:pStyle w:val="ListParagraph"/>
        <w:rPr>
          <w:rFonts w:ascii="Arial" w:hAnsi="Arial" w:cs="Arial"/>
          <w:szCs w:val="22"/>
        </w:rPr>
      </w:pPr>
    </w:p>
    <w:p w14:paraId="3C85514B" w14:textId="77777777" w:rsidR="00676C85" w:rsidRPr="00CB093C" w:rsidRDefault="00676C85" w:rsidP="00676C85">
      <w:pPr>
        <w:ind w:left="720"/>
        <w:rPr>
          <w:rFonts w:ascii="Arial" w:hAnsi="Arial" w:cs="Arial"/>
          <w:szCs w:val="22"/>
        </w:rPr>
      </w:pPr>
      <w:r w:rsidRPr="00CB093C">
        <w:rPr>
          <w:rFonts w:ascii="Arial" w:hAnsi="Arial" w:cs="Arial"/>
          <w:szCs w:val="22"/>
        </w:rPr>
        <w:t xml:space="preserve">This analysis demonstrated that the number of species, and the presence of particular species were important predictors of seagrass percent cover. In terms of community composition, those sites with </w:t>
      </w:r>
      <w:r w:rsidRPr="00CB093C">
        <w:rPr>
          <w:rFonts w:ascii="Arial" w:hAnsi="Arial" w:cs="Arial"/>
          <w:i/>
          <w:szCs w:val="22"/>
        </w:rPr>
        <w:t>Zostera</w:t>
      </w:r>
      <w:r w:rsidRPr="00CB093C">
        <w:rPr>
          <w:rFonts w:ascii="Arial" w:hAnsi="Arial" w:cs="Arial"/>
          <w:szCs w:val="22"/>
        </w:rPr>
        <w:t xml:space="preserve"> and </w:t>
      </w:r>
      <w:r w:rsidRPr="00CB093C">
        <w:rPr>
          <w:rFonts w:ascii="Arial" w:hAnsi="Arial" w:cs="Arial"/>
          <w:i/>
          <w:szCs w:val="22"/>
        </w:rPr>
        <w:t>Cymodocea serrulata</w:t>
      </w:r>
      <w:r w:rsidRPr="00CB093C">
        <w:rPr>
          <w:rFonts w:ascii="Arial" w:hAnsi="Arial" w:cs="Arial"/>
          <w:szCs w:val="22"/>
        </w:rPr>
        <w:t xml:space="preserve"> in the previous year were associated with higher amounts of seagrass coverage. This is probably because these species act as foundational species, and when present the meadows are in a different state compared to when they are absent.</w:t>
      </w:r>
      <w:r w:rsidRPr="00CB093C">
        <w:rPr>
          <w:rFonts w:ascii="Arial" w:hAnsi="Arial" w:cs="Arial"/>
          <w:i/>
          <w:szCs w:val="22"/>
        </w:rPr>
        <w:t xml:space="preserve"> </w:t>
      </w:r>
      <w:r w:rsidRPr="00CB093C">
        <w:rPr>
          <w:rFonts w:ascii="Arial" w:hAnsi="Arial" w:cs="Arial"/>
          <w:szCs w:val="22"/>
        </w:rPr>
        <w:t xml:space="preserve">Species diversity and community composition is not currently included in the seagrass report card, but is one of the variables that should be considered in a resilience metric. </w:t>
      </w:r>
    </w:p>
    <w:p w14:paraId="618C8043" w14:textId="77777777" w:rsidR="00676C85" w:rsidRPr="00CB093C" w:rsidRDefault="00676C85" w:rsidP="00676C85">
      <w:pPr>
        <w:rPr>
          <w:rFonts w:ascii="Arial" w:hAnsi="Arial" w:cs="Arial"/>
          <w:szCs w:val="22"/>
        </w:rPr>
      </w:pPr>
    </w:p>
    <w:p w14:paraId="66217842" w14:textId="77777777" w:rsidR="00676C85" w:rsidRPr="00CB093C" w:rsidRDefault="00676C85" w:rsidP="00AD06D4">
      <w:pPr>
        <w:pStyle w:val="ListParagraph"/>
        <w:numPr>
          <w:ilvl w:val="0"/>
          <w:numId w:val="8"/>
        </w:numPr>
        <w:spacing w:before="0" w:after="0"/>
        <w:rPr>
          <w:rFonts w:ascii="Arial" w:hAnsi="Arial" w:cs="Arial"/>
          <w:szCs w:val="22"/>
        </w:rPr>
      </w:pPr>
      <w:bookmarkStart w:id="743" w:name="_Ref532550884"/>
      <w:r w:rsidRPr="00CB093C">
        <w:rPr>
          <w:rFonts w:ascii="Arial" w:hAnsi="Arial" w:cs="Arial"/>
          <w:b/>
          <w:szCs w:val="22"/>
        </w:rPr>
        <w:t xml:space="preserve">Further resilience indicators should be explored as possible replacements or supplements to the reproductive indicators. </w:t>
      </w:r>
      <w:r w:rsidRPr="00CB093C">
        <w:rPr>
          <w:rFonts w:ascii="Arial" w:hAnsi="Arial" w:cs="Arial"/>
          <w:szCs w:val="22"/>
        </w:rPr>
        <w:t>These suggested additional indicators could be added to the program without compromising the existing design, including:</w:t>
      </w:r>
      <w:bookmarkEnd w:id="743"/>
    </w:p>
    <w:p w14:paraId="2D0F67BA" w14:textId="0B41BB90" w:rsidR="00676C85" w:rsidRPr="00CB093C" w:rsidRDefault="00676C85" w:rsidP="00AD06D4">
      <w:pPr>
        <w:pStyle w:val="ListParagraph"/>
        <w:numPr>
          <w:ilvl w:val="1"/>
          <w:numId w:val="8"/>
        </w:numPr>
        <w:spacing w:before="0" w:after="0"/>
        <w:rPr>
          <w:rFonts w:ascii="Arial" w:hAnsi="Arial" w:cs="Arial"/>
          <w:szCs w:val="22"/>
        </w:rPr>
      </w:pPr>
      <w:r w:rsidRPr="00CB093C">
        <w:rPr>
          <w:rFonts w:ascii="Arial" w:hAnsi="Arial" w:cs="Arial"/>
          <w:szCs w:val="22"/>
        </w:rPr>
        <w:t>Genetic diversity. Sexual reproduction is essential to 1. produce a seed bank</w:t>
      </w:r>
      <w:r w:rsidR="007A70FE" w:rsidRPr="00CB093C">
        <w:rPr>
          <w:rFonts w:ascii="Arial" w:hAnsi="Arial" w:cs="Arial"/>
          <w:szCs w:val="22"/>
        </w:rPr>
        <w:t>,</w:t>
      </w:r>
      <w:r w:rsidRPr="00CB093C">
        <w:rPr>
          <w:rFonts w:ascii="Arial" w:hAnsi="Arial" w:cs="Arial"/>
          <w:szCs w:val="22"/>
        </w:rPr>
        <w:t xml:space="preserve"> and 2. increase genetic diversity. Measuring genetic diversity in populations  represents the accumulation of reproductive effort over time, so does not suffer the problem of timing of sampling (which also affects the low power in the reproductive effort). High diversity confers resilience by increasing the capacity of a meadow to withstand disturbances, and it also increases the capacity to recover, particularly if combined with species diversity as an indicator. When genetic diversity is used to assess ‘connectivity’ it can also indicate the likelihood seagrass will be able to recover as a result of external recruitment. Genetic diversity can also be improved (as a management action), by introducing more diversity to increase the number of clones. This could be included in a decision tree resilience metric, such that meadows that do not show presence of a seed bank and have low genetic diversity would be considered to be highly vulnerable. </w:t>
      </w:r>
    </w:p>
    <w:p w14:paraId="430B05B0" w14:textId="77777777" w:rsidR="00676C85" w:rsidRPr="00CB093C" w:rsidRDefault="00676C85" w:rsidP="00AD06D4">
      <w:pPr>
        <w:pStyle w:val="ListParagraph"/>
        <w:numPr>
          <w:ilvl w:val="1"/>
          <w:numId w:val="8"/>
        </w:numPr>
        <w:spacing w:before="0" w:after="0"/>
        <w:rPr>
          <w:rFonts w:ascii="Arial" w:hAnsi="Arial" w:cs="Arial"/>
          <w:szCs w:val="22"/>
        </w:rPr>
      </w:pPr>
      <w:r w:rsidRPr="00CB093C">
        <w:rPr>
          <w:rFonts w:ascii="Arial" w:hAnsi="Arial" w:cs="Arial"/>
          <w:szCs w:val="22"/>
        </w:rPr>
        <w:t>Vegetative expansion and/or patchiness of a meadow indicates the meadow trajectory (decline or recovery), and the phase of the meadow (vegetative expansion/vs reproductive). A measure of vegetative expansion could be assessed initially by using patchiness measures from the existing site area data. Vegetative expansion is also likely to be assessable using remote sensing in intertidal, and some shallow subtidal areas, and this would also increase the coverage and temporal resolution of this metric.</w:t>
      </w:r>
    </w:p>
    <w:p w14:paraId="18E616D8" w14:textId="77777777" w:rsidR="00676C85" w:rsidRPr="00CB093C" w:rsidRDefault="00676C85" w:rsidP="00676C85">
      <w:pPr>
        <w:ind w:left="360"/>
        <w:rPr>
          <w:rFonts w:ascii="Arial" w:hAnsi="Arial" w:cs="Arial"/>
          <w:szCs w:val="22"/>
        </w:rPr>
      </w:pPr>
    </w:p>
    <w:p w14:paraId="4E071125" w14:textId="7012D7C4" w:rsidR="00676C85" w:rsidRPr="00CB093C" w:rsidRDefault="00676C85" w:rsidP="00676C85">
      <w:pPr>
        <w:rPr>
          <w:rFonts w:ascii="Arial" w:hAnsi="Arial" w:cs="Arial"/>
          <w:szCs w:val="22"/>
        </w:rPr>
      </w:pPr>
      <w:r w:rsidRPr="00CB093C">
        <w:rPr>
          <w:rFonts w:ascii="Arial" w:hAnsi="Arial" w:cs="Arial"/>
          <w:szCs w:val="22"/>
        </w:rPr>
        <w:t>On the basis of these findings, we make the following recommendations for implementation over the next 1</w:t>
      </w:r>
      <w:r w:rsidR="005C4C83" w:rsidRPr="00CB093C">
        <w:rPr>
          <w:rFonts w:ascii="Arial" w:hAnsi="Arial" w:cs="Arial"/>
          <w:szCs w:val="22"/>
        </w:rPr>
        <w:t>–</w:t>
      </w:r>
      <w:r w:rsidRPr="00CB093C">
        <w:rPr>
          <w:rFonts w:ascii="Arial" w:hAnsi="Arial" w:cs="Arial"/>
          <w:szCs w:val="22"/>
        </w:rPr>
        <w:t xml:space="preserve">2 years:  </w:t>
      </w:r>
    </w:p>
    <w:p w14:paraId="00298685" w14:textId="11D17FE2" w:rsidR="00676C85" w:rsidRPr="00CB093C" w:rsidRDefault="00676C85" w:rsidP="00AD06D4">
      <w:pPr>
        <w:pStyle w:val="ListParagraph"/>
        <w:numPr>
          <w:ilvl w:val="1"/>
          <w:numId w:val="12"/>
        </w:numPr>
        <w:spacing w:before="0" w:after="0"/>
        <w:rPr>
          <w:rFonts w:ascii="Arial" w:hAnsi="Arial" w:cs="Arial"/>
          <w:szCs w:val="22"/>
        </w:rPr>
      </w:pPr>
      <w:r w:rsidRPr="00CB093C">
        <w:rPr>
          <w:rFonts w:ascii="Arial" w:hAnsi="Arial" w:cs="Arial"/>
          <w:szCs w:val="22"/>
        </w:rPr>
        <w:t>Weighting of current metrics in the report card (increasing importance of percent cover, reducing importance of reproductive effort). This will require sensitivity analysis</w:t>
      </w:r>
      <w:r w:rsidR="008D1915" w:rsidRPr="00CB093C">
        <w:rPr>
          <w:rFonts w:ascii="Arial" w:hAnsi="Arial" w:cs="Arial"/>
          <w:szCs w:val="22"/>
        </w:rPr>
        <w:t>.</w:t>
      </w:r>
    </w:p>
    <w:p w14:paraId="541A5A22" w14:textId="78272C0A" w:rsidR="00676C85" w:rsidRPr="00CB093C" w:rsidRDefault="00676C85" w:rsidP="00AD06D4">
      <w:pPr>
        <w:pStyle w:val="ListParagraph"/>
        <w:numPr>
          <w:ilvl w:val="1"/>
          <w:numId w:val="12"/>
        </w:numPr>
        <w:spacing w:before="0" w:after="0"/>
        <w:rPr>
          <w:rFonts w:ascii="Arial" w:hAnsi="Arial" w:cs="Arial"/>
          <w:szCs w:val="22"/>
        </w:rPr>
      </w:pPr>
      <w:r w:rsidRPr="00CB093C">
        <w:rPr>
          <w:rFonts w:ascii="Arial" w:hAnsi="Arial" w:cs="Arial"/>
          <w:szCs w:val="22"/>
        </w:rPr>
        <w:t>Further explore options to increase power of reproductive data and/or reduce the time spent on quantifying effort. The binary models showed that presence alone is probably enough, and this would enable a reallocation of resources towards other metrics, such as the genetic diversity and vegetative expansion metrics. Undertake cost analysis of reducing sample processing time of reproductive effort</w:t>
      </w:r>
      <w:r w:rsidR="008D1915" w:rsidRPr="00CB093C">
        <w:rPr>
          <w:rFonts w:ascii="Arial" w:hAnsi="Arial" w:cs="Arial"/>
          <w:szCs w:val="22"/>
        </w:rPr>
        <w:t>.</w:t>
      </w:r>
    </w:p>
    <w:p w14:paraId="12009E93" w14:textId="77777777" w:rsidR="00676C85" w:rsidRPr="00CB093C" w:rsidRDefault="00676C85" w:rsidP="00AD06D4">
      <w:pPr>
        <w:pStyle w:val="ListParagraph"/>
        <w:numPr>
          <w:ilvl w:val="1"/>
          <w:numId w:val="12"/>
        </w:numPr>
        <w:spacing w:before="0" w:after="0"/>
        <w:rPr>
          <w:rFonts w:ascii="Arial" w:hAnsi="Arial" w:cs="Arial"/>
          <w:szCs w:val="22"/>
        </w:rPr>
      </w:pPr>
      <w:r w:rsidRPr="00CB093C">
        <w:rPr>
          <w:rFonts w:ascii="Arial" w:hAnsi="Arial" w:cs="Arial"/>
          <w:szCs w:val="22"/>
        </w:rPr>
        <w:t xml:space="preserve">Collect samples on genetic diversity at all sites in preparation for the resilience metric. Undertake cost analysis. </w:t>
      </w:r>
    </w:p>
    <w:p w14:paraId="3CD0358F" w14:textId="77777777" w:rsidR="00676C85" w:rsidRPr="00CB093C" w:rsidRDefault="00676C85" w:rsidP="00AD06D4">
      <w:pPr>
        <w:pStyle w:val="ListParagraph"/>
        <w:numPr>
          <w:ilvl w:val="1"/>
          <w:numId w:val="12"/>
        </w:numPr>
        <w:spacing w:before="0" w:after="0"/>
        <w:rPr>
          <w:rFonts w:ascii="Arial" w:hAnsi="Arial" w:cs="Arial"/>
          <w:szCs w:val="22"/>
        </w:rPr>
      </w:pPr>
      <w:r w:rsidRPr="00CB093C">
        <w:rPr>
          <w:rFonts w:ascii="Arial" w:hAnsi="Arial" w:cs="Arial"/>
          <w:szCs w:val="22"/>
        </w:rPr>
        <w:t>Analyse existing data on meadow extent and patchiness in preparation for a resilience metric.</w:t>
      </w:r>
    </w:p>
    <w:p w14:paraId="1AA385B8" w14:textId="77777777" w:rsidR="00676C85" w:rsidRPr="00CB093C" w:rsidRDefault="00676C85" w:rsidP="00676C85">
      <w:pPr>
        <w:rPr>
          <w:rFonts w:ascii="Arial" w:hAnsi="Arial" w:cs="Arial"/>
          <w:szCs w:val="22"/>
        </w:rPr>
      </w:pPr>
    </w:p>
    <w:p w14:paraId="0E4DA45C" w14:textId="77777777" w:rsidR="00676C85" w:rsidRPr="00CB093C" w:rsidRDefault="00676C85" w:rsidP="00676C85">
      <w:pPr>
        <w:rPr>
          <w:rFonts w:ascii="Arial" w:hAnsi="Arial" w:cs="Arial"/>
          <w:szCs w:val="22"/>
        </w:rPr>
      </w:pPr>
      <w:r w:rsidRPr="00CB093C">
        <w:rPr>
          <w:rFonts w:ascii="Arial" w:hAnsi="Arial" w:cs="Arial"/>
          <w:szCs w:val="22"/>
        </w:rPr>
        <w:t>And the following recommendations for implementation in the next few years:</w:t>
      </w:r>
    </w:p>
    <w:p w14:paraId="53A71FF5" w14:textId="77777777" w:rsidR="00676C85" w:rsidRPr="00CB093C" w:rsidRDefault="00676C85" w:rsidP="00AD06D4">
      <w:pPr>
        <w:pStyle w:val="ListParagraph"/>
        <w:numPr>
          <w:ilvl w:val="0"/>
          <w:numId w:val="13"/>
        </w:numPr>
        <w:spacing w:before="0" w:after="0"/>
        <w:rPr>
          <w:rFonts w:ascii="Arial" w:hAnsi="Arial" w:cs="Arial"/>
          <w:szCs w:val="22"/>
        </w:rPr>
      </w:pPr>
      <w:r w:rsidRPr="00CB093C">
        <w:rPr>
          <w:rFonts w:ascii="Arial" w:hAnsi="Arial" w:cs="Arial"/>
          <w:szCs w:val="22"/>
        </w:rPr>
        <w:t xml:space="preserve">Develop a resilience metric that includes multiple different metrics. This will benefit from the data described above (genetics, meadow patchiness), and additional years of data, particularly at sites that have more recently been established. </w:t>
      </w:r>
    </w:p>
    <w:p w14:paraId="4D81DF3B" w14:textId="77777777" w:rsidR="00676C85" w:rsidRPr="00CB093C" w:rsidRDefault="00676C85" w:rsidP="00676C85">
      <w:pPr>
        <w:pStyle w:val="ListParagraph"/>
        <w:ind w:left="1800"/>
        <w:rPr>
          <w:rFonts w:ascii="Arial" w:hAnsi="Arial" w:cs="Arial"/>
          <w:szCs w:val="22"/>
        </w:rPr>
      </w:pPr>
    </w:p>
    <w:p w14:paraId="4A2138D9" w14:textId="07A3436E" w:rsidR="00676C85" w:rsidRPr="00CB093C" w:rsidRDefault="00676C85" w:rsidP="00D2585E">
      <w:pPr>
        <w:pStyle w:val="Heading3"/>
        <w:numPr>
          <w:ilvl w:val="0"/>
          <w:numId w:val="0"/>
        </w:numPr>
        <w:rPr>
          <w:rFonts w:ascii="Arial" w:hAnsi="Arial" w:cs="Arial"/>
          <w:sz w:val="22"/>
          <w:szCs w:val="22"/>
        </w:rPr>
      </w:pPr>
      <w:bookmarkStart w:id="744" w:name="_Toc11394797"/>
      <w:r w:rsidRPr="00CB093C">
        <w:rPr>
          <w:rFonts w:ascii="Arial" w:hAnsi="Arial" w:cs="Arial"/>
          <w:sz w:val="22"/>
          <w:szCs w:val="22"/>
        </w:rPr>
        <w:t>References</w:t>
      </w:r>
      <w:bookmarkEnd w:id="744"/>
    </w:p>
    <w:p w14:paraId="26F5B464" w14:textId="77ED1ACF" w:rsidR="00BC16CD" w:rsidRPr="00CB093C" w:rsidRDefault="00BC16CD" w:rsidP="00BC16CD">
      <w:pPr>
        <w:ind w:left="567" w:hanging="567"/>
        <w:contextualSpacing/>
        <w:rPr>
          <w:rFonts w:ascii="Arial" w:hAnsi="Arial" w:cs="Arial"/>
          <w:szCs w:val="22"/>
          <w:lang w:val="en-GB"/>
        </w:rPr>
      </w:pPr>
      <w:r w:rsidRPr="00CB093C">
        <w:rPr>
          <w:rFonts w:ascii="Arial" w:hAnsi="Arial" w:cs="Arial"/>
          <w:szCs w:val="22"/>
          <w:lang w:val="en-GB"/>
        </w:rPr>
        <w:t xml:space="preserve">Grech, A., Wolter, J., Coles, R., McKenzie, L., Rasheed, M., Thomas, C., Waycott, M., Hanert, E. 2016, Spatial patterns of seagrass dispersal and settlement. </w:t>
      </w:r>
      <w:r w:rsidRPr="00CB093C">
        <w:rPr>
          <w:rFonts w:ascii="Arial" w:hAnsi="Arial" w:cs="Arial"/>
          <w:i/>
          <w:szCs w:val="22"/>
          <w:lang w:val="en-GB"/>
        </w:rPr>
        <w:t>Diversity and Distributions</w:t>
      </w:r>
      <w:r w:rsidRPr="00CB093C">
        <w:rPr>
          <w:rFonts w:ascii="Arial" w:hAnsi="Arial" w:cs="Arial"/>
          <w:szCs w:val="22"/>
          <w:lang w:val="en-GB"/>
        </w:rPr>
        <w:t xml:space="preserve"> 22(11): 1150-1162. doi: 10.1111/ddi.12479</w:t>
      </w:r>
    </w:p>
    <w:p w14:paraId="3B163586" w14:textId="5E2A65A4" w:rsidR="00BC16CD" w:rsidRPr="00CB093C" w:rsidRDefault="00BC16CD" w:rsidP="00BC16CD">
      <w:pPr>
        <w:ind w:left="567" w:hanging="567"/>
        <w:contextualSpacing/>
        <w:rPr>
          <w:rFonts w:ascii="Arial" w:hAnsi="Arial" w:cs="Arial"/>
          <w:szCs w:val="22"/>
          <w:lang w:val="en-GB"/>
        </w:rPr>
      </w:pPr>
      <w:r w:rsidRPr="00CB093C">
        <w:rPr>
          <w:rFonts w:ascii="Arial" w:hAnsi="Arial" w:cs="Arial"/>
          <w:szCs w:val="22"/>
          <w:lang w:val="en-GB"/>
        </w:rPr>
        <w:t xml:space="preserve">Jarvis, J. and Moore, K. 2010, The role of seedlings and seed bank viability in the recovery of Chesapeake Bay, USA, </w:t>
      </w:r>
      <w:r w:rsidRPr="00CB093C">
        <w:rPr>
          <w:rFonts w:ascii="Arial" w:hAnsi="Arial" w:cs="Arial"/>
          <w:i/>
          <w:szCs w:val="22"/>
          <w:lang w:val="en-GB"/>
        </w:rPr>
        <w:t>Zostera marina</w:t>
      </w:r>
      <w:r w:rsidRPr="00CB093C">
        <w:rPr>
          <w:rFonts w:ascii="Arial" w:hAnsi="Arial" w:cs="Arial"/>
          <w:szCs w:val="22"/>
          <w:lang w:val="en-GB"/>
        </w:rPr>
        <w:t xml:space="preserve"> populations following a large-scale decline. </w:t>
      </w:r>
      <w:r w:rsidRPr="00CB093C">
        <w:rPr>
          <w:rFonts w:ascii="Arial" w:hAnsi="Arial" w:cs="Arial"/>
          <w:i/>
          <w:szCs w:val="22"/>
          <w:lang w:val="en-GB"/>
        </w:rPr>
        <w:t>Hydrobiologia</w:t>
      </w:r>
      <w:r w:rsidRPr="00CB093C">
        <w:rPr>
          <w:rFonts w:ascii="Arial" w:hAnsi="Arial" w:cs="Arial"/>
          <w:szCs w:val="22"/>
          <w:lang w:val="en-GB"/>
        </w:rPr>
        <w:t xml:space="preserve"> 649(1): 55-68. doi: 10.1007/s10750-010-0258-z</w:t>
      </w:r>
    </w:p>
    <w:p w14:paraId="5E101D4F" w14:textId="1F05E93F" w:rsidR="00BC16CD" w:rsidRPr="00CB093C" w:rsidRDefault="00BC16CD" w:rsidP="00BC16CD">
      <w:pPr>
        <w:ind w:left="567" w:hanging="567"/>
        <w:contextualSpacing/>
        <w:rPr>
          <w:rFonts w:ascii="Arial" w:hAnsi="Arial" w:cs="Arial"/>
          <w:szCs w:val="22"/>
          <w:lang w:val="en-GB"/>
        </w:rPr>
      </w:pPr>
      <w:r w:rsidRPr="00CB093C">
        <w:rPr>
          <w:rFonts w:ascii="Arial" w:hAnsi="Arial" w:cs="Arial"/>
          <w:szCs w:val="22"/>
          <w:lang w:val="en-GB"/>
        </w:rPr>
        <w:t>Lawrence, E. and Gladish, D. 201</w:t>
      </w:r>
      <w:r w:rsidR="00DF2079">
        <w:rPr>
          <w:rFonts w:ascii="Arial" w:hAnsi="Arial" w:cs="Arial"/>
          <w:szCs w:val="22"/>
          <w:lang w:val="en-GB"/>
        </w:rPr>
        <w:t>9</w:t>
      </w:r>
      <w:r w:rsidRPr="00CB093C">
        <w:rPr>
          <w:rFonts w:ascii="Arial" w:hAnsi="Arial" w:cs="Arial"/>
          <w:szCs w:val="22"/>
          <w:lang w:val="en-GB"/>
        </w:rPr>
        <w:t xml:space="preserve">, </w:t>
      </w:r>
      <w:r w:rsidR="003A4C96" w:rsidRPr="003A4C96">
        <w:rPr>
          <w:rFonts w:ascii="Arial" w:hAnsi="Arial" w:cs="Arial"/>
          <w:i/>
          <w:szCs w:val="22"/>
        </w:rPr>
        <w:t>Assessment of reproductive effort as an indicator of seagrass health for the Marine Monitoring Program</w:t>
      </w:r>
      <w:r w:rsidR="003A4C96">
        <w:t>.</w:t>
      </w:r>
      <w:r w:rsidRPr="00CB093C">
        <w:rPr>
          <w:rFonts w:ascii="Arial" w:hAnsi="Arial" w:cs="Arial"/>
          <w:szCs w:val="22"/>
          <w:lang w:val="en-GB"/>
        </w:rPr>
        <w:t xml:space="preserve"> A report to the Great Barrier Reef Marine Park Authority. </w:t>
      </w:r>
    </w:p>
    <w:p w14:paraId="2B41526B" w14:textId="4EBB3BA7" w:rsidR="00BC16CD" w:rsidRPr="00CB093C" w:rsidRDefault="00BC16CD" w:rsidP="00BC16CD">
      <w:pPr>
        <w:ind w:left="567" w:hanging="567"/>
        <w:contextualSpacing/>
        <w:rPr>
          <w:rFonts w:ascii="Arial" w:hAnsi="Arial" w:cs="Arial"/>
          <w:szCs w:val="22"/>
          <w:lang w:val="en-GB"/>
        </w:rPr>
      </w:pPr>
      <w:r w:rsidRPr="00CB093C">
        <w:rPr>
          <w:rFonts w:ascii="Arial" w:hAnsi="Arial" w:cs="Arial"/>
          <w:szCs w:val="22"/>
          <w:lang w:val="en-GB"/>
        </w:rPr>
        <w:t xml:space="preserve">McMahon, K., van Dijk, K.-j., Ruiz-Montoya, L., Kendrick, G.A., Krauss, S.L., Waycott, M., Verduin, J., Lowe, R., Statton, J., Brown, E., Duarte, C. 2014, The movement ecology of seagrasses. </w:t>
      </w:r>
      <w:r w:rsidRPr="00CB093C">
        <w:rPr>
          <w:rFonts w:ascii="Arial" w:hAnsi="Arial" w:cs="Arial"/>
          <w:i/>
          <w:szCs w:val="22"/>
          <w:lang w:val="en-GB"/>
        </w:rPr>
        <w:t>Proceedings of the Royal Society B: Biological Sciences</w:t>
      </w:r>
      <w:r w:rsidRPr="00CB093C">
        <w:rPr>
          <w:rFonts w:ascii="Arial" w:hAnsi="Arial" w:cs="Arial"/>
          <w:szCs w:val="22"/>
          <w:lang w:val="en-GB"/>
        </w:rPr>
        <w:t xml:space="preserve"> 281(1795).</w:t>
      </w:r>
    </w:p>
    <w:p w14:paraId="040389DF" w14:textId="3B95ABD0" w:rsidR="00BC16CD" w:rsidRPr="00CB093C" w:rsidRDefault="00BC16CD" w:rsidP="00BC16CD">
      <w:pPr>
        <w:ind w:left="567" w:hanging="567"/>
        <w:contextualSpacing/>
        <w:rPr>
          <w:rFonts w:ascii="Arial" w:hAnsi="Arial" w:cs="Arial"/>
          <w:szCs w:val="22"/>
          <w:lang w:val="en-GB"/>
        </w:rPr>
      </w:pPr>
      <w:r w:rsidRPr="00CB093C">
        <w:rPr>
          <w:rFonts w:ascii="Arial" w:hAnsi="Arial" w:cs="Arial"/>
          <w:szCs w:val="22"/>
          <w:lang w:val="en-GB"/>
        </w:rPr>
        <w:t xml:space="preserve">Monteith, J.L. 1965, Light Distribution and Photosynthesis in Field Crops. </w:t>
      </w:r>
      <w:r w:rsidRPr="00CB093C">
        <w:rPr>
          <w:rFonts w:ascii="Arial" w:hAnsi="Arial" w:cs="Arial"/>
          <w:i/>
          <w:szCs w:val="22"/>
          <w:lang w:val="en-GB"/>
        </w:rPr>
        <w:t>Annals of Botany</w:t>
      </w:r>
      <w:r w:rsidRPr="00CB093C">
        <w:rPr>
          <w:rFonts w:ascii="Arial" w:hAnsi="Arial" w:cs="Arial"/>
          <w:szCs w:val="22"/>
          <w:lang w:val="en-GB"/>
        </w:rPr>
        <w:t xml:space="preserve"> 29(1): 17-37. doi: 10.1093/oxfordjournals.aob.a083934</w:t>
      </w:r>
    </w:p>
    <w:p w14:paraId="16CCEFEE" w14:textId="67ACCAE8" w:rsidR="00BC16CD" w:rsidRPr="00CB093C" w:rsidRDefault="00BC16CD" w:rsidP="00BC16CD">
      <w:pPr>
        <w:ind w:left="567" w:hanging="567"/>
        <w:contextualSpacing/>
        <w:rPr>
          <w:rFonts w:ascii="Arial" w:hAnsi="Arial" w:cs="Arial"/>
          <w:szCs w:val="22"/>
          <w:lang w:val="en-GB"/>
        </w:rPr>
      </w:pPr>
      <w:r w:rsidRPr="00CB093C">
        <w:rPr>
          <w:rFonts w:ascii="Arial" w:hAnsi="Arial" w:cs="Arial"/>
          <w:szCs w:val="22"/>
          <w:lang w:val="en-GB"/>
        </w:rPr>
        <w:t xml:space="preserve">Reynolds, L.K., DuBois, K., Abbott, J.M., Williams, S.L., Stachowicz, J.J. 2016, Response of a Habitat-Forming Marine Plant to a Simulated Warming Event Is Delayed, Genotype Specific, and Varies with Phenology. </w:t>
      </w:r>
      <w:r w:rsidRPr="00CB093C">
        <w:rPr>
          <w:rFonts w:ascii="Arial" w:hAnsi="Arial" w:cs="Arial"/>
          <w:i/>
          <w:szCs w:val="22"/>
          <w:lang w:val="en-GB"/>
        </w:rPr>
        <w:t>PLoS ONE</w:t>
      </w:r>
      <w:r w:rsidRPr="00CB093C">
        <w:rPr>
          <w:rFonts w:ascii="Arial" w:hAnsi="Arial" w:cs="Arial"/>
          <w:szCs w:val="22"/>
          <w:lang w:val="en-GB"/>
        </w:rPr>
        <w:t xml:space="preserve"> 11(6): e0154532. doi: 10.1371/journal.pone.0154532</w:t>
      </w:r>
    </w:p>
    <w:p w14:paraId="4F1D2E9D" w14:textId="2A8950A1" w:rsidR="00BC16CD" w:rsidRPr="00CB093C" w:rsidRDefault="00BC16CD" w:rsidP="00BC16CD">
      <w:pPr>
        <w:ind w:left="567" w:hanging="567"/>
        <w:contextualSpacing/>
        <w:rPr>
          <w:rFonts w:ascii="Arial" w:hAnsi="Arial" w:cs="Arial"/>
          <w:szCs w:val="22"/>
          <w:lang w:val="en-GB"/>
        </w:rPr>
      </w:pPr>
      <w:r w:rsidRPr="00CB093C">
        <w:rPr>
          <w:rFonts w:ascii="Arial" w:hAnsi="Arial" w:cs="Arial"/>
          <w:szCs w:val="22"/>
          <w:lang w:val="en-GB"/>
        </w:rPr>
        <w:t xml:space="preserve">Unsworth, R.K.F., Collier, C.J., Waycott, M., McKenzie, L.J., Cullen-Unsworth, L.C. 2015, A framework for the resilience of seagrass ecosystems. </w:t>
      </w:r>
      <w:r w:rsidRPr="00CB093C">
        <w:rPr>
          <w:rFonts w:ascii="Arial" w:hAnsi="Arial" w:cs="Arial"/>
          <w:i/>
          <w:szCs w:val="22"/>
          <w:lang w:val="en-GB"/>
        </w:rPr>
        <w:t>Marine Pollution Bulletin</w:t>
      </w:r>
      <w:r w:rsidRPr="00CB093C">
        <w:rPr>
          <w:rFonts w:ascii="Arial" w:hAnsi="Arial" w:cs="Arial"/>
          <w:szCs w:val="22"/>
          <w:lang w:val="en-GB"/>
        </w:rPr>
        <w:t xml:space="preserve"> 100(1): 34-46. </w:t>
      </w:r>
    </w:p>
    <w:p w14:paraId="4C20FAF9" w14:textId="77777777" w:rsidR="00BC16CD" w:rsidRPr="00CB093C" w:rsidRDefault="00BC16CD" w:rsidP="00676C85">
      <w:pPr>
        <w:rPr>
          <w:rFonts w:ascii="Arial" w:hAnsi="Arial" w:cs="Arial"/>
          <w:szCs w:val="22"/>
        </w:rPr>
      </w:pPr>
    </w:p>
    <w:p w14:paraId="33E542EA" w14:textId="77777777" w:rsidR="00BC16CD" w:rsidRPr="00CB093C" w:rsidRDefault="00BC16CD" w:rsidP="00676C85">
      <w:pPr>
        <w:rPr>
          <w:rFonts w:ascii="Arial" w:hAnsi="Arial" w:cs="Arial"/>
          <w:szCs w:val="22"/>
        </w:rPr>
      </w:pPr>
    </w:p>
    <w:p w14:paraId="7D44E704" w14:textId="77777777" w:rsidR="00BC16CD" w:rsidRPr="00CB093C" w:rsidRDefault="00BC16CD" w:rsidP="00676C85">
      <w:pPr>
        <w:rPr>
          <w:rFonts w:ascii="Arial" w:hAnsi="Arial" w:cs="Arial"/>
          <w:szCs w:val="22"/>
        </w:rPr>
      </w:pPr>
    </w:p>
    <w:p w14:paraId="36D95228" w14:textId="77777777" w:rsidR="00676C85" w:rsidRPr="00CB093C" w:rsidRDefault="00676C85" w:rsidP="00676C85">
      <w:pPr>
        <w:spacing w:before="0" w:after="0"/>
        <w:rPr>
          <w:rFonts w:ascii="Arial" w:hAnsi="Arial" w:cs="Arial"/>
          <w:b/>
          <w:szCs w:val="22"/>
        </w:rPr>
      </w:pPr>
      <w:r w:rsidRPr="00CB093C">
        <w:rPr>
          <w:rFonts w:ascii="Arial" w:hAnsi="Arial" w:cs="Arial"/>
          <w:b/>
          <w:szCs w:val="22"/>
        </w:rPr>
        <w:br w:type="page"/>
      </w:r>
    </w:p>
    <w:p w14:paraId="10D4E6DB" w14:textId="77777777" w:rsidR="00676C85" w:rsidRPr="00CB093C" w:rsidRDefault="00676C85" w:rsidP="00F12624">
      <w:pPr>
        <w:rPr>
          <w:rFonts w:ascii="Arial" w:hAnsi="Arial" w:cs="Arial"/>
          <w:szCs w:val="22"/>
        </w:rPr>
      </w:pPr>
    </w:p>
    <w:p w14:paraId="01F31633" w14:textId="77777777" w:rsidR="00F12624" w:rsidRPr="00CB093C" w:rsidRDefault="00F12624" w:rsidP="00F12624">
      <w:pPr>
        <w:rPr>
          <w:rFonts w:ascii="Arial" w:hAnsi="Arial" w:cs="Arial"/>
          <w:szCs w:val="22"/>
        </w:rPr>
      </w:pPr>
    </w:p>
    <w:p w14:paraId="65A751CE" w14:textId="77777777" w:rsidR="00F12624" w:rsidRPr="00CB093C" w:rsidRDefault="00F12624" w:rsidP="00F12624">
      <w:pPr>
        <w:rPr>
          <w:rFonts w:ascii="Arial" w:hAnsi="Arial" w:cs="Arial"/>
          <w:szCs w:val="22"/>
        </w:rPr>
      </w:pPr>
    </w:p>
    <w:p w14:paraId="5EFA3D47" w14:textId="77777777" w:rsidR="00F12624" w:rsidRPr="00CB093C" w:rsidRDefault="00F12624" w:rsidP="00F12624">
      <w:pPr>
        <w:rPr>
          <w:rFonts w:ascii="Arial" w:hAnsi="Arial" w:cs="Arial"/>
          <w:szCs w:val="22"/>
        </w:rPr>
      </w:pPr>
    </w:p>
    <w:p w14:paraId="410DBDC9" w14:textId="77777777" w:rsidR="00F12624" w:rsidRPr="00CB093C" w:rsidRDefault="00F12624" w:rsidP="00F12624">
      <w:pPr>
        <w:rPr>
          <w:rFonts w:ascii="Arial" w:hAnsi="Arial" w:cs="Arial"/>
          <w:szCs w:val="22"/>
        </w:rPr>
      </w:pPr>
    </w:p>
    <w:p w14:paraId="47369E90" w14:textId="77777777" w:rsidR="00F12624" w:rsidRPr="00CB093C" w:rsidRDefault="00F12624" w:rsidP="00F12624">
      <w:pPr>
        <w:rPr>
          <w:rFonts w:ascii="Arial" w:hAnsi="Arial" w:cs="Arial"/>
          <w:szCs w:val="22"/>
        </w:rPr>
      </w:pPr>
    </w:p>
    <w:p w14:paraId="156DCC49" w14:textId="77777777" w:rsidR="00F12624" w:rsidRPr="00CB093C" w:rsidRDefault="00F12624" w:rsidP="00F12624">
      <w:pPr>
        <w:rPr>
          <w:rFonts w:ascii="Arial" w:hAnsi="Arial" w:cs="Arial"/>
          <w:szCs w:val="22"/>
        </w:rPr>
      </w:pPr>
    </w:p>
    <w:p w14:paraId="3042DB6C" w14:textId="01F6965D" w:rsidR="00842050" w:rsidRPr="00CB093C" w:rsidRDefault="00824A7C" w:rsidP="0015509E">
      <w:pPr>
        <w:pStyle w:val="Heading1"/>
        <w:numPr>
          <w:ilvl w:val="0"/>
          <w:numId w:val="6"/>
        </w:numPr>
      </w:pPr>
      <w:bookmarkStart w:id="745" w:name="_Ref511380752"/>
      <w:bookmarkStart w:id="746" w:name="_Toc11394798"/>
      <w:r w:rsidRPr="00CB093C">
        <w:t>Seagrass condition indicator guidelines for r</w:t>
      </w:r>
      <w:r w:rsidR="00842050" w:rsidRPr="00CB093C">
        <w:t>eport card calculations</w:t>
      </w:r>
      <w:bookmarkEnd w:id="745"/>
      <w:bookmarkEnd w:id="746"/>
    </w:p>
    <w:p w14:paraId="0FE87BFB" w14:textId="77777777" w:rsidR="00842050" w:rsidRPr="00CB093C" w:rsidRDefault="00842050" w:rsidP="00842050">
      <w:pPr>
        <w:rPr>
          <w:rFonts w:ascii="Arial" w:hAnsi="Arial" w:cs="Arial"/>
          <w:szCs w:val="22"/>
        </w:rPr>
      </w:pPr>
    </w:p>
    <w:p w14:paraId="64E8F312" w14:textId="77777777" w:rsidR="00842050" w:rsidRPr="00CB093C" w:rsidRDefault="00842050" w:rsidP="00842050">
      <w:pPr>
        <w:rPr>
          <w:rFonts w:ascii="Arial" w:hAnsi="Arial" w:cs="Arial"/>
          <w:szCs w:val="22"/>
        </w:rPr>
      </w:pPr>
    </w:p>
    <w:p w14:paraId="57C1DDCB" w14:textId="77777777" w:rsidR="00842050" w:rsidRPr="00CB093C" w:rsidRDefault="00842050" w:rsidP="00842050">
      <w:pPr>
        <w:rPr>
          <w:rFonts w:ascii="Arial" w:hAnsi="Arial" w:cs="Arial"/>
          <w:szCs w:val="22"/>
        </w:rPr>
      </w:pPr>
    </w:p>
    <w:p w14:paraId="43668FEF" w14:textId="77777777" w:rsidR="00842050" w:rsidRPr="00CB093C" w:rsidRDefault="00842050" w:rsidP="00842050">
      <w:pPr>
        <w:rPr>
          <w:rFonts w:ascii="Arial" w:hAnsi="Arial" w:cs="Arial"/>
          <w:szCs w:val="22"/>
        </w:rPr>
      </w:pPr>
    </w:p>
    <w:p w14:paraId="50AC9FD6" w14:textId="77777777" w:rsidR="00842050" w:rsidRPr="00CB093C" w:rsidRDefault="00842050" w:rsidP="00842050">
      <w:pPr>
        <w:rPr>
          <w:rFonts w:ascii="Arial" w:hAnsi="Arial" w:cs="Arial"/>
          <w:szCs w:val="22"/>
        </w:rPr>
      </w:pPr>
    </w:p>
    <w:p w14:paraId="097CB0AF" w14:textId="77777777" w:rsidR="000C731C" w:rsidRPr="00CB093C" w:rsidRDefault="00842050" w:rsidP="00842050">
      <w:pPr>
        <w:spacing w:before="60" w:after="60"/>
        <w:rPr>
          <w:rFonts w:ascii="Arial" w:hAnsi="Arial" w:cs="Arial"/>
          <w:szCs w:val="22"/>
        </w:rPr>
      </w:pPr>
      <w:r w:rsidRPr="00CB093C">
        <w:rPr>
          <w:rFonts w:ascii="Arial" w:hAnsi="Arial" w:cs="Arial"/>
          <w:color w:val="000000"/>
          <w:szCs w:val="22"/>
        </w:rPr>
        <w:br w:type="page"/>
      </w:r>
    </w:p>
    <w:p w14:paraId="7FB86A78" w14:textId="0C2A3232" w:rsidR="00FA17EB" w:rsidRPr="00CB093C" w:rsidRDefault="00EC7975" w:rsidP="0015509E">
      <w:pPr>
        <w:pStyle w:val="Heading2"/>
        <w:numPr>
          <w:ilvl w:val="0"/>
          <w:numId w:val="0"/>
        </w:numPr>
      </w:pPr>
      <w:bookmarkStart w:id="747" w:name="_Ref511380813"/>
      <w:bookmarkStart w:id="748" w:name="_Toc11394799"/>
      <w:r w:rsidRPr="00CB093C">
        <w:t>Seagrass a</w:t>
      </w:r>
      <w:r w:rsidR="00FA17EB" w:rsidRPr="00CB093C">
        <w:t>bundance</w:t>
      </w:r>
      <w:bookmarkEnd w:id="747"/>
      <w:bookmarkEnd w:id="748"/>
      <w:r w:rsidRPr="00CB093C">
        <w:t xml:space="preserve"> </w:t>
      </w:r>
    </w:p>
    <w:p w14:paraId="0F96F112" w14:textId="78614F77" w:rsidR="00842050" w:rsidRPr="00CB093C" w:rsidRDefault="00842050" w:rsidP="00842050">
      <w:pPr>
        <w:spacing w:before="240"/>
        <w:rPr>
          <w:rFonts w:ascii="Arial" w:hAnsi="Arial" w:cs="Arial"/>
          <w:color w:val="000000"/>
          <w:szCs w:val="22"/>
        </w:rPr>
      </w:pPr>
      <w:r w:rsidRPr="00CB093C">
        <w:rPr>
          <w:rFonts w:ascii="Arial" w:hAnsi="Arial" w:cs="Arial"/>
          <w:color w:val="000000"/>
          <w:szCs w:val="22"/>
        </w:rPr>
        <w:t>The status of seagrass abundance (</w:t>
      </w:r>
      <w:r w:rsidR="00882B72" w:rsidRPr="00CB093C">
        <w:rPr>
          <w:rFonts w:ascii="Arial" w:hAnsi="Arial" w:cs="Arial"/>
          <w:color w:val="000000"/>
          <w:szCs w:val="22"/>
        </w:rPr>
        <w:t>%</w:t>
      </w:r>
      <w:r w:rsidRPr="00CB093C">
        <w:rPr>
          <w:rFonts w:ascii="Arial" w:hAnsi="Arial" w:cs="Arial"/>
          <w:color w:val="000000"/>
          <w:szCs w:val="22"/>
        </w:rPr>
        <w:t xml:space="preserve"> cover) was determined using the seagrass abundance guidelines developed by McKenzie (2009). The seagrass abundance measure in the MMP is the average </w:t>
      </w:r>
      <w:r w:rsidR="00882B72" w:rsidRPr="00CB093C">
        <w:rPr>
          <w:rFonts w:ascii="Arial" w:hAnsi="Arial" w:cs="Arial"/>
          <w:color w:val="000000"/>
          <w:szCs w:val="22"/>
        </w:rPr>
        <w:t>%</w:t>
      </w:r>
      <w:r w:rsidRPr="00CB093C">
        <w:rPr>
          <w:rFonts w:ascii="Arial" w:hAnsi="Arial" w:cs="Arial"/>
          <w:color w:val="000000"/>
          <w:szCs w:val="22"/>
        </w:rPr>
        <w:t xml:space="preserve"> cover of seagrass per monitoring site. Individual site and subregional (habitat type within each NRM region) seagrass abundance guidelines were developed based on </w:t>
      </w:r>
      <w:r w:rsidR="0063478C" w:rsidRPr="00CB093C">
        <w:rPr>
          <w:rFonts w:ascii="Arial" w:hAnsi="Arial" w:cs="Arial"/>
          <w:color w:val="000000"/>
          <w:szCs w:val="22"/>
        </w:rPr>
        <w:t xml:space="preserve"> </w:t>
      </w:r>
      <w:r w:rsidR="00882B72" w:rsidRPr="00CB093C">
        <w:rPr>
          <w:rFonts w:ascii="Arial" w:hAnsi="Arial" w:cs="Arial"/>
          <w:color w:val="000000"/>
          <w:szCs w:val="22"/>
        </w:rPr>
        <w:t>%</w:t>
      </w:r>
      <w:r w:rsidRPr="00CB093C">
        <w:rPr>
          <w:rFonts w:ascii="Arial" w:hAnsi="Arial" w:cs="Arial"/>
          <w:color w:val="000000"/>
          <w:szCs w:val="22"/>
        </w:rPr>
        <w:t xml:space="preserve"> cover data collected from individual sites and/or reference sites (</w:t>
      </w:r>
      <w:hyperlink w:anchor="_ENREF_94" w:tooltip="McKenzie, 2009 #9756" w:history="1">
        <w:r w:rsidR="00513C39" w:rsidRPr="00CB093C">
          <w:rPr>
            <w:rFonts w:ascii="Arial" w:hAnsi="Arial" w:cs="Arial"/>
            <w:color w:val="000000"/>
            <w:szCs w:val="22"/>
          </w:rPr>
          <w:fldChar w:fldCharType="begin"/>
        </w:r>
        <w:r w:rsidR="00513C39" w:rsidRPr="00CB093C">
          <w:rPr>
            <w:rFonts w:ascii="Arial" w:hAnsi="Arial" w:cs="Arial"/>
            <w:color w:val="000000"/>
            <w:szCs w:val="22"/>
          </w:rPr>
          <w:instrText xml:space="preserve"> ADDIN EN.CITE &lt;EndNote&gt;&lt;Cite&gt;&lt;Author&gt;McKenzie&lt;/Author&gt;&lt;Year&gt;2009&lt;/Year&gt;&lt;RecNum&gt;9756&lt;/RecNum&gt;&lt;DisplayText&gt;McKenzie 2009&lt;/DisplayText&gt;&lt;record&gt;&lt;rec-number&gt;9756&lt;/rec-number&gt;&lt;foreign-keys&gt;&lt;key app="EN" db-id="0eve55x9y5vfd6e9dacxtew4eatve2dzds9a" timestamp="1393312309"&gt;9756&lt;/key&gt;&lt;/foreign-keys&gt;&lt;ref-type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http://rrrc.org.au/wp-content/uploads/2014/06/113-QDPIF-McKenzie-L-2009-June-Milestone-Report.pdf accessed 23 February 2017.&lt;/secondary-title&gt;&lt;/titles&gt;&lt;pages&gt;7-1&lt;/pages&gt;&lt;dates&gt;&lt;year&gt;2009&lt;/year&gt;&lt;/dates&gt;&lt;pub-location&gt;Cairns&lt;/pub-location&gt;&lt;publisher&gt;RRRC&lt;/publisher&gt;&lt;urls&gt;&lt;/urls&gt;&lt;/record&gt;&lt;/Cite&gt;&lt;/EndNote&gt;</w:instrText>
        </w:r>
        <w:r w:rsidR="00513C39" w:rsidRPr="00CB093C">
          <w:rPr>
            <w:rFonts w:ascii="Arial" w:hAnsi="Arial" w:cs="Arial"/>
            <w:color w:val="000000"/>
            <w:szCs w:val="22"/>
          </w:rPr>
          <w:fldChar w:fldCharType="separate"/>
        </w:r>
        <w:r w:rsidR="00513C39" w:rsidRPr="00CB093C">
          <w:rPr>
            <w:rFonts w:ascii="Arial" w:hAnsi="Arial" w:cs="Arial"/>
            <w:noProof/>
            <w:color w:val="000000"/>
            <w:szCs w:val="22"/>
          </w:rPr>
          <w:t>McKenzie 2009</w:t>
        </w:r>
        <w:r w:rsidR="00513C39" w:rsidRPr="00CB093C">
          <w:rPr>
            <w:rFonts w:ascii="Arial" w:hAnsi="Arial" w:cs="Arial"/>
            <w:color w:val="000000"/>
            <w:szCs w:val="22"/>
          </w:rPr>
          <w:fldChar w:fldCharType="end"/>
        </w:r>
      </w:hyperlink>
      <w:r w:rsidRPr="00CB093C">
        <w:rPr>
          <w:rFonts w:ascii="Arial" w:hAnsi="Arial" w:cs="Arial"/>
          <w:color w:val="000000"/>
          <w:szCs w:val="22"/>
        </w:rPr>
        <w:t>). Guidelines for individual sites were only applied if the conditions of the site aligned with reference site conditions.</w:t>
      </w:r>
    </w:p>
    <w:p w14:paraId="2CAAFC88" w14:textId="54B78FBD" w:rsidR="00EC7975" w:rsidRPr="00CB093C" w:rsidRDefault="00EC7975" w:rsidP="00842050">
      <w:pPr>
        <w:spacing w:before="240"/>
        <w:rPr>
          <w:rFonts w:ascii="Arial" w:hAnsi="Arial" w:cs="Arial"/>
          <w:color w:val="000000"/>
          <w:szCs w:val="22"/>
        </w:rPr>
      </w:pPr>
      <w:r w:rsidRPr="00CB093C">
        <w:rPr>
          <w:rFonts w:ascii="Arial" w:hAnsi="Arial" w:cs="Arial"/>
          <w:color w:val="000000"/>
          <w:szCs w:val="22"/>
        </w:rPr>
        <w:t>A reference site is a site whose condition is considered to be a suitable baseline or benchmark for assessment and management of sites in similar habitats. Ideally, seagrass meadows in near pristine condition with a long-term abundance database would have priority as reference sites. However, as near-pristine meadows are not available, sites which have received less intense impacts can justifiably be used. In such situations, reference sites are those where the condition of the site has been subject to minimal/limited disturbance for 3-5 years. The duration of 3-5 years is based on recovery from impact times (</w:t>
      </w:r>
      <w:hyperlink w:anchor="_ENREF_18" w:tooltip="Campbell, 2004 #2838" w:history="1">
        <w:r w:rsidR="00513C39" w:rsidRPr="00CB093C">
          <w:rPr>
            <w:rFonts w:ascii="Arial" w:hAnsi="Arial" w:cs="Arial"/>
            <w:color w:val="000000"/>
            <w:szCs w:val="22"/>
          </w:rPr>
          <w:fldChar w:fldCharType="begin"/>
        </w:r>
        <w:r w:rsidR="00513C39" w:rsidRPr="00CB093C">
          <w:rPr>
            <w:rFonts w:ascii="Arial" w:hAnsi="Arial" w:cs="Arial"/>
            <w:color w:val="000000"/>
            <w:szCs w:val="22"/>
          </w:rPr>
          <w:instrText xml:space="preserve"> ADDIN EN.CITE &lt;EndNote&gt;&lt;Cite&gt;&lt;Author&gt;Campbell&lt;/Author&gt;&lt;Year&gt;2004&lt;/Year&gt;&lt;RecNum&gt;2838&lt;/RecNum&gt;&lt;DisplayText&gt;Campbell and McKenzie 2004&lt;/DisplayText&gt;&lt;record&gt;&lt;rec-number&gt;2838&lt;/rec-number&gt;&lt;foreign-keys&gt;&lt;key app="EN" db-id="0eve55x9y5vfd6e9dacxtew4eatve2dzds9a" timestamp="0"&gt;2838&lt;/key&gt;&lt;/foreign-keys&gt;&lt;ref-type name="Journal Article"&gt;17&lt;/ref-type&gt;&lt;contributors&gt;&lt;authors&gt;&lt;author&gt;Campbell, Stuart J.&lt;/author&gt;&lt;author&gt;McKenzie, Len 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number&gt;3&lt;/number&gt;&lt;dates&gt;&lt;year&gt;2004&lt;/year&gt;&lt;pub-dates&gt;&lt;date&gt;2004/7&lt;/date&gt;&lt;/pub-dates&gt;&lt;/dates&gt;&lt;urls&gt;&lt;related-urls&gt;&lt;url&gt;http://www.sciencedirect.com/science/article/B6WDV-4C4BJR5-5/2/154810987202fc6d27ba6fa35c07f197&lt;/url&gt;&lt;/related-urls&gt;&lt;/urls&gt;&lt;/record&gt;&lt;/Cite&gt;&lt;/EndNote&gt;</w:instrText>
        </w:r>
        <w:r w:rsidR="00513C39" w:rsidRPr="00CB093C">
          <w:rPr>
            <w:rFonts w:ascii="Arial" w:hAnsi="Arial" w:cs="Arial"/>
            <w:color w:val="000000"/>
            <w:szCs w:val="22"/>
          </w:rPr>
          <w:fldChar w:fldCharType="separate"/>
        </w:r>
        <w:r w:rsidR="00513C39" w:rsidRPr="00CB093C">
          <w:rPr>
            <w:rFonts w:ascii="Arial" w:hAnsi="Arial" w:cs="Arial"/>
            <w:noProof/>
            <w:color w:val="000000"/>
            <w:szCs w:val="22"/>
          </w:rPr>
          <w:t>Campbell and McKenzie 2004</w:t>
        </w:r>
        <w:r w:rsidR="00513C39" w:rsidRPr="00CB093C">
          <w:rPr>
            <w:rFonts w:ascii="Arial" w:hAnsi="Arial" w:cs="Arial"/>
            <w:color w:val="000000"/>
            <w:szCs w:val="22"/>
          </w:rPr>
          <w:fldChar w:fldCharType="end"/>
        </w:r>
      </w:hyperlink>
      <w:r w:rsidRPr="00CB093C">
        <w:rPr>
          <w:rFonts w:ascii="Arial" w:hAnsi="Arial" w:cs="Arial"/>
          <w:color w:val="000000"/>
          <w:szCs w:val="22"/>
        </w:rPr>
        <w:t xml:space="preserve">). </w:t>
      </w:r>
    </w:p>
    <w:p w14:paraId="36A6C1B4" w14:textId="0DF0FA45" w:rsidR="00EC7975" w:rsidRPr="00CB093C" w:rsidRDefault="00036CBF" w:rsidP="00EC7975">
      <w:pPr>
        <w:spacing w:before="240"/>
        <w:rPr>
          <w:rFonts w:ascii="Arial" w:hAnsi="Arial" w:cs="Arial"/>
          <w:color w:val="000000"/>
          <w:szCs w:val="22"/>
        </w:rPr>
      </w:pPr>
      <w:r w:rsidRPr="00CB093C">
        <w:rPr>
          <w:rFonts w:ascii="Arial" w:hAnsi="Arial" w:cs="Arial"/>
          <w:color w:val="000000"/>
          <w:szCs w:val="22"/>
        </w:rPr>
        <w:t>There is n</w:t>
      </w:r>
      <w:r w:rsidR="00EC7975" w:rsidRPr="00CB093C">
        <w:rPr>
          <w:rFonts w:ascii="Arial" w:hAnsi="Arial" w:cs="Arial"/>
          <w:color w:val="000000"/>
          <w:szCs w:val="22"/>
        </w:rPr>
        <w:t xml:space="preserve">o </w:t>
      </w:r>
      <w:r w:rsidRPr="00CB093C">
        <w:rPr>
          <w:rFonts w:ascii="Arial" w:hAnsi="Arial" w:cs="Arial"/>
          <w:color w:val="000000"/>
          <w:szCs w:val="22"/>
        </w:rPr>
        <w:t>set/established</w:t>
      </w:r>
      <w:r w:rsidR="00EC7975" w:rsidRPr="00CB093C">
        <w:rPr>
          <w:rFonts w:ascii="Arial" w:hAnsi="Arial" w:cs="Arial"/>
          <w:color w:val="000000"/>
          <w:szCs w:val="22"/>
        </w:rPr>
        <w:t xml:space="preserve"> protocol for the selection of reference sites and the process is ultimately iterative. The criteria for defining a minimally/least disturbed seagrass reference site is based on </w:t>
      </w:r>
      <w:hyperlink w:anchor="_ENREF_116" w:tooltip="Monitoring River Health Initiative, 1994 #9713" w:history="1">
        <w:r w:rsidR="00513C39" w:rsidRPr="00CB093C">
          <w:rPr>
            <w:rFonts w:ascii="Arial" w:hAnsi="Arial" w:cs="Arial"/>
            <w:color w:val="000000"/>
            <w:szCs w:val="22"/>
          </w:rPr>
          <w:fldChar w:fldCharType="begin"/>
        </w:r>
        <w:r w:rsidR="00513C39" w:rsidRPr="00CB093C">
          <w:rPr>
            <w:rFonts w:ascii="Arial" w:hAnsi="Arial" w:cs="Arial"/>
            <w:color w:val="000000"/>
            <w:szCs w:val="22"/>
          </w:rPr>
          <w:instrText xml:space="preserve"> ADDIN EN.CITE &lt;EndNote&gt;&lt;Cite&gt;&lt;Author&gt;Monitoring River Health Initiative&lt;/Author&gt;&lt;Year&gt;1994&lt;/Year&gt;&lt;RecNum&gt;9713&lt;/RecNum&gt;&lt;DisplayText&gt;Monitoring River Health Initiative 1994&lt;/DisplayText&gt;&lt;record&gt;&lt;rec-number&gt;9713&lt;/rec-number&gt;&lt;foreign-keys&gt;&lt;key app="EN" db-id="0eve55x9y5vfd6e9dacxtew4eatve2dzds9a" timestamp="1393200377"&gt;9713&lt;/key&gt;&lt;/foreign-keys&gt;&lt;ref-type name="Book"&gt;6&lt;/ref-type&gt;&lt;contributors&gt;&lt;authors&gt;&lt;author&gt;Monitoring River Health Initiative,&lt;/author&gt;&lt;/authors&gt;&lt;/contributors&gt;&lt;titles&gt;&lt;title&gt;River Bioassessment Manual, National River Processes and Management Program, Tasmania. http://www.environment.gov.au/water/publications/environmental/rivers/nrhp/bioassess.html, accessed 10 February 2014.&lt;/title&gt;&lt;/titles&gt;&lt;pages&gt;44&lt;/pages&gt;&lt;dates&gt;&lt;year&gt;1994&lt;/year&gt;&lt;/dates&gt;&lt;urls&gt;&lt;/urls&gt;&lt;/record&gt;&lt;/Cite&gt;&lt;/EndNote&gt;</w:instrText>
        </w:r>
        <w:r w:rsidR="00513C39" w:rsidRPr="00CB093C">
          <w:rPr>
            <w:rFonts w:ascii="Arial" w:hAnsi="Arial" w:cs="Arial"/>
            <w:color w:val="000000"/>
            <w:szCs w:val="22"/>
          </w:rPr>
          <w:fldChar w:fldCharType="separate"/>
        </w:r>
        <w:r w:rsidR="00513C39" w:rsidRPr="00CB093C">
          <w:rPr>
            <w:rFonts w:ascii="Arial" w:hAnsi="Arial" w:cs="Arial"/>
            <w:noProof/>
            <w:color w:val="000000"/>
            <w:szCs w:val="22"/>
          </w:rPr>
          <w:t>Monitoring River Health Initiative 1994</w:t>
        </w:r>
        <w:r w:rsidR="00513C39" w:rsidRPr="00CB093C">
          <w:rPr>
            <w:rFonts w:ascii="Arial" w:hAnsi="Arial" w:cs="Arial"/>
            <w:color w:val="000000"/>
            <w:szCs w:val="22"/>
          </w:rPr>
          <w:fldChar w:fldCharType="end"/>
        </w:r>
      </w:hyperlink>
      <w:r w:rsidR="00EC7975" w:rsidRPr="00CB093C">
        <w:rPr>
          <w:rFonts w:ascii="Arial" w:hAnsi="Arial" w:cs="Arial"/>
          <w:color w:val="000000"/>
          <w:szCs w:val="22"/>
        </w:rPr>
        <w:t>) and includes some or all of the following:</w:t>
      </w:r>
    </w:p>
    <w:p w14:paraId="3661D721" w14:textId="1B651E6A" w:rsidR="00EC7975" w:rsidRPr="00CB093C" w:rsidRDefault="00EC7975" w:rsidP="00AD06D4">
      <w:pPr>
        <w:numPr>
          <w:ilvl w:val="0"/>
          <w:numId w:val="1"/>
        </w:numPr>
        <w:tabs>
          <w:tab w:val="clear" w:pos="360"/>
          <w:tab w:val="num" w:pos="709"/>
        </w:tabs>
        <w:spacing w:before="0" w:after="0"/>
        <w:ind w:left="709" w:hanging="349"/>
        <w:rPr>
          <w:rFonts w:ascii="Arial" w:hAnsi="Arial" w:cs="Arial"/>
          <w:color w:val="000000"/>
          <w:szCs w:val="22"/>
        </w:rPr>
      </w:pPr>
      <w:r w:rsidRPr="00CB093C">
        <w:rPr>
          <w:rFonts w:ascii="Arial" w:hAnsi="Arial" w:cs="Arial"/>
          <w:color w:val="000000"/>
          <w:szCs w:val="22"/>
        </w:rPr>
        <w:t>beyond 10</w:t>
      </w:r>
      <w:r w:rsidR="00C215FC" w:rsidRPr="00CB093C">
        <w:rPr>
          <w:rFonts w:ascii="Arial" w:hAnsi="Arial" w:cs="Arial"/>
          <w:color w:val="000000"/>
          <w:szCs w:val="22"/>
        </w:rPr>
        <w:t xml:space="preserve"> </w:t>
      </w:r>
      <w:r w:rsidRPr="00CB093C">
        <w:rPr>
          <w:rFonts w:ascii="Arial" w:hAnsi="Arial" w:cs="Arial"/>
          <w:color w:val="000000"/>
          <w:szCs w:val="22"/>
        </w:rPr>
        <w:t>km of a major river: as most suspended solids and particulate nutrients are deposited within a few kilometres of river mouths (</w:t>
      </w:r>
      <w:r w:rsidR="00644A84" w:rsidRPr="00CB093C">
        <w:rPr>
          <w:rFonts w:ascii="Arial" w:hAnsi="Arial" w:cs="Arial"/>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RU4iIGRiLWlkPSIwZXZlNTV4OXk1dmZkNmU5ZGFjeHRldzRlYXR2ZTJkemRzOWEiIHRpbWVzdGFt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</w:fldData>
        </w:fldChar>
      </w:r>
      <w:r w:rsidR="005B0C7C" w:rsidRPr="00CB093C">
        <w:rPr>
          <w:rFonts w:ascii="Arial" w:hAnsi="Arial" w:cs="Arial"/>
          <w:color w:val="000000"/>
          <w:szCs w:val="22"/>
        </w:rPr>
        <w:instrText xml:space="preserve"> ADDIN EN.CITE </w:instrText>
      </w:r>
      <w:r w:rsidR="005B0C7C" w:rsidRPr="00CB093C">
        <w:rPr>
          <w:rFonts w:ascii="Arial" w:hAnsi="Arial" w:cs="Arial"/>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RU4iIGRiLWlkPSIwZXZlNTV4OXk1dmZkNmU5ZGFjeHRldzRlYXR2ZTJkemRzOWEiIHRpbWVzdGFt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</w:fldData>
        </w:fldChar>
      </w:r>
      <w:r w:rsidR="005B0C7C" w:rsidRPr="00CB093C">
        <w:rPr>
          <w:rFonts w:ascii="Arial" w:hAnsi="Arial" w:cs="Arial"/>
          <w:color w:val="000000"/>
          <w:szCs w:val="22"/>
        </w:rPr>
        <w:instrText xml:space="preserve"> ADDIN EN.CITE.DATA </w:instrText>
      </w:r>
      <w:r w:rsidR="005B0C7C" w:rsidRPr="00CB093C">
        <w:rPr>
          <w:rFonts w:ascii="Arial" w:hAnsi="Arial" w:cs="Arial"/>
          <w:color w:val="000000"/>
          <w:szCs w:val="22"/>
        </w:rPr>
      </w:r>
      <w:r w:rsidR="005B0C7C" w:rsidRPr="00CB093C">
        <w:rPr>
          <w:rFonts w:ascii="Arial" w:hAnsi="Arial" w:cs="Arial"/>
          <w:color w:val="000000"/>
          <w:szCs w:val="22"/>
        </w:rPr>
        <w:fldChar w:fldCharType="end"/>
      </w:r>
      <w:r w:rsidR="00644A84" w:rsidRPr="00CB093C">
        <w:rPr>
          <w:rFonts w:ascii="Arial" w:hAnsi="Arial" w:cs="Arial"/>
          <w:color w:val="000000"/>
          <w:szCs w:val="22"/>
        </w:rPr>
      </w:r>
      <w:r w:rsidR="00644A84" w:rsidRPr="00CB093C">
        <w:rPr>
          <w:rFonts w:ascii="Arial" w:hAnsi="Arial" w:cs="Arial"/>
          <w:color w:val="000000"/>
          <w:szCs w:val="22"/>
        </w:rPr>
        <w:fldChar w:fldCharType="separate"/>
      </w:r>
      <w:hyperlink w:anchor="_ENREF_92" w:tooltip="McCulloch, 2003 #9043" w:history="1">
        <w:r w:rsidR="00513C39" w:rsidRPr="00CB093C">
          <w:rPr>
            <w:rFonts w:ascii="Arial" w:hAnsi="Arial" w:cs="Arial"/>
            <w:noProof/>
            <w:color w:val="000000"/>
            <w:szCs w:val="22"/>
          </w:rPr>
          <w:t>McCulloch</w:t>
        </w:r>
        <w:r w:rsidR="00513C39" w:rsidRPr="00CB093C">
          <w:rPr>
            <w:rFonts w:ascii="Arial" w:hAnsi="Arial" w:cs="Arial"/>
            <w:i/>
            <w:noProof/>
            <w:color w:val="000000"/>
            <w:szCs w:val="22"/>
          </w:rPr>
          <w:t xml:space="preserve"> et al.</w:t>
        </w:r>
        <w:r w:rsidR="00513C39" w:rsidRPr="00CB093C">
          <w:rPr>
            <w:rFonts w:ascii="Arial" w:hAnsi="Arial" w:cs="Arial"/>
            <w:noProof/>
            <w:color w:val="000000"/>
            <w:szCs w:val="22"/>
          </w:rPr>
          <w:t xml:space="preserve"> 2003</w:t>
        </w:r>
      </w:hyperlink>
      <w:r w:rsidR="00644A84" w:rsidRPr="00CB093C">
        <w:rPr>
          <w:rFonts w:ascii="Arial" w:hAnsi="Arial" w:cs="Arial"/>
          <w:noProof/>
          <w:color w:val="000000"/>
          <w:szCs w:val="22"/>
        </w:rPr>
        <w:t xml:space="preserve">; </w:t>
      </w:r>
      <w:hyperlink w:anchor="_ENREF_153" w:tooltip="Webster, 2010 #9775" w:history="1">
        <w:r w:rsidR="00513C39" w:rsidRPr="00CB093C">
          <w:rPr>
            <w:rFonts w:ascii="Arial" w:hAnsi="Arial" w:cs="Arial"/>
            <w:noProof/>
            <w:color w:val="000000"/>
            <w:szCs w:val="22"/>
          </w:rPr>
          <w:t>Webster and Ford 2010</w:t>
        </w:r>
      </w:hyperlink>
      <w:r w:rsidR="00644A84" w:rsidRPr="00CB093C">
        <w:rPr>
          <w:rFonts w:ascii="Arial" w:hAnsi="Arial" w:cs="Arial"/>
          <w:noProof/>
          <w:color w:val="000000"/>
          <w:szCs w:val="22"/>
        </w:rPr>
        <w:t xml:space="preserve">; </w:t>
      </w:r>
      <w:hyperlink w:anchor="_ENREF_9" w:tooltip="Bainbridge, 2012 #9776" w:history="1">
        <w:r w:rsidR="00513C39" w:rsidRPr="00CB093C">
          <w:rPr>
            <w:rFonts w:ascii="Arial" w:hAnsi="Arial" w:cs="Arial"/>
            <w:noProof/>
            <w:color w:val="000000"/>
            <w:szCs w:val="22"/>
          </w:rPr>
          <w:t>Bainbridge</w:t>
        </w:r>
        <w:r w:rsidR="00513C39" w:rsidRPr="00CB093C">
          <w:rPr>
            <w:rFonts w:ascii="Arial" w:hAnsi="Arial" w:cs="Arial"/>
            <w:i/>
            <w:noProof/>
            <w:color w:val="000000"/>
            <w:szCs w:val="22"/>
          </w:rPr>
          <w:t xml:space="preserve"> et al.</w:t>
        </w:r>
        <w:r w:rsidR="00513C39" w:rsidRPr="00CB093C">
          <w:rPr>
            <w:rFonts w:ascii="Arial" w:hAnsi="Arial" w:cs="Arial"/>
            <w:noProof/>
            <w:color w:val="000000"/>
            <w:szCs w:val="22"/>
          </w:rPr>
          <w:t xml:space="preserve"> 2012</w:t>
        </w:r>
      </w:hyperlink>
      <w:r w:rsidR="00644A84" w:rsidRPr="00CB093C">
        <w:rPr>
          <w:rFonts w:ascii="Arial" w:hAnsi="Arial" w:cs="Arial"/>
          <w:noProof/>
          <w:color w:val="000000"/>
          <w:szCs w:val="22"/>
        </w:rPr>
        <w:t xml:space="preserve">; </w:t>
      </w:r>
      <w:hyperlink w:anchor="_ENREF_13" w:tooltip="Brodie, 2012 #9319" w:history="1">
        <w:r w:rsidR="00513C39" w:rsidRPr="00CB093C">
          <w:rPr>
            <w:rFonts w:ascii="Arial" w:hAnsi="Arial" w:cs="Arial"/>
            <w:noProof/>
            <w:color w:val="000000"/>
            <w:szCs w:val="22"/>
          </w:rPr>
          <w:t>Brodie</w:t>
        </w:r>
        <w:r w:rsidR="00513C39" w:rsidRPr="00CB093C">
          <w:rPr>
            <w:rFonts w:ascii="Arial" w:hAnsi="Arial" w:cs="Arial"/>
            <w:i/>
            <w:noProof/>
            <w:color w:val="000000"/>
            <w:szCs w:val="22"/>
          </w:rPr>
          <w:t xml:space="preserve"> et al.</w:t>
        </w:r>
        <w:r w:rsidR="00513C39" w:rsidRPr="00CB093C">
          <w:rPr>
            <w:rFonts w:ascii="Arial" w:hAnsi="Arial" w:cs="Arial"/>
            <w:noProof/>
            <w:color w:val="000000"/>
            <w:szCs w:val="22"/>
          </w:rPr>
          <w:t xml:space="preserve"> 2012</w:t>
        </w:r>
      </w:hyperlink>
      <w:r w:rsidR="00644A84" w:rsidRPr="00CB093C">
        <w:rPr>
          <w:rFonts w:ascii="Arial" w:hAnsi="Arial" w:cs="Arial"/>
          <w:color w:val="000000"/>
          <w:szCs w:val="22"/>
        </w:rPr>
        <w:fldChar w:fldCharType="end"/>
      </w:r>
      <w:r w:rsidRPr="00CB093C">
        <w:rPr>
          <w:rFonts w:ascii="Arial" w:hAnsi="Arial" w:cs="Arial"/>
          <w:color w:val="000000"/>
          <w:szCs w:val="22"/>
        </w:rPr>
        <w:t>)</w:t>
      </w:r>
    </w:p>
    <w:p w14:paraId="6286E46E" w14:textId="35C27438" w:rsidR="00EC7975" w:rsidRPr="00CB093C" w:rsidRDefault="00EC7975" w:rsidP="00AD06D4">
      <w:pPr>
        <w:numPr>
          <w:ilvl w:val="0"/>
          <w:numId w:val="1"/>
        </w:numPr>
        <w:tabs>
          <w:tab w:val="clear" w:pos="360"/>
          <w:tab w:val="num" w:pos="709"/>
        </w:tabs>
        <w:spacing w:before="0" w:after="0"/>
        <w:ind w:left="709" w:hanging="349"/>
        <w:rPr>
          <w:rFonts w:ascii="Arial" w:hAnsi="Arial" w:cs="Arial"/>
          <w:color w:val="000000"/>
          <w:szCs w:val="22"/>
        </w:rPr>
      </w:pPr>
      <w:r w:rsidRPr="00CB093C">
        <w:rPr>
          <w:rFonts w:ascii="Arial" w:hAnsi="Arial" w:cs="Arial"/>
          <w:color w:val="000000"/>
          <w:szCs w:val="22"/>
        </w:rPr>
        <w:t>no major urban area/development (&gt;5000 population) within 10</w:t>
      </w:r>
      <w:r w:rsidR="00C215FC" w:rsidRPr="00CB093C">
        <w:rPr>
          <w:rFonts w:ascii="Arial" w:hAnsi="Arial" w:cs="Arial"/>
          <w:color w:val="000000"/>
          <w:szCs w:val="22"/>
        </w:rPr>
        <w:t xml:space="preserve"> </w:t>
      </w:r>
      <w:r w:rsidRPr="00CB093C">
        <w:rPr>
          <w:rFonts w:ascii="Arial" w:hAnsi="Arial" w:cs="Arial"/>
          <w:color w:val="000000"/>
          <w:szCs w:val="22"/>
        </w:rPr>
        <w:t>km upstream (prevailing current)</w:t>
      </w:r>
    </w:p>
    <w:p w14:paraId="6BF628D3" w14:textId="77777777" w:rsidR="00EC7975" w:rsidRPr="00CB093C" w:rsidRDefault="00EC7975" w:rsidP="00AD06D4">
      <w:pPr>
        <w:numPr>
          <w:ilvl w:val="0"/>
          <w:numId w:val="1"/>
        </w:numPr>
        <w:tabs>
          <w:tab w:val="clear" w:pos="360"/>
          <w:tab w:val="num" w:pos="709"/>
        </w:tabs>
        <w:spacing w:before="0" w:after="0"/>
        <w:ind w:left="709" w:hanging="349"/>
        <w:rPr>
          <w:rFonts w:ascii="Arial" w:hAnsi="Arial" w:cs="Arial"/>
          <w:color w:val="000000"/>
          <w:szCs w:val="22"/>
        </w:rPr>
      </w:pPr>
      <w:r w:rsidRPr="00CB093C">
        <w:rPr>
          <w:rFonts w:ascii="Arial" w:hAnsi="Arial" w:cs="Arial"/>
          <w:color w:val="000000"/>
          <w:szCs w:val="22"/>
        </w:rPr>
        <w:t>no significant point source wastewater discharge within the estuary</w:t>
      </w:r>
    </w:p>
    <w:p w14:paraId="5D8910D3" w14:textId="77777777" w:rsidR="00EC7975" w:rsidRPr="00CB093C" w:rsidRDefault="00EC7975" w:rsidP="00AD06D4">
      <w:pPr>
        <w:numPr>
          <w:ilvl w:val="0"/>
          <w:numId w:val="1"/>
        </w:numPr>
        <w:tabs>
          <w:tab w:val="clear" w:pos="360"/>
          <w:tab w:val="num" w:pos="709"/>
        </w:tabs>
        <w:spacing w:before="0" w:after="0"/>
        <w:ind w:left="709" w:hanging="349"/>
        <w:rPr>
          <w:rFonts w:ascii="Arial" w:hAnsi="Arial" w:cs="Arial"/>
          <w:color w:val="000000"/>
          <w:szCs w:val="22"/>
        </w:rPr>
      </w:pPr>
      <w:r w:rsidRPr="00CB093C">
        <w:rPr>
          <w:rFonts w:ascii="Arial" w:hAnsi="Arial" w:cs="Arial"/>
          <w:color w:val="000000"/>
          <w:szCs w:val="22"/>
        </w:rPr>
        <w:t xml:space="preserve">has not been impacted by an event (anthropogenic or extreme climate) in the last 3-5 years </w:t>
      </w:r>
    </w:p>
    <w:p w14:paraId="6E575753" w14:textId="2AF47A20" w:rsidR="00EC7975" w:rsidRPr="00CB093C" w:rsidRDefault="00EC7975" w:rsidP="00AD06D4">
      <w:pPr>
        <w:numPr>
          <w:ilvl w:val="0"/>
          <w:numId w:val="1"/>
        </w:numPr>
        <w:tabs>
          <w:tab w:val="clear" w:pos="360"/>
          <w:tab w:val="num" w:pos="709"/>
        </w:tabs>
        <w:spacing w:before="0" w:after="0"/>
        <w:ind w:left="709" w:hanging="349"/>
        <w:rPr>
          <w:rFonts w:ascii="Arial" w:hAnsi="Arial" w:cs="Arial"/>
          <w:color w:val="000000"/>
          <w:szCs w:val="22"/>
        </w:rPr>
      </w:pPr>
      <w:r w:rsidRPr="00CB093C">
        <w:rPr>
          <w:rFonts w:ascii="Arial" w:hAnsi="Arial" w:cs="Arial"/>
          <w:color w:val="000000"/>
          <w:szCs w:val="22"/>
        </w:rPr>
        <w:t>where the species composition is dominated by the foundation species expected for the habitats (</w:t>
      </w:r>
      <w:hyperlink w:anchor="_ENREF_21" w:tooltip="Carruthers, 2002 #8021" w:history="1">
        <w:r w:rsidR="00513C39" w:rsidRPr="00CB093C">
          <w:rPr>
            <w:rFonts w:ascii="Arial" w:hAnsi="Arial" w:cs="Arial"/>
            <w:color w:val="000000"/>
            <w:szCs w:val="22"/>
          </w:rPr>
          <w:fldChar w:fldCharType="begin"/>
        </w:r>
        <w:r w:rsidR="00513C39" w:rsidRPr="00CB093C">
          <w:rPr>
            <w:rFonts w:ascii="Arial" w:hAnsi="Arial" w:cs="Arial"/>
            <w:color w:val="000000"/>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513C39" w:rsidRPr="00CB093C">
          <w:rPr>
            <w:rFonts w:ascii="Arial" w:hAnsi="Arial" w:cs="Arial"/>
            <w:color w:val="000000"/>
            <w:szCs w:val="22"/>
          </w:rPr>
          <w:fldChar w:fldCharType="separate"/>
        </w:r>
        <w:r w:rsidR="00513C39" w:rsidRPr="00CB093C">
          <w:rPr>
            <w:rFonts w:ascii="Arial" w:hAnsi="Arial" w:cs="Arial"/>
            <w:noProof/>
            <w:color w:val="000000"/>
            <w:szCs w:val="22"/>
          </w:rPr>
          <w:t>Carruthers</w:t>
        </w:r>
        <w:r w:rsidR="00513C39" w:rsidRPr="00CB093C">
          <w:rPr>
            <w:rFonts w:ascii="Arial" w:hAnsi="Arial" w:cs="Arial"/>
            <w:i/>
            <w:noProof/>
            <w:color w:val="000000"/>
            <w:szCs w:val="22"/>
          </w:rPr>
          <w:t xml:space="preserve"> et al.</w:t>
        </w:r>
        <w:r w:rsidR="00513C39" w:rsidRPr="00CB093C">
          <w:rPr>
            <w:rFonts w:ascii="Arial" w:hAnsi="Arial" w:cs="Arial"/>
            <w:noProof/>
            <w:color w:val="000000"/>
            <w:szCs w:val="22"/>
          </w:rPr>
          <w:t xml:space="preserve"> 2002</w:t>
        </w:r>
        <w:r w:rsidR="00513C39" w:rsidRPr="00CB093C">
          <w:rPr>
            <w:rFonts w:ascii="Arial" w:hAnsi="Arial" w:cs="Arial"/>
            <w:color w:val="000000"/>
            <w:szCs w:val="22"/>
          </w:rPr>
          <w:fldChar w:fldCharType="end"/>
        </w:r>
      </w:hyperlink>
      <w:r w:rsidRPr="00CB093C">
        <w:rPr>
          <w:rFonts w:ascii="Arial" w:hAnsi="Arial" w:cs="Arial"/>
          <w:color w:val="000000"/>
          <w:szCs w:val="22"/>
        </w:rPr>
        <w:t>)</w:t>
      </w:r>
    </w:p>
    <w:p w14:paraId="27BE01D7" w14:textId="77777777" w:rsidR="00EC7975" w:rsidRPr="00CB093C" w:rsidRDefault="00EC7975" w:rsidP="00AD06D4">
      <w:pPr>
        <w:numPr>
          <w:ilvl w:val="0"/>
          <w:numId w:val="1"/>
        </w:numPr>
        <w:tabs>
          <w:tab w:val="clear" w:pos="360"/>
          <w:tab w:val="num" w:pos="709"/>
        </w:tabs>
        <w:spacing w:before="0" w:after="0"/>
        <w:ind w:left="709" w:hanging="349"/>
        <w:rPr>
          <w:rFonts w:ascii="Arial" w:hAnsi="Arial" w:cs="Arial"/>
          <w:color w:val="000000"/>
          <w:szCs w:val="22"/>
        </w:rPr>
      </w:pPr>
      <w:r w:rsidRPr="00CB093C">
        <w:rPr>
          <w:rFonts w:ascii="Arial" w:hAnsi="Arial" w:cs="Arial"/>
          <w:color w:val="000000"/>
          <w:szCs w:val="22"/>
        </w:rPr>
        <w:t>does not suggest the meadow is in recovery (i.e. dominated by early colonising).</w:t>
      </w:r>
    </w:p>
    <w:p w14:paraId="3F596428" w14:textId="60D8B076" w:rsidR="00EC7975" w:rsidRPr="00CB093C" w:rsidRDefault="00EC7975" w:rsidP="00EC7975">
      <w:pPr>
        <w:spacing w:before="240"/>
        <w:rPr>
          <w:rFonts w:ascii="Arial" w:hAnsi="Arial" w:cs="Arial"/>
          <w:color w:val="000000"/>
          <w:szCs w:val="22"/>
        </w:rPr>
      </w:pPr>
      <w:r w:rsidRPr="00CB093C">
        <w:rPr>
          <w:rFonts w:ascii="Arial" w:hAnsi="Arial" w:cs="Arial"/>
          <w:color w:val="000000"/>
          <w:szCs w:val="22"/>
        </w:rPr>
        <w:t>The 80</w:t>
      </w:r>
      <w:r w:rsidRPr="00CB093C">
        <w:rPr>
          <w:rFonts w:ascii="Arial" w:hAnsi="Arial" w:cs="Arial"/>
          <w:color w:val="000000"/>
          <w:szCs w:val="22"/>
          <w:vertAlign w:val="superscript"/>
        </w:rPr>
        <w:t>th</w:t>
      </w:r>
      <w:r w:rsidRPr="00CB093C">
        <w:rPr>
          <w:rFonts w:ascii="Arial" w:hAnsi="Arial" w:cs="Arial"/>
          <w:color w:val="000000"/>
          <w:szCs w:val="22"/>
        </w:rPr>
        <w:t>, 50</w:t>
      </w:r>
      <w:r w:rsidRPr="00CB093C">
        <w:rPr>
          <w:rFonts w:ascii="Arial" w:hAnsi="Arial" w:cs="Arial"/>
          <w:color w:val="000000"/>
          <w:szCs w:val="22"/>
          <w:vertAlign w:val="superscript"/>
        </w:rPr>
        <w:t>th</w:t>
      </w:r>
      <w:r w:rsidRPr="00CB093C">
        <w:rPr>
          <w:rFonts w:ascii="Arial" w:hAnsi="Arial" w:cs="Arial"/>
          <w:color w:val="000000"/>
          <w:szCs w:val="22"/>
        </w:rPr>
        <w:t xml:space="preserve"> and 20</w:t>
      </w:r>
      <w:r w:rsidRPr="00CB093C">
        <w:rPr>
          <w:rFonts w:ascii="Arial" w:hAnsi="Arial" w:cs="Arial"/>
          <w:color w:val="000000"/>
          <w:szCs w:val="22"/>
          <w:vertAlign w:val="superscript"/>
        </w:rPr>
        <w:t>th</w:t>
      </w:r>
      <w:r w:rsidRPr="00CB093C">
        <w:rPr>
          <w:rFonts w:ascii="Arial" w:hAnsi="Arial" w:cs="Arial"/>
          <w:color w:val="000000"/>
          <w:szCs w:val="22"/>
        </w:rPr>
        <w:t xml:space="preserve"> percentiles were used to define the guideline values as these are recommended for water quality guidelines (</w:t>
      </w:r>
      <w:hyperlink w:anchor="_ENREF_45" w:tooltip="Department of Environment and Resource Management, 2009 #9777" w:history="1">
        <w:r w:rsidR="00513C39" w:rsidRPr="00CB093C">
          <w:rPr>
            <w:rFonts w:ascii="Arial" w:hAnsi="Arial" w:cs="Arial"/>
            <w:color w:val="000000"/>
            <w:szCs w:val="22"/>
          </w:rPr>
          <w:fldChar w:fldCharType="begin"/>
        </w:r>
        <w:r w:rsidR="00513C39" w:rsidRPr="00CB093C">
          <w:rPr>
            <w:rFonts w:ascii="Arial" w:hAnsi="Arial" w:cs="Arial"/>
            <w:color w:val="000000"/>
            <w:szCs w:val="22"/>
          </w:rPr>
          <w:instrText xml:space="preserve"> ADDIN EN.CITE &lt;EndNote&gt;&lt;Cite&gt;&lt;Author&gt;Department of Environment and Resource Management&lt;/Author&gt;&lt;Year&gt;2009&lt;/Year&gt;&lt;RecNum&gt;9777&lt;/RecNum&gt;&lt;DisplayText&gt;Department of Environment and Resource Management 2009&lt;/DisplayText&gt;&lt;record&gt;&lt;rec-number&gt;9777&lt;/rec-number&gt;&lt;foreign-keys&gt;&lt;key app="EN" db-id="0eve55x9y5vfd6e9dacxtew4eatve2dzds9a" timestamp="1394312817"&gt;9777&lt;/key&gt;&lt;/foreign-keys&gt;&lt;ref-type name="Book"&gt;6&lt;/ref-type&gt;&lt;contributors&gt;&lt;authors&gt;&lt;author&gt;Department of Environment and Resource Management,&lt;/author&gt;&lt;/authors&gt;&lt;/contributors&gt;&lt;titles&gt;&lt;title&gt;Queensland Water Quality Guidelines, Version 3. ISBN 978-0-9806986-0-2&lt;/title&gt;&lt;/titles&gt;&lt;pages&gt;121&lt;/pages&gt;&lt;dates&gt;&lt;year&gt;2009&lt;/year&gt;&lt;/dates&gt;&lt;pub-location&gt;Brisbane&lt;/pub-location&gt;&lt;publisher&gt;State of Queensland (Department of Environment and Resource Management)&lt;/publisher&gt;&lt;urls&gt;&lt;/urls&gt;&lt;/record&gt;&lt;/Cite&gt;&lt;/EndNote&gt;</w:instrText>
        </w:r>
        <w:r w:rsidR="00513C39" w:rsidRPr="00CB093C">
          <w:rPr>
            <w:rFonts w:ascii="Arial" w:hAnsi="Arial" w:cs="Arial"/>
            <w:color w:val="000000"/>
            <w:szCs w:val="22"/>
          </w:rPr>
          <w:fldChar w:fldCharType="separate"/>
        </w:r>
        <w:r w:rsidR="00513C39" w:rsidRPr="00CB093C">
          <w:rPr>
            <w:rFonts w:ascii="Arial" w:hAnsi="Arial" w:cs="Arial"/>
            <w:noProof/>
            <w:color w:val="000000"/>
            <w:szCs w:val="22"/>
          </w:rPr>
          <w:t>Department of Environment and Resource Management 2009</w:t>
        </w:r>
        <w:r w:rsidR="00513C39" w:rsidRPr="00CB093C">
          <w:rPr>
            <w:rFonts w:ascii="Arial" w:hAnsi="Arial" w:cs="Arial"/>
            <w:color w:val="000000"/>
            <w:szCs w:val="22"/>
          </w:rPr>
          <w:fldChar w:fldCharType="end"/>
        </w:r>
      </w:hyperlink>
      <w:r w:rsidRPr="00CB093C">
        <w:rPr>
          <w:rFonts w:ascii="Arial" w:hAnsi="Arial" w:cs="Arial"/>
          <w:color w:val="000000"/>
          <w:szCs w:val="22"/>
        </w:rPr>
        <w:t xml:space="preserve">), and there is no evidence that this approach would not be appropriate for seagrass meadows in the </w:t>
      </w:r>
      <w:r w:rsidR="003158FC" w:rsidRPr="00CB093C">
        <w:rPr>
          <w:rFonts w:ascii="Arial" w:hAnsi="Arial" w:cs="Arial"/>
          <w:color w:val="000000"/>
          <w:szCs w:val="22"/>
        </w:rPr>
        <w:t>Reef</w:t>
      </w:r>
      <w:r w:rsidRPr="00CB093C">
        <w:rPr>
          <w:rFonts w:ascii="Arial" w:hAnsi="Arial" w:cs="Arial"/>
          <w:color w:val="000000"/>
          <w:szCs w:val="22"/>
        </w:rPr>
        <w:t xml:space="preserve">. </w:t>
      </w:r>
      <w:r w:rsidR="006845E9" w:rsidRPr="00CB093C">
        <w:rPr>
          <w:rFonts w:ascii="Arial" w:hAnsi="Arial" w:cs="Arial"/>
          <w:color w:val="000000"/>
          <w:szCs w:val="22"/>
        </w:rPr>
        <w:t xml:space="preserve">At the request of the </w:t>
      </w:r>
      <w:r w:rsidR="006845E9" w:rsidRPr="00CB093C">
        <w:rPr>
          <w:rFonts w:ascii="Arial" w:hAnsi="Arial" w:cs="Arial"/>
          <w:color w:val="000000"/>
          <w:szCs w:val="22"/>
          <w:lang w:val="en-US"/>
        </w:rPr>
        <w:t>Paddock to Reef Integration Team, the 80</w:t>
      </w:r>
      <w:r w:rsidR="006845E9" w:rsidRPr="00CB093C">
        <w:rPr>
          <w:rFonts w:ascii="Arial" w:hAnsi="Arial" w:cs="Arial"/>
          <w:color w:val="000000"/>
          <w:szCs w:val="22"/>
          <w:vertAlign w:val="superscript"/>
          <w:lang w:val="en-US"/>
        </w:rPr>
        <w:t>th</w:t>
      </w:r>
      <w:r w:rsidR="006845E9" w:rsidRPr="00CB093C">
        <w:rPr>
          <w:rFonts w:ascii="Arial" w:hAnsi="Arial" w:cs="Arial"/>
          <w:color w:val="000000"/>
          <w:szCs w:val="22"/>
          <w:lang w:val="en-US"/>
        </w:rPr>
        <w:t xml:space="preserve"> percentile was changed to 75</w:t>
      </w:r>
      <w:r w:rsidR="006845E9" w:rsidRPr="00CB093C">
        <w:rPr>
          <w:rFonts w:ascii="Arial" w:hAnsi="Arial" w:cs="Arial"/>
          <w:color w:val="000000"/>
          <w:szCs w:val="22"/>
          <w:vertAlign w:val="superscript"/>
          <w:lang w:val="en-US"/>
        </w:rPr>
        <w:t>th</w:t>
      </w:r>
      <w:r w:rsidR="006845E9" w:rsidRPr="00CB093C">
        <w:rPr>
          <w:rFonts w:ascii="Arial" w:hAnsi="Arial" w:cs="Arial"/>
          <w:color w:val="000000"/>
          <w:szCs w:val="22"/>
          <w:lang w:val="en-US"/>
        </w:rPr>
        <w:t xml:space="preserve"> to align with other Paddock to Reef report card components.</w:t>
      </w:r>
      <w:r w:rsidR="006845E9" w:rsidRPr="00CB093C">
        <w:rPr>
          <w:rFonts w:ascii="Arial" w:hAnsi="Arial" w:cs="Arial"/>
          <w:color w:val="000000"/>
          <w:szCs w:val="22"/>
        </w:rPr>
        <w:t xml:space="preserve"> </w:t>
      </w:r>
      <w:r w:rsidRPr="00CB093C">
        <w:rPr>
          <w:rFonts w:ascii="Arial" w:hAnsi="Arial" w:cs="Arial"/>
          <w:color w:val="000000"/>
          <w:szCs w:val="22"/>
        </w:rPr>
        <w:t>By plotting the percentile estimates with increasing sample size, the reduction in error becomes apparent as it moves towards the true value (e.g.</w:t>
      </w:r>
      <w:r w:rsidR="006624EF" w:rsidRPr="00CB093C">
        <w:rPr>
          <w:rFonts w:ascii="Arial" w:hAnsi="Arial" w:cs="Arial"/>
          <w:color w:val="000000"/>
          <w:szCs w:val="22"/>
        </w:rPr>
        <w:t xml:space="preserve"> </w:t>
      </w:r>
      <w:r w:rsidR="006624EF" w:rsidRPr="00CB093C">
        <w:rPr>
          <w:rFonts w:ascii="Arial" w:hAnsi="Arial" w:cs="Arial"/>
          <w:color w:val="000000"/>
          <w:szCs w:val="22"/>
        </w:rPr>
        <w:fldChar w:fldCharType="begin"/>
      </w:r>
      <w:r w:rsidR="006624EF" w:rsidRPr="00CB093C">
        <w:rPr>
          <w:rFonts w:ascii="Arial" w:hAnsi="Arial" w:cs="Arial"/>
          <w:color w:val="000000"/>
          <w:szCs w:val="22"/>
        </w:rPr>
        <w:instrText xml:space="preserve"> REF _Ref410560182 \h </w:instrText>
      </w:r>
      <w:r w:rsidR="00DA741D" w:rsidRPr="00CB093C">
        <w:rPr>
          <w:rFonts w:ascii="Arial" w:hAnsi="Arial" w:cs="Arial"/>
          <w:color w:val="000000"/>
          <w:szCs w:val="22"/>
        </w:rPr>
        <w:instrText xml:space="preserve"> \* MERGEFORMAT </w:instrText>
      </w:r>
      <w:r w:rsidR="006624EF" w:rsidRPr="00CB093C">
        <w:rPr>
          <w:rFonts w:ascii="Arial" w:hAnsi="Arial" w:cs="Arial"/>
          <w:color w:val="000000"/>
          <w:szCs w:val="22"/>
        </w:rPr>
      </w:r>
      <w:r w:rsidR="006624EF" w:rsidRPr="00CB093C">
        <w:rPr>
          <w:rFonts w:ascii="Arial" w:hAnsi="Arial" w:cs="Arial"/>
          <w:color w:val="000000"/>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90</w:t>
      </w:r>
      <w:r w:rsidR="006624EF" w:rsidRPr="00CB093C">
        <w:rPr>
          <w:rFonts w:ascii="Arial" w:hAnsi="Arial" w:cs="Arial"/>
          <w:color w:val="000000"/>
          <w:szCs w:val="22"/>
        </w:rPr>
        <w:fldChar w:fldCharType="end"/>
      </w:r>
      <w:r w:rsidRPr="00CB093C">
        <w:rPr>
          <w:rFonts w:ascii="Arial" w:hAnsi="Arial" w:cs="Arial"/>
          <w:color w:val="000000"/>
          <w:szCs w:val="22"/>
        </w:rPr>
        <w:t xml:space="preserve">). </w:t>
      </w:r>
    </w:p>
    <w:p w14:paraId="63641E35" w14:textId="16A20A24" w:rsidR="00EC7975" w:rsidRPr="00CB093C" w:rsidRDefault="00EC7975" w:rsidP="00EC7975">
      <w:pPr>
        <w:spacing w:before="240"/>
        <w:rPr>
          <w:rFonts w:ascii="Arial" w:hAnsi="Arial" w:cs="Arial"/>
          <w:color w:val="000000"/>
          <w:szCs w:val="22"/>
        </w:rPr>
      </w:pPr>
      <w:r w:rsidRPr="00CB093C">
        <w:rPr>
          <w:rFonts w:ascii="Arial" w:hAnsi="Arial" w:cs="Arial"/>
          <w:color w:val="000000"/>
          <w:szCs w:val="22"/>
        </w:rPr>
        <w:t>Across the majority of reference sites, variance for the 50</w:t>
      </w:r>
      <w:r w:rsidRPr="00CB093C">
        <w:rPr>
          <w:rFonts w:ascii="Arial" w:hAnsi="Arial" w:cs="Arial"/>
          <w:color w:val="000000"/>
          <w:szCs w:val="22"/>
          <w:vertAlign w:val="superscript"/>
        </w:rPr>
        <w:t>th</w:t>
      </w:r>
      <w:r w:rsidRPr="00CB093C">
        <w:rPr>
          <w:rFonts w:ascii="Arial" w:hAnsi="Arial" w:cs="Arial"/>
          <w:color w:val="000000"/>
          <w:szCs w:val="22"/>
        </w:rPr>
        <w:t xml:space="preserve"> and 20</w:t>
      </w:r>
      <w:r w:rsidRPr="00CB093C">
        <w:rPr>
          <w:rFonts w:ascii="Arial" w:hAnsi="Arial" w:cs="Arial"/>
          <w:color w:val="000000"/>
          <w:szCs w:val="22"/>
          <w:vertAlign w:val="superscript"/>
        </w:rPr>
        <w:t>th</w:t>
      </w:r>
      <w:r w:rsidRPr="00CB093C">
        <w:rPr>
          <w:rFonts w:ascii="Arial" w:hAnsi="Arial" w:cs="Arial"/>
          <w:color w:val="000000"/>
          <w:szCs w:val="22"/>
        </w:rPr>
        <w:t xml:space="preserve"> percentiles was found to level off at around 15–20 samples (i.e. sampling events), suggesting this number of samples was sufficient to provide a reasonable estimate of the true percentile value.  This sample size is reasonably close to the </w:t>
      </w:r>
      <w:hyperlink w:anchor="_ENREF_4" w:tooltip="ANZECC, 2000 #7891" w:history="1">
        <w:r w:rsidR="00513C39" w:rsidRPr="00CB093C">
          <w:rPr>
            <w:rFonts w:ascii="Arial" w:hAnsi="Arial" w:cs="Arial"/>
            <w:color w:val="000000"/>
            <w:szCs w:val="22"/>
          </w:rPr>
          <w:fldChar w:fldCharType="begin"/>
        </w:r>
        <w:r w:rsidR="00513C39" w:rsidRPr="00CB093C">
          <w:rPr>
            <w:rFonts w:ascii="Arial" w:hAnsi="Arial" w:cs="Arial"/>
            <w:color w:val="000000"/>
            <w:szCs w:val="22"/>
          </w:rPr>
          <w:instrText xml:space="preserve"> ADDIN EN.CITE &lt;EndNote&gt;&lt;Cite&gt;&lt;Author&gt;ANZECC&lt;/Author&gt;&lt;Year&gt;2000&lt;/Year&gt;&lt;RecNum&gt;7891&lt;/RecNum&gt;&lt;DisplayText&gt;ANZECC 2000&lt;/DisplayText&gt;&lt;record&gt;&lt;rec-number&gt;7891&lt;/rec-number&gt;&lt;foreign-keys&gt;&lt;key app="EN" db-id="0eve55x9y5vfd6e9dacxtew4eatve2dzds9a" timestamp="0"&gt;7891&lt;/key&gt;&lt;/foreign-keys&gt;&lt;ref-type name="Book"&gt;6&lt;/ref-type&gt;&lt;contributors&gt;&lt;authors&gt;&lt;author&gt;ANZECC,&lt;/author&gt;&lt;/authors&gt;&lt;/contributors&gt;&lt;titles&gt;&lt;title&gt;Australian and New Zealand guidelines for fresh and marine water quality&lt;/title&gt;&lt;/titles&gt;&lt;dates&gt;&lt;year&gt;2000&lt;/year&gt;&lt;/dates&gt;&lt;pub-location&gt;Canberra&lt;/pub-location&gt;&lt;publisher&gt;Australian and New Zealand Environment and Conservation Council and Agriculture and Resource Management Council of Australia and New Zealand&lt;/publisher&gt;&lt;urls&gt;&lt;/urls&gt;&lt;/record&gt;&lt;/Cite&gt;&lt;/EndNote&gt;</w:instrText>
        </w:r>
        <w:r w:rsidR="00513C39" w:rsidRPr="00CB093C">
          <w:rPr>
            <w:rFonts w:ascii="Arial" w:hAnsi="Arial" w:cs="Arial"/>
            <w:color w:val="000000"/>
            <w:szCs w:val="22"/>
          </w:rPr>
          <w:fldChar w:fldCharType="separate"/>
        </w:r>
        <w:r w:rsidR="00513C39" w:rsidRPr="00CB093C">
          <w:rPr>
            <w:rFonts w:ascii="Arial" w:hAnsi="Arial" w:cs="Arial"/>
            <w:noProof/>
            <w:color w:val="000000"/>
            <w:szCs w:val="22"/>
          </w:rPr>
          <w:t>ANZECC 2000</w:t>
        </w:r>
        <w:r w:rsidR="00513C39" w:rsidRPr="00CB093C">
          <w:rPr>
            <w:rFonts w:ascii="Arial" w:hAnsi="Arial" w:cs="Arial"/>
            <w:color w:val="000000"/>
            <w:szCs w:val="22"/>
          </w:rPr>
          <w:fldChar w:fldCharType="end"/>
        </w:r>
      </w:hyperlink>
      <w:r w:rsidRPr="00CB093C">
        <w:rPr>
          <w:rFonts w:ascii="Arial" w:hAnsi="Arial" w:cs="Arial"/>
          <w:color w:val="000000"/>
          <w:szCs w:val="22"/>
        </w:rPr>
        <w:t xml:space="preserve"> Guidelines recommendation of 24 data values. </w:t>
      </w:r>
    </w:p>
    <w:p w14:paraId="12E7C2A1" w14:textId="77777777" w:rsidR="00EC7975" w:rsidRPr="00CB093C" w:rsidRDefault="00EC7975" w:rsidP="00EC7975">
      <w:pPr>
        <w:spacing w:before="240"/>
        <w:rPr>
          <w:rFonts w:ascii="Arial" w:hAnsi="Arial" w:cs="Arial"/>
          <w:color w:val="000000"/>
          <w:szCs w:val="22"/>
        </w:rPr>
      </w:pPr>
      <w:r w:rsidRPr="00CB093C">
        <w:rPr>
          <w:rFonts w:ascii="Arial" w:hAnsi="Arial" w:cs="Arial"/>
          <w:color w:val="000000"/>
          <w:szCs w:val="22"/>
        </w:rPr>
        <w:t xml:space="preserve">Nonlinear regressions (exponential rise to maximum, two parameter) were then fitted to percent cover percentile values at each number of sampling events using the following model: </w:t>
      </w:r>
    </w:p>
    <w:p w14:paraId="60225920" w14:textId="77777777" w:rsidR="00EC7975" w:rsidRPr="00CB093C" w:rsidRDefault="001F4593" w:rsidP="00EC7975">
      <w:pPr>
        <w:spacing w:before="240"/>
        <w:jc w:val="center"/>
        <w:rPr>
          <w:rFonts w:ascii="Arial" w:hAnsi="Arial" w:cs="Arial"/>
          <w:color w:val="000000"/>
          <w:szCs w:val="22"/>
        </w:rPr>
      </w:pPr>
      <w:r w:rsidRPr="00CB093C">
        <w:rPr>
          <w:rFonts w:ascii="Arial" w:hAnsi="Arial" w:cs="Arial"/>
          <w:noProof/>
          <w:color w:val="000000"/>
          <w:position w:val="-10"/>
          <w:szCs w:val="22"/>
          <w:lang w:val="en-US"/>
        </w:rPr>
        <w:drawing>
          <wp:inline distT="0" distB="0" distL="0" distR="0" wp14:anchorId="25D57AE7" wp14:editId="09D8B2E8">
            <wp:extent cx="850900" cy="220980"/>
            <wp:effectExtent l="0" t="0" r="6350" b="7620"/>
            <wp:docPr id="130" name="Picture 130" descr="Model of nonlinear regressions (exponential rise to maximum, two parameter) fitted to percent cover percentile valu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850900" cy="220980"/>
                    </a:xfrm>
                    <a:prstGeom prst="rect">
                      <a:avLst/>
                    </a:prstGeom>
                    <a:noFill/>
                    <a:ln>
                      <a:noFill/>
                    </a:ln>
                  </pic:spPr>
                </pic:pic>
              </a:graphicData>
            </a:graphic>
          </wp:inline>
        </w:drawing>
      </w:r>
    </w:p>
    <w:p w14:paraId="20C21B23" w14:textId="133BE449" w:rsidR="00EC7975" w:rsidRPr="00CB093C" w:rsidRDefault="00EC7975" w:rsidP="00EC7975">
      <w:pPr>
        <w:spacing w:before="240"/>
        <w:rPr>
          <w:rFonts w:ascii="Arial" w:hAnsi="Arial" w:cs="Arial"/>
          <w:color w:val="000000"/>
          <w:szCs w:val="22"/>
        </w:rPr>
      </w:pPr>
      <w:r w:rsidRPr="00CB093C">
        <w:rPr>
          <w:rFonts w:ascii="Arial" w:hAnsi="Arial" w:cs="Arial"/>
          <w:color w:val="000000"/>
          <w:szCs w:val="22"/>
        </w:rPr>
        <w:t xml:space="preserve">where </w:t>
      </w:r>
      <w:r w:rsidRPr="00CB093C">
        <w:rPr>
          <w:rFonts w:ascii="Arial" w:hAnsi="Arial" w:cs="Arial"/>
          <w:i/>
          <w:color w:val="000000"/>
          <w:szCs w:val="22"/>
        </w:rPr>
        <w:t>y</w:t>
      </w:r>
      <w:r w:rsidRPr="00CB093C">
        <w:rPr>
          <w:rFonts w:ascii="Arial" w:hAnsi="Arial" w:cs="Arial"/>
          <w:color w:val="000000"/>
          <w:szCs w:val="22"/>
        </w:rPr>
        <w:t xml:space="preserve"> is the seagrass cover percentile at each number of sampling events (</w:t>
      </w:r>
      <w:r w:rsidRPr="00CB093C">
        <w:rPr>
          <w:rFonts w:ascii="Arial" w:hAnsi="Arial" w:cs="Arial"/>
          <w:i/>
          <w:color w:val="000000"/>
          <w:szCs w:val="22"/>
        </w:rPr>
        <w:t>x</w:t>
      </w:r>
      <w:r w:rsidRPr="00CB093C">
        <w:rPr>
          <w:rFonts w:ascii="Arial" w:hAnsi="Arial" w:cs="Arial"/>
          <w:color w:val="000000"/>
          <w:szCs w:val="22"/>
        </w:rPr>
        <w:t xml:space="preserve">), </w:t>
      </w:r>
      <w:r w:rsidRPr="00CB093C">
        <w:rPr>
          <w:rFonts w:ascii="Arial" w:hAnsi="Arial" w:cs="Arial"/>
          <w:i/>
          <w:color w:val="000000"/>
          <w:szCs w:val="22"/>
        </w:rPr>
        <w:t>a</w:t>
      </w:r>
      <w:r w:rsidRPr="00CB093C">
        <w:rPr>
          <w:rFonts w:ascii="Arial" w:hAnsi="Arial" w:cs="Arial"/>
          <w:color w:val="000000"/>
          <w:szCs w:val="22"/>
        </w:rPr>
        <w:t xml:space="preserve"> is the asymptotic average of the seagrass cover percentile, and </w:t>
      </w:r>
      <w:r w:rsidRPr="00CB093C">
        <w:rPr>
          <w:rFonts w:ascii="Arial" w:hAnsi="Arial" w:cs="Arial"/>
          <w:i/>
          <w:color w:val="000000"/>
          <w:szCs w:val="22"/>
        </w:rPr>
        <w:t>b</w:t>
      </w:r>
      <w:r w:rsidRPr="00CB093C">
        <w:rPr>
          <w:rFonts w:ascii="Arial" w:hAnsi="Arial" w:cs="Arial"/>
          <w:color w:val="000000"/>
          <w:szCs w:val="22"/>
        </w:rPr>
        <w:t xml:space="preserve"> is the rate coefficient that determines how quickly (or slowly</w:t>
      </w:r>
      <w:r w:rsidR="008D142C" w:rsidRPr="00CB093C">
        <w:rPr>
          <w:rFonts w:ascii="Arial" w:hAnsi="Arial" w:cs="Arial"/>
          <w:color w:val="000000"/>
          <w:szCs w:val="22"/>
        </w:rPr>
        <w:t>) the maximum is attained (i.e.</w:t>
      </w:r>
      <w:r w:rsidRPr="00CB093C">
        <w:rPr>
          <w:rFonts w:ascii="Arial" w:hAnsi="Arial" w:cs="Arial"/>
          <w:color w:val="000000"/>
          <w:szCs w:val="22"/>
        </w:rPr>
        <w:t xml:space="preserve"> the slope). The asymptotic average was then used as the guideline value for each percentile (</w:t>
      </w:r>
      <w:r w:rsidRPr="00CB093C">
        <w:rPr>
          <w:rFonts w:ascii="Arial" w:hAnsi="Arial" w:cs="Arial"/>
          <w:color w:val="000000"/>
          <w:szCs w:val="22"/>
        </w:rPr>
        <w:fldChar w:fldCharType="begin"/>
      </w:r>
      <w:r w:rsidRPr="00CB093C">
        <w:rPr>
          <w:rFonts w:ascii="Arial" w:hAnsi="Arial" w:cs="Arial"/>
          <w:color w:val="000000"/>
          <w:szCs w:val="22"/>
        </w:rPr>
        <w:instrText xml:space="preserve"> REF _Ref340344284 \h </w:instrText>
      </w:r>
      <w:r w:rsidR="00DA741D" w:rsidRPr="00CB093C">
        <w:rPr>
          <w:rFonts w:ascii="Arial" w:hAnsi="Arial" w:cs="Arial"/>
          <w:color w:val="000000"/>
          <w:szCs w:val="22"/>
        </w:rPr>
        <w:instrText xml:space="preserve"> \* MERGEFORMAT </w:instrText>
      </w:r>
      <w:r w:rsidRPr="00CB093C">
        <w:rPr>
          <w:rFonts w:ascii="Arial" w:hAnsi="Arial" w:cs="Arial"/>
          <w:color w:val="000000"/>
          <w:szCs w:val="22"/>
        </w:rPr>
      </w:r>
      <w:r w:rsidRPr="00CB093C">
        <w:rPr>
          <w:rFonts w:ascii="Arial" w:hAnsi="Arial" w:cs="Arial"/>
          <w:color w:val="000000"/>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20</w:t>
      </w:r>
      <w:r w:rsidRPr="00CB093C">
        <w:rPr>
          <w:rFonts w:ascii="Arial" w:hAnsi="Arial" w:cs="Arial"/>
          <w:color w:val="000000"/>
          <w:szCs w:val="22"/>
        </w:rPr>
        <w:fldChar w:fldCharType="end"/>
      </w:r>
      <w:r w:rsidRPr="00CB093C">
        <w:rPr>
          <w:rFonts w:ascii="Arial" w:hAnsi="Arial" w:cs="Arial"/>
          <w:color w:val="000000"/>
          <w:szCs w:val="22"/>
        </w:rPr>
        <w:t>).</w:t>
      </w:r>
    </w:p>
    <w:p w14:paraId="5197C084" w14:textId="77777777" w:rsidR="00EC7975" w:rsidRPr="00CB093C" w:rsidRDefault="001F4593" w:rsidP="00824A7C">
      <w:pPr>
        <w:keepNext/>
        <w:jc w:val="center"/>
        <w:rPr>
          <w:rFonts w:ascii="Arial" w:hAnsi="Arial" w:cs="Arial"/>
          <w:color w:val="000000"/>
          <w:szCs w:val="22"/>
        </w:rPr>
      </w:pPr>
      <w:bookmarkStart w:id="749" w:name="_Ref316226853"/>
      <w:r w:rsidRPr="00CB093C">
        <w:rPr>
          <w:rFonts w:ascii="Arial" w:hAnsi="Arial" w:cs="Arial"/>
          <w:noProof/>
          <w:color w:val="000000"/>
          <w:szCs w:val="22"/>
          <w:lang w:val="en-US"/>
        </w:rPr>
        <w:drawing>
          <wp:inline distT="0" distB="0" distL="0" distR="0" wp14:anchorId="59543097" wp14:editId="0DD9078C">
            <wp:extent cx="2773045" cy="2096770"/>
            <wp:effectExtent l="0" t="0" r="0" b="0"/>
            <wp:docPr id="131" name="Picture 131" descr="Figure showing relationship between sample size and the error in estimation of percentile values for seagrass abundance (% cover) in coastal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igure showing relationship between sample size and the error in estimation of percentile values for seagrass abundance (% cover) in coastal seagrass habitats in the Wet Tropics NRM."/>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773045" cy="2096770"/>
                    </a:xfrm>
                    <a:prstGeom prst="rect">
                      <a:avLst/>
                    </a:prstGeom>
                    <a:noFill/>
                    <a:ln>
                      <a:noFill/>
                    </a:ln>
                  </pic:spPr>
                </pic:pic>
              </a:graphicData>
            </a:graphic>
          </wp:inline>
        </w:drawing>
      </w:r>
      <w:r w:rsidR="00EC7975" w:rsidRPr="00CB093C">
        <w:rPr>
          <w:rFonts w:ascii="Arial" w:hAnsi="Arial" w:cs="Arial"/>
          <w:color w:val="000000"/>
          <w:szCs w:val="22"/>
        </w:rPr>
        <w:t xml:space="preserve"> </w:t>
      </w:r>
      <w:r w:rsidRPr="00CB093C">
        <w:rPr>
          <w:rFonts w:ascii="Arial" w:hAnsi="Arial" w:cs="Arial"/>
          <w:noProof/>
          <w:color w:val="000000"/>
          <w:szCs w:val="22"/>
          <w:lang w:val="en-US"/>
        </w:rPr>
        <w:drawing>
          <wp:inline distT="0" distB="0" distL="0" distR="0" wp14:anchorId="5A032E8B" wp14:editId="471D7C89">
            <wp:extent cx="2768600" cy="2092325"/>
            <wp:effectExtent l="0" t="0" r="0" b="0"/>
            <wp:docPr id="132" name="Picture 132" descr="Figure showing relationship between sample size and the error in estimation of percentile values for seagrass abundance (% cover) in reef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Figure showing relationship between sample size and the error in estimation of percentile values for seagrass abundance (% cover) in reef seagrass habitats in the Wet Tropics NRM."/>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2768600" cy="2092325"/>
                    </a:xfrm>
                    <a:prstGeom prst="rect">
                      <a:avLst/>
                    </a:prstGeom>
                    <a:noFill/>
                    <a:ln>
                      <a:noFill/>
                    </a:ln>
                  </pic:spPr>
                </pic:pic>
              </a:graphicData>
            </a:graphic>
          </wp:inline>
        </w:drawing>
      </w:r>
    </w:p>
    <w:p w14:paraId="45C167A3" w14:textId="70DB3B46" w:rsidR="00EC7975" w:rsidRPr="00CB093C" w:rsidRDefault="00EC7975" w:rsidP="00EC7975">
      <w:pPr>
        <w:rPr>
          <w:rFonts w:ascii="Arial" w:hAnsi="Arial" w:cs="Arial"/>
          <w:i/>
          <w:vanish/>
          <w:color w:val="000000"/>
          <w:szCs w:val="22"/>
          <w:specVanish/>
        </w:rPr>
      </w:pPr>
      <w:bookmarkStart w:id="750" w:name="_Ref410560182"/>
      <w:bookmarkStart w:id="751" w:name="_Toc431493916"/>
      <w:bookmarkStart w:id="752" w:name="_Toc6402855"/>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90</w:t>
      </w:r>
      <w:r w:rsidR="0073595B" w:rsidRPr="00CB093C">
        <w:rPr>
          <w:rFonts w:ascii="Arial" w:hAnsi="Arial" w:cs="Arial"/>
          <w:color w:val="000000"/>
          <w:szCs w:val="22"/>
        </w:rPr>
        <w:fldChar w:fldCharType="end"/>
      </w:r>
      <w:bookmarkEnd w:id="749"/>
      <w:bookmarkEnd w:id="750"/>
      <w:r w:rsidRPr="00CB093C">
        <w:rPr>
          <w:rFonts w:ascii="Arial" w:hAnsi="Arial" w:cs="Arial"/>
          <w:color w:val="000000"/>
          <w:szCs w:val="22"/>
        </w:rPr>
        <w:t xml:space="preserve">. </w:t>
      </w:r>
      <w:r w:rsidRPr="00CB093C">
        <w:rPr>
          <w:rFonts w:ascii="Arial" w:hAnsi="Arial" w:cs="Arial"/>
          <w:i/>
          <w:color w:val="000000"/>
          <w:szCs w:val="22"/>
        </w:rPr>
        <w:t>Relationship between sample size and the error in estimation of percentile values for seagrass abundance (</w:t>
      </w:r>
      <w:r w:rsidR="0063478C" w:rsidRPr="00CB093C">
        <w:rPr>
          <w:rFonts w:ascii="Arial" w:hAnsi="Arial" w:cs="Arial"/>
          <w:i/>
          <w:color w:val="000000"/>
          <w:szCs w:val="22"/>
        </w:rPr>
        <w:t xml:space="preserve"> </w:t>
      </w:r>
      <w:r w:rsidR="00882B72" w:rsidRPr="00CB093C">
        <w:rPr>
          <w:rFonts w:ascii="Arial" w:hAnsi="Arial" w:cs="Arial"/>
          <w:i/>
          <w:color w:val="000000"/>
          <w:szCs w:val="22"/>
        </w:rPr>
        <w:t>%</w:t>
      </w:r>
      <w:r w:rsidRPr="00CB093C">
        <w:rPr>
          <w:rFonts w:ascii="Arial" w:hAnsi="Arial" w:cs="Arial"/>
          <w:i/>
          <w:color w:val="000000"/>
          <w:szCs w:val="22"/>
        </w:rPr>
        <w:t xml:space="preserve"> cover) in coastal and reef seagrass habitats in the Wet Tropics NRM.</w:t>
      </w:r>
      <w:bookmarkEnd w:id="751"/>
      <w:bookmarkEnd w:id="752"/>
      <w:r w:rsidRPr="00CB093C">
        <w:rPr>
          <w:rFonts w:ascii="Arial" w:hAnsi="Arial" w:cs="Arial"/>
          <w:i/>
          <w:color w:val="000000"/>
          <w:szCs w:val="22"/>
        </w:rPr>
        <w:t xml:space="preserve"> </w:t>
      </w:r>
    </w:p>
    <w:p w14:paraId="27B1B055" w14:textId="66E640AA" w:rsidR="00EC7975" w:rsidRPr="00CB093C" w:rsidRDefault="00EC7975" w:rsidP="00EC7975">
      <w:pPr>
        <w:rPr>
          <w:rFonts w:ascii="Arial" w:hAnsi="Arial" w:cs="Arial"/>
          <w:color w:val="000000"/>
          <w:szCs w:val="22"/>
        </w:rPr>
      </w:pPr>
      <w:r w:rsidRPr="00CB093C">
        <w:rPr>
          <w:rFonts w:ascii="Arial" w:hAnsi="Arial" w:cs="Arial"/>
          <w:i/>
          <w:color w:val="000000"/>
          <w:szCs w:val="22"/>
        </w:rPr>
        <w:sym w:font="Wingdings 3" w:char="F071"/>
      </w:r>
      <w:r w:rsidRPr="00CB093C">
        <w:rPr>
          <w:rFonts w:ascii="Arial" w:hAnsi="Arial" w:cs="Arial"/>
          <w:i/>
          <w:color w:val="000000"/>
          <w:szCs w:val="22"/>
        </w:rPr>
        <w:t xml:space="preserve"> = 75</w:t>
      </w:r>
      <w:r w:rsidRPr="00CB093C">
        <w:rPr>
          <w:rFonts w:ascii="Arial" w:hAnsi="Arial" w:cs="Arial"/>
          <w:i/>
          <w:color w:val="000000"/>
          <w:szCs w:val="22"/>
          <w:vertAlign w:val="superscript"/>
        </w:rPr>
        <w:t>th</w:t>
      </w:r>
      <w:r w:rsidRPr="00CB093C">
        <w:rPr>
          <w:rFonts w:ascii="Arial" w:hAnsi="Arial" w:cs="Arial"/>
          <w:i/>
          <w:color w:val="000000"/>
          <w:szCs w:val="22"/>
        </w:rPr>
        <w:t xml:space="preserve"> percentile, ○ = 50</w:t>
      </w:r>
      <w:r w:rsidRPr="00CB093C">
        <w:rPr>
          <w:rFonts w:ascii="Arial" w:hAnsi="Arial" w:cs="Arial"/>
          <w:i/>
          <w:color w:val="000000"/>
          <w:szCs w:val="22"/>
          <w:vertAlign w:val="superscript"/>
        </w:rPr>
        <w:t>th</w:t>
      </w:r>
      <w:r w:rsidRPr="00CB093C">
        <w:rPr>
          <w:rFonts w:ascii="Arial" w:hAnsi="Arial" w:cs="Arial"/>
          <w:i/>
          <w:color w:val="000000"/>
          <w:szCs w:val="22"/>
        </w:rPr>
        <w:t xml:space="preserve"> percentile,● = 20</w:t>
      </w:r>
      <w:r w:rsidRPr="00CB093C">
        <w:rPr>
          <w:rFonts w:ascii="Arial" w:hAnsi="Arial" w:cs="Arial"/>
          <w:i/>
          <w:color w:val="000000"/>
          <w:szCs w:val="22"/>
          <w:vertAlign w:val="superscript"/>
        </w:rPr>
        <w:t>th</w:t>
      </w:r>
      <w:r w:rsidRPr="00CB093C">
        <w:rPr>
          <w:rFonts w:ascii="Arial" w:hAnsi="Arial" w:cs="Arial"/>
          <w:i/>
          <w:color w:val="000000"/>
          <w:szCs w:val="22"/>
        </w:rPr>
        <w:t xml:space="preserve"> percentile. </w:t>
      </w:r>
      <w:r w:rsidR="009C00A1" w:rsidRPr="00CB093C">
        <w:rPr>
          <w:rFonts w:ascii="Arial" w:hAnsi="Arial" w:cs="Arial"/>
          <w:i/>
          <w:color w:val="000000"/>
          <w:szCs w:val="22"/>
        </w:rPr>
        <w:t>Horizontal</w:t>
      </w:r>
      <w:r w:rsidRPr="00CB093C">
        <w:rPr>
          <w:rFonts w:ascii="Arial" w:hAnsi="Arial" w:cs="Arial"/>
          <w:i/>
          <w:color w:val="000000"/>
          <w:szCs w:val="22"/>
        </w:rPr>
        <w:t xml:space="preserve"> lines are asymptotic averages for each percentile plot. </w:t>
      </w:r>
    </w:p>
    <w:p w14:paraId="66C677BB" w14:textId="23D501EB" w:rsidR="00EC7975" w:rsidRPr="00CB093C" w:rsidRDefault="00EC7975" w:rsidP="00EC7975">
      <w:pPr>
        <w:rPr>
          <w:rFonts w:ascii="Arial" w:hAnsi="Arial" w:cs="Arial"/>
          <w:color w:val="000000"/>
          <w:szCs w:val="22"/>
        </w:rPr>
      </w:pPr>
      <w:r w:rsidRPr="00CB093C">
        <w:rPr>
          <w:rFonts w:ascii="Arial" w:hAnsi="Arial" w:cs="Arial"/>
          <w:color w:val="000000"/>
          <w:szCs w:val="22"/>
        </w:rPr>
        <w:t>As sampling events occur every 3-6 months depending on the site, this is equivalent to 3</w:t>
      </w:r>
      <w:r w:rsidR="0043389D" w:rsidRPr="00CB093C">
        <w:rPr>
          <w:rFonts w:ascii="Arial" w:hAnsi="Arial" w:cs="Arial"/>
          <w:color w:val="000000"/>
          <w:szCs w:val="22"/>
        </w:rPr>
        <w:t>–</w:t>
      </w:r>
      <w:r w:rsidRPr="00CB093C">
        <w:rPr>
          <w:rFonts w:ascii="Arial" w:hAnsi="Arial" w:cs="Arial"/>
          <w:color w:val="000000"/>
          <w:szCs w:val="22"/>
        </w:rPr>
        <w:t>10 years of monitoring to establish percentile values. Based on the analyses, it was recommended that estimates of the 20</w:t>
      </w:r>
      <w:r w:rsidRPr="00CB093C">
        <w:rPr>
          <w:rFonts w:ascii="Arial" w:hAnsi="Arial" w:cs="Arial"/>
          <w:color w:val="000000"/>
          <w:szCs w:val="22"/>
          <w:vertAlign w:val="superscript"/>
        </w:rPr>
        <w:t>th</w:t>
      </w:r>
      <w:r w:rsidRPr="00CB093C">
        <w:rPr>
          <w:rFonts w:ascii="Arial" w:hAnsi="Arial" w:cs="Arial"/>
          <w:color w:val="000000"/>
          <w:szCs w:val="22"/>
        </w:rPr>
        <w:t xml:space="preserve"> percentile at a reference site should be based on a minimum of 18 samples collected over at least three years. For the 50</w:t>
      </w:r>
      <w:r w:rsidRPr="00CB093C">
        <w:rPr>
          <w:rFonts w:ascii="Arial" w:hAnsi="Arial" w:cs="Arial"/>
          <w:color w:val="000000"/>
          <w:szCs w:val="22"/>
          <w:vertAlign w:val="superscript"/>
        </w:rPr>
        <w:t>th</w:t>
      </w:r>
      <w:r w:rsidRPr="00CB093C">
        <w:rPr>
          <w:rFonts w:ascii="Arial" w:hAnsi="Arial" w:cs="Arial"/>
          <w:color w:val="000000"/>
          <w:szCs w:val="22"/>
        </w:rPr>
        <w:t xml:space="preserve"> percentile a smaller minimum number of samples (approximately 10–12) would be adequate but in most situations it would be necessary to collect sufficient data for the 20</w:t>
      </w:r>
      <w:r w:rsidRPr="00CB093C">
        <w:rPr>
          <w:rFonts w:ascii="Arial" w:hAnsi="Arial" w:cs="Arial"/>
          <w:color w:val="000000"/>
          <w:szCs w:val="22"/>
          <w:vertAlign w:val="superscript"/>
        </w:rPr>
        <w:t>th</w:t>
      </w:r>
      <w:r w:rsidRPr="00CB093C">
        <w:rPr>
          <w:rFonts w:ascii="Arial" w:hAnsi="Arial" w:cs="Arial"/>
          <w:color w:val="000000"/>
          <w:szCs w:val="22"/>
        </w:rPr>
        <w:t xml:space="preserve"> percentile anyway. For seagrass habitats with low variability, a more appropriate guideline was the 10</w:t>
      </w:r>
      <w:r w:rsidRPr="00CB093C">
        <w:rPr>
          <w:rFonts w:ascii="Arial" w:hAnsi="Arial" w:cs="Arial"/>
          <w:color w:val="000000"/>
          <w:szCs w:val="22"/>
          <w:vertAlign w:val="superscript"/>
        </w:rPr>
        <w:t>th</w:t>
      </w:r>
      <w:r w:rsidRPr="00CB093C">
        <w:rPr>
          <w:rFonts w:ascii="Arial" w:hAnsi="Arial" w:cs="Arial"/>
          <w:color w:val="000000"/>
          <w:szCs w:val="22"/>
        </w:rPr>
        <w:t xml:space="preserve"> percentile primarily the result of seasonal fluctuations (as nearly every seasonal low would fall below the 20</w:t>
      </w:r>
      <w:r w:rsidRPr="00CB093C">
        <w:rPr>
          <w:rFonts w:ascii="Arial" w:hAnsi="Arial" w:cs="Arial"/>
          <w:color w:val="000000"/>
          <w:szCs w:val="22"/>
          <w:vertAlign w:val="superscript"/>
        </w:rPr>
        <w:t>th</w:t>
      </w:r>
      <w:r w:rsidRPr="00CB093C">
        <w:rPr>
          <w:rFonts w:ascii="Arial" w:hAnsi="Arial" w:cs="Arial"/>
          <w:color w:val="000000"/>
          <w:szCs w:val="22"/>
        </w:rPr>
        <w:t xml:space="preserve"> percentile). Percentile variability was further reduced within a habitat type of each region by pooling at least two (preferably more) reference sites to derive guidelines. The subregional guideline is calculated from the mean of all reference sites within a habitat type within a region.</w:t>
      </w:r>
    </w:p>
    <w:p w14:paraId="66EC2C61" w14:textId="41A48B75" w:rsidR="00EC7975" w:rsidRPr="00CB093C" w:rsidRDefault="00EC7975" w:rsidP="00EC7975">
      <w:pPr>
        <w:rPr>
          <w:rFonts w:ascii="Arial" w:hAnsi="Arial" w:cs="Arial"/>
          <w:color w:val="000000"/>
          <w:szCs w:val="22"/>
        </w:rPr>
      </w:pPr>
      <w:r w:rsidRPr="00CB093C">
        <w:rPr>
          <w:rFonts w:ascii="Arial" w:hAnsi="Arial" w:cs="Arial"/>
          <w:color w:val="000000"/>
          <w:szCs w:val="22"/>
        </w:rPr>
        <w:t>Using the seagrass guidelines, seagrass state can be determined for each monitoring event at each site and allocated as good (median abundance at or above 50</w:t>
      </w:r>
      <w:r w:rsidRPr="00CB093C">
        <w:rPr>
          <w:rFonts w:ascii="Arial" w:hAnsi="Arial" w:cs="Arial"/>
          <w:color w:val="000000"/>
          <w:szCs w:val="22"/>
          <w:vertAlign w:val="superscript"/>
        </w:rPr>
        <w:t>th</w:t>
      </w:r>
      <w:r w:rsidRPr="00CB093C">
        <w:rPr>
          <w:rFonts w:ascii="Arial" w:hAnsi="Arial" w:cs="Arial"/>
          <w:color w:val="000000"/>
          <w:szCs w:val="22"/>
        </w:rPr>
        <w:t xml:space="preserve"> percentile), moderate (median abundance below 50</w:t>
      </w:r>
      <w:r w:rsidRPr="00CB093C">
        <w:rPr>
          <w:rFonts w:ascii="Arial" w:hAnsi="Arial" w:cs="Arial"/>
          <w:color w:val="000000"/>
          <w:szCs w:val="22"/>
          <w:vertAlign w:val="superscript"/>
        </w:rPr>
        <w:t>th</w:t>
      </w:r>
      <w:r w:rsidRPr="00CB093C">
        <w:rPr>
          <w:rFonts w:ascii="Arial" w:hAnsi="Arial" w:cs="Arial"/>
          <w:color w:val="000000"/>
          <w:szCs w:val="22"/>
        </w:rPr>
        <w:t xml:space="preserve"> percentile and at or above 20</w:t>
      </w:r>
      <w:r w:rsidRPr="00CB093C">
        <w:rPr>
          <w:rFonts w:ascii="Arial" w:hAnsi="Arial" w:cs="Arial"/>
          <w:color w:val="000000"/>
          <w:szCs w:val="22"/>
          <w:vertAlign w:val="superscript"/>
        </w:rPr>
        <w:t>th</w:t>
      </w:r>
      <w:r w:rsidRPr="00CB093C">
        <w:rPr>
          <w:rFonts w:ascii="Arial" w:hAnsi="Arial" w:cs="Arial"/>
          <w:color w:val="000000"/>
          <w:szCs w:val="22"/>
        </w:rPr>
        <w:t xml:space="preserve"> percentile), poor (median abundance below 20</w:t>
      </w:r>
      <w:r w:rsidRPr="00CB093C">
        <w:rPr>
          <w:rFonts w:ascii="Arial" w:hAnsi="Arial" w:cs="Arial"/>
          <w:color w:val="000000"/>
          <w:szCs w:val="22"/>
          <w:vertAlign w:val="superscript"/>
        </w:rPr>
        <w:t>th</w:t>
      </w:r>
      <w:r w:rsidRPr="00CB093C">
        <w:rPr>
          <w:rFonts w:ascii="Arial" w:hAnsi="Arial" w:cs="Arial"/>
          <w:color w:val="000000"/>
          <w:szCs w:val="22"/>
        </w:rPr>
        <w:t xml:space="preserve"> or 10</w:t>
      </w:r>
      <w:r w:rsidRPr="00CB093C">
        <w:rPr>
          <w:rFonts w:ascii="Arial" w:hAnsi="Arial" w:cs="Arial"/>
          <w:color w:val="000000"/>
          <w:szCs w:val="22"/>
          <w:vertAlign w:val="superscript"/>
        </w:rPr>
        <w:t>th</w:t>
      </w:r>
      <w:r w:rsidRPr="00CB093C">
        <w:rPr>
          <w:rFonts w:ascii="Arial" w:hAnsi="Arial" w:cs="Arial"/>
          <w:color w:val="000000"/>
          <w:szCs w:val="22"/>
        </w:rPr>
        <w:t xml:space="preserve"> percentile).  For example, when the median seagrass abundance for Yule Point is plotted against the 20</w:t>
      </w:r>
      <w:r w:rsidRPr="00CB093C">
        <w:rPr>
          <w:rFonts w:ascii="Arial" w:hAnsi="Arial" w:cs="Arial"/>
          <w:color w:val="000000"/>
          <w:szCs w:val="22"/>
          <w:vertAlign w:val="superscript"/>
        </w:rPr>
        <w:t>th</w:t>
      </w:r>
      <w:r w:rsidRPr="00CB093C">
        <w:rPr>
          <w:rFonts w:ascii="Arial" w:hAnsi="Arial" w:cs="Arial"/>
          <w:color w:val="000000"/>
          <w:szCs w:val="22"/>
        </w:rPr>
        <w:t xml:space="preserve"> and 50</w:t>
      </w:r>
      <w:r w:rsidRPr="00CB093C">
        <w:rPr>
          <w:rFonts w:ascii="Arial" w:hAnsi="Arial" w:cs="Arial"/>
          <w:color w:val="000000"/>
          <w:szCs w:val="22"/>
          <w:vertAlign w:val="superscript"/>
        </w:rPr>
        <w:t>th</w:t>
      </w:r>
      <w:r w:rsidRPr="00CB093C">
        <w:rPr>
          <w:rFonts w:ascii="Arial" w:hAnsi="Arial" w:cs="Arial"/>
          <w:color w:val="000000"/>
          <w:szCs w:val="22"/>
        </w:rPr>
        <w:t xml:space="preserve"> percentiles for coastal habitats in the Wet Tropics (</w:t>
      </w:r>
      <w:r w:rsidR="00144953" w:rsidRPr="00CB093C">
        <w:rPr>
          <w:rFonts w:ascii="Arial" w:hAnsi="Arial" w:cs="Arial"/>
          <w:color w:val="000000"/>
          <w:szCs w:val="22"/>
        </w:rPr>
        <w:fldChar w:fldCharType="begin"/>
      </w:r>
      <w:r w:rsidR="00144953" w:rsidRPr="00CB093C">
        <w:rPr>
          <w:rFonts w:ascii="Arial" w:hAnsi="Arial" w:cs="Arial"/>
          <w:color w:val="000000"/>
          <w:szCs w:val="22"/>
        </w:rPr>
        <w:instrText xml:space="preserve"> REF _Ref410146982 \h </w:instrText>
      </w:r>
      <w:r w:rsidR="00DA741D" w:rsidRPr="00CB093C">
        <w:rPr>
          <w:rFonts w:ascii="Arial" w:hAnsi="Arial" w:cs="Arial"/>
          <w:color w:val="000000"/>
          <w:szCs w:val="22"/>
        </w:rPr>
        <w:instrText xml:space="preserve"> \* MERGEFORMAT </w:instrText>
      </w:r>
      <w:r w:rsidR="00144953" w:rsidRPr="00CB093C">
        <w:rPr>
          <w:rFonts w:ascii="Arial" w:hAnsi="Arial" w:cs="Arial"/>
          <w:color w:val="000000"/>
          <w:szCs w:val="22"/>
        </w:rPr>
      </w:r>
      <w:r w:rsidR="00144953" w:rsidRPr="00CB093C">
        <w:rPr>
          <w:rFonts w:ascii="Arial" w:hAnsi="Arial" w:cs="Arial"/>
          <w:color w:val="000000"/>
          <w:szCs w:val="22"/>
        </w:rPr>
        <w:fldChar w:fldCharType="separate"/>
      </w:r>
      <w:r w:rsidR="005F00D4" w:rsidRPr="00CB093C">
        <w:rPr>
          <w:rFonts w:ascii="Arial" w:hAnsi="Arial" w:cs="Arial"/>
          <w:color w:val="000000"/>
          <w:szCs w:val="22"/>
        </w:rPr>
        <w:t xml:space="preserve">Figure </w:t>
      </w:r>
      <w:r w:rsidR="005F00D4">
        <w:rPr>
          <w:rFonts w:ascii="Arial" w:hAnsi="Arial" w:cs="Arial"/>
          <w:noProof/>
          <w:color w:val="000000"/>
          <w:szCs w:val="22"/>
        </w:rPr>
        <w:t>91</w:t>
      </w:r>
      <w:r w:rsidR="00144953" w:rsidRPr="00CB093C">
        <w:rPr>
          <w:rFonts w:ascii="Arial" w:hAnsi="Arial" w:cs="Arial"/>
          <w:color w:val="000000"/>
          <w:szCs w:val="22"/>
        </w:rPr>
        <w:fldChar w:fldCharType="end"/>
      </w:r>
      <w:r w:rsidRPr="00CB093C">
        <w:rPr>
          <w:rFonts w:ascii="Arial" w:hAnsi="Arial" w:cs="Arial"/>
          <w:color w:val="000000"/>
          <w:szCs w:val="22"/>
        </w:rPr>
        <w:t xml:space="preserve">), it indicates that the meadows were in a poor condition in </w:t>
      </w:r>
      <w:r w:rsidR="007A70FE" w:rsidRPr="00CB093C">
        <w:rPr>
          <w:rFonts w:ascii="Arial" w:hAnsi="Arial" w:cs="Arial"/>
          <w:color w:val="000000"/>
          <w:szCs w:val="22"/>
        </w:rPr>
        <w:t>mid-2000</w:t>
      </w:r>
      <w:r w:rsidRPr="00CB093C">
        <w:rPr>
          <w:rFonts w:ascii="Arial" w:hAnsi="Arial" w:cs="Arial"/>
          <w:color w:val="000000"/>
          <w:szCs w:val="22"/>
        </w:rPr>
        <w:t>, mid 2001 and mid 2006 (based on abundance).</w:t>
      </w:r>
    </w:p>
    <w:p w14:paraId="0D6F7137" w14:textId="77777777" w:rsidR="00EC7975" w:rsidRPr="00CB093C" w:rsidRDefault="001F4593" w:rsidP="00824A7C">
      <w:pPr>
        <w:keepNext/>
        <w:jc w:val="center"/>
        <w:rPr>
          <w:rFonts w:ascii="Arial" w:hAnsi="Arial" w:cs="Arial"/>
          <w:color w:val="000000"/>
          <w:szCs w:val="22"/>
        </w:rPr>
      </w:pPr>
      <w:bookmarkStart w:id="753" w:name="_Ref316226955"/>
      <w:r w:rsidRPr="00CB093C">
        <w:rPr>
          <w:rFonts w:ascii="Arial" w:hAnsi="Arial" w:cs="Arial"/>
          <w:noProof/>
          <w:color w:val="000000"/>
          <w:szCs w:val="22"/>
          <w:lang w:val="en-US"/>
        </w:rPr>
        <w:drawing>
          <wp:inline distT="0" distB="0" distL="0" distR="0" wp14:anchorId="513F7F24" wp14:editId="0BFD6D16">
            <wp:extent cx="2700000" cy="1641600"/>
            <wp:effectExtent l="0" t="0" r="5715" b="0"/>
            <wp:docPr id="133" name="Picture 133" descr="Figure showing median seagrass abundance (% cover) at Yule Point plotted against the 50th and 20th percentiles for coastal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Figure showing median seagrass abundance (% cover) at Yule Point plotted against the 50th and 20th percentiles for coastal seagrass habitat in the Wet Tropics"/>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2700000" cy="1641600"/>
                    </a:xfrm>
                    <a:prstGeom prst="rect">
                      <a:avLst/>
                    </a:prstGeom>
                    <a:noFill/>
                    <a:ln>
                      <a:noFill/>
                    </a:ln>
                  </pic:spPr>
                </pic:pic>
              </a:graphicData>
            </a:graphic>
          </wp:inline>
        </w:drawing>
      </w:r>
      <w:r w:rsidR="005F7F6E" w:rsidRPr="00CB093C">
        <w:rPr>
          <w:rFonts w:ascii="Arial" w:hAnsi="Arial" w:cs="Arial"/>
          <w:color w:val="000000"/>
          <w:szCs w:val="22"/>
        </w:rPr>
        <w:t xml:space="preserve"> </w:t>
      </w:r>
      <w:r w:rsidR="005F7F6E" w:rsidRPr="00CB093C">
        <w:rPr>
          <w:rFonts w:ascii="Arial" w:hAnsi="Arial" w:cs="Arial"/>
          <w:noProof/>
          <w:color w:val="000000"/>
          <w:szCs w:val="22"/>
          <w:lang w:val="en-US"/>
        </w:rPr>
        <w:drawing>
          <wp:inline distT="0" distB="0" distL="0" distR="0" wp14:anchorId="144E92C7" wp14:editId="25618F19">
            <wp:extent cx="2700000" cy="1641600"/>
            <wp:effectExtent l="0" t="0" r="5715" b="0"/>
            <wp:docPr id="134" name="Picture 134" descr="Figure showing median seagrass abundance (% cover) at Green Island plotted against the 50th and 10th percentiles for intertidal reef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Figure showing median seagrass abundance (% cover) at Green Island plotted against the 50th and 10th percentiles for intertidal reef seagrass habitat in the Wet Tropics."/>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2700000" cy="1641600"/>
                    </a:xfrm>
                    <a:prstGeom prst="rect">
                      <a:avLst/>
                    </a:prstGeom>
                    <a:noFill/>
                    <a:ln>
                      <a:noFill/>
                    </a:ln>
                  </pic:spPr>
                </pic:pic>
              </a:graphicData>
            </a:graphic>
          </wp:inline>
        </w:drawing>
      </w:r>
    </w:p>
    <w:p w14:paraId="0756F4A5" w14:textId="5C9664FB" w:rsidR="00EC7975" w:rsidRPr="00CB093C" w:rsidRDefault="00EC7975" w:rsidP="00EC7975">
      <w:pPr>
        <w:rPr>
          <w:rFonts w:ascii="Arial" w:hAnsi="Arial" w:cs="Arial"/>
          <w:i/>
          <w:color w:val="000000"/>
          <w:szCs w:val="22"/>
        </w:rPr>
      </w:pPr>
      <w:bookmarkStart w:id="754" w:name="_Ref410146982"/>
      <w:bookmarkStart w:id="755" w:name="_Toc431493917"/>
      <w:bookmarkStart w:id="756" w:name="_Toc6402856"/>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91</w:t>
      </w:r>
      <w:r w:rsidR="0073595B" w:rsidRPr="00CB093C">
        <w:rPr>
          <w:rFonts w:ascii="Arial" w:hAnsi="Arial" w:cs="Arial"/>
          <w:color w:val="000000"/>
          <w:szCs w:val="22"/>
        </w:rPr>
        <w:fldChar w:fldCharType="end"/>
      </w:r>
      <w:bookmarkEnd w:id="753"/>
      <w:bookmarkEnd w:id="754"/>
      <w:r w:rsidRPr="00CB093C">
        <w:rPr>
          <w:rFonts w:ascii="Arial" w:hAnsi="Arial" w:cs="Arial"/>
          <w:color w:val="000000"/>
          <w:szCs w:val="22"/>
        </w:rPr>
        <w:t>.</w:t>
      </w:r>
      <w:r w:rsidRPr="00CB093C">
        <w:rPr>
          <w:rFonts w:ascii="Arial" w:hAnsi="Arial" w:cs="Arial"/>
          <w:i/>
          <w:color w:val="000000"/>
          <w:szCs w:val="22"/>
        </w:rPr>
        <w:t xml:space="preserve"> Median seagrass abundance (</w:t>
      </w:r>
      <w:r w:rsidR="0063478C" w:rsidRPr="00CB093C">
        <w:rPr>
          <w:rFonts w:ascii="Arial" w:hAnsi="Arial" w:cs="Arial"/>
          <w:i/>
          <w:color w:val="000000"/>
          <w:szCs w:val="22"/>
        </w:rPr>
        <w:t xml:space="preserve"> </w:t>
      </w:r>
      <w:r w:rsidR="00882B72" w:rsidRPr="00CB093C">
        <w:rPr>
          <w:rFonts w:ascii="Arial" w:hAnsi="Arial" w:cs="Arial"/>
          <w:i/>
          <w:color w:val="000000"/>
          <w:szCs w:val="22"/>
        </w:rPr>
        <w:t>%</w:t>
      </w:r>
      <w:r w:rsidRPr="00CB093C">
        <w:rPr>
          <w:rFonts w:ascii="Arial" w:hAnsi="Arial" w:cs="Arial"/>
          <w:i/>
          <w:color w:val="000000"/>
          <w:szCs w:val="22"/>
        </w:rPr>
        <w:t xml:space="preserve"> cover) at Yule Point </w:t>
      </w:r>
      <w:r w:rsidR="005F7F6E" w:rsidRPr="00CB093C">
        <w:rPr>
          <w:rFonts w:ascii="Arial" w:hAnsi="Arial" w:cs="Arial"/>
          <w:i/>
          <w:color w:val="000000"/>
          <w:szCs w:val="22"/>
        </w:rPr>
        <w:t xml:space="preserve">(left) and Green Island (right) </w:t>
      </w:r>
      <w:r w:rsidRPr="00CB093C">
        <w:rPr>
          <w:rFonts w:ascii="Arial" w:hAnsi="Arial" w:cs="Arial"/>
          <w:i/>
          <w:color w:val="000000"/>
          <w:szCs w:val="22"/>
        </w:rPr>
        <w:t>plotted against the 50</w:t>
      </w:r>
      <w:r w:rsidRPr="00CB093C">
        <w:rPr>
          <w:rFonts w:ascii="Arial" w:hAnsi="Arial" w:cs="Arial"/>
          <w:i/>
          <w:color w:val="000000"/>
          <w:szCs w:val="22"/>
          <w:vertAlign w:val="superscript"/>
        </w:rPr>
        <w:t>th</w:t>
      </w:r>
      <w:r w:rsidRPr="00CB093C">
        <w:rPr>
          <w:rFonts w:ascii="Arial" w:hAnsi="Arial" w:cs="Arial"/>
          <w:i/>
          <w:color w:val="000000"/>
          <w:szCs w:val="22"/>
        </w:rPr>
        <w:t xml:space="preserve"> and 20</w:t>
      </w:r>
      <w:r w:rsidRPr="00CB093C">
        <w:rPr>
          <w:rFonts w:ascii="Arial" w:hAnsi="Arial" w:cs="Arial"/>
          <w:i/>
          <w:color w:val="000000"/>
          <w:szCs w:val="22"/>
          <w:vertAlign w:val="superscript"/>
        </w:rPr>
        <w:t>th</w:t>
      </w:r>
      <w:r w:rsidRPr="00CB093C">
        <w:rPr>
          <w:rFonts w:ascii="Arial" w:hAnsi="Arial" w:cs="Arial"/>
          <w:i/>
          <w:color w:val="000000"/>
          <w:szCs w:val="22"/>
        </w:rPr>
        <w:t xml:space="preserve"> percentiles for coastal </w:t>
      </w:r>
      <w:r w:rsidR="005F7F6E" w:rsidRPr="00CB093C">
        <w:rPr>
          <w:rFonts w:ascii="Arial" w:hAnsi="Arial" w:cs="Arial"/>
          <w:i/>
          <w:color w:val="000000"/>
          <w:szCs w:val="22"/>
        </w:rPr>
        <w:t xml:space="preserve">and intertidal reef </w:t>
      </w:r>
      <w:r w:rsidRPr="00CB093C">
        <w:rPr>
          <w:rFonts w:ascii="Arial" w:hAnsi="Arial" w:cs="Arial"/>
          <w:i/>
          <w:color w:val="000000"/>
          <w:szCs w:val="22"/>
        </w:rPr>
        <w:t>seagrass habitat in the Wet Tropics.</w:t>
      </w:r>
      <w:bookmarkEnd w:id="755"/>
      <w:bookmarkEnd w:id="756"/>
    </w:p>
    <w:p w14:paraId="2DF4111E" w14:textId="77777777" w:rsidR="00EC7975" w:rsidRPr="00CB093C" w:rsidRDefault="00EC7975" w:rsidP="00EC7975">
      <w:pPr>
        <w:rPr>
          <w:rFonts w:ascii="Arial" w:hAnsi="Arial" w:cs="Arial"/>
          <w:color w:val="000000"/>
          <w:szCs w:val="22"/>
        </w:rPr>
      </w:pPr>
      <w:r w:rsidRPr="00CB093C">
        <w:rPr>
          <w:rFonts w:ascii="Arial" w:hAnsi="Arial" w:cs="Arial"/>
          <w:color w:val="000000"/>
          <w:szCs w:val="22"/>
        </w:rPr>
        <w:t>Similarly, when the median seagrass abundance for Green Island is plotted against the 20</w:t>
      </w:r>
      <w:r w:rsidRPr="00CB093C">
        <w:rPr>
          <w:rFonts w:ascii="Arial" w:hAnsi="Arial" w:cs="Arial"/>
          <w:color w:val="000000"/>
          <w:szCs w:val="22"/>
          <w:vertAlign w:val="superscript"/>
        </w:rPr>
        <w:t>th</w:t>
      </w:r>
      <w:r w:rsidRPr="00CB093C">
        <w:rPr>
          <w:rFonts w:ascii="Arial" w:hAnsi="Arial" w:cs="Arial"/>
          <w:color w:val="000000"/>
          <w:szCs w:val="22"/>
        </w:rPr>
        <w:t xml:space="preserve"> and 50</w:t>
      </w:r>
      <w:r w:rsidRPr="00CB093C">
        <w:rPr>
          <w:rFonts w:ascii="Arial" w:hAnsi="Arial" w:cs="Arial"/>
          <w:color w:val="000000"/>
          <w:szCs w:val="22"/>
          <w:vertAlign w:val="superscript"/>
        </w:rPr>
        <w:t>th</w:t>
      </w:r>
      <w:r w:rsidRPr="00CB093C">
        <w:rPr>
          <w:rFonts w:ascii="Arial" w:hAnsi="Arial" w:cs="Arial"/>
          <w:color w:val="000000"/>
          <w:szCs w:val="22"/>
        </w:rPr>
        <w:t xml:space="preserve"> percentiles for intertidal reef habitats in the Wet Tropics, it indicates that the meadows were in a poor condition in the middle of most years (based on abundance). However, the poor rating is most likely a consequence of seasonal lows in abundance. Therefore, in this instance, it was more appropriate to set the guideline at the 10</w:t>
      </w:r>
      <w:r w:rsidRPr="00CB093C">
        <w:rPr>
          <w:rFonts w:ascii="Arial" w:hAnsi="Arial" w:cs="Arial"/>
          <w:color w:val="000000"/>
          <w:szCs w:val="22"/>
          <w:vertAlign w:val="superscript"/>
        </w:rPr>
        <w:t>th</w:t>
      </w:r>
      <w:r w:rsidRPr="00CB093C">
        <w:rPr>
          <w:rFonts w:ascii="Arial" w:hAnsi="Arial" w:cs="Arial"/>
          <w:color w:val="000000"/>
          <w:szCs w:val="22"/>
        </w:rPr>
        <w:t xml:space="preserve"> rather than the 20</w:t>
      </w:r>
      <w:r w:rsidRPr="00CB093C">
        <w:rPr>
          <w:rFonts w:ascii="Arial" w:hAnsi="Arial" w:cs="Arial"/>
          <w:color w:val="000000"/>
          <w:szCs w:val="22"/>
          <w:vertAlign w:val="superscript"/>
        </w:rPr>
        <w:t>th</w:t>
      </w:r>
      <w:r w:rsidRPr="00CB093C">
        <w:rPr>
          <w:rFonts w:ascii="Arial" w:hAnsi="Arial" w:cs="Arial"/>
          <w:color w:val="000000"/>
          <w:szCs w:val="22"/>
        </w:rPr>
        <w:t xml:space="preserve"> percentile.</w:t>
      </w:r>
    </w:p>
    <w:p w14:paraId="07418810" w14:textId="1D5CD1C4" w:rsidR="00EC7975" w:rsidRPr="00CB093C" w:rsidRDefault="00EC7975" w:rsidP="00EC7975">
      <w:pPr>
        <w:spacing w:before="240"/>
        <w:rPr>
          <w:rFonts w:ascii="Arial" w:hAnsi="Arial" w:cs="Arial"/>
          <w:color w:val="000000"/>
          <w:szCs w:val="22"/>
        </w:rPr>
      </w:pPr>
      <w:r w:rsidRPr="00CB093C">
        <w:rPr>
          <w:rFonts w:ascii="Arial" w:hAnsi="Arial" w:cs="Arial"/>
          <w:color w:val="000000"/>
          <w:szCs w:val="22"/>
        </w:rPr>
        <w:t>Using this approach, subregional seagrass abundance guidelines (hereafter known as “the seagrass guidelines”) were developed for each seagrass habitat types where possible (</w:t>
      </w:r>
      <w:r w:rsidRPr="00CB093C">
        <w:rPr>
          <w:rFonts w:ascii="Arial" w:hAnsi="Arial" w:cs="Arial"/>
          <w:color w:val="000000"/>
          <w:szCs w:val="22"/>
        </w:rPr>
        <w:fldChar w:fldCharType="begin"/>
      </w:r>
      <w:r w:rsidRPr="00CB093C">
        <w:rPr>
          <w:rFonts w:ascii="Arial" w:hAnsi="Arial" w:cs="Arial"/>
          <w:color w:val="000000"/>
          <w:szCs w:val="22"/>
        </w:rPr>
        <w:instrText xml:space="preserve"> REF _Ref340344284 \h  \* MERGEFORMAT </w:instrText>
      </w:r>
      <w:r w:rsidRPr="00CB093C">
        <w:rPr>
          <w:rFonts w:ascii="Arial" w:hAnsi="Arial" w:cs="Arial"/>
          <w:color w:val="000000"/>
          <w:szCs w:val="22"/>
        </w:rPr>
      </w:r>
      <w:r w:rsidRPr="00CB093C">
        <w:rPr>
          <w:rFonts w:ascii="Arial" w:hAnsi="Arial" w:cs="Arial"/>
          <w:color w:val="000000"/>
          <w:szCs w:val="22"/>
        </w:rPr>
        <w:fldChar w:fldCharType="separate"/>
      </w:r>
      <w:r w:rsidR="005F00D4" w:rsidRPr="00CB093C">
        <w:rPr>
          <w:rFonts w:ascii="Arial" w:hAnsi="Arial" w:cs="Arial"/>
          <w:color w:val="000000"/>
          <w:szCs w:val="22"/>
        </w:rPr>
        <w:t xml:space="preserve">Table </w:t>
      </w:r>
      <w:r w:rsidR="005F00D4">
        <w:rPr>
          <w:rFonts w:ascii="Arial" w:hAnsi="Arial" w:cs="Arial"/>
          <w:noProof/>
          <w:color w:val="000000"/>
          <w:szCs w:val="22"/>
        </w:rPr>
        <w:t>20</w:t>
      </w:r>
      <w:r w:rsidRPr="00CB093C">
        <w:rPr>
          <w:rFonts w:ascii="Arial" w:hAnsi="Arial" w:cs="Arial"/>
          <w:color w:val="000000"/>
          <w:szCs w:val="22"/>
        </w:rPr>
        <w:fldChar w:fldCharType="end"/>
      </w:r>
      <w:r w:rsidRPr="00CB093C">
        <w:rPr>
          <w:rFonts w:ascii="Arial" w:hAnsi="Arial" w:cs="Arial"/>
          <w:color w:val="000000"/>
          <w:szCs w:val="22"/>
        </w:rPr>
        <w:t xml:space="preserve">). If an individual site had 18 or more sampling events </w:t>
      </w:r>
      <w:r w:rsidR="008D142C" w:rsidRPr="00CB093C">
        <w:rPr>
          <w:rFonts w:ascii="Arial" w:hAnsi="Arial" w:cs="Arial"/>
          <w:color w:val="000000"/>
          <w:szCs w:val="22"/>
        </w:rPr>
        <w:t>and no identified impacts (e.g.</w:t>
      </w:r>
      <w:r w:rsidRPr="00CB093C">
        <w:rPr>
          <w:rFonts w:ascii="Arial" w:hAnsi="Arial" w:cs="Arial"/>
          <w:color w:val="000000"/>
          <w:szCs w:val="22"/>
        </w:rPr>
        <w:t xml:space="preserve"> major loss from cyclone), an abundance guideline was determined at the site or location level rather than using the subregional guideline from the reference sites (i.e. as more guidelines are developed at the site level, they contribute to the subregional guideline).</w:t>
      </w:r>
    </w:p>
    <w:p w14:paraId="780D9152" w14:textId="1AB84FF3" w:rsidR="00842050" w:rsidRPr="00CB093C" w:rsidRDefault="00842050" w:rsidP="00842050">
      <w:pPr>
        <w:spacing w:before="240"/>
        <w:rPr>
          <w:rFonts w:ascii="Arial" w:hAnsi="Arial" w:cs="Arial"/>
          <w:color w:val="000000"/>
          <w:szCs w:val="22"/>
        </w:rPr>
      </w:pPr>
      <w:r w:rsidRPr="00CB093C">
        <w:rPr>
          <w:rFonts w:ascii="Arial" w:hAnsi="Arial" w:cs="Arial"/>
          <w:color w:val="000000"/>
          <w:szCs w:val="22"/>
        </w:rPr>
        <w:t>After discussions with GBRMPA scientists and the Paddock to Reef integration team, the seagrass guidelines were further refined by allocating the additional categories of very good (median abundance at or above 75</w:t>
      </w:r>
      <w:r w:rsidRPr="00CB093C">
        <w:rPr>
          <w:rFonts w:ascii="Arial" w:hAnsi="Arial" w:cs="Arial"/>
          <w:color w:val="000000"/>
          <w:szCs w:val="22"/>
          <w:vertAlign w:val="superscript"/>
        </w:rPr>
        <w:t>th</w:t>
      </w:r>
      <w:r w:rsidRPr="00CB093C">
        <w:rPr>
          <w:rFonts w:ascii="Arial" w:hAnsi="Arial" w:cs="Arial"/>
          <w:color w:val="000000"/>
          <w:szCs w:val="22"/>
        </w:rPr>
        <w:t xml:space="preserve"> percentile), and very poor (median abundance below 20</w:t>
      </w:r>
      <w:r w:rsidRPr="00CB093C">
        <w:rPr>
          <w:rFonts w:ascii="Arial" w:hAnsi="Arial" w:cs="Arial"/>
          <w:color w:val="000000"/>
          <w:szCs w:val="22"/>
          <w:vertAlign w:val="superscript"/>
        </w:rPr>
        <w:t>th</w:t>
      </w:r>
      <w:r w:rsidRPr="00CB093C">
        <w:rPr>
          <w:rFonts w:ascii="Arial" w:hAnsi="Arial" w:cs="Arial"/>
          <w:color w:val="000000"/>
          <w:szCs w:val="22"/>
        </w:rPr>
        <w:t xml:space="preserve"> or 10</w:t>
      </w:r>
      <w:r w:rsidRPr="00CB093C">
        <w:rPr>
          <w:rFonts w:ascii="Arial" w:hAnsi="Arial" w:cs="Arial"/>
          <w:color w:val="000000"/>
          <w:szCs w:val="22"/>
          <w:vertAlign w:val="superscript"/>
        </w:rPr>
        <w:t>th</w:t>
      </w:r>
      <w:r w:rsidRPr="00CB093C">
        <w:rPr>
          <w:rFonts w:ascii="Arial" w:hAnsi="Arial" w:cs="Arial"/>
          <w:color w:val="000000"/>
          <w:szCs w:val="22"/>
        </w:rPr>
        <w:t xml:space="preserve"> percentile and declined by &gt;20</w:t>
      </w:r>
      <w:r w:rsidR="0063478C" w:rsidRPr="00CB093C">
        <w:rPr>
          <w:rFonts w:ascii="Arial" w:hAnsi="Arial" w:cs="Arial"/>
          <w:color w:val="000000"/>
          <w:szCs w:val="22"/>
        </w:rPr>
        <w:t xml:space="preserve"> </w:t>
      </w:r>
      <w:r w:rsidR="00882B72" w:rsidRPr="00CB093C">
        <w:rPr>
          <w:rFonts w:ascii="Arial" w:hAnsi="Arial" w:cs="Arial"/>
          <w:color w:val="000000"/>
          <w:szCs w:val="22"/>
        </w:rPr>
        <w:t>%</w:t>
      </w:r>
      <w:r w:rsidRPr="00CB093C">
        <w:rPr>
          <w:rFonts w:ascii="Arial" w:hAnsi="Arial" w:cs="Arial"/>
          <w:color w:val="000000"/>
          <w:szCs w:val="22"/>
        </w:rPr>
        <w:t xml:space="preserve"> since previous sampling event). Seagrass state was then rescaled to a five point scale from 0 to 100 to allow integration with other components of the Paddock to Reef report card (</w:t>
      </w:r>
      <w:hyperlink w:anchor="_ENREF_46" w:tooltip="Department of the Premier and Cabinet, 2014 #10062"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Department of the Premier and Cabinet 2014</w:t>
        </w:r>
        <w:r w:rsidR="00513C39" w:rsidRPr="00CB093C">
          <w:rPr>
            <w:rFonts w:ascii="Arial" w:hAnsi="Arial" w:cs="Arial"/>
            <w:szCs w:val="22"/>
          </w:rPr>
          <w:fldChar w:fldCharType="end"/>
        </w:r>
      </w:hyperlink>
      <w:r w:rsidRPr="00CB093C">
        <w:rPr>
          <w:rFonts w:ascii="Arial" w:hAnsi="Arial" w:cs="Arial"/>
          <w:color w:val="000000"/>
          <w:szCs w:val="22"/>
        </w:rPr>
        <w:t>). Please note that the scale from 0 to 100 is unitless and should not be interpreted as a proportion or ratio.</w:t>
      </w:r>
    </w:p>
    <w:p w14:paraId="3B8CE9E1" w14:textId="77777777" w:rsidR="005F7F6E" w:rsidRPr="00CB093C" w:rsidRDefault="005F7F6E">
      <w:pPr>
        <w:spacing w:before="0" w:after="0"/>
        <w:rPr>
          <w:rFonts w:ascii="Arial" w:hAnsi="Arial" w:cs="Arial"/>
          <w:color w:val="000000"/>
          <w:szCs w:val="22"/>
        </w:rPr>
      </w:pPr>
      <w:r w:rsidRPr="00CB093C">
        <w:rPr>
          <w:rFonts w:ascii="Arial" w:hAnsi="Arial" w:cs="Arial"/>
          <w:color w:val="000000"/>
          <w:szCs w:val="22"/>
        </w:rPr>
        <w:br w:type="page"/>
      </w:r>
    </w:p>
    <w:p w14:paraId="27F53694" w14:textId="61AA3562" w:rsidR="00842050" w:rsidRPr="00CB093C" w:rsidRDefault="00842050" w:rsidP="00BA2BCE">
      <w:pPr>
        <w:keepNext/>
        <w:spacing w:after="0"/>
        <w:ind w:left="142"/>
        <w:jc w:val="center"/>
        <w:rPr>
          <w:rFonts w:ascii="Arial" w:hAnsi="Arial" w:cs="Arial"/>
          <w:i/>
          <w:vanish/>
          <w:color w:val="000000"/>
          <w:szCs w:val="22"/>
          <w:specVanish/>
        </w:rPr>
      </w:pPr>
      <w:bookmarkStart w:id="757" w:name="_Ref340344284"/>
      <w:bookmarkStart w:id="758" w:name="_Toc431494020"/>
      <w:bookmarkStart w:id="759" w:name="_Toc5616048"/>
      <w:bookmarkStart w:id="760" w:name="_Toc431494021"/>
      <w:r w:rsidRPr="00CB093C">
        <w:rPr>
          <w:rFonts w:ascii="Arial" w:hAnsi="Arial" w:cs="Arial"/>
          <w:color w:val="000000"/>
          <w:szCs w:val="22"/>
        </w:rPr>
        <w:t xml:space="preserve">Table </w:t>
      </w:r>
      <w:r w:rsidRPr="00CB093C">
        <w:rPr>
          <w:rFonts w:ascii="Arial" w:hAnsi="Arial" w:cs="Arial"/>
          <w:szCs w:val="22"/>
        </w:rPr>
        <w:fldChar w:fldCharType="begin"/>
      </w:r>
      <w:r w:rsidRPr="00CB093C">
        <w:rPr>
          <w:rFonts w:ascii="Arial" w:hAnsi="Arial" w:cs="Arial"/>
          <w:color w:val="000000"/>
          <w:szCs w:val="22"/>
        </w:rPr>
        <w:instrText xml:space="preserve"> SEQ Table \* ARABIC </w:instrText>
      </w:r>
      <w:r w:rsidRPr="00CB093C">
        <w:rPr>
          <w:rFonts w:ascii="Arial" w:hAnsi="Arial" w:cs="Arial"/>
          <w:szCs w:val="22"/>
        </w:rPr>
        <w:fldChar w:fldCharType="separate"/>
      </w:r>
      <w:r w:rsidR="005F00D4">
        <w:rPr>
          <w:rFonts w:ascii="Arial" w:hAnsi="Arial" w:cs="Arial"/>
          <w:noProof/>
          <w:color w:val="000000"/>
          <w:szCs w:val="22"/>
        </w:rPr>
        <w:t>20</w:t>
      </w:r>
      <w:r w:rsidRPr="00CB093C">
        <w:rPr>
          <w:rFonts w:ascii="Arial" w:hAnsi="Arial" w:cs="Arial"/>
          <w:szCs w:val="22"/>
        </w:rPr>
        <w:fldChar w:fldCharType="end"/>
      </w:r>
      <w:bookmarkEnd w:id="757"/>
      <w:r w:rsidRPr="00CB093C">
        <w:rPr>
          <w:rFonts w:ascii="Arial" w:hAnsi="Arial" w:cs="Arial"/>
          <w:color w:val="000000"/>
          <w:szCs w:val="22"/>
        </w:rPr>
        <w:t xml:space="preserve">. </w:t>
      </w:r>
      <w:r w:rsidRPr="00CB093C">
        <w:rPr>
          <w:rFonts w:ascii="Arial" w:hAnsi="Arial" w:cs="Arial"/>
          <w:i/>
          <w:color w:val="000000"/>
          <w:szCs w:val="22"/>
        </w:rPr>
        <w:t>Seagrass percentage cover guidelines (“the seagrass guidelines”) for each site/location and the subregional guidelines (bold) for each NRM habitat.</w:t>
      </w:r>
      <w:bookmarkEnd w:id="758"/>
      <w:bookmarkEnd w:id="759"/>
      <w:r w:rsidRPr="00CB093C">
        <w:rPr>
          <w:rFonts w:ascii="Arial" w:hAnsi="Arial" w:cs="Arial"/>
          <w:i/>
          <w:color w:val="000000"/>
          <w:szCs w:val="22"/>
        </w:rPr>
        <w:t xml:space="preserve"> </w:t>
      </w:r>
    </w:p>
    <w:p w14:paraId="053B9D71" w14:textId="77777777" w:rsidR="00842050" w:rsidRPr="00CB093C" w:rsidRDefault="00842050" w:rsidP="00BA2BCE">
      <w:pPr>
        <w:spacing w:before="240" w:after="0"/>
        <w:ind w:left="142"/>
        <w:rPr>
          <w:rFonts w:ascii="Arial" w:hAnsi="Arial" w:cs="Arial"/>
          <w:color w:val="000000"/>
          <w:szCs w:val="22"/>
        </w:rPr>
      </w:pPr>
      <w:r w:rsidRPr="00CB093C">
        <w:rPr>
          <w:rFonts w:ascii="Arial" w:hAnsi="Arial" w:cs="Arial"/>
          <w:i/>
          <w:color w:val="000000"/>
          <w:szCs w:val="22"/>
        </w:rPr>
        <w:t>Values in light grey not used. ^ denotes regional reference site, * from nearest adjacent region</w:t>
      </w:r>
      <w:r w:rsidR="00036CBF" w:rsidRPr="00CB093C">
        <w:rPr>
          <w:rFonts w:ascii="Arial" w:hAnsi="Arial" w:cs="Arial"/>
          <w:i/>
          <w:color w:val="000000"/>
          <w:szCs w:val="22"/>
        </w:rPr>
        <w:t>. For site details, see Tables 3</w:t>
      </w:r>
      <w:r w:rsidR="00BA2BCE" w:rsidRPr="00CB093C">
        <w:rPr>
          <w:rFonts w:ascii="Arial" w:hAnsi="Arial" w:cs="Arial"/>
          <w:i/>
          <w:color w:val="000000"/>
          <w:szCs w:val="22"/>
        </w:rPr>
        <w:t xml:space="preserve"> &amp; </w:t>
      </w:r>
      <w:r w:rsidR="00036CBF" w:rsidRPr="00CB093C">
        <w:rPr>
          <w:rFonts w:ascii="Arial" w:hAnsi="Arial" w:cs="Arial"/>
          <w:i/>
          <w:color w:val="000000"/>
          <w:szCs w:val="22"/>
        </w:rPr>
        <w:t>4.</w:t>
      </w:r>
    </w:p>
    <w:tbl>
      <w:tblPr>
        <w:tblpPr w:leftFromText="180" w:rightFromText="180" w:vertAnchor="text" w:horzAnchor="margin" w:tblpXSpec="center" w:tblpY="56"/>
        <w:tblW w:w="8838" w:type="dxa"/>
        <w:tblLook w:val="04A0" w:firstRow="1" w:lastRow="0" w:firstColumn="1" w:lastColumn="0" w:noHBand="0" w:noVBand="1"/>
      </w:tblPr>
      <w:tblGrid>
        <w:gridCol w:w="2071"/>
        <w:gridCol w:w="1060"/>
        <w:gridCol w:w="2117"/>
        <w:gridCol w:w="923"/>
        <w:gridCol w:w="924"/>
        <w:gridCol w:w="923"/>
        <w:gridCol w:w="924"/>
      </w:tblGrid>
      <w:tr w:rsidR="006F4537" w:rsidRPr="00CB093C" w14:paraId="33169F34" w14:textId="77777777" w:rsidTr="006F4537">
        <w:trPr>
          <w:trHeight w:val="260"/>
          <w:tblHeader/>
        </w:trPr>
        <w:tc>
          <w:tcPr>
            <w:tcW w:w="2071" w:type="dxa"/>
            <w:vMerge w:val="restart"/>
            <w:tcBorders>
              <w:top w:val="single" w:sz="4" w:space="0" w:color="auto"/>
              <w:left w:val="nil"/>
              <w:bottom w:val="single" w:sz="4" w:space="0" w:color="auto"/>
              <w:right w:val="nil"/>
            </w:tcBorders>
            <w:shd w:val="clear" w:color="auto" w:fill="BBE0E3"/>
            <w:noWrap/>
            <w:vAlign w:val="center"/>
            <w:hideMark/>
          </w:tcPr>
          <w:p w14:paraId="0B9AB34D" w14:textId="77777777" w:rsidR="006F4537" w:rsidRPr="00CB093C" w:rsidRDefault="006F4537" w:rsidP="006F4537">
            <w:pPr>
              <w:spacing w:before="0" w:after="0" w:line="200" w:lineRule="exact"/>
              <w:contextualSpacing/>
              <w:jc w:val="center"/>
              <w:rPr>
                <w:rFonts w:ascii="Arial" w:hAnsi="Arial" w:cs="Arial"/>
                <w:b/>
                <w:bCs/>
                <w:color w:val="000000"/>
                <w:szCs w:val="22"/>
              </w:rPr>
            </w:pPr>
            <w:r w:rsidRPr="00CB093C">
              <w:rPr>
                <w:rFonts w:ascii="Arial" w:hAnsi="Arial" w:cs="Arial"/>
                <w:b/>
                <w:bCs/>
                <w:color w:val="000000"/>
                <w:szCs w:val="22"/>
              </w:rPr>
              <w:t>NRM region</w:t>
            </w:r>
          </w:p>
        </w:tc>
        <w:tc>
          <w:tcPr>
            <w:tcW w:w="956" w:type="dxa"/>
            <w:vMerge w:val="restart"/>
            <w:tcBorders>
              <w:top w:val="single" w:sz="4" w:space="0" w:color="auto"/>
              <w:left w:val="nil"/>
              <w:bottom w:val="single" w:sz="4" w:space="0" w:color="auto"/>
              <w:right w:val="nil"/>
            </w:tcBorders>
            <w:shd w:val="clear" w:color="auto" w:fill="BBE0E3"/>
            <w:noWrap/>
            <w:vAlign w:val="center"/>
            <w:hideMark/>
          </w:tcPr>
          <w:p w14:paraId="48DD5741" w14:textId="77777777" w:rsidR="006F4537" w:rsidRPr="00CB093C" w:rsidRDefault="006F4537" w:rsidP="006F4537">
            <w:pPr>
              <w:spacing w:before="0" w:after="0" w:line="200" w:lineRule="exact"/>
              <w:contextualSpacing/>
              <w:jc w:val="center"/>
              <w:rPr>
                <w:rFonts w:ascii="Arial" w:hAnsi="Arial" w:cs="Arial"/>
                <w:b/>
                <w:bCs/>
                <w:color w:val="000000"/>
                <w:szCs w:val="22"/>
              </w:rPr>
            </w:pPr>
            <w:r w:rsidRPr="00CB093C">
              <w:rPr>
                <w:rFonts w:ascii="Arial" w:hAnsi="Arial" w:cs="Arial"/>
                <w:b/>
                <w:bCs/>
                <w:color w:val="000000"/>
                <w:szCs w:val="22"/>
              </w:rPr>
              <w:t>site/</w:t>
            </w:r>
          </w:p>
          <w:p w14:paraId="6E6940FC" w14:textId="77777777" w:rsidR="006F4537" w:rsidRPr="00CB093C" w:rsidRDefault="006F4537" w:rsidP="006F4537">
            <w:pPr>
              <w:spacing w:before="0" w:after="0" w:line="200" w:lineRule="exact"/>
              <w:contextualSpacing/>
              <w:jc w:val="center"/>
              <w:rPr>
                <w:rFonts w:ascii="Arial" w:hAnsi="Arial" w:cs="Arial"/>
                <w:b/>
                <w:bCs/>
                <w:color w:val="000000"/>
                <w:szCs w:val="22"/>
              </w:rPr>
            </w:pPr>
            <w:r w:rsidRPr="00CB093C">
              <w:rPr>
                <w:rFonts w:ascii="Arial" w:hAnsi="Arial" w:cs="Arial"/>
                <w:b/>
                <w:bCs/>
                <w:color w:val="000000"/>
                <w:szCs w:val="22"/>
              </w:rPr>
              <w:t>location</w:t>
            </w:r>
          </w:p>
        </w:tc>
        <w:tc>
          <w:tcPr>
            <w:tcW w:w="2117" w:type="dxa"/>
            <w:vMerge w:val="restart"/>
            <w:tcBorders>
              <w:top w:val="single" w:sz="4" w:space="0" w:color="auto"/>
              <w:left w:val="nil"/>
              <w:bottom w:val="single" w:sz="4" w:space="0" w:color="auto"/>
              <w:right w:val="nil"/>
            </w:tcBorders>
            <w:shd w:val="clear" w:color="auto" w:fill="BBE0E3"/>
            <w:noWrap/>
            <w:vAlign w:val="center"/>
            <w:hideMark/>
          </w:tcPr>
          <w:p w14:paraId="56EF04B9" w14:textId="77777777" w:rsidR="006F4537" w:rsidRPr="00CB093C" w:rsidRDefault="006F4537" w:rsidP="006F4537">
            <w:pPr>
              <w:spacing w:before="0" w:after="0" w:line="200" w:lineRule="exact"/>
              <w:contextualSpacing/>
              <w:jc w:val="center"/>
              <w:rPr>
                <w:rFonts w:ascii="Arial" w:hAnsi="Arial" w:cs="Arial"/>
                <w:b/>
                <w:bCs/>
                <w:color w:val="000000"/>
                <w:szCs w:val="22"/>
              </w:rPr>
            </w:pPr>
            <w:r w:rsidRPr="00CB093C">
              <w:rPr>
                <w:rFonts w:ascii="Arial" w:hAnsi="Arial" w:cs="Arial"/>
                <w:b/>
                <w:bCs/>
                <w:color w:val="000000"/>
                <w:szCs w:val="22"/>
              </w:rPr>
              <w:t>Habitat</w:t>
            </w:r>
          </w:p>
        </w:tc>
        <w:tc>
          <w:tcPr>
            <w:tcW w:w="3694" w:type="dxa"/>
            <w:gridSpan w:val="4"/>
            <w:tcBorders>
              <w:top w:val="single" w:sz="4" w:space="0" w:color="auto"/>
              <w:left w:val="nil"/>
              <w:bottom w:val="nil"/>
              <w:right w:val="nil"/>
            </w:tcBorders>
            <w:shd w:val="clear" w:color="auto" w:fill="BBE0E3"/>
            <w:noWrap/>
            <w:vAlign w:val="center"/>
            <w:hideMark/>
          </w:tcPr>
          <w:p w14:paraId="2A950CBE" w14:textId="77777777" w:rsidR="006F4537" w:rsidRPr="00CB093C" w:rsidRDefault="006F4537" w:rsidP="006F4537">
            <w:pPr>
              <w:spacing w:before="0" w:after="0" w:line="200" w:lineRule="exact"/>
              <w:contextualSpacing/>
              <w:jc w:val="center"/>
              <w:rPr>
                <w:rFonts w:ascii="Arial" w:hAnsi="Arial" w:cs="Arial"/>
                <w:b/>
                <w:bCs/>
                <w:color w:val="000000"/>
                <w:szCs w:val="22"/>
              </w:rPr>
            </w:pPr>
            <w:r w:rsidRPr="00CB093C">
              <w:rPr>
                <w:rFonts w:ascii="Arial" w:hAnsi="Arial" w:cs="Arial"/>
                <w:b/>
                <w:bCs/>
                <w:color w:val="000000"/>
                <w:szCs w:val="22"/>
              </w:rPr>
              <w:t>percentile guideline</w:t>
            </w:r>
          </w:p>
        </w:tc>
      </w:tr>
      <w:tr w:rsidR="006F4537" w:rsidRPr="00CB093C" w14:paraId="63777109" w14:textId="77777777" w:rsidTr="006F4537">
        <w:trPr>
          <w:trHeight w:val="153"/>
          <w:tblHeader/>
        </w:trPr>
        <w:tc>
          <w:tcPr>
            <w:tcW w:w="0" w:type="auto"/>
            <w:vMerge/>
            <w:tcBorders>
              <w:top w:val="single" w:sz="4" w:space="0" w:color="auto"/>
              <w:left w:val="nil"/>
              <w:bottom w:val="single" w:sz="4" w:space="0" w:color="auto"/>
              <w:right w:val="nil"/>
            </w:tcBorders>
            <w:vAlign w:val="center"/>
            <w:hideMark/>
          </w:tcPr>
          <w:p w14:paraId="05E660FD" w14:textId="77777777" w:rsidR="006F4537" w:rsidRPr="00CB093C" w:rsidRDefault="006F4537" w:rsidP="006F4537">
            <w:pPr>
              <w:spacing w:before="0" w:after="0"/>
              <w:contextualSpacing/>
              <w:rPr>
                <w:rFonts w:ascii="Arial" w:hAnsi="Arial" w:cs="Arial"/>
                <w:b/>
                <w:bCs/>
                <w:color w:val="000000"/>
                <w:szCs w:val="22"/>
              </w:rPr>
            </w:pPr>
          </w:p>
        </w:tc>
        <w:tc>
          <w:tcPr>
            <w:tcW w:w="0" w:type="auto"/>
            <w:vMerge/>
            <w:tcBorders>
              <w:top w:val="single" w:sz="4" w:space="0" w:color="auto"/>
              <w:left w:val="nil"/>
              <w:bottom w:val="single" w:sz="4" w:space="0" w:color="auto"/>
              <w:right w:val="nil"/>
            </w:tcBorders>
            <w:vAlign w:val="center"/>
            <w:hideMark/>
          </w:tcPr>
          <w:p w14:paraId="72238E3E" w14:textId="77777777" w:rsidR="006F4537" w:rsidRPr="00CB093C" w:rsidRDefault="006F4537" w:rsidP="006F4537">
            <w:pPr>
              <w:spacing w:before="0" w:after="0"/>
              <w:contextualSpacing/>
              <w:rPr>
                <w:rFonts w:ascii="Arial" w:hAnsi="Arial" w:cs="Arial"/>
                <w:b/>
                <w:bCs/>
                <w:color w:val="000000"/>
                <w:szCs w:val="22"/>
              </w:rPr>
            </w:pPr>
          </w:p>
        </w:tc>
        <w:tc>
          <w:tcPr>
            <w:tcW w:w="0" w:type="auto"/>
            <w:vMerge/>
            <w:tcBorders>
              <w:top w:val="single" w:sz="4" w:space="0" w:color="auto"/>
              <w:left w:val="nil"/>
              <w:bottom w:val="single" w:sz="4" w:space="0" w:color="auto"/>
              <w:right w:val="nil"/>
            </w:tcBorders>
            <w:vAlign w:val="center"/>
            <w:hideMark/>
          </w:tcPr>
          <w:p w14:paraId="5914D38A" w14:textId="77777777" w:rsidR="006F4537" w:rsidRPr="00CB093C" w:rsidRDefault="006F4537" w:rsidP="006F4537">
            <w:pPr>
              <w:spacing w:before="0" w:after="0"/>
              <w:contextualSpacing/>
              <w:rPr>
                <w:rFonts w:ascii="Arial" w:hAnsi="Arial" w:cs="Arial"/>
                <w:b/>
                <w:bCs/>
                <w:color w:val="000000"/>
                <w:szCs w:val="22"/>
              </w:rPr>
            </w:pPr>
          </w:p>
        </w:tc>
        <w:tc>
          <w:tcPr>
            <w:tcW w:w="923" w:type="dxa"/>
            <w:tcBorders>
              <w:top w:val="nil"/>
              <w:left w:val="nil"/>
              <w:bottom w:val="single" w:sz="4" w:space="0" w:color="auto"/>
              <w:right w:val="nil"/>
            </w:tcBorders>
            <w:shd w:val="clear" w:color="auto" w:fill="BBE0E3"/>
            <w:noWrap/>
            <w:vAlign w:val="center"/>
            <w:hideMark/>
          </w:tcPr>
          <w:p w14:paraId="0F042815" w14:textId="77777777" w:rsidR="006F4537" w:rsidRPr="00CB093C" w:rsidRDefault="006F4537" w:rsidP="006F4537">
            <w:pPr>
              <w:spacing w:before="0" w:after="0" w:line="200" w:lineRule="exact"/>
              <w:contextualSpacing/>
              <w:jc w:val="center"/>
              <w:rPr>
                <w:rFonts w:ascii="Arial" w:hAnsi="Arial" w:cs="Arial"/>
                <w:b/>
                <w:bCs/>
                <w:color w:val="000000"/>
                <w:szCs w:val="22"/>
              </w:rPr>
            </w:pPr>
            <w:r w:rsidRPr="00CB093C">
              <w:rPr>
                <w:rFonts w:ascii="Arial" w:hAnsi="Arial" w:cs="Arial"/>
                <w:b/>
                <w:bCs/>
                <w:color w:val="000000"/>
                <w:szCs w:val="22"/>
              </w:rPr>
              <w:t>10</w:t>
            </w:r>
            <w:r w:rsidRPr="00CB093C">
              <w:rPr>
                <w:rFonts w:ascii="Arial" w:hAnsi="Arial" w:cs="Arial"/>
                <w:b/>
                <w:bCs/>
                <w:color w:val="000000"/>
                <w:szCs w:val="22"/>
                <w:vertAlign w:val="superscript"/>
              </w:rPr>
              <w:t>th</w:t>
            </w:r>
          </w:p>
        </w:tc>
        <w:tc>
          <w:tcPr>
            <w:tcW w:w="924" w:type="dxa"/>
            <w:tcBorders>
              <w:top w:val="nil"/>
              <w:left w:val="nil"/>
              <w:bottom w:val="single" w:sz="4" w:space="0" w:color="auto"/>
              <w:right w:val="nil"/>
            </w:tcBorders>
            <w:shd w:val="clear" w:color="auto" w:fill="BBE0E3"/>
            <w:noWrap/>
            <w:vAlign w:val="center"/>
            <w:hideMark/>
          </w:tcPr>
          <w:p w14:paraId="2D826407" w14:textId="77777777" w:rsidR="006F4537" w:rsidRPr="00CB093C" w:rsidRDefault="006F4537" w:rsidP="006F4537">
            <w:pPr>
              <w:spacing w:before="0" w:after="0" w:line="200" w:lineRule="exact"/>
              <w:contextualSpacing/>
              <w:jc w:val="center"/>
              <w:rPr>
                <w:rFonts w:ascii="Arial" w:hAnsi="Arial" w:cs="Arial"/>
                <w:b/>
                <w:bCs/>
                <w:color w:val="000000"/>
                <w:szCs w:val="22"/>
              </w:rPr>
            </w:pPr>
            <w:r w:rsidRPr="00CB093C">
              <w:rPr>
                <w:rFonts w:ascii="Arial" w:hAnsi="Arial" w:cs="Arial"/>
                <w:b/>
                <w:bCs/>
                <w:color w:val="000000"/>
                <w:szCs w:val="22"/>
              </w:rPr>
              <w:t>20</w:t>
            </w:r>
            <w:r w:rsidRPr="00CB093C">
              <w:rPr>
                <w:rFonts w:ascii="Arial" w:hAnsi="Arial" w:cs="Arial"/>
                <w:b/>
                <w:bCs/>
                <w:color w:val="000000"/>
                <w:szCs w:val="22"/>
                <w:vertAlign w:val="superscript"/>
              </w:rPr>
              <w:t>th</w:t>
            </w:r>
          </w:p>
        </w:tc>
        <w:tc>
          <w:tcPr>
            <w:tcW w:w="923" w:type="dxa"/>
            <w:tcBorders>
              <w:top w:val="nil"/>
              <w:left w:val="nil"/>
              <w:bottom w:val="single" w:sz="4" w:space="0" w:color="auto"/>
              <w:right w:val="nil"/>
            </w:tcBorders>
            <w:shd w:val="clear" w:color="auto" w:fill="BBE0E3"/>
            <w:noWrap/>
            <w:vAlign w:val="center"/>
            <w:hideMark/>
          </w:tcPr>
          <w:p w14:paraId="7E44356F" w14:textId="77777777" w:rsidR="006F4537" w:rsidRPr="00CB093C" w:rsidRDefault="006F4537" w:rsidP="006F4537">
            <w:pPr>
              <w:spacing w:before="0" w:after="0" w:line="200" w:lineRule="exact"/>
              <w:contextualSpacing/>
              <w:jc w:val="center"/>
              <w:rPr>
                <w:rFonts w:ascii="Arial" w:hAnsi="Arial" w:cs="Arial"/>
                <w:b/>
                <w:bCs/>
                <w:color w:val="000000"/>
                <w:szCs w:val="22"/>
              </w:rPr>
            </w:pPr>
            <w:r w:rsidRPr="00CB093C">
              <w:rPr>
                <w:rFonts w:ascii="Arial" w:hAnsi="Arial" w:cs="Arial"/>
                <w:b/>
                <w:bCs/>
                <w:color w:val="000000"/>
                <w:szCs w:val="22"/>
              </w:rPr>
              <w:t>50</w:t>
            </w:r>
            <w:r w:rsidRPr="00CB093C">
              <w:rPr>
                <w:rFonts w:ascii="Arial" w:hAnsi="Arial" w:cs="Arial"/>
                <w:b/>
                <w:bCs/>
                <w:color w:val="000000"/>
                <w:szCs w:val="22"/>
                <w:vertAlign w:val="superscript"/>
              </w:rPr>
              <w:t>th</w:t>
            </w:r>
          </w:p>
        </w:tc>
        <w:tc>
          <w:tcPr>
            <w:tcW w:w="924" w:type="dxa"/>
            <w:tcBorders>
              <w:top w:val="nil"/>
              <w:left w:val="nil"/>
              <w:bottom w:val="single" w:sz="4" w:space="0" w:color="auto"/>
              <w:right w:val="nil"/>
            </w:tcBorders>
            <w:shd w:val="clear" w:color="auto" w:fill="BBE0E3"/>
            <w:noWrap/>
            <w:vAlign w:val="center"/>
            <w:hideMark/>
          </w:tcPr>
          <w:p w14:paraId="19C2DBD0" w14:textId="77777777" w:rsidR="006F4537" w:rsidRPr="00CB093C" w:rsidRDefault="006F4537" w:rsidP="006F4537">
            <w:pPr>
              <w:spacing w:before="0" w:after="0" w:line="200" w:lineRule="exact"/>
              <w:contextualSpacing/>
              <w:jc w:val="center"/>
              <w:rPr>
                <w:rFonts w:ascii="Arial" w:hAnsi="Arial" w:cs="Arial"/>
                <w:b/>
                <w:bCs/>
                <w:color w:val="000000"/>
                <w:szCs w:val="22"/>
              </w:rPr>
            </w:pPr>
            <w:r w:rsidRPr="00CB093C">
              <w:rPr>
                <w:rFonts w:ascii="Arial" w:hAnsi="Arial" w:cs="Arial"/>
                <w:b/>
                <w:bCs/>
                <w:color w:val="000000"/>
                <w:szCs w:val="22"/>
              </w:rPr>
              <w:t>75</w:t>
            </w:r>
            <w:r w:rsidRPr="00CB093C">
              <w:rPr>
                <w:rFonts w:ascii="Arial" w:hAnsi="Arial" w:cs="Arial"/>
                <w:b/>
                <w:bCs/>
                <w:color w:val="000000"/>
                <w:szCs w:val="22"/>
                <w:vertAlign w:val="superscript"/>
              </w:rPr>
              <w:t>th</w:t>
            </w:r>
          </w:p>
        </w:tc>
      </w:tr>
      <w:tr w:rsidR="006F4537" w:rsidRPr="00CB093C" w14:paraId="4F639388"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78384221"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Cape York</w:t>
            </w:r>
          </w:p>
        </w:tc>
        <w:tc>
          <w:tcPr>
            <w:tcW w:w="956" w:type="dxa"/>
            <w:tcBorders>
              <w:top w:val="single" w:sz="4" w:space="0" w:color="auto"/>
              <w:left w:val="nil"/>
              <w:bottom w:val="nil"/>
              <w:right w:val="nil"/>
            </w:tcBorders>
            <w:shd w:val="clear" w:color="auto" w:fill="F3F9FA"/>
            <w:noWrap/>
            <w:vAlign w:val="bottom"/>
            <w:hideMark/>
          </w:tcPr>
          <w:p w14:paraId="214DE05B"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AP1^</w:t>
            </w:r>
          </w:p>
        </w:tc>
        <w:tc>
          <w:tcPr>
            <w:tcW w:w="2117" w:type="dxa"/>
            <w:tcBorders>
              <w:top w:val="single" w:sz="4" w:space="0" w:color="auto"/>
              <w:left w:val="nil"/>
              <w:bottom w:val="nil"/>
              <w:right w:val="nil"/>
            </w:tcBorders>
            <w:shd w:val="clear" w:color="auto" w:fill="F3F9FA"/>
            <w:noWrap/>
            <w:vAlign w:val="bottom"/>
            <w:hideMark/>
          </w:tcPr>
          <w:p w14:paraId="43A4B9FB"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tcBorders>
              <w:top w:val="single" w:sz="4" w:space="0" w:color="auto"/>
              <w:left w:val="nil"/>
              <w:bottom w:val="nil"/>
              <w:right w:val="nil"/>
            </w:tcBorders>
            <w:shd w:val="clear" w:color="auto" w:fill="F3F9FA"/>
            <w:noWrap/>
            <w:vAlign w:val="center"/>
            <w:hideMark/>
          </w:tcPr>
          <w:p w14:paraId="217FB17F"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11</w:t>
            </w:r>
          </w:p>
        </w:tc>
        <w:tc>
          <w:tcPr>
            <w:tcW w:w="924" w:type="dxa"/>
            <w:tcBorders>
              <w:top w:val="single" w:sz="4" w:space="0" w:color="auto"/>
              <w:left w:val="nil"/>
              <w:bottom w:val="nil"/>
              <w:right w:val="nil"/>
            </w:tcBorders>
            <w:shd w:val="clear" w:color="auto" w:fill="F3F9FA"/>
            <w:noWrap/>
            <w:vAlign w:val="center"/>
            <w:hideMark/>
          </w:tcPr>
          <w:p w14:paraId="3AC90A69"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16.8</w:t>
            </w:r>
          </w:p>
        </w:tc>
        <w:tc>
          <w:tcPr>
            <w:tcW w:w="923" w:type="dxa"/>
            <w:tcBorders>
              <w:top w:val="single" w:sz="4" w:space="0" w:color="auto"/>
              <w:left w:val="nil"/>
              <w:bottom w:val="nil"/>
              <w:right w:val="nil"/>
            </w:tcBorders>
            <w:shd w:val="clear" w:color="auto" w:fill="F3F9FA"/>
            <w:noWrap/>
            <w:vAlign w:val="center"/>
            <w:hideMark/>
          </w:tcPr>
          <w:p w14:paraId="4DA13D9A"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18.9</w:t>
            </w:r>
          </w:p>
        </w:tc>
        <w:tc>
          <w:tcPr>
            <w:tcW w:w="924" w:type="dxa"/>
            <w:tcBorders>
              <w:top w:val="single" w:sz="4" w:space="0" w:color="auto"/>
              <w:left w:val="nil"/>
              <w:bottom w:val="nil"/>
              <w:right w:val="nil"/>
            </w:tcBorders>
            <w:shd w:val="clear" w:color="auto" w:fill="F3F9FA"/>
            <w:noWrap/>
            <w:vAlign w:val="center"/>
            <w:hideMark/>
          </w:tcPr>
          <w:p w14:paraId="3DC5268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23.7</w:t>
            </w:r>
          </w:p>
        </w:tc>
      </w:tr>
      <w:tr w:rsidR="006F4537" w:rsidRPr="00CB093C" w14:paraId="20336007" w14:textId="77777777" w:rsidTr="006F4537">
        <w:trPr>
          <w:trHeight w:val="170"/>
        </w:trPr>
        <w:tc>
          <w:tcPr>
            <w:tcW w:w="2071" w:type="dxa"/>
            <w:shd w:val="clear" w:color="auto" w:fill="F3F9FA"/>
            <w:noWrap/>
            <w:vAlign w:val="bottom"/>
          </w:tcPr>
          <w:p w14:paraId="3A1FB2BB"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6D18801B"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AP2</w:t>
            </w:r>
          </w:p>
        </w:tc>
        <w:tc>
          <w:tcPr>
            <w:tcW w:w="2117" w:type="dxa"/>
            <w:shd w:val="clear" w:color="auto" w:fill="F3F9FA"/>
            <w:noWrap/>
            <w:vAlign w:val="bottom"/>
            <w:hideMark/>
          </w:tcPr>
          <w:p w14:paraId="5FF77348"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hideMark/>
          </w:tcPr>
          <w:p w14:paraId="330E8B84"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11</w:t>
            </w:r>
          </w:p>
        </w:tc>
        <w:tc>
          <w:tcPr>
            <w:tcW w:w="924" w:type="dxa"/>
            <w:shd w:val="clear" w:color="auto" w:fill="F3F9FA"/>
            <w:noWrap/>
            <w:vAlign w:val="center"/>
          </w:tcPr>
          <w:p w14:paraId="500B122E" w14:textId="77777777" w:rsidR="006F4537" w:rsidRPr="00CB093C" w:rsidRDefault="006F4537" w:rsidP="006F4537">
            <w:pPr>
              <w:spacing w:before="0" w:after="0"/>
              <w:jc w:val="center"/>
              <w:rPr>
                <w:rFonts w:ascii="Arial" w:hAnsi="Arial" w:cs="Arial"/>
                <w:color w:val="000000"/>
                <w:szCs w:val="22"/>
              </w:rPr>
            </w:pPr>
          </w:p>
        </w:tc>
        <w:tc>
          <w:tcPr>
            <w:tcW w:w="923" w:type="dxa"/>
            <w:shd w:val="clear" w:color="auto" w:fill="F3F9FA"/>
            <w:noWrap/>
            <w:vAlign w:val="center"/>
            <w:hideMark/>
          </w:tcPr>
          <w:p w14:paraId="53C556A3"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18.9</w:t>
            </w:r>
          </w:p>
        </w:tc>
        <w:tc>
          <w:tcPr>
            <w:tcW w:w="924" w:type="dxa"/>
            <w:shd w:val="clear" w:color="auto" w:fill="F3F9FA"/>
            <w:noWrap/>
            <w:vAlign w:val="center"/>
            <w:hideMark/>
          </w:tcPr>
          <w:p w14:paraId="5499829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23.7</w:t>
            </w:r>
          </w:p>
        </w:tc>
      </w:tr>
      <w:tr w:rsidR="006F4537" w:rsidRPr="00CB093C" w14:paraId="6D3F83BA" w14:textId="77777777" w:rsidTr="006F4537">
        <w:trPr>
          <w:trHeight w:val="170"/>
        </w:trPr>
        <w:tc>
          <w:tcPr>
            <w:tcW w:w="2071" w:type="dxa"/>
            <w:shd w:val="clear" w:color="auto" w:fill="F3F9FA"/>
            <w:noWrap/>
            <w:vAlign w:val="bottom"/>
          </w:tcPr>
          <w:p w14:paraId="6DF7B479"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52D36E2E"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FR</w:t>
            </w:r>
          </w:p>
        </w:tc>
        <w:tc>
          <w:tcPr>
            <w:tcW w:w="2117" w:type="dxa"/>
            <w:shd w:val="clear" w:color="auto" w:fill="F3F9FA"/>
            <w:noWrap/>
            <w:vAlign w:val="bottom"/>
            <w:hideMark/>
          </w:tcPr>
          <w:p w14:paraId="1436CE07" w14:textId="77777777" w:rsidR="006F4537" w:rsidRPr="00CB093C" w:rsidRDefault="006F4537" w:rsidP="006F4537">
            <w:pPr>
              <w:spacing w:before="0" w:after="0"/>
              <w:rPr>
                <w:rFonts w:ascii="Arial" w:hAnsi="Arial" w:cs="Arial"/>
                <w:bCs/>
                <w:i/>
                <w:iCs/>
                <w:color w:val="000000"/>
                <w:szCs w:val="22"/>
              </w:rPr>
            </w:pPr>
            <w:r w:rsidRPr="00CB093C">
              <w:rPr>
                <w:rFonts w:ascii="Arial" w:hAnsi="Arial" w:cs="Arial"/>
                <w:color w:val="000000"/>
                <w:szCs w:val="22"/>
              </w:rPr>
              <w:t>reef intertidal</w:t>
            </w:r>
          </w:p>
        </w:tc>
        <w:tc>
          <w:tcPr>
            <w:tcW w:w="923" w:type="dxa"/>
            <w:shd w:val="clear" w:color="auto" w:fill="F3F9FA"/>
            <w:noWrap/>
            <w:vAlign w:val="center"/>
          </w:tcPr>
          <w:p w14:paraId="158AAAED" w14:textId="77777777" w:rsidR="006F4537" w:rsidRPr="00CB093C" w:rsidRDefault="006F4537" w:rsidP="006F4537">
            <w:pPr>
              <w:spacing w:before="0" w:after="0"/>
              <w:jc w:val="center"/>
              <w:rPr>
                <w:rFonts w:ascii="Arial" w:hAnsi="Arial" w:cs="Arial"/>
                <w:bCs/>
                <w:i/>
                <w:iCs/>
                <w:color w:val="000000"/>
                <w:szCs w:val="22"/>
              </w:rPr>
            </w:pPr>
          </w:p>
        </w:tc>
        <w:tc>
          <w:tcPr>
            <w:tcW w:w="924" w:type="dxa"/>
            <w:shd w:val="clear" w:color="auto" w:fill="F3F9FA"/>
            <w:noWrap/>
            <w:vAlign w:val="center"/>
            <w:hideMark/>
          </w:tcPr>
          <w:p w14:paraId="03CC0B69"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16.8</w:t>
            </w:r>
          </w:p>
        </w:tc>
        <w:tc>
          <w:tcPr>
            <w:tcW w:w="923" w:type="dxa"/>
            <w:shd w:val="clear" w:color="auto" w:fill="F3F9FA"/>
            <w:noWrap/>
            <w:vAlign w:val="center"/>
            <w:hideMark/>
          </w:tcPr>
          <w:p w14:paraId="45DE6F4B"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18.9</w:t>
            </w:r>
          </w:p>
        </w:tc>
        <w:tc>
          <w:tcPr>
            <w:tcW w:w="924" w:type="dxa"/>
            <w:shd w:val="clear" w:color="auto" w:fill="F3F9FA"/>
            <w:noWrap/>
            <w:vAlign w:val="center"/>
            <w:hideMark/>
          </w:tcPr>
          <w:p w14:paraId="01607A4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23.7</w:t>
            </w:r>
          </w:p>
        </w:tc>
      </w:tr>
      <w:tr w:rsidR="006F4537" w:rsidRPr="00CB093C" w14:paraId="2DED8C2C" w14:textId="77777777" w:rsidTr="006F4537">
        <w:trPr>
          <w:trHeight w:val="170"/>
        </w:trPr>
        <w:tc>
          <w:tcPr>
            <w:tcW w:w="2071" w:type="dxa"/>
            <w:shd w:val="clear" w:color="auto" w:fill="F3F9FA"/>
            <w:noWrap/>
            <w:vAlign w:val="bottom"/>
          </w:tcPr>
          <w:p w14:paraId="38AD6E88"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7076354A"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ST</w:t>
            </w:r>
          </w:p>
        </w:tc>
        <w:tc>
          <w:tcPr>
            <w:tcW w:w="2117" w:type="dxa"/>
            <w:shd w:val="clear" w:color="auto" w:fill="F3F9FA"/>
            <w:noWrap/>
            <w:vAlign w:val="bottom"/>
            <w:hideMark/>
          </w:tcPr>
          <w:p w14:paraId="01E74894" w14:textId="77777777" w:rsidR="006F4537" w:rsidRPr="00CB093C" w:rsidRDefault="006F4537" w:rsidP="006F4537">
            <w:pPr>
              <w:spacing w:before="0" w:after="0"/>
              <w:rPr>
                <w:rFonts w:ascii="Arial" w:hAnsi="Arial" w:cs="Arial"/>
                <w:bCs/>
                <w:i/>
                <w:iCs/>
                <w:color w:val="000000"/>
                <w:szCs w:val="22"/>
              </w:rPr>
            </w:pPr>
            <w:r w:rsidRPr="00CB093C">
              <w:rPr>
                <w:rFonts w:ascii="Arial" w:hAnsi="Arial" w:cs="Arial"/>
                <w:color w:val="000000"/>
                <w:szCs w:val="22"/>
              </w:rPr>
              <w:t>reef intertidal</w:t>
            </w:r>
          </w:p>
        </w:tc>
        <w:tc>
          <w:tcPr>
            <w:tcW w:w="923" w:type="dxa"/>
            <w:shd w:val="clear" w:color="auto" w:fill="F3F9FA"/>
            <w:noWrap/>
            <w:vAlign w:val="center"/>
          </w:tcPr>
          <w:p w14:paraId="20D81070" w14:textId="77777777" w:rsidR="006F4537" w:rsidRPr="00CB093C" w:rsidRDefault="006F4537" w:rsidP="006F4537">
            <w:pPr>
              <w:spacing w:before="0" w:after="0"/>
              <w:jc w:val="center"/>
              <w:rPr>
                <w:rFonts w:ascii="Arial" w:hAnsi="Arial" w:cs="Arial"/>
                <w:bCs/>
                <w:i/>
                <w:iCs/>
                <w:color w:val="000000"/>
                <w:szCs w:val="22"/>
              </w:rPr>
            </w:pPr>
          </w:p>
        </w:tc>
        <w:tc>
          <w:tcPr>
            <w:tcW w:w="924" w:type="dxa"/>
            <w:shd w:val="clear" w:color="auto" w:fill="F3F9FA"/>
            <w:noWrap/>
            <w:vAlign w:val="center"/>
            <w:hideMark/>
          </w:tcPr>
          <w:p w14:paraId="1BFB54C9"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16.8</w:t>
            </w:r>
          </w:p>
        </w:tc>
        <w:tc>
          <w:tcPr>
            <w:tcW w:w="923" w:type="dxa"/>
            <w:shd w:val="clear" w:color="auto" w:fill="F3F9FA"/>
            <w:noWrap/>
            <w:vAlign w:val="center"/>
            <w:hideMark/>
          </w:tcPr>
          <w:p w14:paraId="13F06110"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18.9</w:t>
            </w:r>
          </w:p>
        </w:tc>
        <w:tc>
          <w:tcPr>
            <w:tcW w:w="924" w:type="dxa"/>
            <w:shd w:val="clear" w:color="auto" w:fill="F3F9FA"/>
            <w:noWrap/>
            <w:vAlign w:val="center"/>
            <w:hideMark/>
          </w:tcPr>
          <w:p w14:paraId="07C86594"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23.7</w:t>
            </w:r>
          </w:p>
        </w:tc>
      </w:tr>
      <w:tr w:rsidR="006F4537" w:rsidRPr="00CB093C" w14:paraId="680157CA" w14:textId="77777777" w:rsidTr="006F4537">
        <w:trPr>
          <w:trHeight w:val="170"/>
        </w:trPr>
        <w:tc>
          <w:tcPr>
            <w:tcW w:w="2071" w:type="dxa"/>
            <w:shd w:val="clear" w:color="auto" w:fill="F3F9FA"/>
            <w:noWrap/>
            <w:vAlign w:val="bottom"/>
          </w:tcPr>
          <w:p w14:paraId="0D2750AD"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384EA469"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YY</w:t>
            </w:r>
          </w:p>
        </w:tc>
        <w:tc>
          <w:tcPr>
            <w:tcW w:w="2117" w:type="dxa"/>
            <w:shd w:val="clear" w:color="auto" w:fill="F3F9FA"/>
            <w:noWrap/>
            <w:vAlign w:val="bottom"/>
            <w:hideMark/>
          </w:tcPr>
          <w:p w14:paraId="3C062663"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tcPr>
          <w:p w14:paraId="52FB806D" w14:textId="77777777" w:rsidR="006F4537" w:rsidRPr="00CB093C" w:rsidRDefault="006F4537" w:rsidP="006F4537">
            <w:pPr>
              <w:spacing w:before="0" w:after="0"/>
              <w:jc w:val="center"/>
              <w:rPr>
                <w:rFonts w:ascii="Arial" w:hAnsi="Arial" w:cs="Arial"/>
                <w:bCs/>
                <w:i/>
                <w:iCs/>
                <w:color w:val="000000"/>
                <w:szCs w:val="22"/>
              </w:rPr>
            </w:pPr>
          </w:p>
        </w:tc>
        <w:tc>
          <w:tcPr>
            <w:tcW w:w="924" w:type="dxa"/>
            <w:shd w:val="clear" w:color="auto" w:fill="F3F9FA"/>
            <w:noWrap/>
            <w:vAlign w:val="center"/>
            <w:hideMark/>
          </w:tcPr>
          <w:p w14:paraId="157AB4FC"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16.8</w:t>
            </w:r>
          </w:p>
        </w:tc>
        <w:tc>
          <w:tcPr>
            <w:tcW w:w="923" w:type="dxa"/>
            <w:shd w:val="clear" w:color="auto" w:fill="F3F9FA"/>
            <w:noWrap/>
            <w:vAlign w:val="center"/>
            <w:hideMark/>
          </w:tcPr>
          <w:p w14:paraId="1F7DE3CB"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18.9</w:t>
            </w:r>
          </w:p>
        </w:tc>
        <w:tc>
          <w:tcPr>
            <w:tcW w:w="924" w:type="dxa"/>
            <w:shd w:val="clear" w:color="auto" w:fill="F3F9FA"/>
            <w:noWrap/>
            <w:vAlign w:val="center"/>
            <w:hideMark/>
          </w:tcPr>
          <w:p w14:paraId="3B9897B9"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23.7</w:t>
            </w:r>
          </w:p>
        </w:tc>
      </w:tr>
      <w:tr w:rsidR="006F4537" w:rsidRPr="00CB093C" w14:paraId="081DA797" w14:textId="77777777" w:rsidTr="006F4537">
        <w:trPr>
          <w:trHeight w:val="170"/>
        </w:trPr>
        <w:tc>
          <w:tcPr>
            <w:tcW w:w="2071" w:type="dxa"/>
            <w:shd w:val="clear" w:color="auto" w:fill="E7F3F4"/>
            <w:noWrap/>
            <w:vAlign w:val="bottom"/>
          </w:tcPr>
          <w:p w14:paraId="1691DA72"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hideMark/>
          </w:tcPr>
          <w:p w14:paraId="7475F6C4"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hideMark/>
          </w:tcPr>
          <w:p w14:paraId="6C88B59C"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reef intertidal</w:t>
            </w:r>
          </w:p>
        </w:tc>
        <w:tc>
          <w:tcPr>
            <w:tcW w:w="923" w:type="dxa"/>
            <w:shd w:val="clear" w:color="auto" w:fill="E7F3F4"/>
            <w:noWrap/>
            <w:vAlign w:val="center"/>
            <w:hideMark/>
          </w:tcPr>
          <w:p w14:paraId="53AC1DFA"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11</w:t>
            </w:r>
          </w:p>
        </w:tc>
        <w:tc>
          <w:tcPr>
            <w:tcW w:w="924" w:type="dxa"/>
            <w:shd w:val="clear" w:color="auto" w:fill="E7F3F4"/>
            <w:noWrap/>
            <w:vAlign w:val="center"/>
            <w:hideMark/>
          </w:tcPr>
          <w:p w14:paraId="0D06E6DA"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16.8</w:t>
            </w:r>
          </w:p>
        </w:tc>
        <w:tc>
          <w:tcPr>
            <w:tcW w:w="923" w:type="dxa"/>
            <w:shd w:val="clear" w:color="auto" w:fill="E7F3F4"/>
            <w:noWrap/>
            <w:vAlign w:val="center"/>
            <w:hideMark/>
          </w:tcPr>
          <w:p w14:paraId="5CD2E34E"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18.9</w:t>
            </w:r>
          </w:p>
        </w:tc>
        <w:tc>
          <w:tcPr>
            <w:tcW w:w="924" w:type="dxa"/>
            <w:shd w:val="clear" w:color="auto" w:fill="E7F3F4"/>
            <w:noWrap/>
            <w:vAlign w:val="center"/>
            <w:hideMark/>
          </w:tcPr>
          <w:p w14:paraId="21670453"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23.7</w:t>
            </w:r>
          </w:p>
        </w:tc>
      </w:tr>
      <w:tr w:rsidR="006F4537" w:rsidRPr="00CB093C" w14:paraId="7BDB2BB0" w14:textId="77777777" w:rsidTr="006F4537">
        <w:trPr>
          <w:trHeight w:val="170"/>
        </w:trPr>
        <w:tc>
          <w:tcPr>
            <w:tcW w:w="2071" w:type="dxa"/>
            <w:shd w:val="clear" w:color="auto" w:fill="F3F9FA"/>
            <w:noWrap/>
            <w:vAlign w:val="bottom"/>
          </w:tcPr>
          <w:p w14:paraId="74B3119C"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14B79200"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SR*</w:t>
            </w:r>
          </w:p>
        </w:tc>
        <w:tc>
          <w:tcPr>
            <w:tcW w:w="2117" w:type="dxa"/>
            <w:shd w:val="clear" w:color="auto" w:fill="F3F9FA"/>
            <w:noWrap/>
            <w:vAlign w:val="bottom"/>
            <w:hideMark/>
          </w:tcPr>
          <w:p w14:paraId="6168B4EF" w14:textId="77777777" w:rsidR="006F4537" w:rsidRPr="00CB093C" w:rsidRDefault="006F4537" w:rsidP="006F4537">
            <w:pPr>
              <w:spacing w:before="0" w:after="0"/>
              <w:rPr>
                <w:rFonts w:ascii="Arial" w:hAnsi="Arial" w:cs="Arial"/>
                <w:bCs/>
                <w:i/>
                <w:iCs/>
                <w:color w:val="000000"/>
                <w:szCs w:val="22"/>
              </w:rPr>
            </w:pPr>
            <w:r w:rsidRPr="00CB093C">
              <w:rPr>
                <w:rFonts w:ascii="Arial" w:hAnsi="Arial" w:cs="Arial"/>
                <w:color w:val="000000"/>
                <w:szCs w:val="22"/>
              </w:rPr>
              <w:t>coastal intertidal</w:t>
            </w:r>
          </w:p>
        </w:tc>
        <w:tc>
          <w:tcPr>
            <w:tcW w:w="923" w:type="dxa"/>
            <w:shd w:val="clear" w:color="auto" w:fill="F3F9FA"/>
            <w:noWrap/>
            <w:vAlign w:val="center"/>
          </w:tcPr>
          <w:p w14:paraId="08F211BD" w14:textId="77777777" w:rsidR="006F4537" w:rsidRPr="00CB093C" w:rsidRDefault="006F4537" w:rsidP="006F4537">
            <w:pPr>
              <w:spacing w:before="0" w:after="0"/>
              <w:jc w:val="center"/>
              <w:rPr>
                <w:rFonts w:ascii="Arial" w:hAnsi="Arial" w:cs="Arial"/>
                <w:bCs/>
                <w:i/>
                <w:iCs/>
                <w:color w:val="000000"/>
                <w:szCs w:val="22"/>
              </w:rPr>
            </w:pPr>
          </w:p>
        </w:tc>
        <w:tc>
          <w:tcPr>
            <w:tcW w:w="924" w:type="dxa"/>
            <w:shd w:val="clear" w:color="auto" w:fill="F3F9FA"/>
            <w:noWrap/>
            <w:vAlign w:val="center"/>
            <w:hideMark/>
          </w:tcPr>
          <w:p w14:paraId="499F3C21"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6.6</w:t>
            </w:r>
          </w:p>
        </w:tc>
        <w:tc>
          <w:tcPr>
            <w:tcW w:w="923" w:type="dxa"/>
            <w:shd w:val="clear" w:color="auto" w:fill="F3F9FA"/>
            <w:noWrap/>
            <w:vAlign w:val="center"/>
            <w:hideMark/>
          </w:tcPr>
          <w:p w14:paraId="7CD287D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12.9</w:t>
            </w:r>
          </w:p>
        </w:tc>
        <w:tc>
          <w:tcPr>
            <w:tcW w:w="924" w:type="dxa"/>
            <w:shd w:val="clear" w:color="auto" w:fill="F3F9FA"/>
            <w:noWrap/>
            <w:vAlign w:val="center"/>
            <w:hideMark/>
          </w:tcPr>
          <w:p w14:paraId="33B32D3C"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14.8</w:t>
            </w:r>
          </w:p>
        </w:tc>
      </w:tr>
      <w:tr w:rsidR="006F4537" w:rsidRPr="00CB093C" w14:paraId="21A5A448" w14:textId="77777777" w:rsidTr="006F4537">
        <w:trPr>
          <w:trHeight w:val="170"/>
        </w:trPr>
        <w:tc>
          <w:tcPr>
            <w:tcW w:w="2071" w:type="dxa"/>
            <w:shd w:val="clear" w:color="auto" w:fill="F3F9FA"/>
            <w:noWrap/>
            <w:vAlign w:val="bottom"/>
          </w:tcPr>
          <w:p w14:paraId="2227F76D"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724BC711"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BY*</w:t>
            </w:r>
          </w:p>
        </w:tc>
        <w:tc>
          <w:tcPr>
            <w:tcW w:w="2117" w:type="dxa"/>
            <w:shd w:val="clear" w:color="auto" w:fill="F3F9FA"/>
            <w:noWrap/>
            <w:vAlign w:val="bottom"/>
            <w:hideMark/>
          </w:tcPr>
          <w:p w14:paraId="6020D966" w14:textId="77777777" w:rsidR="006F4537" w:rsidRPr="00CB093C" w:rsidRDefault="006F4537" w:rsidP="006F4537">
            <w:pPr>
              <w:spacing w:before="0" w:after="0"/>
              <w:rPr>
                <w:rFonts w:ascii="Arial" w:hAnsi="Arial" w:cs="Arial"/>
                <w:bCs/>
                <w:i/>
                <w:iCs/>
                <w:color w:val="000000"/>
                <w:szCs w:val="22"/>
              </w:rPr>
            </w:pPr>
            <w:r w:rsidRPr="00CB093C">
              <w:rPr>
                <w:rFonts w:ascii="Arial" w:hAnsi="Arial" w:cs="Arial"/>
                <w:color w:val="000000"/>
                <w:szCs w:val="22"/>
              </w:rPr>
              <w:t>coastal intertidal</w:t>
            </w:r>
          </w:p>
        </w:tc>
        <w:tc>
          <w:tcPr>
            <w:tcW w:w="923" w:type="dxa"/>
            <w:shd w:val="clear" w:color="auto" w:fill="F3F9FA"/>
            <w:noWrap/>
            <w:vAlign w:val="center"/>
          </w:tcPr>
          <w:p w14:paraId="6741126B" w14:textId="77777777" w:rsidR="006F4537" w:rsidRPr="00CB093C" w:rsidRDefault="006F4537" w:rsidP="006F4537">
            <w:pPr>
              <w:spacing w:before="0" w:after="0"/>
              <w:jc w:val="center"/>
              <w:rPr>
                <w:rFonts w:ascii="Arial" w:hAnsi="Arial" w:cs="Arial"/>
                <w:bCs/>
                <w:i/>
                <w:iCs/>
                <w:color w:val="000000"/>
                <w:szCs w:val="22"/>
              </w:rPr>
            </w:pPr>
          </w:p>
        </w:tc>
        <w:tc>
          <w:tcPr>
            <w:tcW w:w="924" w:type="dxa"/>
            <w:shd w:val="clear" w:color="auto" w:fill="F3F9FA"/>
            <w:noWrap/>
            <w:vAlign w:val="center"/>
            <w:hideMark/>
          </w:tcPr>
          <w:p w14:paraId="466C701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6.6</w:t>
            </w:r>
          </w:p>
        </w:tc>
        <w:tc>
          <w:tcPr>
            <w:tcW w:w="923" w:type="dxa"/>
            <w:shd w:val="clear" w:color="auto" w:fill="F3F9FA"/>
            <w:noWrap/>
            <w:vAlign w:val="center"/>
            <w:hideMark/>
          </w:tcPr>
          <w:p w14:paraId="4914ADF8"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12.9</w:t>
            </w:r>
          </w:p>
        </w:tc>
        <w:tc>
          <w:tcPr>
            <w:tcW w:w="924" w:type="dxa"/>
            <w:shd w:val="clear" w:color="auto" w:fill="F3F9FA"/>
            <w:noWrap/>
            <w:vAlign w:val="center"/>
            <w:hideMark/>
          </w:tcPr>
          <w:p w14:paraId="3962E2DA"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14.8</w:t>
            </w:r>
          </w:p>
        </w:tc>
      </w:tr>
      <w:tr w:rsidR="006F4537" w:rsidRPr="00CB093C" w14:paraId="546F6541" w14:textId="77777777" w:rsidTr="006F4537">
        <w:trPr>
          <w:trHeight w:val="170"/>
        </w:trPr>
        <w:tc>
          <w:tcPr>
            <w:tcW w:w="2071" w:type="dxa"/>
            <w:tcBorders>
              <w:top w:val="nil"/>
              <w:left w:val="nil"/>
              <w:right w:val="nil"/>
            </w:tcBorders>
            <w:shd w:val="clear" w:color="auto" w:fill="E7F3F4"/>
            <w:noWrap/>
            <w:vAlign w:val="bottom"/>
            <w:hideMark/>
          </w:tcPr>
          <w:p w14:paraId="6A9C24E3"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 </w:t>
            </w:r>
          </w:p>
        </w:tc>
        <w:tc>
          <w:tcPr>
            <w:tcW w:w="956" w:type="dxa"/>
            <w:tcBorders>
              <w:top w:val="nil"/>
              <w:left w:val="nil"/>
              <w:right w:val="nil"/>
            </w:tcBorders>
            <w:shd w:val="clear" w:color="auto" w:fill="E7F3F4"/>
            <w:noWrap/>
            <w:vAlign w:val="bottom"/>
            <w:hideMark/>
          </w:tcPr>
          <w:p w14:paraId="0340044A"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tcBorders>
              <w:top w:val="nil"/>
              <w:left w:val="nil"/>
              <w:right w:val="nil"/>
            </w:tcBorders>
            <w:shd w:val="clear" w:color="auto" w:fill="E7F3F4"/>
            <w:noWrap/>
            <w:vAlign w:val="bottom"/>
            <w:hideMark/>
          </w:tcPr>
          <w:p w14:paraId="49F14CF8"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coastal intertidal</w:t>
            </w:r>
            <w:r w:rsidRPr="00CB093C">
              <w:rPr>
                <w:rFonts w:ascii="Arial" w:hAnsi="Arial" w:cs="Arial"/>
                <w:color w:val="000000"/>
                <w:szCs w:val="22"/>
              </w:rPr>
              <w:t>*</w:t>
            </w:r>
          </w:p>
        </w:tc>
        <w:tc>
          <w:tcPr>
            <w:tcW w:w="923" w:type="dxa"/>
            <w:tcBorders>
              <w:top w:val="nil"/>
              <w:left w:val="nil"/>
              <w:right w:val="nil"/>
            </w:tcBorders>
            <w:shd w:val="clear" w:color="auto" w:fill="E7F3F4"/>
            <w:noWrap/>
            <w:vAlign w:val="center"/>
            <w:hideMark/>
          </w:tcPr>
          <w:p w14:paraId="4922A7E1"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5</w:t>
            </w:r>
          </w:p>
        </w:tc>
        <w:tc>
          <w:tcPr>
            <w:tcW w:w="924" w:type="dxa"/>
            <w:tcBorders>
              <w:top w:val="nil"/>
              <w:left w:val="nil"/>
              <w:right w:val="nil"/>
            </w:tcBorders>
            <w:shd w:val="clear" w:color="auto" w:fill="E7F3F4"/>
            <w:noWrap/>
            <w:vAlign w:val="center"/>
            <w:hideMark/>
          </w:tcPr>
          <w:p w14:paraId="518F2ECA"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6.6</w:t>
            </w:r>
          </w:p>
        </w:tc>
        <w:tc>
          <w:tcPr>
            <w:tcW w:w="923" w:type="dxa"/>
            <w:tcBorders>
              <w:top w:val="nil"/>
              <w:left w:val="nil"/>
              <w:right w:val="nil"/>
            </w:tcBorders>
            <w:shd w:val="clear" w:color="auto" w:fill="E7F3F4"/>
            <w:noWrap/>
            <w:vAlign w:val="center"/>
            <w:hideMark/>
          </w:tcPr>
          <w:p w14:paraId="7D02E33B"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12.9</w:t>
            </w:r>
          </w:p>
        </w:tc>
        <w:tc>
          <w:tcPr>
            <w:tcW w:w="924" w:type="dxa"/>
            <w:tcBorders>
              <w:top w:val="nil"/>
              <w:left w:val="nil"/>
              <w:right w:val="nil"/>
            </w:tcBorders>
            <w:shd w:val="clear" w:color="auto" w:fill="E7F3F4"/>
            <w:noWrap/>
            <w:vAlign w:val="center"/>
            <w:hideMark/>
          </w:tcPr>
          <w:p w14:paraId="72D44531"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14.8</w:t>
            </w:r>
          </w:p>
        </w:tc>
      </w:tr>
      <w:tr w:rsidR="006F4537" w:rsidRPr="00CB093C" w14:paraId="31F87116" w14:textId="77777777" w:rsidTr="006F4537">
        <w:trPr>
          <w:trHeight w:val="170"/>
        </w:trPr>
        <w:tc>
          <w:tcPr>
            <w:tcW w:w="2071" w:type="dxa"/>
            <w:shd w:val="clear" w:color="auto" w:fill="F3F9FA"/>
            <w:noWrap/>
            <w:vAlign w:val="bottom"/>
          </w:tcPr>
          <w:p w14:paraId="508C6393"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tcPr>
          <w:p w14:paraId="34D4ECFF"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LR</w:t>
            </w:r>
          </w:p>
        </w:tc>
        <w:tc>
          <w:tcPr>
            <w:tcW w:w="2117" w:type="dxa"/>
            <w:shd w:val="clear" w:color="auto" w:fill="F3F9FA"/>
            <w:noWrap/>
            <w:vAlign w:val="bottom"/>
          </w:tcPr>
          <w:p w14:paraId="6794D05F" w14:textId="77777777" w:rsidR="006F4537" w:rsidRPr="00CB093C" w:rsidRDefault="006F4537" w:rsidP="006F4537">
            <w:pPr>
              <w:spacing w:before="0" w:after="0"/>
              <w:rPr>
                <w:rFonts w:ascii="Arial" w:hAnsi="Arial" w:cs="Arial"/>
                <w:bCs/>
                <w:iCs/>
                <w:color w:val="000000"/>
                <w:szCs w:val="22"/>
              </w:rPr>
            </w:pPr>
            <w:r w:rsidRPr="00CB093C">
              <w:rPr>
                <w:rFonts w:ascii="Arial" w:hAnsi="Arial" w:cs="Arial"/>
                <w:color w:val="000000"/>
                <w:szCs w:val="22"/>
              </w:rPr>
              <w:t>coastal subtidal</w:t>
            </w:r>
          </w:p>
        </w:tc>
        <w:tc>
          <w:tcPr>
            <w:tcW w:w="923" w:type="dxa"/>
            <w:shd w:val="clear" w:color="auto" w:fill="F3F9FA"/>
            <w:noWrap/>
            <w:vAlign w:val="center"/>
          </w:tcPr>
          <w:p w14:paraId="530AAF44" w14:textId="77777777" w:rsidR="006F4537" w:rsidRPr="00CB093C" w:rsidRDefault="006F4537" w:rsidP="006F4537">
            <w:pPr>
              <w:spacing w:before="0" w:after="0"/>
              <w:jc w:val="center"/>
              <w:rPr>
                <w:rFonts w:ascii="Arial" w:hAnsi="Arial" w:cs="Arial"/>
                <w:bCs/>
                <w:iCs/>
                <w:color w:val="000000"/>
                <w:szCs w:val="22"/>
              </w:rPr>
            </w:pPr>
          </w:p>
        </w:tc>
        <w:tc>
          <w:tcPr>
            <w:tcW w:w="924" w:type="dxa"/>
            <w:shd w:val="clear" w:color="auto" w:fill="F3F9FA"/>
            <w:noWrap/>
            <w:vAlign w:val="center"/>
          </w:tcPr>
          <w:p w14:paraId="5BF2ACFA" w14:textId="77777777" w:rsidR="006F4537" w:rsidRPr="00CB093C" w:rsidRDefault="006F4537" w:rsidP="006F4537">
            <w:pPr>
              <w:spacing w:before="0" w:after="0"/>
              <w:jc w:val="center"/>
              <w:rPr>
                <w:rFonts w:ascii="Arial" w:hAnsi="Arial" w:cs="Arial"/>
                <w:bCs/>
                <w:iCs/>
                <w:color w:val="000000"/>
                <w:szCs w:val="22"/>
              </w:rPr>
            </w:pPr>
            <w:r w:rsidRPr="00CB093C">
              <w:rPr>
                <w:rFonts w:ascii="Arial" w:hAnsi="Arial" w:cs="Arial"/>
                <w:bCs/>
                <w:iCs/>
                <w:color w:val="000000"/>
                <w:szCs w:val="22"/>
              </w:rPr>
              <w:t>6.6</w:t>
            </w:r>
          </w:p>
        </w:tc>
        <w:tc>
          <w:tcPr>
            <w:tcW w:w="923" w:type="dxa"/>
            <w:shd w:val="clear" w:color="auto" w:fill="F3F9FA"/>
            <w:noWrap/>
            <w:vAlign w:val="center"/>
          </w:tcPr>
          <w:p w14:paraId="07E2D488" w14:textId="77777777" w:rsidR="006F4537" w:rsidRPr="00CB093C" w:rsidRDefault="006F4537" w:rsidP="006F4537">
            <w:pPr>
              <w:spacing w:before="0" w:after="0"/>
              <w:jc w:val="center"/>
              <w:rPr>
                <w:rFonts w:ascii="Arial" w:hAnsi="Arial" w:cs="Arial"/>
                <w:bCs/>
                <w:iCs/>
                <w:color w:val="000000"/>
                <w:szCs w:val="22"/>
              </w:rPr>
            </w:pPr>
            <w:r w:rsidRPr="00CB093C">
              <w:rPr>
                <w:rFonts w:ascii="Arial" w:hAnsi="Arial" w:cs="Arial"/>
                <w:bCs/>
                <w:iCs/>
                <w:color w:val="000000"/>
                <w:szCs w:val="22"/>
              </w:rPr>
              <w:t>12.9</w:t>
            </w:r>
          </w:p>
        </w:tc>
        <w:tc>
          <w:tcPr>
            <w:tcW w:w="924" w:type="dxa"/>
            <w:shd w:val="clear" w:color="auto" w:fill="F3F9FA"/>
            <w:noWrap/>
            <w:vAlign w:val="center"/>
          </w:tcPr>
          <w:p w14:paraId="2400137D" w14:textId="77777777" w:rsidR="006F4537" w:rsidRPr="00CB093C" w:rsidRDefault="006F4537" w:rsidP="006F4537">
            <w:pPr>
              <w:spacing w:before="0" w:after="0"/>
              <w:jc w:val="center"/>
              <w:rPr>
                <w:rFonts w:ascii="Arial" w:hAnsi="Arial" w:cs="Arial"/>
                <w:bCs/>
                <w:iCs/>
                <w:color w:val="000000"/>
                <w:szCs w:val="22"/>
              </w:rPr>
            </w:pPr>
            <w:r w:rsidRPr="00CB093C">
              <w:rPr>
                <w:rFonts w:ascii="Arial" w:hAnsi="Arial" w:cs="Arial"/>
                <w:bCs/>
                <w:iCs/>
                <w:color w:val="000000"/>
                <w:szCs w:val="22"/>
              </w:rPr>
              <w:t>14.8</w:t>
            </w:r>
          </w:p>
        </w:tc>
      </w:tr>
      <w:tr w:rsidR="006F4537" w:rsidRPr="00CB093C" w14:paraId="485528CC" w14:textId="77777777" w:rsidTr="006F4537">
        <w:trPr>
          <w:trHeight w:val="170"/>
        </w:trPr>
        <w:tc>
          <w:tcPr>
            <w:tcW w:w="2071" w:type="dxa"/>
            <w:shd w:val="clear" w:color="auto" w:fill="E7F3F4"/>
            <w:noWrap/>
            <w:vAlign w:val="bottom"/>
          </w:tcPr>
          <w:p w14:paraId="23172832"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tcPr>
          <w:p w14:paraId="4A6DB96A"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tcPr>
          <w:p w14:paraId="6E6EFAA3"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coastal subtidal</w:t>
            </w:r>
          </w:p>
        </w:tc>
        <w:tc>
          <w:tcPr>
            <w:tcW w:w="923" w:type="dxa"/>
            <w:shd w:val="clear" w:color="auto" w:fill="E7F3F4"/>
            <w:noWrap/>
            <w:vAlign w:val="center"/>
          </w:tcPr>
          <w:p w14:paraId="329224F8" w14:textId="77777777" w:rsidR="006F4537" w:rsidRPr="00CB093C" w:rsidRDefault="006F4537" w:rsidP="006F4537">
            <w:pPr>
              <w:spacing w:before="0" w:after="0"/>
              <w:jc w:val="center"/>
              <w:rPr>
                <w:rFonts w:ascii="Arial" w:hAnsi="Arial" w:cs="Arial"/>
                <w:b/>
                <w:bCs/>
                <w:i/>
                <w:iCs/>
                <w:color w:val="000000"/>
                <w:szCs w:val="22"/>
              </w:rPr>
            </w:pPr>
          </w:p>
        </w:tc>
        <w:tc>
          <w:tcPr>
            <w:tcW w:w="924" w:type="dxa"/>
            <w:shd w:val="clear" w:color="auto" w:fill="E7F3F4"/>
            <w:noWrap/>
            <w:vAlign w:val="center"/>
          </w:tcPr>
          <w:p w14:paraId="2BA10B32"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6.6</w:t>
            </w:r>
          </w:p>
        </w:tc>
        <w:tc>
          <w:tcPr>
            <w:tcW w:w="923" w:type="dxa"/>
            <w:shd w:val="clear" w:color="auto" w:fill="E7F3F4"/>
            <w:noWrap/>
            <w:vAlign w:val="center"/>
          </w:tcPr>
          <w:p w14:paraId="5C37537B"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12.9</w:t>
            </w:r>
          </w:p>
        </w:tc>
        <w:tc>
          <w:tcPr>
            <w:tcW w:w="924" w:type="dxa"/>
            <w:shd w:val="clear" w:color="auto" w:fill="E7F3F4"/>
            <w:noWrap/>
            <w:vAlign w:val="center"/>
          </w:tcPr>
          <w:p w14:paraId="518A791D"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14.8</w:t>
            </w:r>
          </w:p>
        </w:tc>
      </w:tr>
      <w:tr w:rsidR="006F4537" w:rsidRPr="00CB093C" w14:paraId="6E03BD9A"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060AFD18"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Wet Tropics</w:t>
            </w:r>
          </w:p>
        </w:tc>
        <w:tc>
          <w:tcPr>
            <w:tcW w:w="956" w:type="dxa"/>
            <w:tcBorders>
              <w:top w:val="single" w:sz="4" w:space="0" w:color="auto"/>
              <w:left w:val="nil"/>
              <w:bottom w:val="nil"/>
              <w:right w:val="nil"/>
            </w:tcBorders>
            <w:shd w:val="clear" w:color="auto" w:fill="F3F9FA"/>
            <w:noWrap/>
            <w:vAlign w:val="bottom"/>
            <w:hideMark/>
          </w:tcPr>
          <w:p w14:paraId="6E9C332B"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LB</w:t>
            </w:r>
          </w:p>
        </w:tc>
        <w:tc>
          <w:tcPr>
            <w:tcW w:w="2117" w:type="dxa"/>
            <w:tcBorders>
              <w:top w:val="single" w:sz="4" w:space="0" w:color="auto"/>
              <w:left w:val="nil"/>
              <w:bottom w:val="nil"/>
              <w:right w:val="nil"/>
            </w:tcBorders>
            <w:shd w:val="clear" w:color="auto" w:fill="F3F9FA"/>
            <w:noWrap/>
            <w:vAlign w:val="bottom"/>
            <w:hideMark/>
          </w:tcPr>
          <w:p w14:paraId="7963F453"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tcBorders>
              <w:top w:val="single" w:sz="4" w:space="0" w:color="auto"/>
              <w:left w:val="nil"/>
              <w:bottom w:val="nil"/>
              <w:right w:val="nil"/>
            </w:tcBorders>
            <w:shd w:val="clear" w:color="auto" w:fill="F3F9FA"/>
            <w:noWrap/>
            <w:vAlign w:val="center"/>
          </w:tcPr>
          <w:p w14:paraId="0AA1102A" w14:textId="77777777" w:rsidR="006F4537" w:rsidRPr="00CB093C" w:rsidRDefault="006F4537" w:rsidP="006F4537">
            <w:pPr>
              <w:spacing w:before="0" w:after="0"/>
              <w:jc w:val="center"/>
              <w:rPr>
                <w:rFonts w:ascii="Arial" w:hAnsi="Arial" w:cs="Arial"/>
                <w:color w:val="000000"/>
                <w:szCs w:val="22"/>
              </w:rPr>
            </w:pPr>
          </w:p>
        </w:tc>
        <w:tc>
          <w:tcPr>
            <w:tcW w:w="924" w:type="dxa"/>
            <w:tcBorders>
              <w:top w:val="single" w:sz="4" w:space="0" w:color="auto"/>
              <w:left w:val="nil"/>
              <w:bottom w:val="nil"/>
              <w:right w:val="nil"/>
            </w:tcBorders>
            <w:shd w:val="clear" w:color="auto" w:fill="F3F9FA"/>
            <w:noWrap/>
            <w:vAlign w:val="center"/>
            <w:hideMark/>
          </w:tcPr>
          <w:p w14:paraId="5FF5C00C"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6.6</w:t>
            </w:r>
          </w:p>
        </w:tc>
        <w:tc>
          <w:tcPr>
            <w:tcW w:w="923" w:type="dxa"/>
            <w:tcBorders>
              <w:top w:val="single" w:sz="4" w:space="0" w:color="auto"/>
              <w:left w:val="nil"/>
              <w:bottom w:val="nil"/>
              <w:right w:val="nil"/>
            </w:tcBorders>
            <w:shd w:val="clear" w:color="auto" w:fill="F3F9FA"/>
            <w:noWrap/>
            <w:vAlign w:val="center"/>
            <w:hideMark/>
          </w:tcPr>
          <w:p w14:paraId="71D56D50"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12.9</w:t>
            </w:r>
          </w:p>
        </w:tc>
        <w:tc>
          <w:tcPr>
            <w:tcW w:w="924" w:type="dxa"/>
            <w:tcBorders>
              <w:top w:val="single" w:sz="4" w:space="0" w:color="auto"/>
              <w:left w:val="nil"/>
              <w:bottom w:val="nil"/>
              <w:right w:val="nil"/>
            </w:tcBorders>
            <w:shd w:val="clear" w:color="auto" w:fill="F3F9FA"/>
            <w:noWrap/>
            <w:vAlign w:val="center"/>
            <w:hideMark/>
          </w:tcPr>
          <w:p w14:paraId="23CF97EA"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14.8</w:t>
            </w:r>
          </w:p>
        </w:tc>
      </w:tr>
      <w:tr w:rsidR="006F4537" w:rsidRPr="00CB093C" w14:paraId="64E26C01" w14:textId="77777777" w:rsidTr="006F4537">
        <w:trPr>
          <w:trHeight w:val="170"/>
        </w:trPr>
        <w:tc>
          <w:tcPr>
            <w:tcW w:w="2071" w:type="dxa"/>
            <w:shd w:val="clear" w:color="auto" w:fill="F3F9FA"/>
            <w:noWrap/>
            <w:vAlign w:val="bottom"/>
          </w:tcPr>
          <w:p w14:paraId="208DB5BB"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77819947"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YP1^</w:t>
            </w:r>
          </w:p>
        </w:tc>
        <w:tc>
          <w:tcPr>
            <w:tcW w:w="2117" w:type="dxa"/>
            <w:shd w:val="clear" w:color="auto" w:fill="F3F9FA"/>
            <w:noWrap/>
            <w:vAlign w:val="bottom"/>
            <w:hideMark/>
          </w:tcPr>
          <w:p w14:paraId="41E22A89"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hideMark/>
          </w:tcPr>
          <w:p w14:paraId="1C869945"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4.3</w:t>
            </w:r>
          </w:p>
        </w:tc>
        <w:tc>
          <w:tcPr>
            <w:tcW w:w="924" w:type="dxa"/>
            <w:shd w:val="clear" w:color="auto" w:fill="F3F9FA"/>
            <w:noWrap/>
            <w:vAlign w:val="center"/>
            <w:hideMark/>
          </w:tcPr>
          <w:p w14:paraId="72B2BB30"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7</w:t>
            </w:r>
          </w:p>
        </w:tc>
        <w:tc>
          <w:tcPr>
            <w:tcW w:w="923" w:type="dxa"/>
            <w:shd w:val="clear" w:color="auto" w:fill="F3F9FA"/>
            <w:noWrap/>
            <w:vAlign w:val="center"/>
            <w:hideMark/>
          </w:tcPr>
          <w:p w14:paraId="4DC4197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14</w:t>
            </w:r>
          </w:p>
        </w:tc>
        <w:tc>
          <w:tcPr>
            <w:tcW w:w="924" w:type="dxa"/>
            <w:shd w:val="clear" w:color="auto" w:fill="F3F9FA"/>
            <w:noWrap/>
            <w:vAlign w:val="center"/>
            <w:hideMark/>
          </w:tcPr>
          <w:p w14:paraId="771111B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15.4</w:t>
            </w:r>
          </w:p>
        </w:tc>
      </w:tr>
      <w:tr w:rsidR="006F4537" w:rsidRPr="00CB093C" w14:paraId="7B0AC5FC" w14:textId="77777777" w:rsidTr="006F4537">
        <w:trPr>
          <w:trHeight w:val="170"/>
        </w:trPr>
        <w:tc>
          <w:tcPr>
            <w:tcW w:w="2071" w:type="dxa"/>
            <w:shd w:val="clear" w:color="auto" w:fill="F3F9FA"/>
            <w:noWrap/>
            <w:vAlign w:val="bottom"/>
          </w:tcPr>
          <w:p w14:paraId="5D56553A"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54107D5E"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YP2^</w:t>
            </w:r>
          </w:p>
        </w:tc>
        <w:tc>
          <w:tcPr>
            <w:tcW w:w="2117" w:type="dxa"/>
            <w:shd w:val="clear" w:color="auto" w:fill="F3F9FA"/>
            <w:noWrap/>
            <w:vAlign w:val="bottom"/>
            <w:hideMark/>
          </w:tcPr>
          <w:p w14:paraId="17A65D3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hideMark/>
          </w:tcPr>
          <w:p w14:paraId="6451AC56"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5.7</w:t>
            </w:r>
          </w:p>
        </w:tc>
        <w:tc>
          <w:tcPr>
            <w:tcW w:w="924" w:type="dxa"/>
            <w:shd w:val="clear" w:color="auto" w:fill="F3F9FA"/>
            <w:noWrap/>
            <w:vAlign w:val="center"/>
            <w:hideMark/>
          </w:tcPr>
          <w:p w14:paraId="2C4D5E6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6.2</w:t>
            </w:r>
          </w:p>
        </w:tc>
        <w:tc>
          <w:tcPr>
            <w:tcW w:w="923" w:type="dxa"/>
            <w:shd w:val="clear" w:color="auto" w:fill="F3F9FA"/>
            <w:noWrap/>
            <w:vAlign w:val="center"/>
            <w:hideMark/>
          </w:tcPr>
          <w:p w14:paraId="2F2B2BE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11.8</w:t>
            </w:r>
          </w:p>
        </w:tc>
        <w:tc>
          <w:tcPr>
            <w:tcW w:w="924" w:type="dxa"/>
            <w:shd w:val="clear" w:color="auto" w:fill="F3F9FA"/>
            <w:noWrap/>
            <w:vAlign w:val="center"/>
            <w:hideMark/>
          </w:tcPr>
          <w:p w14:paraId="263FDCEA"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14.2</w:t>
            </w:r>
          </w:p>
        </w:tc>
      </w:tr>
      <w:tr w:rsidR="006F4537" w:rsidRPr="00CB093C" w14:paraId="7F02C289" w14:textId="77777777" w:rsidTr="006F4537">
        <w:trPr>
          <w:trHeight w:val="170"/>
        </w:trPr>
        <w:tc>
          <w:tcPr>
            <w:tcW w:w="2071" w:type="dxa"/>
            <w:shd w:val="clear" w:color="auto" w:fill="E7F3F4"/>
            <w:noWrap/>
            <w:vAlign w:val="bottom"/>
          </w:tcPr>
          <w:p w14:paraId="675A519A"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hideMark/>
          </w:tcPr>
          <w:p w14:paraId="0EF960EF"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hideMark/>
          </w:tcPr>
          <w:p w14:paraId="10085817"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coastal intertidal</w:t>
            </w:r>
          </w:p>
        </w:tc>
        <w:tc>
          <w:tcPr>
            <w:tcW w:w="923" w:type="dxa"/>
            <w:shd w:val="clear" w:color="auto" w:fill="E7F3F4"/>
            <w:noWrap/>
            <w:vAlign w:val="center"/>
            <w:hideMark/>
          </w:tcPr>
          <w:p w14:paraId="2B2824BA"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5</w:t>
            </w:r>
          </w:p>
        </w:tc>
        <w:tc>
          <w:tcPr>
            <w:tcW w:w="924" w:type="dxa"/>
            <w:shd w:val="clear" w:color="auto" w:fill="E7F3F4"/>
            <w:noWrap/>
            <w:vAlign w:val="center"/>
            <w:hideMark/>
          </w:tcPr>
          <w:p w14:paraId="3E15BA27"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6.6</w:t>
            </w:r>
          </w:p>
        </w:tc>
        <w:tc>
          <w:tcPr>
            <w:tcW w:w="923" w:type="dxa"/>
            <w:shd w:val="clear" w:color="auto" w:fill="E7F3F4"/>
            <w:noWrap/>
            <w:vAlign w:val="center"/>
            <w:hideMark/>
          </w:tcPr>
          <w:p w14:paraId="6293480D"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12.9</w:t>
            </w:r>
          </w:p>
        </w:tc>
        <w:tc>
          <w:tcPr>
            <w:tcW w:w="924" w:type="dxa"/>
            <w:shd w:val="clear" w:color="auto" w:fill="E7F3F4"/>
            <w:noWrap/>
            <w:vAlign w:val="center"/>
            <w:hideMark/>
          </w:tcPr>
          <w:p w14:paraId="47400B6A"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14.8</w:t>
            </w:r>
          </w:p>
        </w:tc>
      </w:tr>
      <w:tr w:rsidR="006F4537" w:rsidRPr="00CB093C" w14:paraId="289CDBFE" w14:textId="77777777" w:rsidTr="006F4537">
        <w:trPr>
          <w:trHeight w:val="170"/>
        </w:trPr>
        <w:tc>
          <w:tcPr>
            <w:tcW w:w="2071" w:type="dxa"/>
            <w:shd w:val="clear" w:color="auto" w:fill="F3F9FA"/>
            <w:noWrap/>
            <w:vAlign w:val="bottom"/>
          </w:tcPr>
          <w:p w14:paraId="27EE0A97"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tcPr>
          <w:p w14:paraId="72191041"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MS</w:t>
            </w:r>
          </w:p>
        </w:tc>
        <w:tc>
          <w:tcPr>
            <w:tcW w:w="2117" w:type="dxa"/>
            <w:shd w:val="clear" w:color="auto" w:fill="F3F9FA"/>
            <w:noWrap/>
            <w:vAlign w:val="bottom"/>
          </w:tcPr>
          <w:p w14:paraId="46917FCE" w14:textId="77777777" w:rsidR="006F4537" w:rsidRPr="00CB093C" w:rsidRDefault="006F4537" w:rsidP="006F4537">
            <w:pPr>
              <w:spacing w:before="0" w:after="0"/>
              <w:rPr>
                <w:rFonts w:ascii="Arial" w:hAnsi="Arial" w:cs="Arial"/>
                <w:bCs/>
                <w:iCs/>
                <w:color w:val="000000"/>
                <w:szCs w:val="22"/>
              </w:rPr>
            </w:pPr>
            <w:r w:rsidRPr="00CB093C">
              <w:rPr>
                <w:rFonts w:ascii="Arial" w:hAnsi="Arial" w:cs="Arial"/>
                <w:color w:val="000000"/>
                <w:szCs w:val="22"/>
              </w:rPr>
              <w:t>coastal subtidal</w:t>
            </w:r>
          </w:p>
        </w:tc>
        <w:tc>
          <w:tcPr>
            <w:tcW w:w="923" w:type="dxa"/>
            <w:shd w:val="clear" w:color="auto" w:fill="F3F9FA"/>
            <w:noWrap/>
            <w:vAlign w:val="center"/>
          </w:tcPr>
          <w:p w14:paraId="56E0D4C8" w14:textId="77777777" w:rsidR="006F4537" w:rsidRPr="00CB093C" w:rsidRDefault="006F4537" w:rsidP="006F4537">
            <w:pPr>
              <w:spacing w:before="0" w:after="0"/>
              <w:jc w:val="center"/>
              <w:rPr>
                <w:rFonts w:ascii="Arial" w:hAnsi="Arial" w:cs="Arial"/>
                <w:bCs/>
                <w:iCs/>
                <w:color w:val="000000"/>
                <w:szCs w:val="22"/>
              </w:rPr>
            </w:pPr>
          </w:p>
        </w:tc>
        <w:tc>
          <w:tcPr>
            <w:tcW w:w="924" w:type="dxa"/>
            <w:shd w:val="clear" w:color="auto" w:fill="F3F9FA"/>
            <w:noWrap/>
            <w:vAlign w:val="center"/>
          </w:tcPr>
          <w:p w14:paraId="0A4FD96C" w14:textId="77777777" w:rsidR="006F4537" w:rsidRPr="00CB093C" w:rsidRDefault="006F4537" w:rsidP="006F4537">
            <w:pPr>
              <w:spacing w:before="0" w:after="0"/>
              <w:jc w:val="center"/>
              <w:rPr>
                <w:rFonts w:ascii="Arial" w:hAnsi="Arial" w:cs="Arial"/>
                <w:bCs/>
                <w:iCs/>
                <w:color w:val="000000"/>
                <w:szCs w:val="22"/>
              </w:rPr>
            </w:pPr>
            <w:r w:rsidRPr="00CB093C">
              <w:rPr>
                <w:rFonts w:ascii="Arial" w:hAnsi="Arial" w:cs="Arial"/>
                <w:bCs/>
                <w:iCs/>
                <w:color w:val="000000"/>
                <w:szCs w:val="22"/>
              </w:rPr>
              <w:t>6.6</w:t>
            </w:r>
          </w:p>
        </w:tc>
        <w:tc>
          <w:tcPr>
            <w:tcW w:w="923" w:type="dxa"/>
            <w:shd w:val="clear" w:color="auto" w:fill="F3F9FA"/>
            <w:noWrap/>
            <w:vAlign w:val="center"/>
          </w:tcPr>
          <w:p w14:paraId="3454B2C4" w14:textId="77777777" w:rsidR="006F4537" w:rsidRPr="00CB093C" w:rsidRDefault="006F4537" w:rsidP="006F4537">
            <w:pPr>
              <w:spacing w:before="0" w:after="0"/>
              <w:jc w:val="center"/>
              <w:rPr>
                <w:rFonts w:ascii="Arial" w:hAnsi="Arial" w:cs="Arial"/>
                <w:bCs/>
                <w:iCs/>
                <w:color w:val="000000"/>
                <w:szCs w:val="22"/>
              </w:rPr>
            </w:pPr>
            <w:r w:rsidRPr="00CB093C">
              <w:rPr>
                <w:rFonts w:ascii="Arial" w:hAnsi="Arial" w:cs="Arial"/>
                <w:bCs/>
                <w:iCs/>
                <w:color w:val="000000"/>
                <w:szCs w:val="22"/>
              </w:rPr>
              <w:t>12.9</w:t>
            </w:r>
          </w:p>
        </w:tc>
        <w:tc>
          <w:tcPr>
            <w:tcW w:w="924" w:type="dxa"/>
            <w:shd w:val="clear" w:color="auto" w:fill="F3F9FA"/>
            <w:noWrap/>
            <w:vAlign w:val="center"/>
          </w:tcPr>
          <w:p w14:paraId="305ADB53" w14:textId="77777777" w:rsidR="006F4537" w:rsidRPr="00CB093C" w:rsidRDefault="006F4537" w:rsidP="006F4537">
            <w:pPr>
              <w:spacing w:before="0" w:after="0"/>
              <w:jc w:val="center"/>
              <w:rPr>
                <w:rFonts w:ascii="Arial" w:hAnsi="Arial" w:cs="Arial"/>
                <w:bCs/>
                <w:iCs/>
                <w:color w:val="000000"/>
                <w:szCs w:val="22"/>
              </w:rPr>
            </w:pPr>
            <w:r w:rsidRPr="00CB093C">
              <w:rPr>
                <w:rFonts w:ascii="Arial" w:hAnsi="Arial" w:cs="Arial"/>
                <w:bCs/>
                <w:iCs/>
                <w:color w:val="000000"/>
                <w:szCs w:val="22"/>
              </w:rPr>
              <w:t>14.8</w:t>
            </w:r>
          </w:p>
        </w:tc>
      </w:tr>
      <w:tr w:rsidR="006F4537" w:rsidRPr="00CB093C" w14:paraId="53E3C45B" w14:textId="77777777" w:rsidTr="006F4537">
        <w:trPr>
          <w:trHeight w:val="170"/>
        </w:trPr>
        <w:tc>
          <w:tcPr>
            <w:tcW w:w="2071" w:type="dxa"/>
            <w:shd w:val="clear" w:color="auto" w:fill="E7F3F4"/>
            <w:noWrap/>
            <w:vAlign w:val="bottom"/>
          </w:tcPr>
          <w:p w14:paraId="24B054C6"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tcPr>
          <w:p w14:paraId="1BB0FDEF"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tcPr>
          <w:p w14:paraId="700A70AB"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coastal subtidal</w:t>
            </w:r>
          </w:p>
        </w:tc>
        <w:tc>
          <w:tcPr>
            <w:tcW w:w="923" w:type="dxa"/>
            <w:shd w:val="clear" w:color="auto" w:fill="E7F3F4"/>
            <w:noWrap/>
            <w:vAlign w:val="center"/>
          </w:tcPr>
          <w:p w14:paraId="5B914ED3" w14:textId="77777777" w:rsidR="006F4537" w:rsidRPr="00CB093C" w:rsidRDefault="006F4537" w:rsidP="006F4537">
            <w:pPr>
              <w:spacing w:before="0" w:after="0"/>
              <w:jc w:val="center"/>
              <w:rPr>
                <w:rFonts w:ascii="Arial" w:hAnsi="Arial" w:cs="Arial"/>
                <w:b/>
                <w:bCs/>
                <w:i/>
                <w:iCs/>
                <w:color w:val="000000"/>
                <w:szCs w:val="22"/>
              </w:rPr>
            </w:pPr>
          </w:p>
        </w:tc>
        <w:tc>
          <w:tcPr>
            <w:tcW w:w="924" w:type="dxa"/>
            <w:shd w:val="clear" w:color="auto" w:fill="E7F3F4"/>
            <w:noWrap/>
            <w:vAlign w:val="center"/>
          </w:tcPr>
          <w:p w14:paraId="7089D47C"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6.6</w:t>
            </w:r>
          </w:p>
        </w:tc>
        <w:tc>
          <w:tcPr>
            <w:tcW w:w="923" w:type="dxa"/>
            <w:shd w:val="clear" w:color="auto" w:fill="E7F3F4"/>
            <w:noWrap/>
            <w:vAlign w:val="center"/>
          </w:tcPr>
          <w:p w14:paraId="72A97F19"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12.9</w:t>
            </w:r>
          </w:p>
        </w:tc>
        <w:tc>
          <w:tcPr>
            <w:tcW w:w="924" w:type="dxa"/>
            <w:shd w:val="clear" w:color="auto" w:fill="E7F3F4"/>
            <w:noWrap/>
            <w:vAlign w:val="center"/>
          </w:tcPr>
          <w:p w14:paraId="6B7DCB0E"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14.8</w:t>
            </w:r>
          </w:p>
        </w:tc>
      </w:tr>
      <w:tr w:rsidR="006F4537" w:rsidRPr="00CB093C" w14:paraId="111721AB" w14:textId="77777777" w:rsidTr="006F4537">
        <w:trPr>
          <w:trHeight w:val="170"/>
        </w:trPr>
        <w:tc>
          <w:tcPr>
            <w:tcW w:w="2071" w:type="dxa"/>
            <w:shd w:val="clear" w:color="auto" w:fill="F3F9FA"/>
            <w:noWrap/>
            <w:vAlign w:val="bottom"/>
          </w:tcPr>
          <w:p w14:paraId="63F0C307"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2676D9EE"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DI</w:t>
            </w:r>
          </w:p>
        </w:tc>
        <w:tc>
          <w:tcPr>
            <w:tcW w:w="2117" w:type="dxa"/>
            <w:shd w:val="clear" w:color="auto" w:fill="F3F9FA"/>
            <w:noWrap/>
            <w:vAlign w:val="bottom"/>
            <w:hideMark/>
          </w:tcPr>
          <w:p w14:paraId="3893590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hideMark/>
          </w:tcPr>
          <w:p w14:paraId="07CA312A"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27.5</w:t>
            </w:r>
          </w:p>
        </w:tc>
        <w:tc>
          <w:tcPr>
            <w:tcW w:w="924" w:type="dxa"/>
            <w:shd w:val="clear" w:color="auto" w:fill="F3F9FA"/>
            <w:noWrap/>
            <w:vAlign w:val="center"/>
          </w:tcPr>
          <w:p w14:paraId="72CCDBC4" w14:textId="77777777" w:rsidR="006F4537" w:rsidRPr="00CB093C" w:rsidRDefault="006F4537" w:rsidP="006F4537">
            <w:pPr>
              <w:spacing w:before="0" w:after="0"/>
              <w:jc w:val="center"/>
              <w:rPr>
                <w:rFonts w:ascii="Arial" w:hAnsi="Arial" w:cs="Arial"/>
                <w:color w:val="000000"/>
                <w:szCs w:val="22"/>
              </w:rPr>
            </w:pPr>
          </w:p>
        </w:tc>
        <w:tc>
          <w:tcPr>
            <w:tcW w:w="923" w:type="dxa"/>
            <w:shd w:val="clear" w:color="auto" w:fill="F3F9FA"/>
            <w:noWrap/>
            <w:vAlign w:val="center"/>
            <w:hideMark/>
          </w:tcPr>
          <w:p w14:paraId="3817E14B"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37.7</w:t>
            </w:r>
          </w:p>
        </w:tc>
        <w:tc>
          <w:tcPr>
            <w:tcW w:w="924" w:type="dxa"/>
            <w:shd w:val="clear" w:color="auto" w:fill="F3F9FA"/>
            <w:noWrap/>
            <w:vAlign w:val="center"/>
            <w:hideMark/>
          </w:tcPr>
          <w:p w14:paraId="072AD417"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41</w:t>
            </w:r>
          </w:p>
        </w:tc>
      </w:tr>
      <w:tr w:rsidR="006F4537" w:rsidRPr="00CB093C" w14:paraId="2F66F36B" w14:textId="77777777" w:rsidTr="006F4537">
        <w:trPr>
          <w:trHeight w:val="170"/>
        </w:trPr>
        <w:tc>
          <w:tcPr>
            <w:tcW w:w="2071" w:type="dxa"/>
            <w:shd w:val="clear" w:color="auto" w:fill="F3F9FA"/>
            <w:noWrap/>
            <w:vAlign w:val="bottom"/>
          </w:tcPr>
          <w:p w14:paraId="3F735026"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45D69008"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GI1^</w:t>
            </w:r>
          </w:p>
        </w:tc>
        <w:tc>
          <w:tcPr>
            <w:tcW w:w="2117" w:type="dxa"/>
            <w:shd w:val="clear" w:color="auto" w:fill="F3F9FA"/>
            <w:noWrap/>
            <w:vAlign w:val="bottom"/>
            <w:hideMark/>
          </w:tcPr>
          <w:p w14:paraId="53604EA8"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hideMark/>
          </w:tcPr>
          <w:p w14:paraId="30B67560"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32.5</w:t>
            </w:r>
          </w:p>
        </w:tc>
        <w:tc>
          <w:tcPr>
            <w:tcW w:w="924" w:type="dxa"/>
            <w:shd w:val="clear" w:color="auto" w:fill="F3F9FA"/>
            <w:noWrap/>
            <w:vAlign w:val="center"/>
            <w:hideMark/>
          </w:tcPr>
          <w:p w14:paraId="62C19E64"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38.2</w:t>
            </w:r>
          </w:p>
        </w:tc>
        <w:tc>
          <w:tcPr>
            <w:tcW w:w="923" w:type="dxa"/>
            <w:shd w:val="clear" w:color="auto" w:fill="F3F9FA"/>
            <w:noWrap/>
            <w:vAlign w:val="center"/>
            <w:hideMark/>
          </w:tcPr>
          <w:p w14:paraId="38E65D3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42.7</w:t>
            </w:r>
          </w:p>
        </w:tc>
        <w:tc>
          <w:tcPr>
            <w:tcW w:w="924" w:type="dxa"/>
            <w:shd w:val="clear" w:color="auto" w:fill="F3F9FA"/>
            <w:noWrap/>
            <w:vAlign w:val="center"/>
            <w:hideMark/>
          </w:tcPr>
          <w:p w14:paraId="7892B64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45.5</w:t>
            </w:r>
          </w:p>
        </w:tc>
      </w:tr>
      <w:tr w:rsidR="006F4537" w:rsidRPr="00CB093C" w14:paraId="3C2B1D2F" w14:textId="77777777" w:rsidTr="006F4537">
        <w:trPr>
          <w:trHeight w:val="170"/>
        </w:trPr>
        <w:tc>
          <w:tcPr>
            <w:tcW w:w="2071" w:type="dxa"/>
            <w:shd w:val="clear" w:color="auto" w:fill="F3F9FA"/>
            <w:noWrap/>
            <w:vAlign w:val="bottom"/>
          </w:tcPr>
          <w:p w14:paraId="1B9529DD"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4473BC88"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GI2^</w:t>
            </w:r>
          </w:p>
        </w:tc>
        <w:tc>
          <w:tcPr>
            <w:tcW w:w="2117" w:type="dxa"/>
            <w:shd w:val="clear" w:color="auto" w:fill="F3F9FA"/>
            <w:noWrap/>
            <w:vAlign w:val="bottom"/>
            <w:hideMark/>
          </w:tcPr>
          <w:p w14:paraId="27147E8E"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hideMark/>
          </w:tcPr>
          <w:p w14:paraId="5847DC8F"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22.5</w:t>
            </w:r>
          </w:p>
        </w:tc>
        <w:tc>
          <w:tcPr>
            <w:tcW w:w="924" w:type="dxa"/>
            <w:shd w:val="clear" w:color="auto" w:fill="F3F9FA"/>
            <w:noWrap/>
            <w:vAlign w:val="center"/>
            <w:hideMark/>
          </w:tcPr>
          <w:p w14:paraId="57E54505"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25.6</w:t>
            </w:r>
          </w:p>
        </w:tc>
        <w:tc>
          <w:tcPr>
            <w:tcW w:w="923" w:type="dxa"/>
            <w:shd w:val="clear" w:color="auto" w:fill="F3F9FA"/>
            <w:noWrap/>
            <w:vAlign w:val="center"/>
            <w:hideMark/>
          </w:tcPr>
          <w:p w14:paraId="1195C050"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32.7</w:t>
            </w:r>
          </w:p>
        </w:tc>
        <w:tc>
          <w:tcPr>
            <w:tcW w:w="924" w:type="dxa"/>
            <w:shd w:val="clear" w:color="auto" w:fill="F3F9FA"/>
            <w:noWrap/>
            <w:vAlign w:val="center"/>
            <w:hideMark/>
          </w:tcPr>
          <w:p w14:paraId="38FF7B54"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36.7</w:t>
            </w:r>
          </w:p>
        </w:tc>
      </w:tr>
      <w:tr w:rsidR="006F4537" w:rsidRPr="00CB093C" w14:paraId="3F04865B" w14:textId="77777777" w:rsidTr="006F4537">
        <w:trPr>
          <w:trHeight w:val="170"/>
        </w:trPr>
        <w:tc>
          <w:tcPr>
            <w:tcW w:w="2071" w:type="dxa"/>
            <w:shd w:val="clear" w:color="auto" w:fill="F3F9FA"/>
            <w:noWrap/>
            <w:vAlign w:val="bottom"/>
          </w:tcPr>
          <w:p w14:paraId="5D0B5B7B"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17C15B7F"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LI1</w:t>
            </w:r>
          </w:p>
        </w:tc>
        <w:tc>
          <w:tcPr>
            <w:tcW w:w="2117" w:type="dxa"/>
            <w:shd w:val="clear" w:color="auto" w:fill="F3F9FA"/>
            <w:noWrap/>
            <w:vAlign w:val="bottom"/>
            <w:hideMark/>
          </w:tcPr>
          <w:p w14:paraId="6FDFDA7F"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hideMark/>
          </w:tcPr>
          <w:p w14:paraId="79CE1F49"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27.5</w:t>
            </w:r>
          </w:p>
        </w:tc>
        <w:tc>
          <w:tcPr>
            <w:tcW w:w="924" w:type="dxa"/>
            <w:shd w:val="clear" w:color="auto" w:fill="F3F9FA"/>
            <w:noWrap/>
            <w:vAlign w:val="center"/>
          </w:tcPr>
          <w:p w14:paraId="73933BF6" w14:textId="77777777" w:rsidR="006F4537" w:rsidRPr="00CB093C" w:rsidRDefault="006F4537" w:rsidP="006F4537">
            <w:pPr>
              <w:spacing w:before="0" w:after="0"/>
              <w:jc w:val="center"/>
              <w:rPr>
                <w:rFonts w:ascii="Arial" w:hAnsi="Arial" w:cs="Arial"/>
                <w:color w:val="000000"/>
                <w:szCs w:val="22"/>
              </w:rPr>
            </w:pPr>
          </w:p>
        </w:tc>
        <w:tc>
          <w:tcPr>
            <w:tcW w:w="923" w:type="dxa"/>
            <w:shd w:val="clear" w:color="auto" w:fill="F3F9FA"/>
            <w:noWrap/>
            <w:vAlign w:val="center"/>
            <w:hideMark/>
          </w:tcPr>
          <w:p w14:paraId="727043BA"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37.7</w:t>
            </w:r>
          </w:p>
        </w:tc>
        <w:tc>
          <w:tcPr>
            <w:tcW w:w="924" w:type="dxa"/>
            <w:shd w:val="clear" w:color="auto" w:fill="F3F9FA"/>
            <w:noWrap/>
            <w:vAlign w:val="center"/>
            <w:hideMark/>
          </w:tcPr>
          <w:p w14:paraId="57E31E0C"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41</w:t>
            </w:r>
          </w:p>
        </w:tc>
      </w:tr>
      <w:tr w:rsidR="006F4537" w:rsidRPr="00CB093C" w14:paraId="649EF444" w14:textId="77777777" w:rsidTr="006F4537">
        <w:trPr>
          <w:trHeight w:val="170"/>
        </w:trPr>
        <w:tc>
          <w:tcPr>
            <w:tcW w:w="2071" w:type="dxa"/>
            <w:shd w:val="clear" w:color="auto" w:fill="F3F9FA"/>
            <w:noWrap/>
            <w:vAlign w:val="bottom"/>
          </w:tcPr>
          <w:p w14:paraId="2BA31C4A"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tcPr>
          <w:p w14:paraId="2B810472"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GO1</w:t>
            </w:r>
          </w:p>
        </w:tc>
        <w:tc>
          <w:tcPr>
            <w:tcW w:w="2117" w:type="dxa"/>
            <w:shd w:val="clear" w:color="auto" w:fill="F3F9FA"/>
            <w:noWrap/>
            <w:vAlign w:val="bottom"/>
          </w:tcPr>
          <w:p w14:paraId="0F9460C9"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tcPr>
          <w:p w14:paraId="4A51AA8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27.5</w:t>
            </w:r>
          </w:p>
        </w:tc>
        <w:tc>
          <w:tcPr>
            <w:tcW w:w="924" w:type="dxa"/>
            <w:shd w:val="clear" w:color="auto" w:fill="F3F9FA"/>
            <w:noWrap/>
            <w:vAlign w:val="center"/>
          </w:tcPr>
          <w:p w14:paraId="3A08D185" w14:textId="77777777" w:rsidR="006F4537" w:rsidRPr="00CB093C" w:rsidRDefault="006F4537" w:rsidP="006F4537">
            <w:pPr>
              <w:spacing w:before="0" w:after="0"/>
              <w:jc w:val="center"/>
              <w:rPr>
                <w:rFonts w:ascii="Arial" w:hAnsi="Arial" w:cs="Arial"/>
                <w:color w:val="000000"/>
                <w:szCs w:val="22"/>
              </w:rPr>
            </w:pPr>
          </w:p>
        </w:tc>
        <w:tc>
          <w:tcPr>
            <w:tcW w:w="923" w:type="dxa"/>
            <w:shd w:val="clear" w:color="auto" w:fill="F3F9FA"/>
            <w:noWrap/>
            <w:vAlign w:val="center"/>
          </w:tcPr>
          <w:p w14:paraId="7F5A9D2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37.7</w:t>
            </w:r>
          </w:p>
        </w:tc>
        <w:tc>
          <w:tcPr>
            <w:tcW w:w="924" w:type="dxa"/>
            <w:shd w:val="clear" w:color="auto" w:fill="F3F9FA"/>
            <w:noWrap/>
            <w:vAlign w:val="center"/>
          </w:tcPr>
          <w:p w14:paraId="524CBA9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41</w:t>
            </w:r>
          </w:p>
        </w:tc>
      </w:tr>
      <w:tr w:rsidR="006F4537" w:rsidRPr="00CB093C" w14:paraId="5A602E39" w14:textId="77777777" w:rsidTr="006F4537">
        <w:trPr>
          <w:trHeight w:val="170"/>
        </w:trPr>
        <w:tc>
          <w:tcPr>
            <w:tcW w:w="2071" w:type="dxa"/>
            <w:shd w:val="clear" w:color="auto" w:fill="E7F3F4"/>
            <w:noWrap/>
            <w:vAlign w:val="bottom"/>
            <w:hideMark/>
          </w:tcPr>
          <w:p w14:paraId="410DC47F"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 </w:t>
            </w:r>
          </w:p>
        </w:tc>
        <w:tc>
          <w:tcPr>
            <w:tcW w:w="956" w:type="dxa"/>
            <w:shd w:val="clear" w:color="auto" w:fill="E7F3F4"/>
            <w:noWrap/>
            <w:vAlign w:val="bottom"/>
            <w:hideMark/>
          </w:tcPr>
          <w:p w14:paraId="48381646"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hideMark/>
          </w:tcPr>
          <w:p w14:paraId="2ABB68FA"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reef intertidal</w:t>
            </w:r>
          </w:p>
        </w:tc>
        <w:tc>
          <w:tcPr>
            <w:tcW w:w="923" w:type="dxa"/>
            <w:shd w:val="clear" w:color="auto" w:fill="E7F3F4"/>
            <w:noWrap/>
            <w:vAlign w:val="center"/>
            <w:hideMark/>
          </w:tcPr>
          <w:p w14:paraId="72B707B9"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27.5</w:t>
            </w:r>
          </w:p>
        </w:tc>
        <w:tc>
          <w:tcPr>
            <w:tcW w:w="924" w:type="dxa"/>
            <w:shd w:val="clear" w:color="auto" w:fill="E7F3F4"/>
            <w:noWrap/>
            <w:vAlign w:val="center"/>
            <w:hideMark/>
          </w:tcPr>
          <w:p w14:paraId="72B03A4B"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31.9</w:t>
            </w:r>
          </w:p>
        </w:tc>
        <w:tc>
          <w:tcPr>
            <w:tcW w:w="923" w:type="dxa"/>
            <w:shd w:val="clear" w:color="auto" w:fill="E7F3F4"/>
            <w:noWrap/>
            <w:vAlign w:val="center"/>
            <w:hideMark/>
          </w:tcPr>
          <w:p w14:paraId="6DB93346"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37.7</w:t>
            </w:r>
          </w:p>
        </w:tc>
        <w:tc>
          <w:tcPr>
            <w:tcW w:w="924" w:type="dxa"/>
            <w:shd w:val="clear" w:color="auto" w:fill="E7F3F4"/>
            <w:noWrap/>
            <w:vAlign w:val="center"/>
            <w:hideMark/>
          </w:tcPr>
          <w:p w14:paraId="74F0F126"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41</w:t>
            </w:r>
          </w:p>
        </w:tc>
      </w:tr>
      <w:tr w:rsidR="006F4537" w:rsidRPr="00CB093C" w14:paraId="1934AEE5" w14:textId="77777777" w:rsidTr="006F4537">
        <w:trPr>
          <w:trHeight w:val="170"/>
        </w:trPr>
        <w:tc>
          <w:tcPr>
            <w:tcW w:w="2071" w:type="dxa"/>
            <w:shd w:val="clear" w:color="auto" w:fill="F3F9FA"/>
            <w:noWrap/>
            <w:vAlign w:val="bottom"/>
          </w:tcPr>
          <w:p w14:paraId="36DA1E71"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68CEB7CE"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DI3</w:t>
            </w:r>
          </w:p>
        </w:tc>
        <w:tc>
          <w:tcPr>
            <w:tcW w:w="2117" w:type="dxa"/>
            <w:shd w:val="clear" w:color="auto" w:fill="F3F9FA"/>
            <w:noWrap/>
            <w:vAlign w:val="bottom"/>
            <w:hideMark/>
          </w:tcPr>
          <w:p w14:paraId="5D6E431C"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subtidal</w:t>
            </w:r>
          </w:p>
        </w:tc>
        <w:tc>
          <w:tcPr>
            <w:tcW w:w="923" w:type="dxa"/>
            <w:shd w:val="clear" w:color="auto" w:fill="F3F9FA"/>
            <w:noWrap/>
            <w:vAlign w:val="center"/>
            <w:hideMark/>
          </w:tcPr>
          <w:p w14:paraId="6A116AE0"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22</w:t>
            </w:r>
          </w:p>
        </w:tc>
        <w:tc>
          <w:tcPr>
            <w:tcW w:w="924" w:type="dxa"/>
            <w:shd w:val="clear" w:color="auto" w:fill="F3F9FA"/>
            <w:noWrap/>
            <w:vAlign w:val="center"/>
            <w:hideMark/>
          </w:tcPr>
          <w:p w14:paraId="393E0E2F"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26</w:t>
            </w:r>
          </w:p>
        </w:tc>
        <w:tc>
          <w:tcPr>
            <w:tcW w:w="923" w:type="dxa"/>
            <w:shd w:val="clear" w:color="auto" w:fill="F3F9FA"/>
            <w:noWrap/>
            <w:vAlign w:val="center"/>
            <w:hideMark/>
          </w:tcPr>
          <w:p w14:paraId="1CB2EFC0"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33</w:t>
            </w:r>
          </w:p>
        </w:tc>
        <w:tc>
          <w:tcPr>
            <w:tcW w:w="924" w:type="dxa"/>
            <w:shd w:val="clear" w:color="auto" w:fill="F3F9FA"/>
            <w:noWrap/>
            <w:vAlign w:val="center"/>
            <w:hideMark/>
          </w:tcPr>
          <w:p w14:paraId="17A467F4"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39.2</w:t>
            </w:r>
          </w:p>
        </w:tc>
      </w:tr>
      <w:tr w:rsidR="006F4537" w:rsidRPr="00CB093C" w14:paraId="7CE65C43" w14:textId="77777777" w:rsidTr="006F4537">
        <w:trPr>
          <w:trHeight w:val="170"/>
        </w:trPr>
        <w:tc>
          <w:tcPr>
            <w:tcW w:w="2071" w:type="dxa"/>
            <w:shd w:val="clear" w:color="auto" w:fill="F3F9FA"/>
            <w:noWrap/>
            <w:vAlign w:val="bottom"/>
          </w:tcPr>
          <w:p w14:paraId="152643F6"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7809F3C1"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GI3^</w:t>
            </w:r>
          </w:p>
        </w:tc>
        <w:tc>
          <w:tcPr>
            <w:tcW w:w="2117" w:type="dxa"/>
            <w:shd w:val="clear" w:color="auto" w:fill="F3F9FA"/>
            <w:noWrap/>
            <w:vAlign w:val="bottom"/>
            <w:hideMark/>
          </w:tcPr>
          <w:p w14:paraId="30D92694"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subtidal</w:t>
            </w:r>
          </w:p>
        </w:tc>
        <w:tc>
          <w:tcPr>
            <w:tcW w:w="923" w:type="dxa"/>
            <w:shd w:val="clear" w:color="auto" w:fill="F3F9FA"/>
            <w:noWrap/>
            <w:vAlign w:val="center"/>
            <w:hideMark/>
          </w:tcPr>
          <w:p w14:paraId="15A9D229"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22</w:t>
            </w:r>
          </w:p>
        </w:tc>
        <w:tc>
          <w:tcPr>
            <w:tcW w:w="924" w:type="dxa"/>
            <w:shd w:val="clear" w:color="auto" w:fill="F3F9FA"/>
            <w:noWrap/>
            <w:vAlign w:val="center"/>
            <w:hideMark/>
          </w:tcPr>
          <w:p w14:paraId="2EF032EE"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26</w:t>
            </w:r>
          </w:p>
        </w:tc>
        <w:tc>
          <w:tcPr>
            <w:tcW w:w="923" w:type="dxa"/>
            <w:shd w:val="clear" w:color="auto" w:fill="F3F9FA"/>
            <w:noWrap/>
            <w:vAlign w:val="center"/>
            <w:hideMark/>
          </w:tcPr>
          <w:p w14:paraId="4FDEAB9A"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33</w:t>
            </w:r>
          </w:p>
        </w:tc>
        <w:tc>
          <w:tcPr>
            <w:tcW w:w="924" w:type="dxa"/>
            <w:shd w:val="clear" w:color="auto" w:fill="F3F9FA"/>
            <w:noWrap/>
            <w:vAlign w:val="center"/>
            <w:hideMark/>
          </w:tcPr>
          <w:p w14:paraId="2C6A164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39.2</w:t>
            </w:r>
          </w:p>
        </w:tc>
      </w:tr>
      <w:tr w:rsidR="006F4537" w:rsidRPr="00CB093C" w14:paraId="05A4975A" w14:textId="77777777" w:rsidTr="006F4537">
        <w:trPr>
          <w:trHeight w:val="170"/>
        </w:trPr>
        <w:tc>
          <w:tcPr>
            <w:tcW w:w="2071" w:type="dxa"/>
            <w:shd w:val="clear" w:color="auto" w:fill="F3F9FA"/>
            <w:noWrap/>
            <w:vAlign w:val="bottom"/>
          </w:tcPr>
          <w:p w14:paraId="2C6E83CE"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26C34D47"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LI2</w:t>
            </w:r>
          </w:p>
        </w:tc>
        <w:tc>
          <w:tcPr>
            <w:tcW w:w="2117" w:type="dxa"/>
            <w:shd w:val="clear" w:color="auto" w:fill="F3F9FA"/>
            <w:noWrap/>
            <w:vAlign w:val="bottom"/>
            <w:hideMark/>
          </w:tcPr>
          <w:p w14:paraId="2D7875A9"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subtidal</w:t>
            </w:r>
          </w:p>
        </w:tc>
        <w:tc>
          <w:tcPr>
            <w:tcW w:w="923" w:type="dxa"/>
            <w:shd w:val="clear" w:color="auto" w:fill="F3F9FA"/>
            <w:noWrap/>
            <w:vAlign w:val="center"/>
            <w:hideMark/>
          </w:tcPr>
          <w:p w14:paraId="01469835"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22</w:t>
            </w:r>
          </w:p>
        </w:tc>
        <w:tc>
          <w:tcPr>
            <w:tcW w:w="924" w:type="dxa"/>
            <w:shd w:val="clear" w:color="auto" w:fill="F3F9FA"/>
            <w:noWrap/>
            <w:vAlign w:val="center"/>
            <w:hideMark/>
          </w:tcPr>
          <w:p w14:paraId="0C49EB7E"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26</w:t>
            </w:r>
          </w:p>
        </w:tc>
        <w:tc>
          <w:tcPr>
            <w:tcW w:w="923" w:type="dxa"/>
            <w:shd w:val="clear" w:color="auto" w:fill="F3F9FA"/>
            <w:noWrap/>
            <w:vAlign w:val="center"/>
            <w:hideMark/>
          </w:tcPr>
          <w:p w14:paraId="0ADC0A2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33</w:t>
            </w:r>
          </w:p>
        </w:tc>
        <w:tc>
          <w:tcPr>
            <w:tcW w:w="924" w:type="dxa"/>
            <w:shd w:val="clear" w:color="auto" w:fill="F3F9FA"/>
            <w:noWrap/>
            <w:vAlign w:val="center"/>
            <w:hideMark/>
          </w:tcPr>
          <w:p w14:paraId="367D72A9"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39.2</w:t>
            </w:r>
          </w:p>
        </w:tc>
      </w:tr>
      <w:tr w:rsidR="006F4537" w:rsidRPr="00CB093C" w14:paraId="3F640085" w14:textId="77777777" w:rsidTr="006F4537">
        <w:trPr>
          <w:trHeight w:val="170"/>
        </w:trPr>
        <w:tc>
          <w:tcPr>
            <w:tcW w:w="2071" w:type="dxa"/>
            <w:tcBorders>
              <w:top w:val="nil"/>
              <w:left w:val="nil"/>
              <w:bottom w:val="single" w:sz="4" w:space="0" w:color="auto"/>
              <w:right w:val="nil"/>
            </w:tcBorders>
            <w:shd w:val="clear" w:color="auto" w:fill="E7F3F4"/>
            <w:noWrap/>
            <w:vAlign w:val="bottom"/>
            <w:hideMark/>
          </w:tcPr>
          <w:p w14:paraId="164EFA51"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 </w:t>
            </w:r>
          </w:p>
        </w:tc>
        <w:tc>
          <w:tcPr>
            <w:tcW w:w="956" w:type="dxa"/>
            <w:tcBorders>
              <w:top w:val="nil"/>
              <w:left w:val="nil"/>
              <w:bottom w:val="single" w:sz="4" w:space="0" w:color="auto"/>
              <w:right w:val="nil"/>
            </w:tcBorders>
            <w:shd w:val="clear" w:color="auto" w:fill="E7F3F4"/>
            <w:noWrap/>
            <w:vAlign w:val="bottom"/>
            <w:hideMark/>
          </w:tcPr>
          <w:p w14:paraId="6EE5A5C1"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tcBorders>
              <w:top w:val="nil"/>
              <w:left w:val="nil"/>
              <w:bottom w:val="single" w:sz="4" w:space="0" w:color="auto"/>
              <w:right w:val="nil"/>
            </w:tcBorders>
            <w:shd w:val="clear" w:color="auto" w:fill="E7F3F4"/>
            <w:noWrap/>
            <w:vAlign w:val="bottom"/>
            <w:hideMark/>
          </w:tcPr>
          <w:p w14:paraId="7B14BD05"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reef subtidal</w:t>
            </w:r>
          </w:p>
        </w:tc>
        <w:tc>
          <w:tcPr>
            <w:tcW w:w="923" w:type="dxa"/>
            <w:tcBorders>
              <w:top w:val="nil"/>
              <w:left w:val="nil"/>
              <w:bottom w:val="single" w:sz="4" w:space="0" w:color="auto"/>
              <w:right w:val="nil"/>
            </w:tcBorders>
            <w:shd w:val="clear" w:color="auto" w:fill="E7F3F4"/>
            <w:noWrap/>
            <w:vAlign w:val="center"/>
            <w:hideMark/>
          </w:tcPr>
          <w:p w14:paraId="65A455D6"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22</w:t>
            </w:r>
          </w:p>
        </w:tc>
        <w:tc>
          <w:tcPr>
            <w:tcW w:w="924" w:type="dxa"/>
            <w:tcBorders>
              <w:top w:val="nil"/>
              <w:left w:val="nil"/>
              <w:bottom w:val="single" w:sz="4" w:space="0" w:color="auto"/>
              <w:right w:val="nil"/>
            </w:tcBorders>
            <w:shd w:val="clear" w:color="auto" w:fill="E7F3F4"/>
            <w:noWrap/>
            <w:vAlign w:val="center"/>
            <w:hideMark/>
          </w:tcPr>
          <w:p w14:paraId="6C7DD7AB"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26</w:t>
            </w:r>
          </w:p>
        </w:tc>
        <w:tc>
          <w:tcPr>
            <w:tcW w:w="923" w:type="dxa"/>
            <w:tcBorders>
              <w:top w:val="nil"/>
              <w:left w:val="nil"/>
              <w:bottom w:val="single" w:sz="4" w:space="0" w:color="auto"/>
              <w:right w:val="nil"/>
            </w:tcBorders>
            <w:shd w:val="clear" w:color="auto" w:fill="E7F3F4"/>
            <w:noWrap/>
            <w:vAlign w:val="center"/>
            <w:hideMark/>
          </w:tcPr>
          <w:p w14:paraId="32C7AEA9"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33</w:t>
            </w:r>
          </w:p>
        </w:tc>
        <w:tc>
          <w:tcPr>
            <w:tcW w:w="924" w:type="dxa"/>
            <w:tcBorders>
              <w:top w:val="nil"/>
              <w:left w:val="nil"/>
              <w:bottom w:val="single" w:sz="4" w:space="0" w:color="auto"/>
              <w:right w:val="nil"/>
            </w:tcBorders>
            <w:shd w:val="clear" w:color="auto" w:fill="E7F3F4"/>
            <w:noWrap/>
            <w:vAlign w:val="center"/>
            <w:hideMark/>
          </w:tcPr>
          <w:p w14:paraId="318466AE"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39.2</w:t>
            </w:r>
          </w:p>
        </w:tc>
      </w:tr>
      <w:tr w:rsidR="006F4537" w:rsidRPr="00CB093C" w14:paraId="7B61FE35"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7A74C9F3"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Burdekin</w:t>
            </w:r>
          </w:p>
        </w:tc>
        <w:tc>
          <w:tcPr>
            <w:tcW w:w="956" w:type="dxa"/>
            <w:tcBorders>
              <w:top w:val="single" w:sz="4" w:space="0" w:color="auto"/>
              <w:left w:val="nil"/>
              <w:bottom w:val="nil"/>
              <w:right w:val="nil"/>
            </w:tcBorders>
            <w:shd w:val="clear" w:color="auto" w:fill="F3F9FA"/>
            <w:noWrap/>
            <w:vAlign w:val="bottom"/>
            <w:hideMark/>
          </w:tcPr>
          <w:p w14:paraId="6D747519"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BB1^</w:t>
            </w:r>
          </w:p>
        </w:tc>
        <w:tc>
          <w:tcPr>
            <w:tcW w:w="2117" w:type="dxa"/>
            <w:tcBorders>
              <w:top w:val="single" w:sz="4" w:space="0" w:color="auto"/>
              <w:left w:val="nil"/>
              <w:bottom w:val="nil"/>
              <w:right w:val="nil"/>
            </w:tcBorders>
            <w:shd w:val="clear" w:color="auto" w:fill="F3F9FA"/>
            <w:noWrap/>
            <w:vAlign w:val="bottom"/>
            <w:hideMark/>
          </w:tcPr>
          <w:p w14:paraId="27BD29A8"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tcBorders>
              <w:top w:val="single" w:sz="4" w:space="0" w:color="auto"/>
              <w:left w:val="nil"/>
              <w:bottom w:val="nil"/>
              <w:right w:val="nil"/>
            </w:tcBorders>
            <w:shd w:val="clear" w:color="auto" w:fill="F3F9FA"/>
            <w:noWrap/>
            <w:vAlign w:val="center"/>
            <w:hideMark/>
          </w:tcPr>
          <w:p w14:paraId="1EF3E953"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16.3</w:t>
            </w:r>
          </w:p>
        </w:tc>
        <w:tc>
          <w:tcPr>
            <w:tcW w:w="924" w:type="dxa"/>
            <w:tcBorders>
              <w:top w:val="single" w:sz="4" w:space="0" w:color="auto"/>
              <w:left w:val="nil"/>
              <w:bottom w:val="nil"/>
              <w:right w:val="nil"/>
            </w:tcBorders>
            <w:shd w:val="clear" w:color="auto" w:fill="F3F9FA"/>
            <w:noWrap/>
            <w:vAlign w:val="center"/>
            <w:hideMark/>
          </w:tcPr>
          <w:p w14:paraId="0E4AE01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21.4</w:t>
            </w:r>
          </w:p>
        </w:tc>
        <w:tc>
          <w:tcPr>
            <w:tcW w:w="923" w:type="dxa"/>
            <w:tcBorders>
              <w:top w:val="single" w:sz="4" w:space="0" w:color="auto"/>
              <w:left w:val="nil"/>
              <w:bottom w:val="nil"/>
              <w:right w:val="nil"/>
            </w:tcBorders>
            <w:shd w:val="clear" w:color="auto" w:fill="F3F9FA"/>
            <w:noWrap/>
            <w:vAlign w:val="center"/>
            <w:hideMark/>
          </w:tcPr>
          <w:p w14:paraId="698351AE"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25.4</w:t>
            </w:r>
          </w:p>
        </w:tc>
        <w:tc>
          <w:tcPr>
            <w:tcW w:w="924" w:type="dxa"/>
            <w:tcBorders>
              <w:top w:val="single" w:sz="4" w:space="0" w:color="auto"/>
              <w:left w:val="nil"/>
              <w:bottom w:val="nil"/>
              <w:right w:val="nil"/>
            </w:tcBorders>
            <w:shd w:val="clear" w:color="auto" w:fill="F3F9FA"/>
            <w:noWrap/>
            <w:vAlign w:val="center"/>
            <w:hideMark/>
          </w:tcPr>
          <w:p w14:paraId="6DE1680F"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35.2</w:t>
            </w:r>
          </w:p>
        </w:tc>
      </w:tr>
      <w:tr w:rsidR="006F4537" w:rsidRPr="00CB093C" w14:paraId="1E4D7BCD" w14:textId="77777777" w:rsidTr="006F4537">
        <w:trPr>
          <w:trHeight w:val="170"/>
        </w:trPr>
        <w:tc>
          <w:tcPr>
            <w:tcW w:w="2071" w:type="dxa"/>
            <w:shd w:val="clear" w:color="auto" w:fill="F3F9FA"/>
            <w:noWrap/>
            <w:vAlign w:val="bottom"/>
          </w:tcPr>
          <w:p w14:paraId="796233B5"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47669BB8"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SB1^</w:t>
            </w:r>
          </w:p>
        </w:tc>
        <w:tc>
          <w:tcPr>
            <w:tcW w:w="2117" w:type="dxa"/>
            <w:shd w:val="clear" w:color="auto" w:fill="F3F9FA"/>
            <w:noWrap/>
            <w:vAlign w:val="bottom"/>
            <w:hideMark/>
          </w:tcPr>
          <w:p w14:paraId="4670AA26"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hideMark/>
          </w:tcPr>
          <w:p w14:paraId="6B3C5882"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7.5</w:t>
            </w:r>
          </w:p>
        </w:tc>
        <w:tc>
          <w:tcPr>
            <w:tcW w:w="924" w:type="dxa"/>
            <w:shd w:val="clear" w:color="auto" w:fill="F3F9FA"/>
            <w:noWrap/>
            <w:vAlign w:val="center"/>
            <w:hideMark/>
          </w:tcPr>
          <w:p w14:paraId="051C51D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10</w:t>
            </w:r>
          </w:p>
        </w:tc>
        <w:tc>
          <w:tcPr>
            <w:tcW w:w="923" w:type="dxa"/>
            <w:shd w:val="clear" w:color="auto" w:fill="F3F9FA"/>
            <w:noWrap/>
            <w:vAlign w:val="center"/>
            <w:hideMark/>
          </w:tcPr>
          <w:p w14:paraId="2A7D4EA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16.8</w:t>
            </w:r>
          </w:p>
        </w:tc>
        <w:tc>
          <w:tcPr>
            <w:tcW w:w="924" w:type="dxa"/>
            <w:shd w:val="clear" w:color="auto" w:fill="F3F9FA"/>
            <w:noWrap/>
            <w:vAlign w:val="center"/>
            <w:hideMark/>
          </w:tcPr>
          <w:p w14:paraId="243EF519"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22</w:t>
            </w:r>
          </w:p>
        </w:tc>
      </w:tr>
      <w:tr w:rsidR="006F4537" w:rsidRPr="00CB093C" w14:paraId="4D9AA368" w14:textId="77777777" w:rsidTr="006F4537">
        <w:trPr>
          <w:trHeight w:val="170"/>
        </w:trPr>
        <w:tc>
          <w:tcPr>
            <w:tcW w:w="2071" w:type="dxa"/>
            <w:shd w:val="clear" w:color="auto" w:fill="F3F9FA"/>
            <w:noWrap/>
            <w:vAlign w:val="bottom"/>
          </w:tcPr>
          <w:p w14:paraId="1D933866"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33E75B20"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SB2</w:t>
            </w:r>
          </w:p>
        </w:tc>
        <w:tc>
          <w:tcPr>
            <w:tcW w:w="2117" w:type="dxa"/>
            <w:shd w:val="clear" w:color="auto" w:fill="F3F9FA"/>
            <w:noWrap/>
            <w:vAlign w:val="bottom"/>
            <w:hideMark/>
          </w:tcPr>
          <w:p w14:paraId="4D9FABB2"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tcPr>
          <w:p w14:paraId="018ABA0A" w14:textId="77777777" w:rsidR="006F4537" w:rsidRPr="00CB093C" w:rsidRDefault="006F4537" w:rsidP="006F4537">
            <w:pPr>
              <w:spacing w:before="0" w:after="0"/>
              <w:jc w:val="center"/>
              <w:rPr>
                <w:rFonts w:ascii="Arial" w:hAnsi="Arial" w:cs="Arial"/>
                <w:bCs/>
                <w:i/>
                <w:iCs/>
                <w:color w:val="000000"/>
                <w:szCs w:val="22"/>
              </w:rPr>
            </w:pPr>
          </w:p>
        </w:tc>
        <w:tc>
          <w:tcPr>
            <w:tcW w:w="924" w:type="dxa"/>
            <w:shd w:val="clear" w:color="auto" w:fill="F3F9FA"/>
            <w:noWrap/>
            <w:vAlign w:val="center"/>
            <w:hideMark/>
          </w:tcPr>
          <w:p w14:paraId="420FB41A" w14:textId="77777777" w:rsidR="006F4537" w:rsidRPr="00CB093C" w:rsidRDefault="006F4537" w:rsidP="006F4537">
            <w:pPr>
              <w:spacing w:before="0" w:after="0"/>
              <w:jc w:val="center"/>
              <w:rPr>
                <w:rFonts w:ascii="Arial" w:hAnsi="Arial" w:cs="Arial"/>
                <w:bCs/>
                <w:i/>
                <w:iCs/>
                <w:color w:val="000000"/>
                <w:szCs w:val="22"/>
              </w:rPr>
            </w:pPr>
            <w:r w:rsidRPr="00CB093C">
              <w:rPr>
                <w:rFonts w:ascii="Arial" w:hAnsi="Arial" w:cs="Arial"/>
                <w:color w:val="000000"/>
                <w:szCs w:val="22"/>
              </w:rPr>
              <w:t>10</w:t>
            </w:r>
          </w:p>
        </w:tc>
        <w:tc>
          <w:tcPr>
            <w:tcW w:w="923" w:type="dxa"/>
            <w:shd w:val="clear" w:color="auto" w:fill="F3F9FA"/>
            <w:noWrap/>
            <w:vAlign w:val="center"/>
            <w:hideMark/>
          </w:tcPr>
          <w:p w14:paraId="6F7D1233" w14:textId="77777777" w:rsidR="006F4537" w:rsidRPr="00CB093C" w:rsidRDefault="006F4537" w:rsidP="006F4537">
            <w:pPr>
              <w:spacing w:before="0" w:after="0"/>
              <w:jc w:val="center"/>
              <w:rPr>
                <w:rFonts w:ascii="Arial" w:hAnsi="Arial" w:cs="Arial"/>
                <w:bCs/>
                <w:i/>
                <w:iCs/>
                <w:color w:val="000000"/>
                <w:szCs w:val="22"/>
              </w:rPr>
            </w:pPr>
            <w:r w:rsidRPr="00CB093C">
              <w:rPr>
                <w:rFonts w:ascii="Arial" w:hAnsi="Arial" w:cs="Arial"/>
                <w:color w:val="000000"/>
                <w:szCs w:val="22"/>
              </w:rPr>
              <w:t>16.8</w:t>
            </w:r>
          </w:p>
        </w:tc>
        <w:tc>
          <w:tcPr>
            <w:tcW w:w="924" w:type="dxa"/>
            <w:shd w:val="clear" w:color="auto" w:fill="F3F9FA"/>
            <w:noWrap/>
            <w:vAlign w:val="center"/>
            <w:hideMark/>
          </w:tcPr>
          <w:p w14:paraId="2C302225" w14:textId="77777777" w:rsidR="006F4537" w:rsidRPr="00CB093C" w:rsidRDefault="006F4537" w:rsidP="006F4537">
            <w:pPr>
              <w:spacing w:before="0" w:after="0"/>
              <w:jc w:val="center"/>
              <w:rPr>
                <w:rFonts w:ascii="Arial" w:hAnsi="Arial" w:cs="Arial"/>
                <w:bCs/>
                <w:i/>
                <w:iCs/>
                <w:color w:val="000000"/>
                <w:szCs w:val="22"/>
              </w:rPr>
            </w:pPr>
            <w:r w:rsidRPr="00CB093C">
              <w:rPr>
                <w:rFonts w:ascii="Arial" w:hAnsi="Arial" w:cs="Arial"/>
                <w:color w:val="000000"/>
                <w:szCs w:val="22"/>
              </w:rPr>
              <w:t>22</w:t>
            </w:r>
          </w:p>
        </w:tc>
      </w:tr>
      <w:tr w:rsidR="006F4537" w:rsidRPr="00CB093C" w14:paraId="2218341E" w14:textId="77777777" w:rsidTr="006F4537">
        <w:trPr>
          <w:trHeight w:val="170"/>
        </w:trPr>
        <w:tc>
          <w:tcPr>
            <w:tcW w:w="2071" w:type="dxa"/>
            <w:shd w:val="clear" w:color="auto" w:fill="F3F9FA"/>
            <w:noWrap/>
            <w:vAlign w:val="bottom"/>
          </w:tcPr>
          <w:p w14:paraId="407BAEF0"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63F30514"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JR</w:t>
            </w:r>
          </w:p>
        </w:tc>
        <w:tc>
          <w:tcPr>
            <w:tcW w:w="2117" w:type="dxa"/>
            <w:shd w:val="clear" w:color="auto" w:fill="F3F9FA"/>
            <w:noWrap/>
            <w:vAlign w:val="bottom"/>
            <w:hideMark/>
          </w:tcPr>
          <w:p w14:paraId="7D16AC93"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color w:val="000000"/>
                <w:szCs w:val="22"/>
              </w:rPr>
              <w:t>coastal intertidal</w:t>
            </w:r>
          </w:p>
        </w:tc>
        <w:tc>
          <w:tcPr>
            <w:tcW w:w="923" w:type="dxa"/>
            <w:shd w:val="clear" w:color="auto" w:fill="F3F9FA"/>
            <w:noWrap/>
            <w:vAlign w:val="center"/>
          </w:tcPr>
          <w:p w14:paraId="69E77B36" w14:textId="77777777" w:rsidR="006F4537" w:rsidRPr="00CB093C" w:rsidRDefault="006F4537" w:rsidP="006F4537">
            <w:pPr>
              <w:spacing w:before="0" w:after="0"/>
              <w:jc w:val="center"/>
              <w:rPr>
                <w:rFonts w:ascii="Arial" w:hAnsi="Arial" w:cs="Arial"/>
                <w:bCs/>
                <w:i/>
                <w:iCs/>
                <w:color w:val="000000"/>
                <w:szCs w:val="22"/>
              </w:rPr>
            </w:pPr>
          </w:p>
        </w:tc>
        <w:tc>
          <w:tcPr>
            <w:tcW w:w="924" w:type="dxa"/>
            <w:shd w:val="clear" w:color="auto" w:fill="F3F9FA"/>
            <w:noWrap/>
            <w:vAlign w:val="center"/>
            <w:hideMark/>
          </w:tcPr>
          <w:p w14:paraId="706EB18A" w14:textId="77777777" w:rsidR="006F4537" w:rsidRPr="00CB093C" w:rsidRDefault="006F4537" w:rsidP="006F4537">
            <w:pPr>
              <w:spacing w:before="0" w:after="0"/>
              <w:jc w:val="center"/>
              <w:rPr>
                <w:rFonts w:ascii="Arial" w:hAnsi="Arial" w:cs="Arial"/>
                <w:bCs/>
                <w:i/>
                <w:iCs/>
                <w:color w:val="000000"/>
                <w:szCs w:val="22"/>
              </w:rPr>
            </w:pPr>
            <w:r w:rsidRPr="00CB093C">
              <w:rPr>
                <w:rFonts w:ascii="Arial" w:hAnsi="Arial" w:cs="Arial"/>
                <w:bCs/>
                <w:i/>
                <w:iCs/>
                <w:color w:val="000000"/>
                <w:szCs w:val="22"/>
              </w:rPr>
              <w:t>15.7</w:t>
            </w:r>
          </w:p>
        </w:tc>
        <w:tc>
          <w:tcPr>
            <w:tcW w:w="923" w:type="dxa"/>
            <w:shd w:val="clear" w:color="auto" w:fill="F3F9FA"/>
            <w:noWrap/>
            <w:vAlign w:val="center"/>
            <w:hideMark/>
          </w:tcPr>
          <w:p w14:paraId="619DDCB0" w14:textId="77777777" w:rsidR="006F4537" w:rsidRPr="00CB093C" w:rsidRDefault="006F4537" w:rsidP="006F4537">
            <w:pPr>
              <w:spacing w:before="0" w:after="0"/>
              <w:jc w:val="center"/>
              <w:rPr>
                <w:rFonts w:ascii="Arial" w:hAnsi="Arial" w:cs="Arial"/>
                <w:bCs/>
                <w:i/>
                <w:iCs/>
                <w:color w:val="000000"/>
                <w:szCs w:val="22"/>
              </w:rPr>
            </w:pPr>
            <w:r w:rsidRPr="00CB093C">
              <w:rPr>
                <w:rFonts w:ascii="Arial" w:hAnsi="Arial" w:cs="Arial"/>
                <w:bCs/>
                <w:i/>
                <w:iCs/>
                <w:color w:val="000000"/>
                <w:szCs w:val="22"/>
              </w:rPr>
              <w:t>21.1</w:t>
            </w:r>
          </w:p>
        </w:tc>
        <w:tc>
          <w:tcPr>
            <w:tcW w:w="924" w:type="dxa"/>
            <w:shd w:val="clear" w:color="auto" w:fill="F3F9FA"/>
            <w:noWrap/>
            <w:vAlign w:val="center"/>
            <w:hideMark/>
          </w:tcPr>
          <w:p w14:paraId="002838D0" w14:textId="77777777" w:rsidR="006F4537" w:rsidRPr="00CB093C" w:rsidRDefault="006F4537" w:rsidP="006F4537">
            <w:pPr>
              <w:spacing w:before="0" w:after="0"/>
              <w:jc w:val="center"/>
              <w:rPr>
                <w:rFonts w:ascii="Arial" w:hAnsi="Arial" w:cs="Arial"/>
                <w:bCs/>
                <w:i/>
                <w:iCs/>
                <w:color w:val="000000"/>
                <w:szCs w:val="22"/>
              </w:rPr>
            </w:pPr>
            <w:r w:rsidRPr="00CB093C">
              <w:rPr>
                <w:rFonts w:ascii="Arial" w:hAnsi="Arial" w:cs="Arial"/>
                <w:bCs/>
                <w:i/>
                <w:iCs/>
                <w:color w:val="000000"/>
                <w:szCs w:val="22"/>
              </w:rPr>
              <w:t>28.6</w:t>
            </w:r>
          </w:p>
        </w:tc>
      </w:tr>
      <w:tr w:rsidR="006F4537" w:rsidRPr="00CB093C" w14:paraId="4639C49F" w14:textId="77777777" w:rsidTr="006F4537">
        <w:trPr>
          <w:trHeight w:val="170"/>
        </w:trPr>
        <w:tc>
          <w:tcPr>
            <w:tcW w:w="2071" w:type="dxa"/>
            <w:shd w:val="clear" w:color="auto" w:fill="E7F3F4"/>
            <w:noWrap/>
            <w:vAlign w:val="bottom"/>
          </w:tcPr>
          <w:p w14:paraId="1594315A"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hideMark/>
          </w:tcPr>
          <w:p w14:paraId="7136126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hideMark/>
          </w:tcPr>
          <w:p w14:paraId="426BCE0F"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coastal intertidal</w:t>
            </w:r>
          </w:p>
        </w:tc>
        <w:tc>
          <w:tcPr>
            <w:tcW w:w="923" w:type="dxa"/>
            <w:shd w:val="clear" w:color="auto" w:fill="E7F3F4"/>
            <w:noWrap/>
            <w:vAlign w:val="center"/>
            <w:hideMark/>
          </w:tcPr>
          <w:p w14:paraId="3CCCDF8E"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11.9</w:t>
            </w:r>
          </w:p>
        </w:tc>
        <w:tc>
          <w:tcPr>
            <w:tcW w:w="924" w:type="dxa"/>
            <w:shd w:val="clear" w:color="auto" w:fill="E7F3F4"/>
            <w:noWrap/>
            <w:vAlign w:val="center"/>
            <w:hideMark/>
          </w:tcPr>
          <w:p w14:paraId="1AA916B7"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15.7</w:t>
            </w:r>
          </w:p>
        </w:tc>
        <w:tc>
          <w:tcPr>
            <w:tcW w:w="923" w:type="dxa"/>
            <w:shd w:val="clear" w:color="auto" w:fill="E7F3F4"/>
            <w:noWrap/>
            <w:vAlign w:val="center"/>
            <w:hideMark/>
          </w:tcPr>
          <w:p w14:paraId="63D932EF"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21.1</w:t>
            </w:r>
          </w:p>
        </w:tc>
        <w:tc>
          <w:tcPr>
            <w:tcW w:w="924" w:type="dxa"/>
            <w:shd w:val="clear" w:color="auto" w:fill="E7F3F4"/>
            <w:noWrap/>
            <w:vAlign w:val="center"/>
            <w:hideMark/>
          </w:tcPr>
          <w:p w14:paraId="1E83ED78"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28.6</w:t>
            </w:r>
          </w:p>
        </w:tc>
      </w:tr>
      <w:tr w:rsidR="006F4537" w:rsidRPr="00CB093C" w14:paraId="1CD6C652" w14:textId="77777777" w:rsidTr="006F4537">
        <w:trPr>
          <w:trHeight w:val="170"/>
        </w:trPr>
        <w:tc>
          <w:tcPr>
            <w:tcW w:w="2071" w:type="dxa"/>
            <w:shd w:val="clear" w:color="auto" w:fill="F3F9FA"/>
            <w:noWrap/>
            <w:vAlign w:val="bottom"/>
          </w:tcPr>
          <w:p w14:paraId="3138F229"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70AEE609"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MI1^</w:t>
            </w:r>
          </w:p>
        </w:tc>
        <w:tc>
          <w:tcPr>
            <w:tcW w:w="2117" w:type="dxa"/>
            <w:shd w:val="clear" w:color="auto" w:fill="F3F9FA"/>
            <w:noWrap/>
            <w:vAlign w:val="bottom"/>
            <w:hideMark/>
          </w:tcPr>
          <w:p w14:paraId="00BBCAA1"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hideMark/>
          </w:tcPr>
          <w:p w14:paraId="3F59306B"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23</w:t>
            </w:r>
          </w:p>
        </w:tc>
        <w:tc>
          <w:tcPr>
            <w:tcW w:w="924" w:type="dxa"/>
            <w:shd w:val="clear" w:color="auto" w:fill="F3F9FA"/>
            <w:noWrap/>
            <w:vAlign w:val="center"/>
            <w:hideMark/>
          </w:tcPr>
          <w:p w14:paraId="5BA35FF9"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26</w:t>
            </w:r>
          </w:p>
        </w:tc>
        <w:tc>
          <w:tcPr>
            <w:tcW w:w="923" w:type="dxa"/>
            <w:shd w:val="clear" w:color="auto" w:fill="F3F9FA"/>
            <w:noWrap/>
            <w:vAlign w:val="center"/>
            <w:hideMark/>
          </w:tcPr>
          <w:p w14:paraId="25A5B65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33.4</w:t>
            </w:r>
          </w:p>
        </w:tc>
        <w:tc>
          <w:tcPr>
            <w:tcW w:w="924" w:type="dxa"/>
            <w:shd w:val="clear" w:color="auto" w:fill="F3F9FA"/>
            <w:noWrap/>
            <w:vAlign w:val="center"/>
            <w:hideMark/>
          </w:tcPr>
          <w:p w14:paraId="6151DEA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37</w:t>
            </w:r>
          </w:p>
        </w:tc>
      </w:tr>
      <w:tr w:rsidR="006F4537" w:rsidRPr="00CB093C" w14:paraId="517B94C0" w14:textId="77777777" w:rsidTr="006F4537">
        <w:trPr>
          <w:trHeight w:val="170"/>
        </w:trPr>
        <w:tc>
          <w:tcPr>
            <w:tcW w:w="2071" w:type="dxa"/>
            <w:shd w:val="clear" w:color="auto" w:fill="F3F9FA"/>
            <w:noWrap/>
            <w:vAlign w:val="bottom"/>
          </w:tcPr>
          <w:p w14:paraId="7682E69E"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16D62965"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MI2^</w:t>
            </w:r>
          </w:p>
        </w:tc>
        <w:tc>
          <w:tcPr>
            <w:tcW w:w="2117" w:type="dxa"/>
            <w:shd w:val="clear" w:color="auto" w:fill="F3F9FA"/>
            <w:noWrap/>
            <w:vAlign w:val="bottom"/>
            <w:hideMark/>
          </w:tcPr>
          <w:p w14:paraId="30FED40B"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hideMark/>
          </w:tcPr>
          <w:p w14:paraId="3B19875B"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21.3</w:t>
            </w:r>
          </w:p>
        </w:tc>
        <w:tc>
          <w:tcPr>
            <w:tcW w:w="924" w:type="dxa"/>
            <w:shd w:val="clear" w:color="auto" w:fill="F3F9FA"/>
            <w:noWrap/>
            <w:vAlign w:val="center"/>
            <w:hideMark/>
          </w:tcPr>
          <w:p w14:paraId="5D6A9456"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26.5</w:t>
            </w:r>
          </w:p>
        </w:tc>
        <w:tc>
          <w:tcPr>
            <w:tcW w:w="923" w:type="dxa"/>
            <w:shd w:val="clear" w:color="auto" w:fill="F3F9FA"/>
            <w:noWrap/>
            <w:vAlign w:val="center"/>
            <w:hideMark/>
          </w:tcPr>
          <w:p w14:paraId="5CC97EC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35.6</w:t>
            </w:r>
          </w:p>
        </w:tc>
        <w:tc>
          <w:tcPr>
            <w:tcW w:w="924" w:type="dxa"/>
            <w:shd w:val="clear" w:color="auto" w:fill="F3F9FA"/>
            <w:noWrap/>
            <w:vAlign w:val="center"/>
            <w:hideMark/>
          </w:tcPr>
          <w:p w14:paraId="3910B850"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41</w:t>
            </w:r>
          </w:p>
        </w:tc>
      </w:tr>
      <w:tr w:rsidR="006F4537" w:rsidRPr="00CB093C" w14:paraId="19106443" w14:textId="77777777" w:rsidTr="006F4537">
        <w:trPr>
          <w:trHeight w:val="170"/>
        </w:trPr>
        <w:tc>
          <w:tcPr>
            <w:tcW w:w="2071" w:type="dxa"/>
            <w:shd w:val="clear" w:color="auto" w:fill="E7F3F4"/>
            <w:noWrap/>
            <w:vAlign w:val="bottom"/>
            <w:hideMark/>
          </w:tcPr>
          <w:p w14:paraId="0D0672BA"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 </w:t>
            </w:r>
          </w:p>
        </w:tc>
        <w:tc>
          <w:tcPr>
            <w:tcW w:w="956" w:type="dxa"/>
            <w:shd w:val="clear" w:color="auto" w:fill="E7F3F4"/>
            <w:noWrap/>
            <w:vAlign w:val="bottom"/>
            <w:hideMark/>
          </w:tcPr>
          <w:p w14:paraId="4B6C0F67"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hideMark/>
          </w:tcPr>
          <w:p w14:paraId="0B97C75A"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reef intertidal</w:t>
            </w:r>
          </w:p>
        </w:tc>
        <w:tc>
          <w:tcPr>
            <w:tcW w:w="923" w:type="dxa"/>
            <w:shd w:val="clear" w:color="auto" w:fill="E7F3F4"/>
            <w:noWrap/>
            <w:vAlign w:val="center"/>
            <w:hideMark/>
          </w:tcPr>
          <w:p w14:paraId="58C76E82"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22.2</w:t>
            </w:r>
          </w:p>
        </w:tc>
        <w:tc>
          <w:tcPr>
            <w:tcW w:w="924" w:type="dxa"/>
            <w:shd w:val="clear" w:color="auto" w:fill="E7F3F4"/>
            <w:noWrap/>
            <w:vAlign w:val="center"/>
            <w:hideMark/>
          </w:tcPr>
          <w:p w14:paraId="75E74E82"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26.3</w:t>
            </w:r>
          </w:p>
        </w:tc>
        <w:tc>
          <w:tcPr>
            <w:tcW w:w="923" w:type="dxa"/>
            <w:shd w:val="clear" w:color="auto" w:fill="E7F3F4"/>
            <w:noWrap/>
            <w:vAlign w:val="center"/>
            <w:hideMark/>
          </w:tcPr>
          <w:p w14:paraId="45BBD6E6"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34.5</w:t>
            </w:r>
          </w:p>
        </w:tc>
        <w:tc>
          <w:tcPr>
            <w:tcW w:w="924" w:type="dxa"/>
            <w:shd w:val="clear" w:color="auto" w:fill="E7F3F4"/>
            <w:noWrap/>
            <w:vAlign w:val="center"/>
            <w:hideMark/>
          </w:tcPr>
          <w:p w14:paraId="52301131"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39</w:t>
            </w:r>
          </w:p>
        </w:tc>
      </w:tr>
      <w:tr w:rsidR="006F4537" w:rsidRPr="00CB093C" w14:paraId="676BFC66" w14:textId="77777777" w:rsidTr="006F4537">
        <w:trPr>
          <w:trHeight w:val="170"/>
        </w:trPr>
        <w:tc>
          <w:tcPr>
            <w:tcW w:w="2071" w:type="dxa"/>
            <w:shd w:val="clear" w:color="auto" w:fill="F3F9FA"/>
            <w:noWrap/>
            <w:vAlign w:val="bottom"/>
          </w:tcPr>
          <w:p w14:paraId="24E3218D"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388AF571"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MI3^</w:t>
            </w:r>
          </w:p>
        </w:tc>
        <w:tc>
          <w:tcPr>
            <w:tcW w:w="2117" w:type="dxa"/>
            <w:shd w:val="clear" w:color="auto" w:fill="F3F9FA"/>
            <w:noWrap/>
            <w:vAlign w:val="bottom"/>
            <w:hideMark/>
          </w:tcPr>
          <w:p w14:paraId="45F6B403"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color w:val="000000"/>
                <w:szCs w:val="22"/>
              </w:rPr>
              <w:t>reef subtidal</w:t>
            </w:r>
          </w:p>
        </w:tc>
        <w:tc>
          <w:tcPr>
            <w:tcW w:w="923" w:type="dxa"/>
            <w:shd w:val="clear" w:color="auto" w:fill="F3F9FA"/>
            <w:noWrap/>
            <w:vAlign w:val="center"/>
            <w:hideMark/>
          </w:tcPr>
          <w:p w14:paraId="2464A744"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18</w:t>
            </w:r>
          </w:p>
        </w:tc>
        <w:tc>
          <w:tcPr>
            <w:tcW w:w="924" w:type="dxa"/>
            <w:shd w:val="clear" w:color="auto" w:fill="F3F9FA"/>
            <w:noWrap/>
            <w:vAlign w:val="center"/>
            <w:hideMark/>
          </w:tcPr>
          <w:p w14:paraId="44719CD1"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22.5</w:t>
            </w:r>
          </w:p>
        </w:tc>
        <w:tc>
          <w:tcPr>
            <w:tcW w:w="923" w:type="dxa"/>
            <w:shd w:val="clear" w:color="auto" w:fill="F3F9FA"/>
            <w:noWrap/>
            <w:vAlign w:val="center"/>
            <w:hideMark/>
          </w:tcPr>
          <w:p w14:paraId="5599D1D8"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32.7</w:t>
            </w:r>
          </w:p>
        </w:tc>
        <w:tc>
          <w:tcPr>
            <w:tcW w:w="924" w:type="dxa"/>
            <w:shd w:val="clear" w:color="auto" w:fill="F3F9FA"/>
            <w:noWrap/>
            <w:vAlign w:val="center"/>
            <w:hideMark/>
          </w:tcPr>
          <w:p w14:paraId="09143618"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36.7</w:t>
            </w:r>
          </w:p>
        </w:tc>
      </w:tr>
      <w:tr w:rsidR="006F4537" w:rsidRPr="00CB093C" w14:paraId="20135EBF" w14:textId="77777777" w:rsidTr="006F4537">
        <w:trPr>
          <w:trHeight w:val="170"/>
        </w:trPr>
        <w:tc>
          <w:tcPr>
            <w:tcW w:w="2071" w:type="dxa"/>
            <w:tcBorders>
              <w:top w:val="nil"/>
              <w:left w:val="nil"/>
              <w:bottom w:val="single" w:sz="4" w:space="0" w:color="auto"/>
              <w:right w:val="nil"/>
            </w:tcBorders>
            <w:shd w:val="clear" w:color="auto" w:fill="E7F3F4"/>
            <w:noWrap/>
            <w:vAlign w:val="bottom"/>
          </w:tcPr>
          <w:p w14:paraId="34BED269" w14:textId="77777777" w:rsidR="006F4537" w:rsidRPr="00CB093C" w:rsidRDefault="006F4537" w:rsidP="006F4537">
            <w:pPr>
              <w:spacing w:before="0" w:after="0"/>
              <w:rPr>
                <w:rFonts w:ascii="Arial" w:hAnsi="Arial" w:cs="Arial"/>
                <w:color w:val="000000"/>
                <w:szCs w:val="22"/>
              </w:rPr>
            </w:pPr>
          </w:p>
        </w:tc>
        <w:tc>
          <w:tcPr>
            <w:tcW w:w="956" w:type="dxa"/>
            <w:tcBorders>
              <w:top w:val="nil"/>
              <w:left w:val="nil"/>
              <w:bottom w:val="single" w:sz="4" w:space="0" w:color="auto"/>
              <w:right w:val="nil"/>
            </w:tcBorders>
            <w:shd w:val="clear" w:color="auto" w:fill="E7F3F4"/>
            <w:noWrap/>
            <w:vAlign w:val="bottom"/>
            <w:hideMark/>
          </w:tcPr>
          <w:p w14:paraId="179ADB91"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tcBorders>
              <w:top w:val="nil"/>
              <w:left w:val="nil"/>
              <w:bottom w:val="single" w:sz="4" w:space="0" w:color="auto"/>
              <w:right w:val="nil"/>
            </w:tcBorders>
            <w:shd w:val="clear" w:color="auto" w:fill="E7F3F4"/>
            <w:noWrap/>
            <w:vAlign w:val="bottom"/>
            <w:hideMark/>
          </w:tcPr>
          <w:p w14:paraId="2AE5FFDA"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reef subtidal</w:t>
            </w:r>
          </w:p>
        </w:tc>
        <w:tc>
          <w:tcPr>
            <w:tcW w:w="923" w:type="dxa"/>
            <w:tcBorders>
              <w:top w:val="nil"/>
              <w:left w:val="nil"/>
              <w:bottom w:val="single" w:sz="4" w:space="0" w:color="auto"/>
              <w:right w:val="nil"/>
            </w:tcBorders>
            <w:shd w:val="clear" w:color="auto" w:fill="E7F3F4"/>
            <w:noWrap/>
            <w:vAlign w:val="center"/>
            <w:hideMark/>
          </w:tcPr>
          <w:p w14:paraId="54950E2F"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18</w:t>
            </w:r>
          </w:p>
        </w:tc>
        <w:tc>
          <w:tcPr>
            <w:tcW w:w="924" w:type="dxa"/>
            <w:tcBorders>
              <w:top w:val="nil"/>
              <w:left w:val="nil"/>
              <w:bottom w:val="single" w:sz="4" w:space="0" w:color="auto"/>
              <w:right w:val="nil"/>
            </w:tcBorders>
            <w:shd w:val="clear" w:color="auto" w:fill="E7F3F4"/>
            <w:noWrap/>
            <w:vAlign w:val="center"/>
            <w:hideMark/>
          </w:tcPr>
          <w:p w14:paraId="754DFF8E"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22.5</w:t>
            </w:r>
          </w:p>
        </w:tc>
        <w:tc>
          <w:tcPr>
            <w:tcW w:w="923" w:type="dxa"/>
            <w:tcBorders>
              <w:top w:val="nil"/>
              <w:left w:val="nil"/>
              <w:bottom w:val="single" w:sz="4" w:space="0" w:color="auto"/>
              <w:right w:val="nil"/>
            </w:tcBorders>
            <w:shd w:val="clear" w:color="auto" w:fill="E7F3F4"/>
            <w:noWrap/>
            <w:vAlign w:val="center"/>
            <w:hideMark/>
          </w:tcPr>
          <w:p w14:paraId="4C51ECA9"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32.7</w:t>
            </w:r>
          </w:p>
        </w:tc>
        <w:tc>
          <w:tcPr>
            <w:tcW w:w="924" w:type="dxa"/>
            <w:tcBorders>
              <w:top w:val="nil"/>
              <w:left w:val="nil"/>
              <w:bottom w:val="single" w:sz="4" w:space="0" w:color="auto"/>
              <w:right w:val="nil"/>
            </w:tcBorders>
            <w:shd w:val="clear" w:color="auto" w:fill="E7F3F4"/>
            <w:noWrap/>
            <w:vAlign w:val="center"/>
            <w:hideMark/>
          </w:tcPr>
          <w:p w14:paraId="7DF0F5D1"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36.7</w:t>
            </w:r>
          </w:p>
        </w:tc>
      </w:tr>
      <w:tr w:rsidR="006F4537" w:rsidRPr="00CB093C" w14:paraId="0E0E06D9"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2226769E" w14:textId="39DA6734" w:rsidR="006F4537" w:rsidRPr="00CB093C" w:rsidRDefault="00637325" w:rsidP="006F4537">
            <w:pPr>
              <w:spacing w:before="0" w:after="0"/>
              <w:rPr>
                <w:rFonts w:ascii="Arial" w:hAnsi="Arial" w:cs="Arial"/>
                <w:color w:val="000000"/>
                <w:szCs w:val="22"/>
              </w:rPr>
            </w:pPr>
            <w:r>
              <w:rPr>
                <w:rFonts w:ascii="Arial" w:hAnsi="Arial" w:cs="Arial"/>
                <w:color w:val="000000"/>
                <w:szCs w:val="22"/>
              </w:rPr>
              <w:t>Mackay-Whitsunday</w:t>
            </w:r>
          </w:p>
        </w:tc>
        <w:tc>
          <w:tcPr>
            <w:tcW w:w="956" w:type="dxa"/>
            <w:tcBorders>
              <w:top w:val="single" w:sz="4" w:space="0" w:color="auto"/>
              <w:left w:val="nil"/>
              <w:bottom w:val="nil"/>
              <w:right w:val="nil"/>
            </w:tcBorders>
            <w:shd w:val="clear" w:color="auto" w:fill="F3F9FA"/>
            <w:noWrap/>
            <w:vAlign w:val="bottom"/>
            <w:hideMark/>
          </w:tcPr>
          <w:p w14:paraId="38A14BD6"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SI</w:t>
            </w:r>
          </w:p>
        </w:tc>
        <w:tc>
          <w:tcPr>
            <w:tcW w:w="2117" w:type="dxa"/>
            <w:tcBorders>
              <w:top w:val="single" w:sz="4" w:space="0" w:color="auto"/>
              <w:left w:val="nil"/>
              <w:bottom w:val="nil"/>
              <w:right w:val="nil"/>
            </w:tcBorders>
            <w:shd w:val="clear" w:color="auto" w:fill="F3F9FA"/>
            <w:noWrap/>
            <w:vAlign w:val="bottom"/>
            <w:hideMark/>
          </w:tcPr>
          <w:p w14:paraId="1EE732AD"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estuarine intertidal</w:t>
            </w:r>
          </w:p>
        </w:tc>
        <w:tc>
          <w:tcPr>
            <w:tcW w:w="923" w:type="dxa"/>
            <w:tcBorders>
              <w:top w:val="single" w:sz="4" w:space="0" w:color="auto"/>
              <w:left w:val="nil"/>
              <w:bottom w:val="nil"/>
              <w:right w:val="nil"/>
            </w:tcBorders>
            <w:shd w:val="clear" w:color="auto" w:fill="F3F9FA"/>
            <w:noWrap/>
            <w:vAlign w:val="center"/>
          </w:tcPr>
          <w:p w14:paraId="268FD9D6" w14:textId="77777777" w:rsidR="006F4537" w:rsidRPr="00CB093C" w:rsidRDefault="006F4537" w:rsidP="006F4537">
            <w:pPr>
              <w:spacing w:before="0" w:after="0"/>
              <w:jc w:val="center"/>
              <w:rPr>
                <w:rFonts w:ascii="Arial" w:hAnsi="Arial" w:cs="Arial"/>
                <w:color w:val="000000"/>
                <w:szCs w:val="22"/>
              </w:rPr>
            </w:pPr>
          </w:p>
        </w:tc>
        <w:tc>
          <w:tcPr>
            <w:tcW w:w="924" w:type="dxa"/>
            <w:tcBorders>
              <w:top w:val="single" w:sz="4" w:space="0" w:color="auto"/>
              <w:left w:val="nil"/>
              <w:bottom w:val="nil"/>
              <w:right w:val="nil"/>
            </w:tcBorders>
            <w:shd w:val="clear" w:color="auto" w:fill="F3F9FA"/>
            <w:noWrap/>
            <w:vAlign w:val="center"/>
            <w:hideMark/>
          </w:tcPr>
          <w:p w14:paraId="77A4A90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w:t>
            </w:r>
          </w:p>
        </w:tc>
        <w:tc>
          <w:tcPr>
            <w:tcW w:w="923" w:type="dxa"/>
            <w:tcBorders>
              <w:top w:val="single" w:sz="4" w:space="0" w:color="auto"/>
              <w:left w:val="nil"/>
              <w:bottom w:val="nil"/>
              <w:right w:val="nil"/>
            </w:tcBorders>
            <w:shd w:val="clear" w:color="auto" w:fill="F3F9FA"/>
            <w:noWrap/>
            <w:vAlign w:val="center"/>
            <w:hideMark/>
          </w:tcPr>
          <w:p w14:paraId="02F64E6A"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34.1</w:t>
            </w:r>
          </w:p>
        </w:tc>
        <w:tc>
          <w:tcPr>
            <w:tcW w:w="924" w:type="dxa"/>
            <w:tcBorders>
              <w:top w:val="single" w:sz="4" w:space="0" w:color="auto"/>
              <w:left w:val="nil"/>
              <w:bottom w:val="nil"/>
              <w:right w:val="nil"/>
            </w:tcBorders>
            <w:shd w:val="clear" w:color="auto" w:fill="F3F9FA"/>
            <w:noWrap/>
            <w:vAlign w:val="center"/>
            <w:hideMark/>
          </w:tcPr>
          <w:p w14:paraId="3E2AE13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54</w:t>
            </w:r>
          </w:p>
        </w:tc>
      </w:tr>
      <w:tr w:rsidR="006F4537" w:rsidRPr="00CB093C" w14:paraId="1A2E89A9" w14:textId="77777777" w:rsidTr="006F4537">
        <w:trPr>
          <w:trHeight w:val="170"/>
        </w:trPr>
        <w:tc>
          <w:tcPr>
            <w:tcW w:w="2071" w:type="dxa"/>
            <w:shd w:val="clear" w:color="auto" w:fill="E7F3F4"/>
            <w:noWrap/>
            <w:vAlign w:val="bottom"/>
          </w:tcPr>
          <w:p w14:paraId="4B29687B"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hideMark/>
          </w:tcPr>
          <w:p w14:paraId="0E9A12A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hideMark/>
          </w:tcPr>
          <w:p w14:paraId="47C932BB"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estuarine intertidal</w:t>
            </w:r>
          </w:p>
        </w:tc>
        <w:tc>
          <w:tcPr>
            <w:tcW w:w="923" w:type="dxa"/>
            <w:shd w:val="clear" w:color="auto" w:fill="E7F3F4"/>
            <w:noWrap/>
            <w:vAlign w:val="center"/>
            <w:hideMark/>
          </w:tcPr>
          <w:p w14:paraId="0CAC0907"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10.8*</w:t>
            </w:r>
          </w:p>
        </w:tc>
        <w:tc>
          <w:tcPr>
            <w:tcW w:w="924" w:type="dxa"/>
            <w:shd w:val="clear" w:color="auto" w:fill="E7F3F4"/>
            <w:noWrap/>
            <w:vAlign w:val="center"/>
            <w:hideMark/>
          </w:tcPr>
          <w:p w14:paraId="3EE303E5"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18*</w:t>
            </w:r>
          </w:p>
        </w:tc>
        <w:tc>
          <w:tcPr>
            <w:tcW w:w="923" w:type="dxa"/>
            <w:shd w:val="clear" w:color="auto" w:fill="E7F3F4"/>
            <w:noWrap/>
            <w:vAlign w:val="center"/>
            <w:hideMark/>
          </w:tcPr>
          <w:p w14:paraId="2619446E"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34.1*</w:t>
            </w:r>
          </w:p>
        </w:tc>
        <w:tc>
          <w:tcPr>
            <w:tcW w:w="924" w:type="dxa"/>
            <w:shd w:val="clear" w:color="auto" w:fill="E7F3F4"/>
            <w:noWrap/>
            <w:vAlign w:val="center"/>
            <w:hideMark/>
          </w:tcPr>
          <w:p w14:paraId="3262FA71"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54*</w:t>
            </w:r>
          </w:p>
        </w:tc>
      </w:tr>
      <w:tr w:rsidR="006F4537" w:rsidRPr="00CB093C" w14:paraId="49DAF82F" w14:textId="77777777" w:rsidTr="006F4537">
        <w:trPr>
          <w:trHeight w:val="170"/>
        </w:trPr>
        <w:tc>
          <w:tcPr>
            <w:tcW w:w="2071" w:type="dxa"/>
            <w:shd w:val="clear" w:color="auto" w:fill="F3F9FA"/>
            <w:noWrap/>
            <w:vAlign w:val="bottom"/>
          </w:tcPr>
          <w:p w14:paraId="0663CC40"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3D9F5B0A"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PI2^</w:t>
            </w:r>
          </w:p>
        </w:tc>
        <w:tc>
          <w:tcPr>
            <w:tcW w:w="2117" w:type="dxa"/>
            <w:shd w:val="clear" w:color="auto" w:fill="F3F9FA"/>
            <w:noWrap/>
            <w:vAlign w:val="bottom"/>
            <w:hideMark/>
          </w:tcPr>
          <w:p w14:paraId="2574536B"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hideMark/>
          </w:tcPr>
          <w:p w14:paraId="7AB0FFF7"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18.1</w:t>
            </w:r>
          </w:p>
        </w:tc>
        <w:tc>
          <w:tcPr>
            <w:tcW w:w="924" w:type="dxa"/>
            <w:shd w:val="clear" w:color="auto" w:fill="F3F9FA"/>
            <w:noWrap/>
            <w:vAlign w:val="center"/>
            <w:hideMark/>
          </w:tcPr>
          <w:p w14:paraId="7358AD99"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18.7</w:t>
            </w:r>
          </w:p>
        </w:tc>
        <w:tc>
          <w:tcPr>
            <w:tcW w:w="923" w:type="dxa"/>
            <w:shd w:val="clear" w:color="auto" w:fill="F3F9FA"/>
            <w:noWrap/>
            <w:vAlign w:val="center"/>
            <w:hideMark/>
          </w:tcPr>
          <w:p w14:paraId="2C08C4F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25.1</w:t>
            </w:r>
          </w:p>
        </w:tc>
        <w:tc>
          <w:tcPr>
            <w:tcW w:w="924" w:type="dxa"/>
            <w:shd w:val="clear" w:color="auto" w:fill="F3F9FA"/>
            <w:noWrap/>
            <w:vAlign w:val="center"/>
            <w:hideMark/>
          </w:tcPr>
          <w:p w14:paraId="6779E1DE"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27.6</w:t>
            </w:r>
          </w:p>
        </w:tc>
      </w:tr>
      <w:tr w:rsidR="006F4537" w:rsidRPr="00CB093C" w14:paraId="6E5112AE" w14:textId="77777777" w:rsidTr="006F4537">
        <w:trPr>
          <w:trHeight w:val="170"/>
        </w:trPr>
        <w:tc>
          <w:tcPr>
            <w:tcW w:w="2071" w:type="dxa"/>
            <w:shd w:val="clear" w:color="auto" w:fill="F3F9FA"/>
            <w:noWrap/>
            <w:vAlign w:val="bottom"/>
          </w:tcPr>
          <w:p w14:paraId="70700A8C"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15519725"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PI3^</w:t>
            </w:r>
          </w:p>
        </w:tc>
        <w:tc>
          <w:tcPr>
            <w:tcW w:w="2117" w:type="dxa"/>
            <w:shd w:val="clear" w:color="auto" w:fill="F3F9FA"/>
            <w:noWrap/>
            <w:vAlign w:val="bottom"/>
            <w:hideMark/>
          </w:tcPr>
          <w:p w14:paraId="76202AB3"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hideMark/>
          </w:tcPr>
          <w:p w14:paraId="4B130113"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6.1</w:t>
            </w:r>
          </w:p>
        </w:tc>
        <w:tc>
          <w:tcPr>
            <w:tcW w:w="924" w:type="dxa"/>
            <w:shd w:val="clear" w:color="auto" w:fill="F3F9FA"/>
            <w:noWrap/>
            <w:vAlign w:val="center"/>
            <w:hideMark/>
          </w:tcPr>
          <w:p w14:paraId="331D0CE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7.6</w:t>
            </w:r>
          </w:p>
        </w:tc>
        <w:tc>
          <w:tcPr>
            <w:tcW w:w="923" w:type="dxa"/>
            <w:shd w:val="clear" w:color="auto" w:fill="F3F9FA"/>
            <w:noWrap/>
            <w:vAlign w:val="center"/>
            <w:hideMark/>
          </w:tcPr>
          <w:p w14:paraId="7C84829B"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13.1</w:t>
            </w:r>
          </w:p>
        </w:tc>
        <w:tc>
          <w:tcPr>
            <w:tcW w:w="924" w:type="dxa"/>
            <w:shd w:val="clear" w:color="auto" w:fill="F3F9FA"/>
            <w:noWrap/>
            <w:vAlign w:val="center"/>
            <w:hideMark/>
          </w:tcPr>
          <w:p w14:paraId="0293773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16.8</w:t>
            </w:r>
          </w:p>
        </w:tc>
      </w:tr>
      <w:tr w:rsidR="006F4537" w:rsidRPr="00CB093C" w14:paraId="51B2CF1D" w14:textId="77777777" w:rsidTr="006F4537">
        <w:trPr>
          <w:trHeight w:val="170"/>
        </w:trPr>
        <w:tc>
          <w:tcPr>
            <w:tcW w:w="2071" w:type="dxa"/>
            <w:shd w:val="clear" w:color="auto" w:fill="F3F9FA"/>
            <w:noWrap/>
            <w:vAlign w:val="bottom"/>
          </w:tcPr>
          <w:p w14:paraId="374682AB"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270FA247"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MP2</w:t>
            </w:r>
          </w:p>
        </w:tc>
        <w:tc>
          <w:tcPr>
            <w:tcW w:w="2117" w:type="dxa"/>
            <w:shd w:val="clear" w:color="auto" w:fill="F3F9FA"/>
            <w:noWrap/>
            <w:vAlign w:val="bottom"/>
            <w:hideMark/>
          </w:tcPr>
          <w:p w14:paraId="1DD1549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tcPr>
          <w:p w14:paraId="02A5D8D4" w14:textId="77777777" w:rsidR="006F4537" w:rsidRPr="00CB093C" w:rsidRDefault="006F4537" w:rsidP="006F4537">
            <w:pPr>
              <w:spacing w:before="0" w:after="0"/>
              <w:jc w:val="center"/>
              <w:rPr>
                <w:rFonts w:ascii="Arial" w:hAnsi="Arial" w:cs="Arial"/>
                <w:color w:val="808080"/>
                <w:szCs w:val="22"/>
              </w:rPr>
            </w:pPr>
          </w:p>
        </w:tc>
        <w:tc>
          <w:tcPr>
            <w:tcW w:w="924" w:type="dxa"/>
            <w:shd w:val="clear" w:color="auto" w:fill="F3F9FA"/>
            <w:noWrap/>
            <w:vAlign w:val="bottom"/>
            <w:hideMark/>
          </w:tcPr>
          <w:p w14:paraId="2F7BFF8E"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18.9</w:t>
            </w:r>
          </w:p>
        </w:tc>
        <w:tc>
          <w:tcPr>
            <w:tcW w:w="923" w:type="dxa"/>
            <w:shd w:val="clear" w:color="auto" w:fill="F3F9FA"/>
            <w:noWrap/>
            <w:vAlign w:val="bottom"/>
            <w:hideMark/>
          </w:tcPr>
          <w:p w14:paraId="4307A974"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22.8</w:t>
            </w:r>
          </w:p>
        </w:tc>
        <w:tc>
          <w:tcPr>
            <w:tcW w:w="924" w:type="dxa"/>
            <w:shd w:val="clear" w:color="auto" w:fill="F3F9FA"/>
            <w:noWrap/>
            <w:vAlign w:val="bottom"/>
            <w:hideMark/>
          </w:tcPr>
          <w:p w14:paraId="17FCA0D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25.4</w:t>
            </w:r>
          </w:p>
        </w:tc>
      </w:tr>
      <w:tr w:rsidR="006F4537" w:rsidRPr="00CB093C" w14:paraId="265F5E49" w14:textId="77777777" w:rsidTr="006F4537">
        <w:trPr>
          <w:trHeight w:val="170"/>
        </w:trPr>
        <w:tc>
          <w:tcPr>
            <w:tcW w:w="2071" w:type="dxa"/>
            <w:shd w:val="clear" w:color="auto" w:fill="F3F9FA"/>
            <w:noWrap/>
            <w:vAlign w:val="bottom"/>
          </w:tcPr>
          <w:p w14:paraId="53C06D2A"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1828D81A"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MP3</w:t>
            </w:r>
          </w:p>
        </w:tc>
        <w:tc>
          <w:tcPr>
            <w:tcW w:w="2117" w:type="dxa"/>
            <w:shd w:val="clear" w:color="auto" w:fill="F3F9FA"/>
            <w:noWrap/>
            <w:vAlign w:val="bottom"/>
            <w:hideMark/>
          </w:tcPr>
          <w:p w14:paraId="71F709E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tcPr>
          <w:p w14:paraId="2D42CB90" w14:textId="77777777" w:rsidR="006F4537" w:rsidRPr="00CB093C" w:rsidRDefault="006F4537" w:rsidP="006F4537">
            <w:pPr>
              <w:spacing w:before="0" w:after="0"/>
              <w:jc w:val="center"/>
              <w:rPr>
                <w:rFonts w:ascii="Arial" w:hAnsi="Arial" w:cs="Arial"/>
                <w:color w:val="808080"/>
                <w:szCs w:val="22"/>
              </w:rPr>
            </w:pPr>
          </w:p>
        </w:tc>
        <w:tc>
          <w:tcPr>
            <w:tcW w:w="924" w:type="dxa"/>
            <w:shd w:val="clear" w:color="auto" w:fill="F3F9FA"/>
            <w:noWrap/>
            <w:vAlign w:val="bottom"/>
            <w:hideMark/>
          </w:tcPr>
          <w:p w14:paraId="7688307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17.9</w:t>
            </w:r>
          </w:p>
        </w:tc>
        <w:tc>
          <w:tcPr>
            <w:tcW w:w="923" w:type="dxa"/>
            <w:shd w:val="clear" w:color="auto" w:fill="F3F9FA"/>
            <w:noWrap/>
            <w:vAlign w:val="bottom"/>
            <w:hideMark/>
          </w:tcPr>
          <w:p w14:paraId="61B77D2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20</w:t>
            </w:r>
          </w:p>
        </w:tc>
        <w:tc>
          <w:tcPr>
            <w:tcW w:w="924" w:type="dxa"/>
            <w:shd w:val="clear" w:color="auto" w:fill="F3F9FA"/>
            <w:noWrap/>
            <w:vAlign w:val="bottom"/>
            <w:hideMark/>
          </w:tcPr>
          <w:p w14:paraId="5748FEAF"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22.3</w:t>
            </w:r>
          </w:p>
        </w:tc>
      </w:tr>
      <w:tr w:rsidR="006F4537" w:rsidRPr="00CB093C" w14:paraId="1EE3C8F3" w14:textId="77777777" w:rsidTr="006F4537">
        <w:trPr>
          <w:trHeight w:val="170"/>
        </w:trPr>
        <w:tc>
          <w:tcPr>
            <w:tcW w:w="2071" w:type="dxa"/>
            <w:shd w:val="clear" w:color="auto" w:fill="E7F3F4"/>
            <w:noWrap/>
            <w:vAlign w:val="bottom"/>
          </w:tcPr>
          <w:p w14:paraId="33B0E0C6"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hideMark/>
          </w:tcPr>
          <w:p w14:paraId="23ABE5FF"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hideMark/>
          </w:tcPr>
          <w:p w14:paraId="14A327DA"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coastal intertidal</w:t>
            </w:r>
          </w:p>
        </w:tc>
        <w:tc>
          <w:tcPr>
            <w:tcW w:w="923" w:type="dxa"/>
            <w:shd w:val="clear" w:color="auto" w:fill="E7F3F4"/>
            <w:noWrap/>
            <w:vAlign w:val="center"/>
            <w:hideMark/>
          </w:tcPr>
          <w:p w14:paraId="523CA339"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12.1</w:t>
            </w:r>
          </w:p>
        </w:tc>
        <w:tc>
          <w:tcPr>
            <w:tcW w:w="924" w:type="dxa"/>
            <w:shd w:val="clear" w:color="auto" w:fill="E7F3F4"/>
            <w:noWrap/>
            <w:vAlign w:val="center"/>
            <w:hideMark/>
          </w:tcPr>
          <w:p w14:paraId="7B4E910E"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13.2</w:t>
            </w:r>
          </w:p>
        </w:tc>
        <w:tc>
          <w:tcPr>
            <w:tcW w:w="923" w:type="dxa"/>
            <w:shd w:val="clear" w:color="auto" w:fill="E7F3F4"/>
            <w:noWrap/>
            <w:vAlign w:val="center"/>
            <w:hideMark/>
          </w:tcPr>
          <w:p w14:paraId="101FADA4"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19.1</w:t>
            </w:r>
          </w:p>
        </w:tc>
        <w:tc>
          <w:tcPr>
            <w:tcW w:w="924" w:type="dxa"/>
            <w:shd w:val="clear" w:color="auto" w:fill="E7F3F4"/>
            <w:noWrap/>
            <w:vAlign w:val="center"/>
            <w:hideMark/>
          </w:tcPr>
          <w:p w14:paraId="2A55211B"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22.2</w:t>
            </w:r>
          </w:p>
        </w:tc>
      </w:tr>
      <w:tr w:rsidR="006F4537" w:rsidRPr="00CB093C" w14:paraId="6A77688A" w14:textId="77777777" w:rsidTr="006F4537">
        <w:trPr>
          <w:trHeight w:val="170"/>
        </w:trPr>
        <w:tc>
          <w:tcPr>
            <w:tcW w:w="2071" w:type="dxa"/>
            <w:shd w:val="clear" w:color="auto" w:fill="F3F9FA"/>
            <w:noWrap/>
            <w:vAlign w:val="bottom"/>
          </w:tcPr>
          <w:p w14:paraId="23A0D856"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tcPr>
          <w:p w14:paraId="6C982EB6"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NB</w:t>
            </w:r>
          </w:p>
        </w:tc>
        <w:tc>
          <w:tcPr>
            <w:tcW w:w="2117" w:type="dxa"/>
            <w:shd w:val="clear" w:color="auto" w:fill="F3F9FA"/>
            <w:noWrap/>
            <w:vAlign w:val="bottom"/>
          </w:tcPr>
          <w:p w14:paraId="2544E34C" w14:textId="77777777" w:rsidR="006F4537" w:rsidRPr="00CB093C" w:rsidRDefault="006F4537" w:rsidP="006F4537">
            <w:pPr>
              <w:spacing w:before="0" w:after="0"/>
              <w:rPr>
                <w:rFonts w:ascii="Arial" w:hAnsi="Arial" w:cs="Arial"/>
                <w:bCs/>
                <w:iCs/>
                <w:color w:val="000000"/>
                <w:szCs w:val="22"/>
              </w:rPr>
            </w:pPr>
            <w:r w:rsidRPr="00CB093C">
              <w:rPr>
                <w:rFonts w:ascii="Arial" w:hAnsi="Arial" w:cs="Arial"/>
                <w:bCs/>
                <w:iCs/>
                <w:color w:val="000000"/>
                <w:szCs w:val="22"/>
              </w:rPr>
              <w:t>coastal subtidal</w:t>
            </w:r>
          </w:p>
        </w:tc>
        <w:tc>
          <w:tcPr>
            <w:tcW w:w="923" w:type="dxa"/>
            <w:shd w:val="clear" w:color="auto" w:fill="F3F9FA"/>
            <w:noWrap/>
            <w:vAlign w:val="center"/>
          </w:tcPr>
          <w:p w14:paraId="5ED092BB" w14:textId="77777777" w:rsidR="006F4537" w:rsidRPr="00CB093C" w:rsidRDefault="006F4537" w:rsidP="006F4537">
            <w:pPr>
              <w:spacing w:before="0" w:after="0"/>
              <w:jc w:val="center"/>
              <w:rPr>
                <w:rFonts w:ascii="Arial" w:hAnsi="Arial" w:cs="Arial"/>
                <w:color w:val="000000"/>
                <w:szCs w:val="22"/>
              </w:rPr>
            </w:pPr>
          </w:p>
        </w:tc>
        <w:tc>
          <w:tcPr>
            <w:tcW w:w="924" w:type="dxa"/>
            <w:shd w:val="clear" w:color="auto" w:fill="F3F9FA"/>
            <w:noWrap/>
            <w:vAlign w:val="center"/>
          </w:tcPr>
          <w:p w14:paraId="0299EBA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13.2</w:t>
            </w:r>
          </w:p>
        </w:tc>
        <w:tc>
          <w:tcPr>
            <w:tcW w:w="923" w:type="dxa"/>
            <w:shd w:val="clear" w:color="auto" w:fill="F3F9FA"/>
            <w:noWrap/>
            <w:vAlign w:val="center"/>
          </w:tcPr>
          <w:p w14:paraId="65F1FF5E"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19.1</w:t>
            </w:r>
          </w:p>
        </w:tc>
        <w:tc>
          <w:tcPr>
            <w:tcW w:w="924" w:type="dxa"/>
            <w:shd w:val="clear" w:color="auto" w:fill="F3F9FA"/>
            <w:noWrap/>
            <w:vAlign w:val="center"/>
          </w:tcPr>
          <w:p w14:paraId="0FDE9E9B"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22.2</w:t>
            </w:r>
          </w:p>
        </w:tc>
      </w:tr>
      <w:tr w:rsidR="006F4537" w:rsidRPr="00CB093C" w14:paraId="590FFA1D" w14:textId="77777777" w:rsidTr="006F4537">
        <w:trPr>
          <w:trHeight w:val="170"/>
        </w:trPr>
        <w:tc>
          <w:tcPr>
            <w:tcW w:w="2071" w:type="dxa"/>
            <w:shd w:val="clear" w:color="auto" w:fill="E7F3F4"/>
            <w:noWrap/>
            <w:vAlign w:val="bottom"/>
          </w:tcPr>
          <w:p w14:paraId="01F253DF"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tcPr>
          <w:p w14:paraId="48884E67"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tcPr>
          <w:p w14:paraId="3034AEB2"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coastal subtidal</w:t>
            </w:r>
          </w:p>
        </w:tc>
        <w:tc>
          <w:tcPr>
            <w:tcW w:w="923" w:type="dxa"/>
            <w:shd w:val="clear" w:color="auto" w:fill="E7F3F4"/>
            <w:noWrap/>
            <w:vAlign w:val="center"/>
          </w:tcPr>
          <w:p w14:paraId="701EB502"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12.1</w:t>
            </w:r>
          </w:p>
        </w:tc>
        <w:tc>
          <w:tcPr>
            <w:tcW w:w="924" w:type="dxa"/>
            <w:shd w:val="clear" w:color="auto" w:fill="E7F3F4"/>
            <w:noWrap/>
            <w:vAlign w:val="center"/>
          </w:tcPr>
          <w:p w14:paraId="6512FF77"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13.2</w:t>
            </w:r>
          </w:p>
        </w:tc>
        <w:tc>
          <w:tcPr>
            <w:tcW w:w="923" w:type="dxa"/>
            <w:shd w:val="clear" w:color="auto" w:fill="E7F3F4"/>
            <w:noWrap/>
            <w:vAlign w:val="center"/>
          </w:tcPr>
          <w:p w14:paraId="24DF6E18"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19.1</w:t>
            </w:r>
          </w:p>
        </w:tc>
        <w:tc>
          <w:tcPr>
            <w:tcW w:w="924" w:type="dxa"/>
            <w:shd w:val="clear" w:color="auto" w:fill="E7F3F4"/>
            <w:noWrap/>
            <w:vAlign w:val="center"/>
          </w:tcPr>
          <w:p w14:paraId="2A8F5DD8"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22.2</w:t>
            </w:r>
          </w:p>
        </w:tc>
      </w:tr>
      <w:tr w:rsidR="006F4537" w:rsidRPr="00CB093C" w14:paraId="54D71284" w14:textId="77777777" w:rsidTr="006F4537">
        <w:trPr>
          <w:trHeight w:val="170"/>
        </w:trPr>
        <w:tc>
          <w:tcPr>
            <w:tcW w:w="2071" w:type="dxa"/>
            <w:shd w:val="clear" w:color="auto" w:fill="F3F9FA"/>
            <w:noWrap/>
            <w:vAlign w:val="bottom"/>
          </w:tcPr>
          <w:p w14:paraId="54FB11C9"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3EE63166"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HB1^</w:t>
            </w:r>
          </w:p>
        </w:tc>
        <w:tc>
          <w:tcPr>
            <w:tcW w:w="2117" w:type="dxa"/>
            <w:shd w:val="clear" w:color="auto" w:fill="F3F9FA"/>
            <w:noWrap/>
            <w:vAlign w:val="bottom"/>
            <w:hideMark/>
          </w:tcPr>
          <w:p w14:paraId="2001E6AE"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tcPr>
          <w:p w14:paraId="03FB65C6" w14:textId="77777777" w:rsidR="006F4537" w:rsidRPr="00CB093C" w:rsidRDefault="006F4537" w:rsidP="006F4537">
            <w:pPr>
              <w:spacing w:before="0" w:after="0"/>
              <w:jc w:val="center"/>
              <w:rPr>
                <w:rFonts w:ascii="Arial" w:hAnsi="Arial" w:cs="Arial"/>
                <w:color w:val="000000"/>
                <w:szCs w:val="22"/>
              </w:rPr>
            </w:pPr>
          </w:p>
        </w:tc>
        <w:tc>
          <w:tcPr>
            <w:tcW w:w="924" w:type="dxa"/>
            <w:shd w:val="clear" w:color="auto" w:fill="F3F9FA"/>
            <w:noWrap/>
            <w:vAlign w:val="bottom"/>
            <w:hideMark/>
          </w:tcPr>
          <w:p w14:paraId="5E7C181F"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szCs w:val="22"/>
              </w:rPr>
              <w:t>10.53</w:t>
            </w:r>
          </w:p>
        </w:tc>
        <w:tc>
          <w:tcPr>
            <w:tcW w:w="923" w:type="dxa"/>
            <w:shd w:val="clear" w:color="auto" w:fill="F3F9FA"/>
            <w:noWrap/>
            <w:vAlign w:val="bottom"/>
            <w:hideMark/>
          </w:tcPr>
          <w:p w14:paraId="59B64A2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szCs w:val="22"/>
              </w:rPr>
              <w:t>12.9</w:t>
            </w:r>
          </w:p>
        </w:tc>
        <w:tc>
          <w:tcPr>
            <w:tcW w:w="924" w:type="dxa"/>
            <w:shd w:val="clear" w:color="auto" w:fill="F3F9FA"/>
            <w:noWrap/>
            <w:vAlign w:val="bottom"/>
            <w:hideMark/>
          </w:tcPr>
          <w:p w14:paraId="4146D14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szCs w:val="22"/>
              </w:rPr>
              <w:t>14.2</w:t>
            </w:r>
          </w:p>
        </w:tc>
      </w:tr>
      <w:tr w:rsidR="006F4537" w:rsidRPr="00CB093C" w14:paraId="510FE20F" w14:textId="77777777" w:rsidTr="006F4537">
        <w:trPr>
          <w:trHeight w:val="170"/>
        </w:trPr>
        <w:tc>
          <w:tcPr>
            <w:tcW w:w="2071" w:type="dxa"/>
            <w:shd w:val="clear" w:color="auto" w:fill="F3F9FA"/>
            <w:noWrap/>
            <w:vAlign w:val="bottom"/>
          </w:tcPr>
          <w:p w14:paraId="59EE329C"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221870A7"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HB2^</w:t>
            </w:r>
          </w:p>
        </w:tc>
        <w:tc>
          <w:tcPr>
            <w:tcW w:w="2117" w:type="dxa"/>
            <w:shd w:val="clear" w:color="auto" w:fill="F3F9FA"/>
            <w:noWrap/>
            <w:vAlign w:val="bottom"/>
            <w:hideMark/>
          </w:tcPr>
          <w:p w14:paraId="1EA6725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tcPr>
          <w:p w14:paraId="727C3104" w14:textId="77777777" w:rsidR="006F4537" w:rsidRPr="00CB093C" w:rsidRDefault="006F4537" w:rsidP="006F4537">
            <w:pPr>
              <w:spacing w:before="0" w:after="0"/>
              <w:jc w:val="center"/>
              <w:rPr>
                <w:rFonts w:ascii="Arial" w:hAnsi="Arial" w:cs="Arial"/>
                <w:color w:val="000000"/>
                <w:szCs w:val="22"/>
              </w:rPr>
            </w:pPr>
          </w:p>
        </w:tc>
        <w:tc>
          <w:tcPr>
            <w:tcW w:w="924" w:type="dxa"/>
            <w:shd w:val="clear" w:color="auto" w:fill="F3F9FA"/>
            <w:noWrap/>
            <w:vAlign w:val="bottom"/>
            <w:hideMark/>
          </w:tcPr>
          <w:p w14:paraId="21714B0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szCs w:val="22"/>
              </w:rPr>
              <w:t>7.95</w:t>
            </w:r>
          </w:p>
        </w:tc>
        <w:tc>
          <w:tcPr>
            <w:tcW w:w="923" w:type="dxa"/>
            <w:shd w:val="clear" w:color="auto" w:fill="F3F9FA"/>
            <w:noWrap/>
            <w:vAlign w:val="bottom"/>
            <w:hideMark/>
          </w:tcPr>
          <w:p w14:paraId="12575C6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szCs w:val="22"/>
              </w:rPr>
              <w:t>11.59</w:t>
            </w:r>
          </w:p>
        </w:tc>
        <w:tc>
          <w:tcPr>
            <w:tcW w:w="924" w:type="dxa"/>
            <w:shd w:val="clear" w:color="auto" w:fill="F3F9FA"/>
            <w:noWrap/>
            <w:vAlign w:val="bottom"/>
            <w:hideMark/>
          </w:tcPr>
          <w:p w14:paraId="3C818D20"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szCs w:val="22"/>
              </w:rPr>
              <w:t>13.4</w:t>
            </w:r>
          </w:p>
        </w:tc>
      </w:tr>
      <w:tr w:rsidR="006F4537" w:rsidRPr="00CB093C" w14:paraId="1E842B90" w14:textId="77777777" w:rsidTr="006F4537">
        <w:trPr>
          <w:trHeight w:val="170"/>
        </w:trPr>
        <w:tc>
          <w:tcPr>
            <w:tcW w:w="2071" w:type="dxa"/>
            <w:shd w:val="clear" w:color="auto" w:fill="F3F9FA"/>
            <w:noWrap/>
            <w:vAlign w:val="bottom"/>
          </w:tcPr>
          <w:p w14:paraId="696046B1"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2D84EE10"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HM</w:t>
            </w:r>
          </w:p>
        </w:tc>
        <w:tc>
          <w:tcPr>
            <w:tcW w:w="2117" w:type="dxa"/>
            <w:shd w:val="clear" w:color="auto" w:fill="F3F9FA"/>
            <w:noWrap/>
            <w:vAlign w:val="bottom"/>
            <w:hideMark/>
          </w:tcPr>
          <w:p w14:paraId="5FAD95A8"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hideMark/>
          </w:tcPr>
          <w:p w14:paraId="21533090" w14:textId="77777777" w:rsidR="006F4537" w:rsidRPr="00CB093C" w:rsidRDefault="006F4537" w:rsidP="006F4537">
            <w:pPr>
              <w:spacing w:before="0" w:after="0"/>
              <w:jc w:val="center"/>
              <w:rPr>
                <w:rFonts w:ascii="Arial" w:hAnsi="Arial" w:cs="Arial"/>
                <w:color w:val="000000"/>
                <w:szCs w:val="22"/>
              </w:rPr>
            </w:pPr>
          </w:p>
        </w:tc>
        <w:tc>
          <w:tcPr>
            <w:tcW w:w="924" w:type="dxa"/>
            <w:shd w:val="clear" w:color="auto" w:fill="F3F9FA"/>
            <w:noWrap/>
            <w:vAlign w:val="center"/>
            <w:hideMark/>
          </w:tcPr>
          <w:p w14:paraId="0F7AD8AF" w14:textId="77777777" w:rsidR="006F4537" w:rsidRPr="00CB093C" w:rsidRDefault="006F4537" w:rsidP="006F4537">
            <w:pPr>
              <w:spacing w:before="0" w:after="0"/>
              <w:jc w:val="center"/>
              <w:rPr>
                <w:rFonts w:ascii="Arial" w:hAnsi="Arial" w:cs="Arial"/>
                <w:szCs w:val="22"/>
              </w:rPr>
            </w:pPr>
            <w:r w:rsidRPr="00CB093C">
              <w:rPr>
                <w:rFonts w:ascii="Arial" w:hAnsi="Arial" w:cs="Arial"/>
                <w:szCs w:val="22"/>
              </w:rPr>
              <w:t>9.2</w:t>
            </w:r>
          </w:p>
        </w:tc>
        <w:tc>
          <w:tcPr>
            <w:tcW w:w="923" w:type="dxa"/>
            <w:shd w:val="clear" w:color="auto" w:fill="F3F9FA"/>
            <w:noWrap/>
            <w:vAlign w:val="center"/>
            <w:hideMark/>
          </w:tcPr>
          <w:p w14:paraId="76D77947" w14:textId="77777777" w:rsidR="006F4537" w:rsidRPr="00CB093C" w:rsidRDefault="006F4537" w:rsidP="006F4537">
            <w:pPr>
              <w:spacing w:before="0" w:after="0"/>
              <w:jc w:val="center"/>
              <w:rPr>
                <w:rFonts w:ascii="Arial" w:hAnsi="Arial" w:cs="Arial"/>
                <w:szCs w:val="22"/>
              </w:rPr>
            </w:pPr>
            <w:r w:rsidRPr="00CB093C">
              <w:rPr>
                <w:rFonts w:ascii="Arial" w:hAnsi="Arial" w:cs="Arial"/>
                <w:szCs w:val="22"/>
              </w:rPr>
              <w:t>12.2</w:t>
            </w:r>
          </w:p>
        </w:tc>
        <w:tc>
          <w:tcPr>
            <w:tcW w:w="924" w:type="dxa"/>
            <w:shd w:val="clear" w:color="auto" w:fill="F3F9FA"/>
            <w:noWrap/>
            <w:vAlign w:val="center"/>
            <w:hideMark/>
          </w:tcPr>
          <w:p w14:paraId="4354927A" w14:textId="77777777" w:rsidR="006F4537" w:rsidRPr="00CB093C" w:rsidRDefault="006F4537" w:rsidP="006F4537">
            <w:pPr>
              <w:spacing w:before="0" w:after="0"/>
              <w:jc w:val="center"/>
              <w:rPr>
                <w:rFonts w:ascii="Arial" w:hAnsi="Arial" w:cs="Arial"/>
                <w:szCs w:val="22"/>
              </w:rPr>
            </w:pPr>
            <w:r w:rsidRPr="00CB093C">
              <w:rPr>
                <w:rFonts w:ascii="Arial" w:hAnsi="Arial" w:cs="Arial"/>
                <w:szCs w:val="22"/>
              </w:rPr>
              <w:t>13.8</w:t>
            </w:r>
          </w:p>
        </w:tc>
      </w:tr>
      <w:tr w:rsidR="006F4537" w:rsidRPr="00CB093C" w14:paraId="32C6F3D4" w14:textId="77777777" w:rsidTr="006F4537">
        <w:trPr>
          <w:trHeight w:val="170"/>
        </w:trPr>
        <w:tc>
          <w:tcPr>
            <w:tcW w:w="2071" w:type="dxa"/>
            <w:tcBorders>
              <w:top w:val="nil"/>
              <w:left w:val="nil"/>
              <w:right w:val="nil"/>
            </w:tcBorders>
            <w:shd w:val="clear" w:color="auto" w:fill="E7F3F4"/>
            <w:noWrap/>
            <w:vAlign w:val="bottom"/>
            <w:hideMark/>
          </w:tcPr>
          <w:p w14:paraId="4F87F39A"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 </w:t>
            </w:r>
          </w:p>
        </w:tc>
        <w:tc>
          <w:tcPr>
            <w:tcW w:w="956" w:type="dxa"/>
            <w:tcBorders>
              <w:top w:val="nil"/>
              <w:left w:val="nil"/>
              <w:right w:val="nil"/>
            </w:tcBorders>
            <w:shd w:val="clear" w:color="auto" w:fill="E7F3F4"/>
            <w:noWrap/>
            <w:vAlign w:val="bottom"/>
            <w:hideMark/>
          </w:tcPr>
          <w:p w14:paraId="2D992EF1"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tcBorders>
              <w:top w:val="nil"/>
              <w:left w:val="nil"/>
              <w:right w:val="nil"/>
            </w:tcBorders>
            <w:shd w:val="clear" w:color="auto" w:fill="E7F3F4"/>
            <w:noWrap/>
            <w:vAlign w:val="bottom"/>
            <w:hideMark/>
          </w:tcPr>
          <w:p w14:paraId="68AA9EC7"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reef intertidal</w:t>
            </w:r>
          </w:p>
        </w:tc>
        <w:tc>
          <w:tcPr>
            <w:tcW w:w="923" w:type="dxa"/>
            <w:tcBorders>
              <w:top w:val="nil"/>
              <w:left w:val="nil"/>
              <w:right w:val="nil"/>
            </w:tcBorders>
            <w:shd w:val="clear" w:color="auto" w:fill="E7F3F4"/>
            <w:noWrap/>
            <w:vAlign w:val="center"/>
            <w:hideMark/>
          </w:tcPr>
          <w:p w14:paraId="749A2037" w14:textId="77777777" w:rsidR="006F4537" w:rsidRPr="00CB093C" w:rsidRDefault="006F4537" w:rsidP="006F4537">
            <w:pPr>
              <w:spacing w:before="0" w:after="0"/>
              <w:jc w:val="center"/>
              <w:rPr>
                <w:rFonts w:ascii="Arial" w:hAnsi="Arial" w:cs="Arial"/>
                <w:b/>
                <w:bCs/>
                <w:i/>
                <w:iCs/>
                <w:color w:val="000000"/>
                <w:szCs w:val="22"/>
              </w:rPr>
            </w:pPr>
          </w:p>
        </w:tc>
        <w:tc>
          <w:tcPr>
            <w:tcW w:w="924" w:type="dxa"/>
            <w:tcBorders>
              <w:top w:val="nil"/>
              <w:left w:val="nil"/>
              <w:right w:val="nil"/>
            </w:tcBorders>
            <w:shd w:val="clear" w:color="auto" w:fill="E7F3F4"/>
            <w:noWrap/>
            <w:vAlign w:val="center"/>
            <w:hideMark/>
          </w:tcPr>
          <w:p w14:paraId="57D2DBB6"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9.2</w:t>
            </w:r>
          </w:p>
        </w:tc>
        <w:tc>
          <w:tcPr>
            <w:tcW w:w="923" w:type="dxa"/>
            <w:tcBorders>
              <w:top w:val="nil"/>
              <w:left w:val="nil"/>
              <w:right w:val="nil"/>
            </w:tcBorders>
            <w:shd w:val="clear" w:color="auto" w:fill="E7F3F4"/>
            <w:noWrap/>
            <w:vAlign w:val="center"/>
            <w:hideMark/>
          </w:tcPr>
          <w:p w14:paraId="4F43A703"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12.2</w:t>
            </w:r>
          </w:p>
        </w:tc>
        <w:tc>
          <w:tcPr>
            <w:tcW w:w="924" w:type="dxa"/>
            <w:tcBorders>
              <w:top w:val="nil"/>
              <w:left w:val="nil"/>
              <w:right w:val="nil"/>
            </w:tcBorders>
            <w:shd w:val="clear" w:color="auto" w:fill="E7F3F4"/>
            <w:noWrap/>
            <w:vAlign w:val="center"/>
            <w:hideMark/>
          </w:tcPr>
          <w:p w14:paraId="716B0C62"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13.8</w:t>
            </w:r>
          </w:p>
        </w:tc>
      </w:tr>
      <w:tr w:rsidR="006F4537" w:rsidRPr="00CB093C" w14:paraId="32BD6E99" w14:textId="77777777" w:rsidTr="006F4537">
        <w:trPr>
          <w:trHeight w:val="170"/>
        </w:trPr>
        <w:tc>
          <w:tcPr>
            <w:tcW w:w="2071" w:type="dxa"/>
            <w:tcBorders>
              <w:top w:val="nil"/>
              <w:left w:val="nil"/>
              <w:right w:val="nil"/>
            </w:tcBorders>
            <w:shd w:val="clear" w:color="auto" w:fill="F3F9FA"/>
            <w:noWrap/>
            <w:vAlign w:val="bottom"/>
          </w:tcPr>
          <w:p w14:paraId="1584D8F8" w14:textId="77777777" w:rsidR="006F4537" w:rsidRPr="00CB093C" w:rsidRDefault="006F4537" w:rsidP="006F4537">
            <w:pPr>
              <w:spacing w:before="0" w:after="0"/>
              <w:rPr>
                <w:rFonts w:ascii="Arial" w:hAnsi="Arial" w:cs="Arial"/>
                <w:color w:val="000000"/>
                <w:szCs w:val="22"/>
              </w:rPr>
            </w:pPr>
          </w:p>
        </w:tc>
        <w:tc>
          <w:tcPr>
            <w:tcW w:w="956" w:type="dxa"/>
            <w:tcBorders>
              <w:top w:val="nil"/>
              <w:left w:val="nil"/>
              <w:right w:val="nil"/>
            </w:tcBorders>
            <w:shd w:val="clear" w:color="auto" w:fill="F3F9FA"/>
            <w:noWrap/>
            <w:vAlign w:val="bottom"/>
          </w:tcPr>
          <w:p w14:paraId="24846A7A"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TO</w:t>
            </w:r>
          </w:p>
        </w:tc>
        <w:tc>
          <w:tcPr>
            <w:tcW w:w="2117" w:type="dxa"/>
            <w:tcBorders>
              <w:top w:val="nil"/>
              <w:left w:val="nil"/>
              <w:right w:val="nil"/>
            </w:tcBorders>
            <w:shd w:val="clear" w:color="auto" w:fill="F3F9FA"/>
            <w:noWrap/>
            <w:vAlign w:val="bottom"/>
          </w:tcPr>
          <w:p w14:paraId="06F58FA2" w14:textId="77777777" w:rsidR="006F4537" w:rsidRPr="00CB093C" w:rsidRDefault="006F4537" w:rsidP="006F4537">
            <w:pPr>
              <w:spacing w:before="0" w:after="0"/>
              <w:rPr>
                <w:rFonts w:ascii="Arial" w:hAnsi="Arial" w:cs="Arial"/>
                <w:bCs/>
                <w:iCs/>
                <w:color w:val="000000"/>
                <w:szCs w:val="22"/>
              </w:rPr>
            </w:pPr>
            <w:r w:rsidRPr="00CB093C">
              <w:rPr>
                <w:rFonts w:ascii="Arial" w:hAnsi="Arial" w:cs="Arial"/>
                <w:bCs/>
                <w:iCs/>
                <w:color w:val="000000"/>
                <w:szCs w:val="22"/>
              </w:rPr>
              <w:t>reef subtidal</w:t>
            </w:r>
          </w:p>
        </w:tc>
        <w:tc>
          <w:tcPr>
            <w:tcW w:w="923" w:type="dxa"/>
            <w:tcBorders>
              <w:top w:val="nil"/>
              <w:left w:val="nil"/>
              <w:right w:val="nil"/>
            </w:tcBorders>
            <w:shd w:val="clear" w:color="auto" w:fill="F3F9FA"/>
            <w:noWrap/>
            <w:vAlign w:val="center"/>
          </w:tcPr>
          <w:p w14:paraId="1593EE01" w14:textId="77777777" w:rsidR="006F4537" w:rsidRPr="00CB093C" w:rsidRDefault="006F4537" w:rsidP="006F4537">
            <w:pPr>
              <w:spacing w:before="0" w:after="0"/>
              <w:jc w:val="center"/>
              <w:rPr>
                <w:rFonts w:ascii="Arial" w:hAnsi="Arial" w:cs="Arial"/>
                <w:bCs/>
                <w:iCs/>
                <w:color w:val="000000"/>
                <w:szCs w:val="22"/>
              </w:rPr>
            </w:pPr>
          </w:p>
        </w:tc>
        <w:tc>
          <w:tcPr>
            <w:tcW w:w="924" w:type="dxa"/>
            <w:tcBorders>
              <w:top w:val="nil"/>
              <w:left w:val="nil"/>
              <w:right w:val="nil"/>
            </w:tcBorders>
            <w:shd w:val="clear" w:color="auto" w:fill="F3F9FA"/>
            <w:noWrap/>
            <w:vAlign w:val="center"/>
          </w:tcPr>
          <w:p w14:paraId="671E600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22.5</w:t>
            </w:r>
          </w:p>
        </w:tc>
        <w:tc>
          <w:tcPr>
            <w:tcW w:w="923" w:type="dxa"/>
            <w:tcBorders>
              <w:top w:val="nil"/>
              <w:left w:val="nil"/>
              <w:right w:val="nil"/>
            </w:tcBorders>
            <w:shd w:val="clear" w:color="auto" w:fill="F3F9FA"/>
            <w:noWrap/>
            <w:vAlign w:val="center"/>
          </w:tcPr>
          <w:p w14:paraId="1356A0D9"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32.7</w:t>
            </w:r>
          </w:p>
        </w:tc>
        <w:tc>
          <w:tcPr>
            <w:tcW w:w="924" w:type="dxa"/>
            <w:tcBorders>
              <w:top w:val="nil"/>
              <w:left w:val="nil"/>
              <w:right w:val="nil"/>
            </w:tcBorders>
            <w:shd w:val="clear" w:color="auto" w:fill="F3F9FA"/>
            <w:noWrap/>
            <w:vAlign w:val="center"/>
          </w:tcPr>
          <w:p w14:paraId="7D655010"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36.7</w:t>
            </w:r>
          </w:p>
        </w:tc>
      </w:tr>
      <w:tr w:rsidR="006F4537" w:rsidRPr="00CB093C" w14:paraId="4A3C7F08" w14:textId="77777777" w:rsidTr="006F4537">
        <w:trPr>
          <w:trHeight w:val="170"/>
        </w:trPr>
        <w:tc>
          <w:tcPr>
            <w:tcW w:w="2071" w:type="dxa"/>
            <w:tcBorders>
              <w:left w:val="nil"/>
              <w:bottom w:val="single" w:sz="4" w:space="0" w:color="auto"/>
              <w:right w:val="nil"/>
            </w:tcBorders>
            <w:shd w:val="clear" w:color="auto" w:fill="E7F3F4"/>
            <w:noWrap/>
            <w:vAlign w:val="bottom"/>
          </w:tcPr>
          <w:p w14:paraId="2848B5EE" w14:textId="77777777" w:rsidR="006F4537" w:rsidRPr="00CB093C" w:rsidRDefault="006F4537" w:rsidP="006F4537">
            <w:pPr>
              <w:spacing w:before="0" w:after="0"/>
              <w:rPr>
                <w:rFonts w:ascii="Arial" w:hAnsi="Arial" w:cs="Arial"/>
                <w:color w:val="000000"/>
                <w:szCs w:val="22"/>
              </w:rPr>
            </w:pPr>
          </w:p>
        </w:tc>
        <w:tc>
          <w:tcPr>
            <w:tcW w:w="956" w:type="dxa"/>
            <w:tcBorders>
              <w:left w:val="nil"/>
              <w:bottom w:val="single" w:sz="4" w:space="0" w:color="auto"/>
              <w:right w:val="nil"/>
            </w:tcBorders>
            <w:shd w:val="clear" w:color="auto" w:fill="E7F3F4"/>
            <w:noWrap/>
            <w:vAlign w:val="bottom"/>
          </w:tcPr>
          <w:p w14:paraId="087836D8"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tcBorders>
              <w:left w:val="nil"/>
              <w:bottom w:val="single" w:sz="4" w:space="0" w:color="auto"/>
              <w:right w:val="nil"/>
            </w:tcBorders>
            <w:shd w:val="clear" w:color="auto" w:fill="E7F3F4"/>
            <w:noWrap/>
            <w:vAlign w:val="bottom"/>
          </w:tcPr>
          <w:p w14:paraId="06DCA59C"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reef subtidal*</w:t>
            </w:r>
          </w:p>
        </w:tc>
        <w:tc>
          <w:tcPr>
            <w:tcW w:w="923" w:type="dxa"/>
            <w:tcBorders>
              <w:left w:val="nil"/>
              <w:bottom w:val="single" w:sz="4" w:space="0" w:color="auto"/>
              <w:right w:val="nil"/>
            </w:tcBorders>
            <w:shd w:val="clear" w:color="auto" w:fill="E7F3F4"/>
            <w:noWrap/>
            <w:vAlign w:val="center"/>
          </w:tcPr>
          <w:p w14:paraId="59C9FA6E"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18*</w:t>
            </w:r>
          </w:p>
        </w:tc>
        <w:tc>
          <w:tcPr>
            <w:tcW w:w="924" w:type="dxa"/>
            <w:tcBorders>
              <w:left w:val="nil"/>
              <w:bottom w:val="single" w:sz="4" w:space="0" w:color="auto"/>
              <w:right w:val="nil"/>
            </w:tcBorders>
            <w:shd w:val="clear" w:color="auto" w:fill="E7F3F4"/>
            <w:noWrap/>
            <w:vAlign w:val="center"/>
          </w:tcPr>
          <w:p w14:paraId="349946F9"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22.5*</w:t>
            </w:r>
          </w:p>
        </w:tc>
        <w:tc>
          <w:tcPr>
            <w:tcW w:w="923" w:type="dxa"/>
            <w:tcBorders>
              <w:left w:val="nil"/>
              <w:bottom w:val="single" w:sz="4" w:space="0" w:color="auto"/>
              <w:right w:val="nil"/>
            </w:tcBorders>
            <w:shd w:val="clear" w:color="auto" w:fill="E7F3F4"/>
            <w:noWrap/>
            <w:vAlign w:val="center"/>
          </w:tcPr>
          <w:p w14:paraId="77447F58"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32.7*</w:t>
            </w:r>
          </w:p>
        </w:tc>
        <w:tc>
          <w:tcPr>
            <w:tcW w:w="924" w:type="dxa"/>
            <w:tcBorders>
              <w:left w:val="nil"/>
              <w:bottom w:val="single" w:sz="4" w:space="0" w:color="auto"/>
              <w:right w:val="nil"/>
            </w:tcBorders>
            <w:shd w:val="clear" w:color="auto" w:fill="E7F3F4"/>
            <w:noWrap/>
            <w:vAlign w:val="center"/>
          </w:tcPr>
          <w:p w14:paraId="19D63859"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36.7*</w:t>
            </w:r>
          </w:p>
        </w:tc>
      </w:tr>
      <w:tr w:rsidR="006F4537" w:rsidRPr="00CB093C" w14:paraId="400804C3" w14:textId="77777777" w:rsidTr="006F4537">
        <w:trPr>
          <w:trHeight w:val="170"/>
        </w:trPr>
        <w:tc>
          <w:tcPr>
            <w:tcW w:w="2071" w:type="dxa"/>
            <w:shd w:val="clear" w:color="auto" w:fill="F3F9FA"/>
            <w:noWrap/>
            <w:vAlign w:val="bottom"/>
            <w:hideMark/>
          </w:tcPr>
          <w:p w14:paraId="0DE2217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Fitzroy</w:t>
            </w:r>
          </w:p>
        </w:tc>
        <w:tc>
          <w:tcPr>
            <w:tcW w:w="956" w:type="dxa"/>
            <w:shd w:val="clear" w:color="auto" w:fill="F3F9FA"/>
            <w:noWrap/>
            <w:vAlign w:val="bottom"/>
            <w:hideMark/>
          </w:tcPr>
          <w:p w14:paraId="37297CC3"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GH</w:t>
            </w:r>
          </w:p>
        </w:tc>
        <w:tc>
          <w:tcPr>
            <w:tcW w:w="2117" w:type="dxa"/>
            <w:shd w:val="clear" w:color="auto" w:fill="F3F9FA"/>
            <w:noWrap/>
            <w:vAlign w:val="bottom"/>
            <w:hideMark/>
          </w:tcPr>
          <w:p w14:paraId="4DA40BB9"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estuarine intertidal</w:t>
            </w:r>
          </w:p>
        </w:tc>
        <w:tc>
          <w:tcPr>
            <w:tcW w:w="923" w:type="dxa"/>
            <w:shd w:val="clear" w:color="auto" w:fill="F3F9FA"/>
            <w:noWrap/>
            <w:vAlign w:val="center"/>
          </w:tcPr>
          <w:p w14:paraId="29628B9B" w14:textId="77777777" w:rsidR="006F4537" w:rsidRPr="00CB093C" w:rsidRDefault="006F4537" w:rsidP="006F4537">
            <w:pPr>
              <w:spacing w:before="0" w:after="0"/>
              <w:jc w:val="center"/>
              <w:rPr>
                <w:rFonts w:ascii="Arial" w:hAnsi="Arial" w:cs="Arial"/>
                <w:color w:val="000000"/>
                <w:szCs w:val="22"/>
              </w:rPr>
            </w:pPr>
          </w:p>
        </w:tc>
        <w:tc>
          <w:tcPr>
            <w:tcW w:w="924" w:type="dxa"/>
            <w:shd w:val="clear" w:color="auto" w:fill="F3F9FA"/>
            <w:noWrap/>
            <w:vAlign w:val="center"/>
            <w:hideMark/>
          </w:tcPr>
          <w:p w14:paraId="44927327"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w:t>
            </w:r>
          </w:p>
        </w:tc>
        <w:tc>
          <w:tcPr>
            <w:tcW w:w="923" w:type="dxa"/>
            <w:shd w:val="clear" w:color="auto" w:fill="F3F9FA"/>
            <w:noWrap/>
            <w:vAlign w:val="center"/>
            <w:hideMark/>
          </w:tcPr>
          <w:p w14:paraId="415881B3"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34.1</w:t>
            </w:r>
          </w:p>
        </w:tc>
        <w:tc>
          <w:tcPr>
            <w:tcW w:w="924" w:type="dxa"/>
            <w:shd w:val="clear" w:color="auto" w:fill="F3F9FA"/>
            <w:noWrap/>
            <w:vAlign w:val="center"/>
            <w:hideMark/>
          </w:tcPr>
          <w:p w14:paraId="7B74846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54</w:t>
            </w:r>
          </w:p>
        </w:tc>
      </w:tr>
      <w:tr w:rsidR="006F4537" w:rsidRPr="00CB093C" w14:paraId="7A4DD44A" w14:textId="77777777" w:rsidTr="006F4537">
        <w:trPr>
          <w:trHeight w:val="170"/>
        </w:trPr>
        <w:tc>
          <w:tcPr>
            <w:tcW w:w="2071" w:type="dxa"/>
            <w:shd w:val="clear" w:color="auto" w:fill="E7F3F4"/>
            <w:noWrap/>
            <w:vAlign w:val="bottom"/>
          </w:tcPr>
          <w:p w14:paraId="0EAB803D"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hideMark/>
          </w:tcPr>
          <w:p w14:paraId="64635E01"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hideMark/>
          </w:tcPr>
          <w:p w14:paraId="531A2EE5"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estuarine intertidal</w:t>
            </w:r>
          </w:p>
        </w:tc>
        <w:tc>
          <w:tcPr>
            <w:tcW w:w="923" w:type="dxa"/>
            <w:shd w:val="clear" w:color="auto" w:fill="E7F3F4"/>
            <w:noWrap/>
            <w:vAlign w:val="center"/>
            <w:hideMark/>
          </w:tcPr>
          <w:p w14:paraId="2E85DB90"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10.8*</w:t>
            </w:r>
          </w:p>
        </w:tc>
        <w:tc>
          <w:tcPr>
            <w:tcW w:w="924" w:type="dxa"/>
            <w:shd w:val="clear" w:color="auto" w:fill="E7F3F4"/>
            <w:noWrap/>
            <w:vAlign w:val="center"/>
            <w:hideMark/>
          </w:tcPr>
          <w:p w14:paraId="6044EB04"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18*</w:t>
            </w:r>
          </w:p>
        </w:tc>
        <w:tc>
          <w:tcPr>
            <w:tcW w:w="923" w:type="dxa"/>
            <w:shd w:val="clear" w:color="auto" w:fill="E7F3F4"/>
            <w:noWrap/>
            <w:vAlign w:val="center"/>
            <w:hideMark/>
          </w:tcPr>
          <w:p w14:paraId="4EF8F223"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34.1*</w:t>
            </w:r>
          </w:p>
        </w:tc>
        <w:tc>
          <w:tcPr>
            <w:tcW w:w="924" w:type="dxa"/>
            <w:shd w:val="clear" w:color="auto" w:fill="E7F3F4"/>
            <w:noWrap/>
            <w:vAlign w:val="center"/>
            <w:hideMark/>
          </w:tcPr>
          <w:p w14:paraId="3F6E01F4"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54*</w:t>
            </w:r>
          </w:p>
        </w:tc>
      </w:tr>
      <w:tr w:rsidR="006F4537" w:rsidRPr="00CB093C" w14:paraId="792A405C" w14:textId="77777777" w:rsidTr="006F4537">
        <w:trPr>
          <w:trHeight w:val="170"/>
        </w:trPr>
        <w:tc>
          <w:tcPr>
            <w:tcW w:w="2071" w:type="dxa"/>
            <w:shd w:val="clear" w:color="auto" w:fill="F3F9FA"/>
            <w:noWrap/>
            <w:vAlign w:val="bottom"/>
          </w:tcPr>
          <w:p w14:paraId="16D6153E"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2DF9B6D4"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RC1^</w:t>
            </w:r>
          </w:p>
        </w:tc>
        <w:tc>
          <w:tcPr>
            <w:tcW w:w="2117" w:type="dxa"/>
            <w:shd w:val="clear" w:color="auto" w:fill="F3F9FA"/>
            <w:noWrap/>
            <w:vAlign w:val="bottom"/>
            <w:hideMark/>
          </w:tcPr>
          <w:p w14:paraId="5FE7AB8B"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hideMark/>
          </w:tcPr>
          <w:p w14:paraId="55ACED1B"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18.6</w:t>
            </w:r>
          </w:p>
        </w:tc>
        <w:tc>
          <w:tcPr>
            <w:tcW w:w="924" w:type="dxa"/>
            <w:shd w:val="clear" w:color="auto" w:fill="F3F9FA"/>
            <w:noWrap/>
            <w:vAlign w:val="center"/>
            <w:hideMark/>
          </w:tcPr>
          <w:p w14:paraId="6610F714"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20.6</w:t>
            </w:r>
          </w:p>
        </w:tc>
        <w:tc>
          <w:tcPr>
            <w:tcW w:w="923" w:type="dxa"/>
            <w:shd w:val="clear" w:color="auto" w:fill="F3F9FA"/>
            <w:noWrap/>
            <w:vAlign w:val="center"/>
            <w:hideMark/>
          </w:tcPr>
          <w:p w14:paraId="33E3A50A"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24.4</w:t>
            </w:r>
          </w:p>
        </w:tc>
        <w:tc>
          <w:tcPr>
            <w:tcW w:w="924" w:type="dxa"/>
            <w:shd w:val="clear" w:color="auto" w:fill="F3F9FA"/>
            <w:noWrap/>
            <w:vAlign w:val="center"/>
            <w:hideMark/>
          </w:tcPr>
          <w:p w14:paraId="3F3F4441"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34.5</w:t>
            </w:r>
          </w:p>
        </w:tc>
      </w:tr>
      <w:tr w:rsidR="006F4537" w:rsidRPr="00CB093C" w14:paraId="7B892D52" w14:textId="77777777" w:rsidTr="006F4537">
        <w:trPr>
          <w:trHeight w:val="170"/>
        </w:trPr>
        <w:tc>
          <w:tcPr>
            <w:tcW w:w="2071" w:type="dxa"/>
            <w:shd w:val="clear" w:color="auto" w:fill="F3F9FA"/>
            <w:noWrap/>
            <w:vAlign w:val="bottom"/>
          </w:tcPr>
          <w:p w14:paraId="64F405F3"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00953723"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WH1^</w:t>
            </w:r>
          </w:p>
        </w:tc>
        <w:tc>
          <w:tcPr>
            <w:tcW w:w="2117" w:type="dxa"/>
            <w:shd w:val="clear" w:color="auto" w:fill="F3F9FA"/>
            <w:noWrap/>
            <w:vAlign w:val="bottom"/>
            <w:hideMark/>
          </w:tcPr>
          <w:p w14:paraId="7770F6DA"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hideMark/>
          </w:tcPr>
          <w:p w14:paraId="43BB11CA"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13.1</w:t>
            </w:r>
          </w:p>
        </w:tc>
        <w:tc>
          <w:tcPr>
            <w:tcW w:w="924" w:type="dxa"/>
            <w:shd w:val="clear" w:color="auto" w:fill="F3F9FA"/>
            <w:noWrap/>
            <w:vAlign w:val="center"/>
            <w:hideMark/>
          </w:tcPr>
          <w:p w14:paraId="7AA65CB4"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14.4</w:t>
            </w:r>
          </w:p>
        </w:tc>
        <w:tc>
          <w:tcPr>
            <w:tcW w:w="923" w:type="dxa"/>
            <w:shd w:val="clear" w:color="auto" w:fill="F3F9FA"/>
            <w:noWrap/>
            <w:vAlign w:val="center"/>
            <w:hideMark/>
          </w:tcPr>
          <w:p w14:paraId="5B3F5BE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18.8</w:t>
            </w:r>
          </w:p>
        </w:tc>
        <w:tc>
          <w:tcPr>
            <w:tcW w:w="924" w:type="dxa"/>
            <w:shd w:val="clear" w:color="auto" w:fill="F3F9FA"/>
            <w:noWrap/>
            <w:vAlign w:val="center"/>
            <w:hideMark/>
          </w:tcPr>
          <w:p w14:paraId="28B67A93"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22.3</w:t>
            </w:r>
          </w:p>
        </w:tc>
      </w:tr>
      <w:tr w:rsidR="006F4537" w:rsidRPr="00CB093C" w14:paraId="2B88248B" w14:textId="77777777" w:rsidTr="006F4537">
        <w:trPr>
          <w:trHeight w:val="170"/>
        </w:trPr>
        <w:tc>
          <w:tcPr>
            <w:tcW w:w="2071" w:type="dxa"/>
            <w:shd w:val="clear" w:color="auto" w:fill="E7F3F4"/>
            <w:noWrap/>
            <w:vAlign w:val="bottom"/>
          </w:tcPr>
          <w:p w14:paraId="589C8D69" w14:textId="77777777" w:rsidR="006F4537" w:rsidRPr="00CB093C" w:rsidRDefault="006F4537" w:rsidP="006F4537">
            <w:pPr>
              <w:spacing w:before="0" w:after="0"/>
              <w:rPr>
                <w:rFonts w:ascii="Arial" w:hAnsi="Arial" w:cs="Arial"/>
                <w:color w:val="000000"/>
                <w:szCs w:val="22"/>
              </w:rPr>
            </w:pPr>
          </w:p>
        </w:tc>
        <w:tc>
          <w:tcPr>
            <w:tcW w:w="956" w:type="dxa"/>
            <w:shd w:val="clear" w:color="auto" w:fill="E7F3F4"/>
            <w:noWrap/>
            <w:vAlign w:val="bottom"/>
            <w:hideMark/>
          </w:tcPr>
          <w:p w14:paraId="08E9E145"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shd w:val="clear" w:color="auto" w:fill="E7F3F4"/>
            <w:noWrap/>
            <w:vAlign w:val="bottom"/>
            <w:hideMark/>
          </w:tcPr>
          <w:p w14:paraId="0F73CBAB"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coastal intertidal</w:t>
            </w:r>
          </w:p>
        </w:tc>
        <w:tc>
          <w:tcPr>
            <w:tcW w:w="923" w:type="dxa"/>
            <w:shd w:val="clear" w:color="auto" w:fill="E7F3F4"/>
            <w:noWrap/>
            <w:vAlign w:val="center"/>
            <w:hideMark/>
          </w:tcPr>
          <w:p w14:paraId="68590A0E"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15.85</w:t>
            </w:r>
          </w:p>
        </w:tc>
        <w:tc>
          <w:tcPr>
            <w:tcW w:w="924" w:type="dxa"/>
            <w:shd w:val="clear" w:color="auto" w:fill="E7F3F4"/>
            <w:noWrap/>
            <w:vAlign w:val="center"/>
            <w:hideMark/>
          </w:tcPr>
          <w:p w14:paraId="3AE397FF"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17.5</w:t>
            </w:r>
          </w:p>
        </w:tc>
        <w:tc>
          <w:tcPr>
            <w:tcW w:w="923" w:type="dxa"/>
            <w:shd w:val="clear" w:color="auto" w:fill="E7F3F4"/>
            <w:noWrap/>
            <w:vAlign w:val="center"/>
            <w:hideMark/>
          </w:tcPr>
          <w:p w14:paraId="484AF478"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21.6</w:t>
            </w:r>
          </w:p>
        </w:tc>
        <w:tc>
          <w:tcPr>
            <w:tcW w:w="924" w:type="dxa"/>
            <w:shd w:val="clear" w:color="auto" w:fill="E7F3F4"/>
            <w:noWrap/>
            <w:vAlign w:val="center"/>
            <w:hideMark/>
          </w:tcPr>
          <w:p w14:paraId="7E916978" w14:textId="77777777" w:rsidR="006F4537" w:rsidRPr="00CB093C" w:rsidRDefault="006F4537" w:rsidP="006F4537">
            <w:pPr>
              <w:spacing w:before="0" w:after="0"/>
              <w:jc w:val="center"/>
              <w:rPr>
                <w:rFonts w:ascii="Arial" w:hAnsi="Arial" w:cs="Arial"/>
                <w:b/>
                <w:i/>
                <w:color w:val="000000"/>
                <w:szCs w:val="22"/>
              </w:rPr>
            </w:pPr>
            <w:r w:rsidRPr="00CB093C">
              <w:rPr>
                <w:rFonts w:ascii="Arial" w:hAnsi="Arial" w:cs="Arial"/>
                <w:b/>
                <w:i/>
                <w:color w:val="000000"/>
                <w:szCs w:val="22"/>
              </w:rPr>
              <w:t>28.4</w:t>
            </w:r>
          </w:p>
        </w:tc>
      </w:tr>
      <w:tr w:rsidR="006F4537" w:rsidRPr="00CB093C" w14:paraId="46F841C9" w14:textId="77777777" w:rsidTr="006F4537">
        <w:trPr>
          <w:trHeight w:val="170"/>
        </w:trPr>
        <w:tc>
          <w:tcPr>
            <w:tcW w:w="2071" w:type="dxa"/>
            <w:shd w:val="clear" w:color="auto" w:fill="F3F9FA"/>
            <w:noWrap/>
            <w:vAlign w:val="bottom"/>
          </w:tcPr>
          <w:p w14:paraId="20EEBD64"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01E47774"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GK</w:t>
            </w:r>
          </w:p>
        </w:tc>
        <w:tc>
          <w:tcPr>
            <w:tcW w:w="2117" w:type="dxa"/>
            <w:shd w:val="clear" w:color="auto" w:fill="F3F9FA"/>
            <w:noWrap/>
            <w:vAlign w:val="bottom"/>
            <w:hideMark/>
          </w:tcPr>
          <w:p w14:paraId="34C7539D"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reef intertidal</w:t>
            </w:r>
          </w:p>
        </w:tc>
        <w:tc>
          <w:tcPr>
            <w:tcW w:w="923" w:type="dxa"/>
            <w:shd w:val="clear" w:color="auto" w:fill="F3F9FA"/>
            <w:noWrap/>
            <w:vAlign w:val="center"/>
            <w:hideMark/>
          </w:tcPr>
          <w:p w14:paraId="5DDF89E6" w14:textId="77777777" w:rsidR="006F4537" w:rsidRPr="00CB093C" w:rsidRDefault="006F4537" w:rsidP="006F4537">
            <w:pPr>
              <w:spacing w:before="0" w:after="0"/>
              <w:jc w:val="center"/>
              <w:rPr>
                <w:rFonts w:ascii="Arial" w:hAnsi="Arial" w:cs="Arial"/>
                <w:color w:val="000000"/>
                <w:szCs w:val="22"/>
              </w:rPr>
            </w:pPr>
          </w:p>
        </w:tc>
        <w:tc>
          <w:tcPr>
            <w:tcW w:w="924" w:type="dxa"/>
            <w:shd w:val="clear" w:color="auto" w:fill="F3F9FA"/>
            <w:noWrap/>
            <w:vAlign w:val="center"/>
          </w:tcPr>
          <w:p w14:paraId="63BA218E" w14:textId="77777777" w:rsidR="006F4537" w:rsidRPr="00CB093C" w:rsidRDefault="006F4537" w:rsidP="006F4537">
            <w:pPr>
              <w:spacing w:before="0" w:after="0"/>
              <w:jc w:val="center"/>
              <w:rPr>
                <w:rFonts w:ascii="Arial" w:hAnsi="Arial" w:cs="Arial"/>
                <w:szCs w:val="22"/>
              </w:rPr>
            </w:pPr>
            <w:r w:rsidRPr="00CB093C">
              <w:rPr>
                <w:rFonts w:ascii="Arial" w:hAnsi="Arial" w:cs="Arial"/>
                <w:szCs w:val="22"/>
              </w:rPr>
              <w:t>9.2</w:t>
            </w:r>
          </w:p>
        </w:tc>
        <w:tc>
          <w:tcPr>
            <w:tcW w:w="923" w:type="dxa"/>
            <w:shd w:val="clear" w:color="auto" w:fill="F3F9FA"/>
            <w:noWrap/>
            <w:vAlign w:val="center"/>
            <w:hideMark/>
          </w:tcPr>
          <w:p w14:paraId="76A63F17" w14:textId="77777777" w:rsidR="006F4537" w:rsidRPr="00CB093C" w:rsidRDefault="006F4537" w:rsidP="006F4537">
            <w:pPr>
              <w:spacing w:before="0" w:after="0"/>
              <w:jc w:val="center"/>
              <w:rPr>
                <w:rFonts w:ascii="Arial" w:hAnsi="Arial" w:cs="Arial"/>
                <w:szCs w:val="22"/>
              </w:rPr>
            </w:pPr>
            <w:r w:rsidRPr="00CB093C">
              <w:rPr>
                <w:rFonts w:ascii="Arial" w:hAnsi="Arial" w:cs="Arial"/>
                <w:szCs w:val="22"/>
              </w:rPr>
              <w:t>12.2</w:t>
            </w:r>
          </w:p>
        </w:tc>
        <w:tc>
          <w:tcPr>
            <w:tcW w:w="924" w:type="dxa"/>
            <w:shd w:val="clear" w:color="auto" w:fill="F3F9FA"/>
            <w:noWrap/>
            <w:vAlign w:val="center"/>
            <w:hideMark/>
          </w:tcPr>
          <w:p w14:paraId="62CF54E2" w14:textId="77777777" w:rsidR="006F4537" w:rsidRPr="00CB093C" w:rsidRDefault="006F4537" w:rsidP="006F4537">
            <w:pPr>
              <w:spacing w:before="0" w:after="0"/>
              <w:jc w:val="center"/>
              <w:rPr>
                <w:rFonts w:ascii="Arial" w:hAnsi="Arial" w:cs="Arial"/>
                <w:szCs w:val="22"/>
              </w:rPr>
            </w:pPr>
            <w:r w:rsidRPr="00CB093C">
              <w:rPr>
                <w:rFonts w:ascii="Arial" w:hAnsi="Arial" w:cs="Arial"/>
                <w:szCs w:val="22"/>
              </w:rPr>
              <w:t>13.8</w:t>
            </w:r>
          </w:p>
        </w:tc>
      </w:tr>
      <w:tr w:rsidR="006F4537" w:rsidRPr="00CB093C" w14:paraId="74D2D338" w14:textId="77777777" w:rsidTr="006F4537">
        <w:trPr>
          <w:trHeight w:val="170"/>
        </w:trPr>
        <w:tc>
          <w:tcPr>
            <w:tcW w:w="2071" w:type="dxa"/>
            <w:tcBorders>
              <w:top w:val="nil"/>
              <w:left w:val="nil"/>
              <w:bottom w:val="single" w:sz="4" w:space="0" w:color="auto"/>
              <w:right w:val="nil"/>
            </w:tcBorders>
            <w:shd w:val="clear" w:color="auto" w:fill="E7F3F4"/>
            <w:noWrap/>
            <w:vAlign w:val="bottom"/>
            <w:hideMark/>
          </w:tcPr>
          <w:p w14:paraId="3D009423"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 </w:t>
            </w:r>
          </w:p>
        </w:tc>
        <w:tc>
          <w:tcPr>
            <w:tcW w:w="956" w:type="dxa"/>
            <w:tcBorders>
              <w:top w:val="nil"/>
              <w:left w:val="nil"/>
              <w:bottom w:val="single" w:sz="4" w:space="0" w:color="auto"/>
              <w:right w:val="nil"/>
            </w:tcBorders>
            <w:shd w:val="clear" w:color="auto" w:fill="E7F3F4"/>
            <w:noWrap/>
            <w:vAlign w:val="bottom"/>
            <w:hideMark/>
          </w:tcPr>
          <w:p w14:paraId="5A3FCD91"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tcBorders>
              <w:top w:val="nil"/>
              <w:left w:val="nil"/>
              <w:bottom w:val="single" w:sz="4" w:space="0" w:color="auto"/>
              <w:right w:val="nil"/>
            </w:tcBorders>
            <w:shd w:val="clear" w:color="auto" w:fill="E7F3F4"/>
            <w:noWrap/>
            <w:vAlign w:val="bottom"/>
            <w:hideMark/>
          </w:tcPr>
          <w:p w14:paraId="5CBE1F1F"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reef intertidal</w:t>
            </w:r>
          </w:p>
        </w:tc>
        <w:tc>
          <w:tcPr>
            <w:tcW w:w="923" w:type="dxa"/>
            <w:tcBorders>
              <w:top w:val="nil"/>
              <w:left w:val="nil"/>
              <w:bottom w:val="single" w:sz="4" w:space="0" w:color="auto"/>
              <w:right w:val="nil"/>
            </w:tcBorders>
            <w:shd w:val="clear" w:color="auto" w:fill="E7F3F4"/>
            <w:noWrap/>
            <w:vAlign w:val="center"/>
            <w:hideMark/>
          </w:tcPr>
          <w:p w14:paraId="04BCD43D" w14:textId="77777777" w:rsidR="006F4537" w:rsidRPr="00CB093C" w:rsidRDefault="006F4537" w:rsidP="006F4537">
            <w:pPr>
              <w:spacing w:before="0" w:after="0"/>
              <w:jc w:val="center"/>
              <w:rPr>
                <w:rFonts w:ascii="Arial" w:hAnsi="Arial" w:cs="Arial"/>
                <w:b/>
                <w:bCs/>
                <w:i/>
                <w:iCs/>
                <w:color w:val="000000"/>
                <w:szCs w:val="22"/>
              </w:rPr>
            </w:pPr>
          </w:p>
        </w:tc>
        <w:tc>
          <w:tcPr>
            <w:tcW w:w="924" w:type="dxa"/>
            <w:tcBorders>
              <w:top w:val="nil"/>
              <w:left w:val="nil"/>
              <w:bottom w:val="single" w:sz="4" w:space="0" w:color="auto"/>
              <w:right w:val="nil"/>
            </w:tcBorders>
            <w:shd w:val="clear" w:color="auto" w:fill="E7F3F4"/>
            <w:noWrap/>
            <w:vAlign w:val="center"/>
            <w:hideMark/>
          </w:tcPr>
          <w:p w14:paraId="5B26D1D2"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9.2*</w:t>
            </w:r>
          </w:p>
        </w:tc>
        <w:tc>
          <w:tcPr>
            <w:tcW w:w="923" w:type="dxa"/>
            <w:tcBorders>
              <w:top w:val="nil"/>
              <w:left w:val="nil"/>
              <w:bottom w:val="single" w:sz="4" w:space="0" w:color="auto"/>
              <w:right w:val="nil"/>
            </w:tcBorders>
            <w:shd w:val="clear" w:color="auto" w:fill="E7F3F4"/>
            <w:noWrap/>
            <w:vAlign w:val="center"/>
            <w:hideMark/>
          </w:tcPr>
          <w:p w14:paraId="7B4C3ED3"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12.2*</w:t>
            </w:r>
          </w:p>
        </w:tc>
        <w:tc>
          <w:tcPr>
            <w:tcW w:w="924" w:type="dxa"/>
            <w:tcBorders>
              <w:top w:val="nil"/>
              <w:left w:val="nil"/>
              <w:bottom w:val="single" w:sz="4" w:space="0" w:color="auto"/>
              <w:right w:val="nil"/>
            </w:tcBorders>
            <w:shd w:val="clear" w:color="auto" w:fill="E7F3F4"/>
            <w:noWrap/>
            <w:vAlign w:val="center"/>
            <w:hideMark/>
          </w:tcPr>
          <w:p w14:paraId="3713272E"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13.8*</w:t>
            </w:r>
          </w:p>
        </w:tc>
      </w:tr>
      <w:tr w:rsidR="006F4537" w:rsidRPr="00CB093C" w14:paraId="44A01E59" w14:textId="77777777" w:rsidTr="006F4537">
        <w:trPr>
          <w:trHeight w:val="170"/>
        </w:trPr>
        <w:tc>
          <w:tcPr>
            <w:tcW w:w="2071" w:type="dxa"/>
            <w:shd w:val="clear" w:color="auto" w:fill="F3F9FA"/>
            <w:noWrap/>
            <w:vAlign w:val="bottom"/>
            <w:hideMark/>
          </w:tcPr>
          <w:p w14:paraId="56FDFE6F"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Burnett Mary</w:t>
            </w:r>
          </w:p>
        </w:tc>
        <w:tc>
          <w:tcPr>
            <w:tcW w:w="956" w:type="dxa"/>
            <w:shd w:val="clear" w:color="auto" w:fill="F3F9FA"/>
            <w:noWrap/>
            <w:vAlign w:val="bottom"/>
            <w:hideMark/>
          </w:tcPr>
          <w:p w14:paraId="6916C229"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RD</w:t>
            </w:r>
          </w:p>
        </w:tc>
        <w:tc>
          <w:tcPr>
            <w:tcW w:w="2117" w:type="dxa"/>
            <w:shd w:val="clear" w:color="auto" w:fill="F3F9FA"/>
            <w:noWrap/>
            <w:vAlign w:val="bottom"/>
            <w:hideMark/>
          </w:tcPr>
          <w:p w14:paraId="292396EE"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estuarine intertidal</w:t>
            </w:r>
          </w:p>
        </w:tc>
        <w:tc>
          <w:tcPr>
            <w:tcW w:w="923" w:type="dxa"/>
            <w:shd w:val="clear" w:color="auto" w:fill="F3F9FA"/>
            <w:noWrap/>
            <w:vAlign w:val="center"/>
          </w:tcPr>
          <w:p w14:paraId="556201D9" w14:textId="77777777" w:rsidR="006F4537" w:rsidRPr="00CB093C" w:rsidRDefault="006F4537" w:rsidP="006F4537">
            <w:pPr>
              <w:spacing w:before="0" w:after="0"/>
              <w:jc w:val="center"/>
              <w:rPr>
                <w:rFonts w:ascii="Arial" w:hAnsi="Arial" w:cs="Arial"/>
                <w:color w:val="000000"/>
                <w:szCs w:val="22"/>
              </w:rPr>
            </w:pPr>
          </w:p>
        </w:tc>
        <w:tc>
          <w:tcPr>
            <w:tcW w:w="924" w:type="dxa"/>
            <w:shd w:val="clear" w:color="auto" w:fill="F3F9FA"/>
            <w:noWrap/>
            <w:vAlign w:val="center"/>
            <w:hideMark/>
          </w:tcPr>
          <w:p w14:paraId="2BEDD66C"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w:t>
            </w:r>
          </w:p>
        </w:tc>
        <w:tc>
          <w:tcPr>
            <w:tcW w:w="923" w:type="dxa"/>
            <w:shd w:val="clear" w:color="auto" w:fill="F3F9FA"/>
            <w:noWrap/>
            <w:vAlign w:val="center"/>
            <w:hideMark/>
          </w:tcPr>
          <w:p w14:paraId="5E47B8FC"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34.1</w:t>
            </w:r>
          </w:p>
        </w:tc>
        <w:tc>
          <w:tcPr>
            <w:tcW w:w="924" w:type="dxa"/>
            <w:shd w:val="clear" w:color="auto" w:fill="F3F9FA"/>
            <w:noWrap/>
            <w:vAlign w:val="center"/>
            <w:hideMark/>
          </w:tcPr>
          <w:p w14:paraId="00908DE4"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54</w:t>
            </w:r>
          </w:p>
        </w:tc>
      </w:tr>
      <w:tr w:rsidR="006F4537" w:rsidRPr="00CB093C" w14:paraId="3804751C" w14:textId="77777777" w:rsidTr="006F4537">
        <w:trPr>
          <w:trHeight w:val="170"/>
        </w:trPr>
        <w:tc>
          <w:tcPr>
            <w:tcW w:w="2071" w:type="dxa"/>
            <w:shd w:val="clear" w:color="auto" w:fill="F3F9FA"/>
            <w:noWrap/>
            <w:vAlign w:val="bottom"/>
          </w:tcPr>
          <w:p w14:paraId="4DB910DA"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4FC85C4D"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UG1^</w:t>
            </w:r>
          </w:p>
        </w:tc>
        <w:tc>
          <w:tcPr>
            <w:tcW w:w="2117" w:type="dxa"/>
            <w:shd w:val="clear" w:color="auto" w:fill="F3F9FA"/>
            <w:noWrap/>
            <w:vAlign w:val="bottom"/>
            <w:hideMark/>
          </w:tcPr>
          <w:p w14:paraId="5489DF65"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estuarine intertidal</w:t>
            </w:r>
          </w:p>
        </w:tc>
        <w:tc>
          <w:tcPr>
            <w:tcW w:w="923" w:type="dxa"/>
            <w:shd w:val="clear" w:color="auto" w:fill="F3F9FA"/>
            <w:noWrap/>
            <w:vAlign w:val="center"/>
            <w:hideMark/>
          </w:tcPr>
          <w:p w14:paraId="484C1556" w14:textId="77777777" w:rsidR="006F4537" w:rsidRPr="00CB093C" w:rsidRDefault="006F4537" w:rsidP="006F4537">
            <w:pPr>
              <w:spacing w:before="0" w:after="0"/>
              <w:jc w:val="center"/>
              <w:rPr>
                <w:rFonts w:ascii="Arial" w:hAnsi="Arial" w:cs="Arial"/>
                <w:color w:val="808080"/>
                <w:szCs w:val="22"/>
              </w:rPr>
            </w:pPr>
            <w:r w:rsidRPr="00CB093C">
              <w:rPr>
                <w:rFonts w:ascii="Arial" w:hAnsi="Arial" w:cs="Arial"/>
                <w:color w:val="808080"/>
                <w:szCs w:val="22"/>
              </w:rPr>
              <w:t>10.8</w:t>
            </w:r>
          </w:p>
        </w:tc>
        <w:tc>
          <w:tcPr>
            <w:tcW w:w="924" w:type="dxa"/>
            <w:shd w:val="clear" w:color="auto" w:fill="F3F9FA"/>
            <w:noWrap/>
            <w:vAlign w:val="center"/>
            <w:hideMark/>
          </w:tcPr>
          <w:p w14:paraId="29DB507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w:t>
            </w:r>
          </w:p>
        </w:tc>
        <w:tc>
          <w:tcPr>
            <w:tcW w:w="923" w:type="dxa"/>
            <w:shd w:val="clear" w:color="auto" w:fill="F3F9FA"/>
            <w:noWrap/>
            <w:vAlign w:val="center"/>
            <w:hideMark/>
          </w:tcPr>
          <w:p w14:paraId="5DA9F4D6"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34.1</w:t>
            </w:r>
          </w:p>
        </w:tc>
        <w:tc>
          <w:tcPr>
            <w:tcW w:w="924" w:type="dxa"/>
            <w:shd w:val="clear" w:color="auto" w:fill="F3F9FA"/>
            <w:noWrap/>
            <w:vAlign w:val="center"/>
            <w:hideMark/>
          </w:tcPr>
          <w:p w14:paraId="5C22A443"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54</w:t>
            </w:r>
          </w:p>
        </w:tc>
      </w:tr>
      <w:tr w:rsidR="006F4537" w:rsidRPr="00CB093C" w14:paraId="615E5BA4" w14:textId="77777777" w:rsidTr="006F4537">
        <w:trPr>
          <w:trHeight w:val="170"/>
        </w:trPr>
        <w:tc>
          <w:tcPr>
            <w:tcW w:w="2071" w:type="dxa"/>
            <w:shd w:val="clear" w:color="auto" w:fill="F3F9FA"/>
            <w:noWrap/>
            <w:vAlign w:val="bottom"/>
          </w:tcPr>
          <w:p w14:paraId="1E0D73B0"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051BE97A"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UG2</w:t>
            </w:r>
          </w:p>
        </w:tc>
        <w:tc>
          <w:tcPr>
            <w:tcW w:w="2117" w:type="dxa"/>
            <w:shd w:val="clear" w:color="auto" w:fill="F3F9FA"/>
            <w:noWrap/>
            <w:vAlign w:val="bottom"/>
            <w:hideMark/>
          </w:tcPr>
          <w:p w14:paraId="1AD8AC3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estuarine intertidal</w:t>
            </w:r>
          </w:p>
        </w:tc>
        <w:tc>
          <w:tcPr>
            <w:tcW w:w="923" w:type="dxa"/>
            <w:shd w:val="clear" w:color="auto" w:fill="F3F9FA"/>
            <w:noWrap/>
            <w:vAlign w:val="center"/>
          </w:tcPr>
          <w:p w14:paraId="05527021" w14:textId="77777777" w:rsidR="006F4537" w:rsidRPr="00CB093C" w:rsidRDefault="006F4537" w:rsidP="006F4537">
            <w:pPr>
              <w:spacing w:before="0" w:after="0"/>
              <w:jc w:val="center"/>
              <w:rPr>
                <w:rFonts w:ascii="Arial" w:hAnsi="Arial" w:cs="Arial"/>
                <w:color w:val="000000"/>
                <w:szCs w:val="22"/>
              </w:rPr>
            </w:pPr>
          </w:p>
        </w:tc>
        <w:tc>
          <w:tcPr>
            <w:tcW w:w="924" w:type="dxa"/>
            <w:shd w:val="clear" w:color="auto" w:fill="F3F9FA"/>
            <w:noWrap/>
            <w:vAlign w:val="center"/>
            <w:hideMark/>
          </w:tcPr>
          <w:p w14:paraId="46A4486D"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18</w:t>
            </w:r>
          </w:p>
        </w:tc>
        <w:tc>
          <w:tcPr>
            <w:tcW w:w="923" w:type="dxa"/>
            <w:shd w:val="clear" w:color="auto" w:fill="F3F9FA"/>
            <w:noWrap/>
            <w:vAlign w:val="center"/>
            <w:hideMark/>
          </w:tcPr>
          <w:p w14:paraId="277B5E68"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34.1</w:t>
            </w:r>
          </w:p>
        </w:tc>
        <w:tc>
          <w:tcPr>
            <w:tcW w:w="924" w:type="dxa"/>
            <w:shd w:val="clear" w:color="auto" w:fill="F3F9FA"/>
            <w:noWrap/>
            <w:vAlign w:val="center"/>
            <w:hideMark/>
          </w:tcPr>
          <w:p w14:paraId="42E1895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color w:val="000000"/>
                <w:szCs w:val="22"/>
              </w:rPr>
              <w:t>54</w:t>
            </w:r>
          </w:p>
        </w:tc>
      </w:tr>
      <w:tr w:rsidR="006F4537" w:rsidRPr="00CB093C" w14:paraId="5A60CD58" w14:textId="77777777" w:rsidTr="006F4537">
        <w:trPr>
          <w:trHeight w:val="170"/>
        </w:trPr>
        <w:tc>
          <w:tcPr>
            <w:tcW w:w="2071" w:type="dxa"/>
            <w:tcBorders>
              <w:top w:val="nil"/>
              <w:left w:val="nil"/>
              <w:bottom w:val="single" w:sz="4" w:space="0" w:color="auto"/>
              <w:right w:val="nil"/>
            </w:tcBorders>
            <w:shd w:val="clear" w:color="auto" w:fill="E7F3F4"/>
            <w:noWrap/>
            <w:vAlign w:val="bottom"/>
          </w:tcPr>
          <w:p w14:paraId="7BEE93A4" w14:textId="77777777" w:rsidR="006F4537" w:rsidRPr="00CB093C" w:rsidRDefault="006F4537" w:rsidP="006F4537">
            <w:pPr>
              <w:spacing w:before="0" w:after="0"/>
              <w:rPr>
                <w:rFonts w:ascii="Arial" w:hAnsi="Arial" w:cs="Arial"/>
                <w:color w:val="000000"/>
                <w:szCs w:val="22"/>
              </w:rPr>
            </w:pPr>
          </w:p>
        </w:tc>
        <w:tc>
          <w:tcPr>
            <w:tcW w:w="956" w:type="dxa"/>
            <w:tcBorders>
              <w:top w:val="nil"/>
              <w:left w:val="nil"/>
              <w:bottom w:val="single" w:sz="4" w:space="0" w:color="auto"/>
              <w:right w:val="nil"/>
            </w:tcBorders>
            <w:shd w:val="clear" w:color="auto" w:fill="E7F3F4"/>
            <w:noWrap/>
            <w:vAlign w:val="bottom"/>
            <w:hideMark/>
          </w:tcPr>
          <w:p w14:paraId="0AA2FE75"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tcBorders>
              <w:top w:val="nil"/>
              <w:left w:val="nil"/>
              <w:bottom w:val="single" w:sz="4" w:space="0" w:color="auto"/>
              <w:right w:val="nil"/>
            </w:tcBorders>
            <w:shd w:val="clear" w:color="auto" w:fill="E7F3F4"/>
            <w:noWrap/>
            <w:vAlign w:val="bottom"/>
            <w:hideMark/>
          </w:tcPr>
          <w:p w14:paraId="2A0875FE"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estuarine intertidal</w:t>
            </w:r>
          </w:p>
        </w:tc>
        <w:tc>
          <w:tcPr>
            <w:tcW w:w="923" w:type="dxa"/>
            <w:tcBorders>
              <w:top w:val="nil"/>
              <w:left w:val="nil"/>
              <w:bottom w:val="single" w:sz="4" w:space="0" w:color="auto"/>
              <w:right w:val="nil"/>
            </w:tcBorders>
            <w:shd w:val="clear" w:color="auto" w:fill="E7F3F4"/>
            <w:noWrap/>
            <w:vAlign w:val="center"/>
            <w:hideMark/>
          </w:tcPr>
          <w:p w14:paraId="21A3608D"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10.8</w:t>
            </w:r>
          </w:p>
        </w:tc>
        <w:tc>
          <w:tcPr>
            <w:tcW w:w="924" w:type="dxa"/>
            <w:tcBorders>
              <w:top w:val="nil"/>
              <w:left w:val="nil"/>
              <w:bottom w:val="single" w:sz="4" w:space="0" w:color="auto"/>
              <w:right w:val="nil"/>
            </w:tcBorders>
            <w:shd w:val="clear" w:color="auto" w:fill="E7F3F4"/>
            <w:noWrap/>
            <w:vAlign w:val="center"/>
            <w:hideMark/>
          </w:tcPr>
          <w:p w14:paraId="13BBBB72"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18</w:t>
            </w:r>
          </w:p>
        </w:tc>
        <w:tc>
          <w:tcPr>
            <w:tcW w:w="923" w:type="dxa"/>
            <w:tcBorders>
              <w:top w:val="nil"/>
              <w:left w:val="nil"/>
              <w:bottom w:val="single" w:sz="4" w:space="0" w:color="auto"/>
              <w:right w:val="nil"/>
            </w:tcBorders>
            <w:shd w:val="clear" w:color="auto" w:fill="E7F3F4"/>
            <w:noWrap/>
            <w:vAlign w:val="center"/>
            <w:hideMark/>
          </w:tcPr>
          <w:p w14:paraId="2412BD10"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34.1</w:t>
            </w:r>
          </w:p>
        </w:tc>
        <w:tc>
          <w:tcPr>
            <w:tcW w:w="924" w:type="dxa"/>
            <w:tcBorders>
              <w:top w:val="nil"/>
              <w:left w:val="nil"/>
              <w:bottom w:val="single" w:sz="4" w:space="0" w:color="auto"/>
              <w:right w:val="nil"/>
            </w:tcBorders>
            <w:shd w:val="clear" w:color="auto" w:fill="E7F3F4"/>
            <w:noWrap/>
            <w:vAlign w:val="center"/>
            <w:hideMark/>
          </w:tcPr>
          <w:p w14:paraId="7DEBCE93"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54</w:t>
            </w:r>
          </w:p>
        </w:tc>
      </w:tr>
      <w:tr w:rsidR="006F4537" w:rsidRPr="00CB093C" w14:paraId="291520C7" w14:textId="77777777" w:rsidTr="006F4537">
        <w:trPr>
          <w:trHeight w:val="170"/>
        </w:trPr>
        <w:tc>
          <w:tcPr>
            <w:tcW w:w="2071" w:type="dxa"/>
            <w:shd w:val="clear" w:color="auto" w:fill="F3F9FA"/>
            <w:noWrap/>
            <w:vAlign w:val="bottom"/>
          </w:tcPr>
          <w:p w14:paraId="4EB2910B"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hideMark/>
          </w:tcPr>
          <w:p w14:paraId="3373384D"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BH1^</w:t>
            </w:r>
          </w:p>
        </w:tc>
        <w:tc>
          <w:tcPr>
            <w:tcW w:w="2117" w:type="dxa"/>
            <w:shd w:val="clear" w:color="auto" w:fill="F3F9FA"/>
            <w:noWrap/>
            <w:vAlign w:val="bottom"/>
            <w:hideMark/>
          </w:tcPr>
          <w:p w14:paraId="6643ABA0"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tcPr>
          <w:p w14:paraId="4D1C082B" w14:textId="77777777" w:rsidR="006F4537" w:rsidRPr="00CB093C" w:rsidRDefault="006F4537" w:rsidP="006F4537">
            <w:pPr>
              <w:spacing w:before="0" w:after="0"/>
              <w:jc w:val="center"/>
              <w:rPr>
                <w:rFonts w:ascii="Arial" w:hAnsi="Arial" w:cs="Arial"/>
                <w:color w:val="808080"/>
                <w:szCs w:val="22"/>
              </w:rPr>
            </w:pPr>
          </w:p>
        </w:tc>
        <w:tc>
          <w:tcPr>
            <w:tcW w:w="924" w:type="dxa"/>
            <w:shd w:val="clear" w:color="auto" w:fill="F3F9FA"/>
            <w:noWrap/>
            <w:vAlign w:val="bottom"/>
            <w:hideMark/>
          </w:tcPr>
          <w:p w14:paraId="47723ACE"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iCs/>
                <w:szCs w:val="22"/>
              </w:rPr>
              <w:t>7.8</w:t>
            </w:r>
          </w:p>
        </w:tc>
        <w:tc>
          <w:tcPr>
            <w:tcW w:w="923" w:type="dxa"/>
            <w:shd w:val="clear" w:color="auto" w:fill="F3F9FA"/>
            <w:noWrap/>
            <w:vAlign w:val="bottom"/>
            <w:hideMark/>
          </w:tcPr>
          <w:p w14:paraId="0446BADE"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iCs/>
                <w:szCs w:val="22"/>
              </w:rPr>
              <w:t>11.9</w:t>
            </w:r>
          </w:p>
        </w:tc>
        <w:tc>
          <w:tcPr>
            <w:tcW w:w="924" w:type="dxa"/>
            <w:shd w:val="clear" w:color="auto" w:fill="F3F9FA"/>
            <w:noWrap/>
            <w:vAlign w:val="bottom"/>
            <w:hideMark/>
          </w:tcPr>
          <w:p w14:paraId="287B9BCF"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iCs/>
                <w:szCs w:val="22"/>
              </w:rPr>
              <w:t>21.6</w:t>
            </w:r>
          </w:p>
        </w:tc>
      </w:tr>
      <w:tr w:rsidR="006F4537" w:rsidRPr="00CB093C" w14:paraId="02744680" w14:textId="77777777" w:rsidTr="006F4537">
        <w:trPr>
          <w:trHeight w:val="170"/>
        </w:trPr>
        <w:tc>
          <w:tcPr>
            <w:tcW w:w="2071" w:type="dxa"/>
            <w:shd w:val="clear" w:color="auto" w:fill="F3F9FA"/>
            <w:noWrap/>
            <w:vAlign w:val="bottom"/>
          </w:tcPr>
          <w:p w14:paraId="2A973E32" w14:textId="77777777" w:rsidR="006F4537" w:rsidRPr="00CB093C" w:rsidRDefault="006F4537" w:rsidP="006F4537">
            <w:pPr>
              <w:spacing w:before="0" w:after="0"/>
              <w:rPr>
                <w:rFonts w:ascii="Arial" w:hAnsi="Arial" w:cs="Arial"/>
                <w:color w:val="000000"/>
                <w:szCs w:val="22"/>
              </w:rPr>
            </w:pPr>
          </w:p>
        </w:tc>
        <w:tc>
          <w:tcPr>
            <w:tcW w:w="956" w:type="dxa"/>
            <w:shd w:val="clear" w:color="auto" w:fill="F3F9FA"/>
            <w:noWrap/>
            <w:vAlign w:val="bottom"/>
          </w:tcPr>
          <w:p w14:paraId="0739DE15" w14:textId="77777777" w:rsidR="006F4537" w:rsidRPr="00CB093C" w:rsidRDefault="006F4537" w:rsidP="006F4537">
            <w:pPr>
              <w:spacing w:before="0" w:after="0"/>
              <w:jc w:val="right"/>
              <w:rPr>
                <w:rFonts w:ascii="Arial" w:hAnsi="Arial" w:cs="Arial"/>
                <w:color w:val="000000"/>
                <w:szCs w:val="22"/>
              </w:rPr>
            </w:pPr>
            <w:r w:rsidRPr="00CB093C">
              <w:rPr>
                <w:rFonts w:ascii="Arial" w:hAnsi="Arial" w:cs="Arial"/>
                <w:color w:val="000000"/>
                <w:szCs w:val="22"/>
              </w:rPr>
              <w:t>BH3</w:t>
            </w:r>
          </w:p>
        </w:tc>
        <w:tc>
          <w:tcPr>
            <w:tcW w:w="2117" w:type="dxa"/>
            <w:shd w:val="clear" w:color="auto" w:fill="F3F9FA"/>
            <w:noWrap/>
            <w:vAlign w:val="bottom"/>
          </w:tcPr>
          <w:p w14:paraId="52097DE8"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coastal intertidal</w:t>
            </w:r>
          </w:p>
        </w:tc>
        <w:tc>
          <w:tcPr>
            <w:tcW w:w="923" w:type="dxa"/>
            <w:shd w:val="clear" w:color="auto" w:fill="F3F9FA"/>
            <w:noWrap/>
            <w:vAlign w:val="center"/>
          </w:tcPr>
          <w:p w14:paraId="5130028D" w14:textId="77777777" w:rsidR="006F4537" w:rsidRPr="00CB093C" w:rsidRDefault="006F4537" w:rsidP="006F4537">
            <w:pPr>
              <w:spacing w:before="0" w:after="0"/>
              <w:jc w:val="center"/>
              <w:rPr>
                <w:rFonts w:ascii="Arial" w:hAnsi="Arial" w:cs="Arial"/>
                <w:color w:val="808080"/>
                <w:szCs w:val="22"/>
              </w:rPr>
            </w:pPr>
          </w:p>
        </w:tc>
        <w:tc>
          <w:tcPr>
            <w:tcW w:w="924" w:type="dxa"/>
            <w:shd w:val="clear" w:color="auto" w:fill="F3F9FA"/>
            <w:noWrap/>
            <w:vAlign w:val="bottom"/>
          </w:tcPr>
          <w:p w14:paraId="39DEA9D3"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iCs/>
                <w:szCs w:val="22"/>
              </w:rPr>
              <w:t>7.8</w:t>
            </w:r>
          </w:p>
        </w:tc>
        <w:tc>
          <w:tcPr>
            <w:tcW w:w="923" w:type="dxa"/>
            <w:shd w:val="clear" w:color="auto" w:fill="F3F9FA"/>
            <w:noWrap/>
            <w:vAlign w:val="bottom"/>
          </w:tcPr>
          <w:p w14:paraId="2E25CBE2"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iCs/>
                <w:szCs w:val="22"/>
              </w:rPr>
              <w:t>11.9</w:t>
            </w:r>
          </w:p>
        </w:tc>
        <w:tc>
          <w:tcPr>
            <w:tcW w:w="924" w:type="dxa"/>
            <w:shd w:val="clear" w:color="auto" w:fill="F3F9FA"/>
            <w:noWrap/>
            <w:vAlign w:val="bottom"/>
          </w:tcPr>
          <w:p w14:paraId="7B0B7AD5" w14:textId="77777777" w:rsidR="006F4537" w:rsidRPr="00CB093C" w:rsidRDefault="006F4537" w:rsidP="006F4537">
            <w:pPr>
              <w:spacing w:before="0" w:after="0"/>
              <w:jc w:val="center"/>
              <w:rPr>
                <w:rFonts w:ascii="Arial" w:hAnsi="Arial" w:cs="Arial"/>
                <w:color w:val="000000"/>
                <w:szCs w:val="22"/>
              </w:rPr>
            </w:pPr>
            <w:r w:rsidRPr="00CB093C">
              <w:rPr>
                <w:rFonts w:ascii="Arial" w:hAnsi="Arial" w:cs="Arial"/>
                <w:iCs/>
                <w:szCs w:val="22"/>
              </w:rPr>
              <w:t>21.6</w:t>
            </w:r>
          </w:p>
        </w:tc>
      </w:tr>
      <w:tr w:rsidR="006F4537" w:rsidRPr="00CB093C" w14:paraId="184BFF72" w14:textId="77777777" w:rsidTr="006F4537">
        <w:trPr>
          <w:trHeight w:val="170"/>
        </w:trPr>
        <w:tc>
          <w:tcPr>
            <w:tcW w:w="2071" w:type="dxa"/>
            <w:tcBorders>
              <w:top w:val="nil"/>
              <w:left w:val="nil"/>
              <w:bottom w:val="single" w:sz="4" w:space="0" w:color="auto"/>
              <w:right w:val="nil"/>
            </w:tcBorders>
            <w:shd w:val="clear" w:color="auto" w:fill="E7F3F4"/>
            <w:noWrap/>
            <w:vAlign w:val="bottom"/>
          </w:tcPr>
          <w:p w14:paraId="41C15F69" w14:textId="77777777" w:rsidR="006F4537" w:rsidRPr="00CB093C" w:rsidRDefault="006F4537" w:rsidP="006F4537">
            <w:pPr>
              <w:spacing w:before="0" w:after="0"/>
              <w:rPr>
                <w:rFonts w:ascii="Arial" w:hAnsi="Arial" w:cs="Arial"/>
                <w:color w:val="000000"/>
                <w:szCs w:val="22"/>
              </w:rPr>
            </w:pPr>
          </w:p>
        </w:tc>
        <w:tc>
          <w:tcPr>
            <w:tcW w:w="956" w:type="dxa"/>
            <w:tcBorders>
              <w:top w:val="nil"/>
              <w:left w:val="nil"/>
              <w:bottom w:val="single" w:sz="4" w:space="0" w:color="auto"/>
              <w:right w:val="nil"/>
            </w:tcBorders>
            <w:shd w:val="clear" w:color="auto" w:fill="E7F3F4"/>
            <w:noWrap/>
            <w:vAlign w:val="bottom"/>
            <w:hideMark/>
          </w:tcPr>
          <w:p w14:paraId="327620DB" w14:textId="77777777" w:rsidR="006F4537" w:rsidRPr="00CB093C" w:rsidRDefault="006F4537" w:rsidP="006F4537">
            <w:pPr>
              <w:spacing w:before="0" w:after="0"/>
              <w:rPr>
                <w:rFonts w:ascii="Arial" w:hAnsi="Arial" w:cs="Arial"/>
                <w:color w:val="000000"/>
                <w:szCs w:val="22"/>
              </w:rPr>
            </w:pPr>
            <w:r w:rsidRPr="00CB093C">
              <w:rPr>
                <w:rFonts w:ascii="Arial" w:hAnsi="Arial" w:cs="Arial"/>
                <w:color w:val="000000"/>
                <w:szCs w:val="22"/>
              </w:rPr>
              <w:t>NRM</w:t>
            </w:r>
          </w:p>
        </w:tc>
        <w:tc>
          <w:tcPr>
            <w:tcW w:w="2117" w:type="dxa"/>
            <w:tcBorders>
              <w:top w:val="nil"/>
              <w:left w:val="nil"/>
              <w:bottom w:val="single" w:sz="4" w:space="0" w:color="auto"/>
              <w:right w:val="nil"/>
            </w:tcBorders>
            <w:shd w:val="clear" w:color="auto" w:fill="E7F3F4"/>
            <w:noWrap/>
            <w:vAlign w:val="bottom"/>
            <w:hideMark/>
          </w:tcPr>
          <w:p w14:paraId="78D736A4" w14:textId="77777777" w:rsidR="006F4537" w:rsidRPr="00CB093C" w:rsidRDefault="006F4537" w:rsidP="006F4537">
            <w:pPr>
              <w:spacing w:before="0" w:after="0"/>
              <w:rPr>
                <w:rFonts w:ascii="Arial" w:hAnsi="Arial" w:cs="Arial"/>
                <w:b/>
                <w:bCs/>
                <w:i/>
                <w:iCs/>
                <w:color w:val="000000"/>
                <w:szCs w:val="22"/>
              </w:rPr>
            </w:pPr>
            <w:r w:rsidRPr="00CB093C">
              <w:rPr>
                <w:rFonts w:ascii="Arial" w:hAnsi="Arial" w:cs="Arial"/>
                <w:b/>
                <w:bCs/>
                <w:i/>
                <w:iCs/>
                <w:color w:val="000000"/>
                <w:szCs w:val="22"/>
              </w:rPr>
              <w:t>coastal intertidal</w:t>
            </w:r>
          </w:p>
        </w:tc>
        <w:tc>
          <w:tcPr>
            <w:tcW w:w="923" w:type="dxa"/>
            <w:tcBorders>
              <w:top w:val="nil"/>
              <w:left w:val="nil"/>
              <w:bottom w:val="single" w:sz="4" w:space="0" w:color="auto"/>
              <w:right w:val="nil"/>
            </w:tcBorders>
            <w:shd w:val="clear" w:color="auto" w:fill="E7F3F4"/>
            <w:noWrap/>
            <w:vAlign w:val="center"/>
          </w:tcPr>
          <w:p w14:paraId="73581D8C" w14:textId="77777777" w:rsidR="006F4537" w:rsidRPr="00CB093C" w:rsidRDefault="006F4537" w:rsidP="006F4537">
            <w:pPr>
              <w:spacing w:before="0" w:after="0"/>
              <w:jc w:val="center"/>
              <w:rPr>
                <w:rFonts w:ascii="Arial" w:hAnsi="Arial" w:cs="Arial"/>
                <w:b/>
                <w:bCs/>
                <w:i/>
                <w:iCs/>
                <w:color w:val="000000"/>
                <w:szCs w:val="22"/>
              </w:rPr>
            </w:pPr>
          </w:p>
        </w:tc>
        <w:tc>
          <w:tcPr>
            <w:tcW w:w="924" w:type="dxa"/>
            <w:tcBorders>
              <w:top w:val="nil"/>
              <w:left w:val="nil"/>
              <w:bottom w:val="single" w:sz="4" w:space="0" w:color="auto"/>
              <w:right w:val="nil"/>
            </w:tcBorders>
            <w:shd w:val="clear" w:color="auto" w:fill="E7F3F4"/>
            <w:noWrap/>
            <w:vAlign w:val="center"/>
            <w:hideMark/>
          </w:tcPr>
          <w:p w14:paraId="16727A53"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7.8</w:t>
            </w:r>
          </w:p>
        </w:tc>
        <w:tc>
          <w:tcPr>
            <w:tcW w:w="923" w:type="dxa"/>
            <w:tcBorders>
              <w:top w:val="nil"/>
              <w:left w:val="nil"/>
              <w:bottom w:val="single" w:sz="4" w:space="0" w:color="auto"/>
              <w:right w:val="nil"/>
            </w:tcBorders>
            <w:shd w:val="clear" w:color="auto" w:fill="E7F3F4"/>
            <w:noWrap/>
            <w:vAlign w:val="center"/>
            <w:hideMark/>
          </w:tcPr>
          <w:p w14:paraId="40CB7C5F"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11.9</w:t>
            </w:r>
          </w:p>
        </w:tc>
        <w:tc>
          <w:tcPr>
            <w:tcW w:w="924" w:type="dxa"/>
            <w:tcBorders>
              <w:top w:val="nil"/>
              <w:left w:val="nil"/>
              <w:bottom w:val="single" w:sz="4" w:space="0" w:color="auto"/>
              <w:right w:val="nil"/>
            </w:tcBorders>
            <w:shd w:val="clear" w:color="auto" w:fill="E7F3F4"/>
            <w:noWrap/>
            <w:vAlign w:val="center"/>
            <w:hideMark/>
          </w:tcPr>
          <w:p w14:paraId="596F2785" w14:textId="77777777" w:rsidR="006F4537" w:rsidRPr="00CB093C" w:rsidRDefault="006F4537" w:rsidP="006F4537">
            <w:pPr>
              <w:spacing w:before="0" w:after="0"/>
              <w:jc w:val="center"/>
              <w:rPr>
                <w:rFonts w:ascii="Arial" w:hAnsi="Arial" w:cs="Arial"/>
                <w:b/>
                <w:bCs/>
                <w:i/>
                <w:iCs/>
                <w:color w:val="000000"/>
                <w:szCs w:val="22"/>
              </w:rPr>
            </w:pPr>
            <w:r w:rsidRPr="00CB093C">
              <w:rPr>
                <w:rFonts w:ascii="Arial" w:hAnsi="Arial" w:cs="Arial"/>
                <w:b/>
                <w:bCs/>
                <w:i/>
                <w:iCs/>
                <w:color w:val="000000"/>
                <w:szCs w:val="22"/>
              </w:rPr>
              <w:t>21.6</w:t>
            </w:r>
          </w:p>
        </w:tc>
      </w:tr>
    </w:tbl>
    <w:p w14:paraId="0EFB5E03" w14:textId="77777777" w:rsidR="002965B8" w:rsidRPr="00CB093C" w:rsidRDefault="002965B8" w:rsidP="00842050">
      <w:pPr>
        <w:spacing w:before="0" w:after="0"/>
        <w:rPr>
          <w:rFonts w:ascii="Arial" w:hAnsi="Arial" w:cs="Arial"/>
          <w:color w:val="000000"/>
          <w:szCs w:val="22"/>
        </w:rPr>
      </w:pPr>
      <w:bookmarkStart w:id="761" w:name="_Toc431493751"/>
      <w:bookmarkEnd w:id="760"/>
    </w:p>
    <w:p w14:paraId="6C6A3FCE" w14:textId="6D4BC617" w:rsidR="00842050" w:rsidRPr="00CB093C" w:rsidRDefault="00842050" w:rsidP="00842050">
      <w:pPr>
        <w:spacing w:before="0" w:after="0"/>
        <w:rPr>
          <w:rFonts w:ascii="Arial" w:hAnsi="Arial" w:cs="Arial"/>
          <w:color w:val="000000"/>
          <w:szCs w:val="22"/>
        </w:rPr>
      </w:pPr>
      <w:r w:rsidRPr="00CB093C">
        <w:rPr>
          <w:rFonts w:ascii="Arial" w:hAnsi="Arial" w:cs="Arial"/>
          <w:color w:val="000000"/>
          <w:szCs w:val="22"/>
        </w:rPr>
        <w:br w:type="page"/>
      </w:r>
    </w:p>
    <w:p w14:paraId="431EA5CA" w14:textId="77777777" w:rsidR="00842050" w:rsidRPr="00CB093C" w:rsidRDefault="00842050" w:rsidP="0015509E">
      <w:pPr>
        <w:pStyle w:val="Heading2"/>
        <w:numPr>
          <w:ilvl w:val="0"/>
          <w:numId w:val="0"/>
        </w:numPr>
      </w:pPr>
      <w:bookmarkStart w:id="762" w:name="_Toc11394800"/>
      <w:r w:rsidRPr="00CB093C">
        <w:t>Seagrass reproductive effort</w:t>
      </w:r>
      <w:bookmarkEnd w:id="762"/>
    </w:p>
    <w:bookmarkEnd w:id="761"/>
    <w:p w14:paraId="09CB1C37" w14:textId="32FCF717" w:rsidR="00842050" w:rsidRPr="00CB093C" w:rsidRDefault="00842050" w:rsidP="00842050">
      <w:pPr>
        <w:rPr>
          <w:rFonts w:ascii="Arial" w:hAnsi="Arial" w:cs="Arial"/>
          <w:color w:val="000000"/>
          <w:szCs w:val="22"/>
        </w:rPr>
      </w:pPr>
      <w:r w:rsidRPr="00CB093C">
        <w:rPr>
          <w:rFonts w:ascii="Arial" w:hAnsi="Arial" w:cs="Arial"/>
          <w:color w:val="000000"/>
          <w:szCs w:val="22"/>
        </w:rPr>
        <w:t xml:space="preserve">The reproductive effort </w:t>
      </w:r>
      <w:r w:rsidR="00030955" w:rsidRPr="00CB093C">
        <w:rPr>
          <w:rFonts w:ascii="Arial" w:hAnsi="Arial" w:cs="Arial"/>
          <w:color w:val="000000"/>
          <w:szCs w:val="22"/>
        </w:rPr>
        <w:t xml:space="preserve">is the number of reproductive structures </w:t>
      </w:r>
      <w:r w:rsidR="00FD59DB" w:rsidRPr="00CB093C">
        <w:rPr>
          <w:rFonts w:ascii="Arial" w:hAnsi="Arial" w:cs="Arial"/>
          <w:color w:val="000000"/>
          <w:szCs w:val="22"/>
        </w:rPr>
        <w:t xml:space="preserve">(inflorescence, fruit, spathe, seed) </w:t>
      </w:r>
      <w:r w:rsidR="00030955" w:rsidRPr="00CB093C">
        <w:rPr>
          <w:rFonts w:ascii="Arial" w:hAnsi="Arial" w:cs="Arial"/>
          <w:color w:val="000000"/>
          <w:szCs w:val="22"/>
        </w:rPr>
        <w:t>per core</w:t>
      </w:r>
      <w:r w:rsidRPr="00CB093C">
        <w:rPr>
          <w:rFonts w:ascii="Arial" w:hAnsi="Arial" w:cs="Arial"/>
          <w:color w:val="000000"/>
          <w:szCs w:val="22"/>
        </w:rPr>
        <w:t xml:space="preserve">. Given the high diversity of seagrass species that occur in the </w:t>
      </w:r>
      <w:r w:rsidR="003158FC" w:rsidRPr="00CB093C">
        <w:rPr>
          <w:rFonts w:ascii="Arial" w:hAnsi="Arial" w:cs="Arial"/>
          <w:color w:val="000000"/>
          <w:szCs w:val="22"/>
        </w:rPr>
        <w:t>Reef</w:t>
      </w:r>
      <w:r w:rsidRPr="00CB093C">
        <w:rPr>
          <w:rFonts w:ascii="Arial" w:hAnsi="Arial" w:cs="Arial"/>
          <w:color w:val="000000"/>
          <w:szCs w:val="22"/>
        </w:rPr>
        <w:t xml:space="preserve"> coastal zone </w:t>
      </w:r>
      <w:r w:rsidRPr="00CB093C">
        <w:rPr>
          <w:rFonts w:ascii="Arial" w:hAnsi="Arial" w:cs="Arial"/>
          <w:noProof/>
          <w:color w:val="000000"/>
          <w:szCs w:val="22"/>
        </w:rPr>
        <w:t>(</w:t>
      </w:r>
      <w:hyperlink w:anchor="_ENREF_150" w:tooltip="Waycott, 2007 #9133"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 timestamp="1374984594"&gt;9133&lt;/key&gt;&lt;/foreign-keys&gt;&lt;ref-type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Waycott</w:t>
        </w:r>
        <w:r w:rsidR="00513C39" w:rsidRPr="00CB093C">
          <w:rPr>
            <w:rFonts w:ascii="Arial" w:hAnsi="Arial" w:cs="Arial"/>
            <w:i/>
            <w:noProof/>
            <w:szCs w:val="22"/>
          </w:rPr>
          <w:t xml:space="preserve"> et al.</w:t>
        </w:r>
        <w:r w:rsidR="00513C39" w:rsidRPr="00CB093C">
          <w:rPr>
            <w:rFonts w:ascii="Arial" w:hAnsi="Arial" w:cs="Arial"/>
            <w:noProof/>
            <w:szCs w:val="22"/>
          </w:rPr>
          <w:t xml:space="preserve"> 2007</w:t>
        </w:r>
        <w:r w:rsidR="00513C39" w:rsidRPr="00CB093C">
          <w:rPr>
            <w:rFonts w:ascii="Arial" w:hAnsi="Arial" w:cs="Arial"/>
            <w:szCs w:val="22"/>
          </w:rPr>
          <w:fldChar w:fldCharType="end"/>
        </w:r>
      </w:hyperlink>
      <w:r w:rsidRPr="00CB093C">
        <w:rPr>
          <w:rFonts w:ascii="Arial" w:hAnsi="Arial" w:cs="Arial"/>
          <w:noProof/>
          <w:color w:val="000000"/>
          <w:szCs w:val="22"/>
        </w:rPr>
        <w:t>)</w:t>
      </w:r>
      <w:r w:rsidRPr="00CB093C">
        <w:rPr>
          <w:rFonts w:ascii="Arial" w:hAnsi="Arial" w:cs="Arial"/>
          <w:color w:val="000000"/>
          <w:szCs w:val="22"/>
        </w:rPr>
        <w:t xml:space="preserve">, </w:t>
      </w:r>
      <w:r w:rsidR="00824A7C" w:rsidRPr="00CB093C">
        <w:rPr>
          <w:rFonts w:ascii="Arial" w:hAnsi="Arial" w:cs="Arial"/>
          <w:color w:val="000000"/>
          <w:szCs w:val="22"/>
        </w:rPr>
        <w:t xml:space="preserve">and </w:t>
      </w:r>
      <w:r w:rsidRPr="00CB093C">
        <w:rPr>
          <w:rFonts w:ascii="Arial" w:hAnsi="Arial" w:cs="Arial"/>
          <w:color w:val="000000"/>
          <w:szCs w:val="22"/>
        </w:rPr>
        <w:t xml:space="preserve">their variability in production of reproductive structures </w:t>
      </w:r>
      <w:r w:rsidRPr="00CB093C">
        <w:rPr>
          <w:rFonts w:ascii="Arial" w:hAnsi="Arial" w:cs="Arial"/>
          <w:noProof/>
          <w:color w:val="000000"/>
          <w:szCs w:val="22"/>
        </w:rPr>
        <w:t xml:space="preserve">(e.g. </w:t>
      </w:r>
      <w:hyperlink w:anchor="_ENREF_120" w:tooltip="Orth, 2006 #7350"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&lt;EndNote&gt;&lt;Cite&gt;&lt;Author&gt;Orth&lt;/Author&gt;&lt;Year&gt;2006&lt;/Year&gt;&lt;RecNum&gt;7350&lt;/RecNum&gt;&lt;DisplayText&gt;Orth&lt;style face="italic"&gt; et al.&lt;/style&gt; 2006&lt;/DisplayText&gt;&lt;record&gt;&lt;rec-number&gt;7350&lt;/rec-number&gt;&lt;foreign-keys&gt;&lt;key app="EN" db-id="0eve55x9y5vfd6e9dacxtew4eatve2dzds9a" timestamp="0"&gt;7350&lt;/key&gt;&lt;/foreign-keys&gt;&lt;ref-type name="Book Section"&gt;5&lt;/ref-type&gt;&lt;contributors&gt;&lt;authors&gt;&lt;author&gt;Orth, Robert J.&lt;/author&gt;&lt;author&gt;Harwell, Matthew C.&lt;/author&gt;&lt;author&gt;Inglis, Graeme J.&lt;/author&gt;&lt;/authors&gt;&lt;secondary-authors&gt;&lt;author&gt;Larkum, Anthony W. D.&lt;/author&gt;&lt;author&gt;Orth, Robert J.&lt;/author&gt;&lt;author&gt;Duarte, Carlos M.&lt;/author&gt;&lt;/secondary-authors&gt;&lt;/contributors&gt;&lt;titles&gt;&lt;title&gt;Ecology of seagrass seeds and dispersal strategies&lt;/title&gt;&lt;secondary-title&gt;Seagrasses: biology, ecology and conservation&lt;/secondary-title&gt;&lt;/titles&gt;&lt;periodical&gt;&lt;full-title&gt;Seagrasses: Biology, Ecology and Conservation&lt;/full-title&gt;&lt;/periodical&gt;&lt;pages&gt;113-133&lt;/pages&gt;&lt;section&gt;5&lt;/section&gt;&lt;dates&gt;&lt;year&gt;2006&lt;/year&gt;&lt;/dates&gt;&lt;pub-location&gt;Dordrecht&lt;/pub-location&gt;&lt;publisher&gt;Springer&lt;/publisher&gt;&lt;isbn&gt;10 1-4020-2942-X&lt;/isbn&gt;&lt;urls&gt;&lt;/urls&gt;&lt;/record&gt;&lt;/Cite&gt;&lt;/EndNote&gt;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Orth</w:t>
        </w:r>
        <w:r w:rsidR="00513C39" w:rsidRPr="00CB093C">
          <w:rPr>
            <w:rFonts w:ascii="Arial" w:hAnsi="Arial" w:cs="Arial"/>
            <w:i/>
            <w:noProof/>
            <w:szCs w:val="22"/>
          </w:rPr>
          <w:t xml:space="preserve"> et al.</w:t>
        </w:r>
        <w:r w:rsidR="00513C39" w:rsidRPr="00CB093C">
          <w:rPr>
            <w:rFonts w:ascii="Arial" w:hAnsi="Arial" w:cs="Arial"/>
            <w:noProof/>
            <w:szCs w:val="22"/>
          </w:rPr>
          <w:t xml:space="preserve"> 2006</w:t>
        </w:r>
        <w:r w:rsidR="00513C39" w:rsidRPr="00CB093C">
          <w:rPr>
            <w:rFonts w:ascii="Arial" w:hAnsi="Arial" w:cs="Arial"/>
            <w:szCs w:val="22"/>
          </w:rPr>
          <w:fldChar w:fldCharType="end"/>
        </w:r>
      </w:hyperlink>
      <w:r w:rsidRPr="00CB093C">
        <w:rPr>
          <w:rFonts w:ascii="Arial" w:hAnsi="Arial" w:cs="Arial"/>
          <w:noProof/>
          <w:color w:val="000000"/>
          <w:szCs w:val="22"/>
        </w:rPr>
        <w:t>)</w:t>
      </w:r>
      <w:r w:rsidRPr="00CB093C">
        <w:rPr>
          <w:rFonts w:ascii="Arial" w:hAnsi="Arial" w:cs="Arial"/>
          <w:color w:val="000000"/>
          <w:szCs w:val="22"/>
        </w:rPr>
        <w:t xml:space="preserve">, a metric that incorporates all available information on the production of flowers and fruits per unit area </w:t>
      </w:r>
      <w:r w:rsidR="00824A7C" w:rsidRPr="00CB093C">
        <w:rPr>
          <w:rFonts w:ascii="Arial" w:hAnsi="Arial" w:cs="Arial"/>
          <w:color w:val="000000"/>
          <w:szCs w:val="22"/>
        </w:rPr>
        <w:t>is used</w:t>
      </w:r>
      <w:r w:rsidRPr="00CB093C">
        <w:rPr>
          <w:rFonts w:ascii="Arial" w:hAnsi="Arial" w:cs="Arial"/>
          <w:color w:val="000000"/>
          <w:szCs w:val="22"/>
        </w:rPr>
        <w:t xml:space="preserve">. </w:t>
      </w:r>
    </w:p>
    <w:p w14:paraId="500617B0" w14:textId="3F0280FC" w:rsidR="00842050" w:rsidRPr="00CB093C" w:rsidRDefault="00842050" w:rsidP="00842050">
      <w:pPr>
        <w:rPr>
          <w:rFonts w:ascii="Arial" w:hAnsi="Arial" w:cs="Arial"/>
          <w:color w:val="000000"/>
          <w:szCs w:val="22"/>
        </w:rPr>
      </w:pPr>
      <w:r w:rsidRPr="00CB093C">
        <w:rPr>
          <w:rFonts w:ascii="Arial" w:hAnsi="Arial" w:cs="Arial"/>
          <w:color w:val="000000"/>
          <w:szCs w:val="22"/>
        </w:rPr>
        <w:t xml:space="preserve">The production of seeds also reflects a simple measure of the capacity of a seagrass meadow to recover following large scale impacts </w:t>
      </w:r>
      <w:r w:rsidRPr="00CB093C">
        <w:rPr>
          <w:rFonts w:ascii="Arial" w:hAnsi="Arial" w:cs="Arial"/>
          <w:noProof/>
          <w:color w:val="000000"/>
          <w:szCs w:val="22"/>
        </w:rPr>
        <w:t>(</w:t>
      </w:r>
      <w:hyperlink w:anchor="_ENREF_31" w:tooltip="Collier, 2009 #9285"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Collier and Waycott 2009</w:t>
        </w:r>
        <w:r w:rsidR="00513C39" w:rsidRPr="00CB093C">
          <w:rPr>
            <w:rFonts w:ascii="Arial" w:hAnsi="Arial" w:cs="Arial"/>
            <w:szCs w:val="22"/>
          </w:rPr>
          <w:fldChar w:fldCharType="end"/>
        </w:r>
      </w:hyperlink>
      <w:r w:rsidRPr="00CB093C">
        <w:rPr>
          <w:rFonts w:ascii="Arial" w:hAnsi="Arial" w:cs="Arial"/>
          <w:noProof/>
          <w:color w:val="000000"/>
          <w:szCs w:val="22"/>
        </w:rPr>
        <w:t>)</w:t>
      </w:r>
      <w:r w:rsidRPr="00CB093C">
        <w:rPr>
          <w:rFonts w:ascii="Arial" w:hAnsi="Arial" w:cs="Arial"/>
          <w:color w:val="000000"/>
          <w:szCs w:val="22"/>
        </w:rPr>
        <w:t xml:space="preserve">. As it is well recognized that coastal seagrasses are prone to small scale disturbances that cause local losses </w:t>
      </w:r>
      <w:r w:rsidRPr="00CB093C">
        <w:rPr>
          <w:rFonts w:ascii="Arial" w:hAnsi="Arial" w:cs="Arial"/>
          <w:noProof/>
          <w:color w:val="000000"/>
          <w:szCs w:val="22"/>
        </w:rPr>
        <w:t>(</w:t>
      </w:r>
      <w:hyperlink w:anchor="_ENREF_31" w:tooltip="Collier, 2009 #9285"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Collier and Waycott 2009</w:t>
        </w:r>
        <w:r w:rsidR="00513C39" w:rsidRPr="00CB093C">
          <w:rPr>
            <w:rFonts w:ascii="Arial" w:hAnsi="Arial" w:cs="Arial"/>
            <w:szCs w:val="22"/>
          </w:rPr>
          <w:fldChar w:fldCharType="end"/>
        </w:r>
      </w:hyperlink>
      <w:r w:rsidRPr="00CB093C">
        <w:rPr>
          <w:rFonts w:ascii="Arial" w:hAnsi="Arial" w:cs="Arial"/>
          <w:noProof/>
          <w:color w:val="000000"/>
          <w:szCs w:val="22"/>
        </w:rPr>
        <w:t>)</w:t>
      </w:r>
      <w:r w:rsidRPr="00CB093C">
        <w:rPr>
          <w:rFonts w:ascii="Arial" w:hAnsi="Arial" w:cs="Arial"/>
          <w:color w:val="000000"/>
          <w:szCs w:val="22"/>
        </w:rPr>
        <w:t xml:space="preserve"> and then recover in relatively short periods of time, the need for a local seed source is considerable. In the </w:t>
      </w:r>
      <w:r w:rsidR="003158FC" w:rsidRPr="00CB093C">
        <w:rPr>
          <w:rFonts w:ascii="Arial" w:hAnsi="Arial" w:cs="Arial"/>
          <w:color w:val="000000"/>
          <w:szCs w:val="22"/>
        </w:rPr>
        <w:t>Reef</w:t>
      </w:r>
      <w:r w:rsidRPr="00CB093C">
        <w:rPr>
          <w:rFonts w:ascii="Arial" w:hAnsi="Arial" w:cs="Arial"/>
          <w:color w:val="000000"/>
          <w:szCs w:val="22"/>
        </w:rPr>
        <w:t>, the production of seeds comes in numerous forms and seed banks examined at MMP sites are limited to foundational seagrass species (seeds &gt;0.5mm diameter). At this time, seed banks have not been included in the metric for reproductive effort, but methods for future incorporation are currently being explored.</w:t>
      </w:r>
    </w:p>
    <w:p w14:paraId="14C78D23" w14:textId="45AD84C9" w:rsidR="00842050" w:rsidRPr="00CB093C" w:rsidRDefault="00842050" w:rsidP="00842050">
      <w:pPr>
        <w:spacing w:before="240"/>
        <w:rPr>
          <w:rFonts w:ascii="Arial" w:hAnsi="Arial" w:cs="Arial"/>
          <w:color w:val="000000"/>
          <w:szCs w:val="22"/>
        </w:rPr>
      </w:pPr>
      <w:r w:rsidRPr="00CB093C">
        <w:rPr>
          <w:rFonts w:ascii="Arial" w:hAnsi="Arial" w:cs="Arial"/>
          <w:color w:val="000000"/>
          <w:szCs w:val="22"/>
        </w:rPr>
        <w:t>Using the annual mean of all species pooled in the late dry and comparing with the long-term (2005</w:t>
      </w:r>
      <w:r w:rsidR="0043389D" w:rsidRPr="00CB093C">
        <w:rPr>
          <w:rFonts w:ascii="Arial" w:hAnsi="Arial" w:cs="Arial"/>
          <w:color w:val="000000"/>
          <w:szCs w:val="22"/>
        </w:rPr>
        <w:t>–</w:t>
      </w:r>
      <w:r w:rsidRPr="00CB093C">
        <w:rPr>
          <w:rFonts w:ascii="Arial" w:hAnsi="Arial" w:cs="Arial"/>
          <w:color w:val="000000"/>
          <w:szCs w:val="22"/>
        </w:rPr>
        <w:t xml:space="preserve">2010) average for </w:t>
      </w:r>
      <w:r w:rsidR="003158FC" w:rsidRPr="00CB093C">
        <w:rPr>
          <w:rFonts w:ascii="Arial" w:hAnsi="Arial" w:cs="Arial"/>
          <w:color w:val="000000"/>
          <w:szCs w:val="22"/>
        </w:rPr>
        <w:t>Reef</w:t>
      </w:r>
      <w:r w:rsidRPr="00CB093C">
        <w:rPr>
          <w:rFonts w:ascii="Arial" w:hAnsi="Arial" w:cs="Arial"/>
          <w:color w:val="000000"/>
          <w:szCs w:val="22"/>
        </w:rPr>
        <w:t xml:space="preserve"> habitat (coastal intertidal = 8.22±0.71, estuarine intertidal = 5.07±0.41, reef intertidal = 1.32±0.14), the reproductive effort </w:t>
      </w:r>
      <w:r w:rsidR="00824A7C" w:rsidRPr="00CB093C">
        <w:rPr>
          <w:rFonts w:ascii="Arial" w:hAnsi="Arial" w:cs="Arial"/>
          <w:color w:val="000000"/>
          <w:szCs w:val="22"/>
        </w:rPr>
        <w:t>is</w:t>
      </w:r>
      <w:r w:rsidRPr="00CB093C">
        <w:rPr>
          <w:rFonts w:ascii="Arial" w:hAnsi="Arial" w:cs="Arial"/>
          <w:color w:val="000000"/>
          <w:szCs w:val="22"/>
        </w:rPr>
        <w:t xml:space="preserve"> scored as the number of reproductive structures per core and the overall status determined as the ratio of the average number observed divided by the long term average.</w:t>
      </w:r>
    </w:p>
    <w:p w14:paraId="6CA9B74E" w14:textId="77777777" w:rsidR="00034B88" w:rsidRPr="00CB093C" w:rsidRDefault="00034B88" w:rsidP="0015509E">
      <w:pPr>
        <w:pStyle w:val="Heading2"/>
        <w:numPr>
          <w:ilvl w:val="0"/>
          <w:numId w:val="0"/>
        </w:numPr>
      </w:pPr>
      <w:bookmarkStart w:id="763" w:name="_Toc11394801"/>
      <w:bookmarkStart w:id="764" w:name="_Toc431493752"/>
      <w:r w:rsidRPr="00CB093C">
        <w:t>Seagrass nutrient status.</w:t>
      </w:r>
      <w:bookmarkEnd w:id="763"/>
    </w:p>
    <w:bookmarkEnd w:id="764"/>
    <w:p w14:paraId="7167F589" w14:textId="2A8C1282" w:rsidR="00842050" w:rsidRPr="00CB093C" w:rsidRDefault="00842050" w:rsidP="00842050">
      <w:pPr>
        <w:rPr>
          <w:rFonts w:ascii="Arial" w:hAnsi="Arial" w:cs="Arial"/>
          <w:color w:val="000000"/>
          <w:szCs w:val="22"/>
        </w:rPr>
      </w:pPr>
      <w:r w:rsidRPr="00CB093C">
        <w:rPr>
          <w:rFonts w:ascii="Arial" w:hAnsi="Arial" w:cs="Arial"/>
          <w:color w:val="000000"/>
          <w:szCs w:val="22"/>
        </w:rPr>
        <w:t>The molar ratios of seagrass tissue carbon relative to nitrogen (C:N) were chosen as the indicator for seagrass nutrient status</w:t>
      </w:r>
      <w:r w:rsidR="00824A7C" w:rsidRPr="00CB093C">
        <w:rPr>
          <w:rFonts w:ascii="Arial" w:hAnsi="Arial" w:cs="Arial"/>
          <w:color w:val="000000"/>
          <w:szCs w:val="22"/>
        </w:rPr>
        <w:t>,</w:t>
      </w:r>
      <w:r w:rsidRPr="00CB093C">
        <w:rPr>
          <w:rFonts w:ascii="Arial" w:hAnsi="Arial" w:cs="Arial"/>
          <w:color w:val="000000"/>
          <w:szCs w:val="22"/>
        </w:rPr>
        <w:t xml:space="preserve"> as an atomic C:N ratio of </w:t>
      </w:r>
      <w:r w:rsidR="00824A7C" w:rsidRPr="00CB093C">
        <w:rPr>
          <w:rFonts w:ascii="Arial" w:hAnsi="Arial" w:cs="Arial"/>
          <w:color w:val="000000"/>
          <w:szCs w:val="22"/>
        </w:rPr>
        <w:t>&lt;</w:t>
      </w:r>
      <w:r w:rsidRPr="00CB093C">
        <w:rPr>
          <w:rFonts w:ascii="Arial" w:hAnsi="Arial" w:cs="Arial"/>
          <w:color w:val="000000"/>
          <w:szCs w:val="22"/>
        </w:rPr>
        <w:t xml:space="preserve">20 may suggest either reduced light availability or nitrogen enrichment. Both of these deviations may indicate reduced water quality. </w:t>
      </w:r>
    </w:p>
    <w:p w14:paraId="3C437EDB" w14:textId="68F904A7" w:rsidR="00842050" w:rsidRPr="00CB093C" w:rsidRDefault="00842050" w:rsidP="00842050">
      <w:pPr>
        <w:rPr>
          <w:rFonts w:ascii="Arial" w:hAnsi="Arial" w:cs="Arial"/>
          <w:szCs w:val="22"/>
        </w:rPr>
      </w:pPr>
      <w:r w:rsidRPr="00CB093C">
        <w:rPr>
          <w:rFonts w:ascii="Arial" w:hAnsi="Arial" w:cs="Arial"/>
          <w:szCs w:val="22"/>
        </w:rPr>
        <w:t>As changing leaf C:N ratios have been found in a number of experiments and field surveys to be related to available nutrient and light levels (</w:t>
      </w:r>
      <w:r w:rsidR="00644A84" w:rsidRPr="00CB093C">
        <w:rPr>
          <w:rFonts w:ascii="Arial" w:hAnsi="Arial" w:cs="Arial"/>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eWxlPiAxOTk2OyBDYWJhw6dvIGFuZCBTYW50b3MgMjAwNzsgQ29sbGllcjxzdHlsZSBmYWNlPSJp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</w:fldData>
        </w:fldChar>
      </w:r>
      <w:r w:rsidR="00521D93" w:rsidRPr="00CB093C">
        <w:rPr>
          <w:rFonts w:ascii="Arial" w:hAnsi="Arial" w:cs="Arial"/>
          <w:szCs w:val="22"/>
        </w:rPr>
        <w:instrText xml:space="preserve"> ADDIN EN.CITE </w:instrText>
      </w:r>
      <w:r w:rsidR="00521D93" w:rsidRPr="00CB093C">
        <w:rPr>
          <w:rFonts w:ascii="Arial" w:hAnsi="Arial" w:cs="Arial"/>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eWxlPiAxOTk2OyBDYWJhw6dvIGFuZCBTYW50b3MgMjAwNzsgQ29sbGllcjxzdHlsZSBmYWNlPSJp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</w:fldData>
        </w:fldChar>
      </w:r>
      <w:r w:rsidR="00521D93" w:rsidRPr="00CB093C">
        <w:rPr>
          <w:rFonts w:ascii="Arial" w:hAnsi="Arial" w:cs="Arial"/>
          <w:szCs w:val="22"/>
        </w:rPr>
        <w:instrText xml:space="preserve"> ADDIN EN.CITE.DATA </w:instrText>
      </w:r>
      <w:r w:rsidR="00521D93" w:rsidRPr="00CB093C">
        <w:rPr>
          <w:rFonts w:ascii="Arial" w:hAnsi="Arial" w:cs="Arial"/>
          <w:szCs w:val="22"/>
        </w:rPr>
      </w:r>
      <w:r w:rsidR="00521D93" w:rsidRPr="00CB093C">
        <w:rPr>
          <w:rFonts w:ascii="Arial" w:hAnsi="Arial" w:cs="Arial"/>
          <w:szCs w:val="22"/>
        </w:rPr>
        <w:fldChar w:fldCharType="end"/>
      </w:r>
      <w:r w:rsidR="00644A84" w:rsidRPr="00CB093C">
        <w:rPr>
          <w:rFonts w:ascii="Arial" w:hAnsi="Arial" w:cs="Arial"/>
          <w:szCs w:val="22"/>
        </w:rPr>
      </w:r>
      <w:r w:rsidR="00644A84" w:rsidRPr="00CB093C">
        <w:rPr>
          <w:rFonts w:ascii="Arial" w:hAnsi="Arial" w:cs="Arial"/>
          <w:szCs w:val="22"/>
        </w:rPr>
        <w:fldChar w:fldCharType="separate"/>
      </w:r>
      <w:hyperlink w:anchor="_ENREF_1" w:tooltip="Abal, 1994 #7405" w:history="1">
        <w:r w:rsidR="00513C39" w:rsidRPr="00CB093C">
          <w:rPr>
            <w:rFonts w:ascii="Arial" w:hAnsi="Arial" w:cs="Arial"/>
            <w:noProof/>
            <w:szCs w:val="22"/>
          </w:rPr>
          <w:t>Abal</w:t>
        </w:r>
        <w:r w:rsidR="00513C39" w:rsidRPr="00CB093C">
          <w:rPr>
            <w:rFonts w:ascii="Arial" w:hAnsi="Arial" w:cs="Arial"/>
            <w:i/>
            <w:noProof/>
            <w:szCs w:val="22"/>
          </w:rPr>
          <w:t xml:space="preserve"> et al.</w:t>
        </w:r>
        <w:r w:rsidR="00513C39" w:rsidRPr="00CB093C">
          <w:rPr>
            <w:rFonts w:ascii="Arial" w:hAnsi="Arial" w:cs="Arial"/>
            <w:noProof/>
            <w:szCs w:val="22"/>
          </w:rPr>
          <w:t xml:space="preserve"> 1994</w:t>
        </w:r>
      </w:hyperlink>
      <w:r w:rsidR="00521D93" w:rsidRPr="00CB093C">
        <w:rPr>
          <w:rFonts w:ascii="Arial" w:hAnsi="Arial" w:cs="Arial"/>
          <w:noProof/>
          <w:szCs w:val="22"/>
        </w:rPr>
        <w:t xml:space="preserve">; </w:t>
      </w:r>
      <w:hyperlink w:anchor="_ENREF_64" w:tooltip="Grice, 1996 #1346" w:history="1">
        <w:r w:rsidR="00513C39" w:rsidRPr="00CB093C">
          <w:rPr>
            <w:rFonts w:ascii="Arial" w:hAnsi="Arial" w:cs="Arial"/>
            <w:noProof/>
            <w:szCs w:val="22"/>
          </w:rPr>
          <w:t>Grice</w:t>
        </w:r>
        <w:r w:rsidR="00513C39" w:rsidRPr="00CB093C">
          <w:rPr>
            <w:rFonts w:ascii="Arial" w:hAnsi="Arial" w:cs="Arial"/>
            <w:i/>
            <w:noProof/>
            <w:szCs w:val="22"/>
          </w:rPr>
          <w:t xml:space="preserve"> et al.</w:t>
        </w:r>
        <w:r w:rsidR="00513C39" w:rsidRPr="00CB093C">
          <w:rPr>
            <w:rFonts w:ascii="Arial" w:hAnsi="Arial" w:cs="Arial"/>
            <w:noProof/>
            <w:szCs w:val="22"/>
          </w:rPr>
          <w:t xml:space="preserve"> 1996</w:t>
        </w:r>
      </w:hyperlink>
      <w:r w:rsidR="00521D93" w:rsidRPr="00CB093C">
        <w:rPr>
          <w:rFonts w:ascii="Arial" w:hAnsi="Arial" w:cs="Arial"/>
          <w:noProof/>
          <w:szCs w:val="22"/>
        </w:rPr>
        <w:t xml:space="preserve">; </w:t>
      </w:r>
      <w:hyperlink w:anchor="_ENREF_16" w:tooltip="Cabaço, 2007 #9489" w:history="1">
        <w:r w:rsidR="00513C39" w:rsidRPr="00CB093C">
          <w:rPr>
            <w:rFonts w:ascii="Arial" w:hAnsi="Arial" w:cs="Arial"/>
            <w:noProof/>
            <w:szCs w:val="22"/>
          </w:rPr>
          <w:t>Cabaço and Santos 2007</w:t>
        </w:r>
      </w:hyperlink>
      <w:r w:rsidR="00521D93" w:rsidRPr="00CB093C">
        <w:rPr>
          <w:rFonts w:ascii="Arial" w:hAnsi="Arial" w:cs="Arial"/>
          <w:noProof/>
          <w:szCs w:val="22"/>
        </w:rPr>
        <w:t xml:space="preserve">; </w:t>
      </w:r>
      <w:hyperlink w:anchor="_ENREF_34" w:tooltip="Collier, 2009 #9490" w:history="1">
        <w:r w:rsidR="00513C39" w:rsidRPr="00CB093C">
          <w:rPr>
            <w:rFonts w:ascii="Arial" w:hAnsi="Arial" w:cs="Arial"/>
            <w:noProof/>
            <w:szCs w:val="22"/>
          </w:rPr>
          <w:t>Collier</w:t>
        </w:r>
        <w:r w:rsidR="00513C39" w:rsidRPr="00CB093C">
          <w:rPr>
            <w:rFonts w:ascii="Arial" w:hAnsi="Arial" w:cs="Arial"/>
            <w:i/>
            <w:noProof/>
            <w:szCs w:val="22"/>
          </w:rPr>
          <w:t xml:space="preserve"> et al.</w:t>
        </w:r>
        <w:r w:rsidR="00513C39" w:rsidRPr="00CB093C">
          <w:rPr>
            <w:rFonts w:ascii="Arial" w:hAnsi="Arial" w:cs="Arial"/>
            <w:noProof/>
            <w:szCs w:val="22"/>
          </w:rPr>
          <w:t xml:space="preserve"> 2009</w:t>
        </w:r>
      </w:hyperlink>
      <w:r w:rsidR="00644A84" w:rsidRPr="00CB093C">
        <w:rPr>
          <w:rFonts w:ascii="Arial" w:hAnsi="Arial" w:cs="Arial"/>
          <w:szCs w:val="22"/>
        </w:rPr>
        <w:fldChar w:fldCharType="end"/>
      </w:r>
      <w:r w:rsidRPr="00CB093C">
        <w:rPr>
          <w:rFonts w:ascii="Arial" w:hAnsi="Arial" w:cs="Arial"/>
          <w:szCs w:val="22"/>
        </w:rPr>
        <w:t xml:space="preserve">) they can be used as an indicator of the light that the plant is receiving relative to nitrogen availability or N surplus to light. With light limitation, seagrass plants are unable to build structure, hence the proportion of carbon in the leaves decreases relative to nitrogen. Experiments on seagrasses in Queensland have reported that at an atomic C:N ratio of </w:t>
      </w:r>
      <w:r w:rsidR="001D39B6" w:rsidRPr="00CB093C">
        <w:rPr>
          <w:rFonts w:ascii="Arial" w:hAnsi="Arial" w:cs="Arial"/>
          <w:szCs w:val="22"/>
        </w:rPr>
        <w:t>&lt;</w:t>
      </w:r>
      <w:r w:rsidRPr="00CB093C">
        <w:rPr>
          <w:rFonts w:ascii="Arial" w:hAnsi="Arial" w:cs="Arial"/>
          <w:szCs w:val="22"/>
        </w:rPr>
        <w:t>20, may suggest reduced light availability relative to nitrogen availability (</w:t>
      </w:r>
      <w:hyperlink w:anchor="_ENREF_1" w:tooltip="Abal, 1994 #7405"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 timestamp="0"&gt;7405&lt;/key&gt;&lt;/foreign-keys&gt;&lt;ref-type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Abal</w:t>
        </w:r>
        <w:r w:rsidR="00513C39" w:rsidRPr="00CB093C">
          <w:rPr>
            <w:rFonts w:ascii="Arial" w:hAnsi="Arial" w:cs="Arial"/>
            <w:i/>
            <w:noProof/>
            <w:szCs w:val="22"/>
          </w:rPr>
          <w:t xml:space="preserve"> et al.</w:t>
        </w:r>
        <w:r w:rsidR="00513C39" w:rsidRPr="00CB093C">
          <w:rPr>
            <w:rFonts w:ascii="Arial" w:hAnsi="Arial" w:cs="Arial"/>
            <w:noProof/>
            <w:szCs w:val="22"/>
          </w:rPr>
          <w:t xml:space="preserve"> 1994</w:t>
        </w:r>
        <w:r w:rsidR="00513C39" w:rsidRPr="00CB093C">
          <w:rPr>
            <w:rFonts w:ascii="Arial" w:hAnsi="Arial" w:cs="Arial"/>
            <w:szCs w:val="22"/>
          </w:rPr>
          <w:fldChar w:fldCharType="end"/>
        </w:r>
      </w:hyperlink>
      <w:r w:rsidRPr="00CB093C">
        <w:rPr>
          <w:rFonts w:ascii="Arial" w:hAnsi="Arial" w:cs="Arial"/>
          <w:szCs w:val="22"/>
        </w:rPr>
        <w:t xml:space="preserve">; </w:t>
      </w:r>
      <w:hyperlink r:id="rId172" w:anchor="_ENREF_101" w:tooltip="Grice, 1996 #1346" w:history="1">
        <w:r w:rsidRPr="00CB093C">
          <w:rPr>
            <w:rFonts w:ascii="Arial" w:hAnsi="Arial" w:cs="Arial"/>
            <w:noProof/>
            <w:szCs w:val="22"/>
          </w:rPr>
          <w:t>AM Grice</w:t>
        </w:r>
        <w:r w:rsidRPr="00CB093C">
          <w:rPr>
            <w:rFonts w:ascii="Arial" w:hAnsi="Arial" w:cs="Arial"/>
            <w:i/>
            <w:noProof/>
            <w:szCs w:val="22"/>
          </w:rPr>
          <w:t>, et al.</w:t>
        </w:r>
        <w:r w:rsidRPr="00CB093C">
          <w:rPr>
            <w:rFonts w:ascii="Arial" w:hAnsi="Arial" w:cs="Arial"/>
            <w:noProof/>
            <w:szCs w:val="22"/>
          </w:rPr>
          <w:t>, 1996</w:t>
        </w:r>
      </w:hyperlink>
      <w:r w:rsidRPr="00CB093C">
        <w:rPr>
          <w:rFonts w:ascii="Arial" w:hAnsi="Arial" w:cs="Arial"/>
          <w:noProof/>
          <w:szCs w:val="22"/>
        </w:rPr>
        <w:t>;</w:t>
      </w:r>
      <w:r w:rsidRPr="00CB093C">
        <w:rPr>
          <w:rFonts w:ascii="Arial" w:hAnsi="Arial" w:cs="Arial"/>
          <w:szCs w:val="22"/>
        </w:rPr>
        <w:t>). The light availability to seagrass is not necessarily an indicator of light in the water column, but an indicator of the light that the plant is receiving as available light can be highly impacted by epiphytic growth or sediment smothering photosynthetic leaf tissue. However, C:N must be interpreted with caution as the level of N can also influence the ratio in oligotrophic environments (</w:t>
      </w:r>
      <w:r w:rsidR="00644A84" w:rsidRPr="00CB093C">
        <w:rPr>
          <w:rFonts w:ascii="Arial" w:hAnsi="Arial" w:cs="Arial"/>
          <w:szCs w:val="22"/>
        </w:rPr>
        <w:fldChar w:fldCharType="begin"/>
      </w:r>
      <w:r w:rsidR="00B63A1C" w:rsidRPr="00CB093C">
        <w:rPr>
          <w:rFonts w:ascii="Arial" w:hAnsi="Arial" w:cs="Arial"/>
          <w:szCs w:val="22"/>
        </w:rPr>
        <w:instrText xml:space="preserve"> ADDIN EN.CITE &lt;EndNote&gt;&lt;Cite&gt;&lt;Author&gt;Fourqurean&lt;/Author&gt;&lt;Year&gt;1992&lt;/Year&gt;&lt;RecNum&gt;9493&lt;/RecNum&gt;&lt;DisplayText&gt;Atkinson and Smith 1983; Fourqurean&lt;style face="italic"&gt; et al.&lt;/style&gt; 1992&lt;/DisplayText&gt;&lt;record&gt;&lt;rec-number&gt;9493&lt;/rec-number&gt;&lt;foreign-keys&gt;&lt;key app="EN" db-id="0eve55x9y5vfd6e9dacxtew4eatve2dzds9a" timestamp="1375843048"&gt;9493&lt;/key&gt;&lt;/foreign-keys&gt;&lt;ref-type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644A84" w:rsidRPr="00CB093C">
        <w:rPr>
          <w:rFonts w:ascii="Arial" w:hAnsi="Arial" w:cs="Arial"/>
          <w:szCs w:val="22"/>
        </w:rPr>
        <w:fldChar w:fldCharType="separate"/>
      </w:r>
      <w:hyperlink w:anchor="_ENREF_6" w:tooltip="Atkinson, 1983 #6292" w:history="1">
        <w:r w:rsidR="00513C39" w:rsidRPr="00CB093C">
          <w:rPr>
            <w:rFonts w:ascii="Arial" w:hAnsi="Arial" w:cs="Arial"/>
            <w:noProof/>
            <w:szCs w:val="22"/>
          </w:rPr>
          <w:t>Atkinson and Smith 1983</w:t>
        </w:r>
      </w:hyperlink>
      <w:r w:rsidR="00B63A1C" w:rsidRPr="00CB093C">
        <w:rPr>
          <w:rFonts w:ascii="Arial" w:hAnsi="Arial" w:cs="Arial"/>
          <w:noProof/>
          <w:szCs w:val="22"/>
        </w:rPr>
        <w:t xml:space="preserve">; </w:t>
      </w:r>
      <w:hyperlink w:anchor="_ENREF_56" w:tooltip="Fourqurean, 1992 #9493" w:history="1">
        <w:r w:rsidR="00513C39" w:rsidRPr="00CB093C">
          <w:rPr>
            <w:rFonts w:ascii="Arial" w:hAnsi="Arial" w:cs="Arial"/>
            <w:noProof/>
            <w:szCs w:val="22"/>
          </w:rPr>
          <w:t>Fourqurean</w:t>
        </w:r>
        <w:r w:rsidR="00513C39" w:rsidRPr="00CB093C">
          <w:rPr>
            <w:rFonts w:ascii="Arial" w:hAnsi="Arial" w:cs="Arial"/>
            <w:i/>
            <w:noProof/>
            <w:szCs w:val="22"/>
          </w:rPr>
          <w:t xml:space="preserve"> et al.</w:t>
        </w:r>
        <w:r w:rsidR="00513C39" w:rsidRPr="00CB093C">
          <w:rPr>
            <w:rFonts w:ascii="Arial" w:hAnsi="Arial" w:cs="Arial"/>
            <w:noProof/>
            <w:szCs w:val="22"/>
          </w:rPr>
          <w:t xml:space="preserve"> 1992</w:t>
        </w:r>
      </w:hyperlink>
      <w:r w:rsidR="00644A84" w:rsidRPr="00CB093C">
        <w:rPr>
          <w:rFonts w:ascii="Arial" w:hAnsi="Arial" w:cs="Arial"/>
          <w:szCs w:val="22"/>
        </w:rPr>
        <w:fldChar w:fldCharType="end"/>
      </w:r>
      <w:r w:rsidRPr="00CB093C">
        <w:rPr>
          <w:rFonts w:ascii="Arial" w:hAnsi="Arial" w:cs="Arial"/>
          <w:szCs w:val="22"/>
        </w:rPr>
        <w:t xml:space="preserve">). </w:t>
      </w:r>
      <w:r w:rsidRPr="00CB093C">
        <w:rPr>
          <w:rFonts w:ascii="Arial" w:hAnsi="Arial" w:cs="Arial"/>
          <w:szCs w:val="22"/>
          <w:lang w:val="en-US"/>
        </w:rPr>
        <w:t>Support for choosing the elemental C:N ratio as the indicator also comes from preliminary analysis of MMP data in 2009 which found that the C:N ratio was the only nutrient ratio that showed a significant relationship (positive) with seagrass cover at coastal and estuarine sites</w:t>
      </w:r>
      <w:r w:rsidR="001D39B6" w:rsidRPr="00CB093C">
        <w:rPr>
          <w:rFonts w:ascii="Arial" w:hAnsi="Arial" w:cs="Arial"/>
          <w:szCs w:val="22"/>
          <w:lang w:val="en-US"/>
        </w:rPr>
        <w:t>;</w:t>
      </w:r>
      <w:r w:rsidRPr="00CB093C">
        <w:rPr>
          <w:rFonts w:ascii="Arial" w:hAnsi="Arial" w:cs="Arial"/>
          <w:szCs w:val="22"/>
          <w:lang w:val="en-US"/>
        </w:rPr>
        <w:t xml:space="preserve"> </w:t>
      </w:r>
      <w:r w:rsidR="001D39B6" w:rsidRPr="00CB093C">
        <w:rPr>
          <w:rFonts w:ascii="Arial" w:hAnsi="Arial" w:cs="Arial"/>
          <w:szCs w:val="22"/>
          <w:lang w:val="en-US"/>
        </w:rPr>
        <w:t>s</w:t>
      </w:r>
      <w:r w:rsidRPr="00CB093C">
        <w:rPr>
          <w:rFonts w:ascii="Arial" w:hAnsi="Arial" w:cs="Arial"/>
          <w:szCs w:val="22"/>
          <w:lang w:val="en-US"/>
        </w:rPr>
        <w:t>eagrass tissue C:N ratios explained 58</w:t>
      </w:r>
      <w:r w:rsidR="0063478C" w:rsidRPr="00CB093C">
        <w:rPr>
          <w:rFonts w:ascii="Arial" w:hAnsi="Arial" w:cs="Arial"/>
          <w:szCs w:val="22"/>
          <w:lang w:val="en-US"/>
        </w:rPr>
        <w:t xml:space="preserve"> </w:t>
      </w:r>
      <w:r w:rsidR="00882B72" w:rsidRPr="00CB093C">
        <w:rPr>
          <w:rFonts w:ascii="Arial" w:hAnsi="Arial" w:cs="Arial"/>
          <w:szCs w:val="22"/>
          <w:lang w:val="en-US"/>
        </w:rPr>
        <w:t>%</w:t>
      </w:r>
      <w:r w:rsidRPr="00CB093C">
        <w:rPr>
          <w:rFonts w:ascii="Arial" w:hAnsi="Arial" w:cs="Arial"/>
          <w:szCs w:val="22"/>
          <w:lang w:val="en-US"/>
        </w:rPr>
        <w:t xml:space="preserve"> of the variance of the inter-site seagrass cover data (</w:t>
      </w:r>
      <w:hyperlink w:anchor="_ENREF_104" w:tooltip="McKenzie, 2009 #9494" w:history="1">
        <w:r w:rsidR="00513C39" w:rsidRPr="00CB093C">
          <w:rPr>
            <w:rFonts w:ascii="Arial" w:hAnsi="Arial" w:cs="Arial"/>
            <w:szCs w:val="22"/>
          </w:rPr>
          <w:fldChar w:fldCharType="begin"/>
        </w:r>
        <w:r w:rsidR="00513C39" w:rsidRPr="00CB093C">
          <w:rPr>
            <w:rFonts w:ascii="Arial" w:hAnsi="Arial" w:cs="Arial"/>
            <w:szCs w:val="22"/>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 timestamp="1375843153"&gt;9494&lt;/key&gt;&lt;/foreign-keys&gt;&lt;ref-type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513C39" w:rsidRPr="00CB093C">
          <w:rPr>
            <w:rFonts w:ascii="Arial" w:hAnsi="Arial" w:cs="Arial"/>
            <w:szCs w:val="22"/>
          </w:rPr>
          <w:fldChar w:fldCharType="separate"/>
        </w:r>
        <w:r w:rsidR="00513C39" w:rsidRPr="00CB093C">
          <w:rPr>
            <w:rFonts w:ascii="Arial" w:hAnsi="Arial" w:cs="Arial"/>
            <w:noProof/>
            <w:szCs w:val="22"/>
          </w:rPr>
          <w:t>McKenzie and Unsworth 2009</w:t>
        </w:r>
        <w:r w:rsidR="00513C39" w:rsidRPr="00CB093C">
          <w:rPr>
            <w:rFonts w:ascii="Arial" w:hAnsi="Arial" w:cs="Arial"/>
            <w:szCs w:val="22"/>
          </w:rPr>
          <w:fldChar w:fldCharType="end"/>
        </w:r>
      </w:hyperlink>
      <w:r w:rsidRPr="00CB093C">
        <w:rPr>
          <w:rFonts w:ascii="Arial" w:hAnsi="Arial" w:cs="Arial"/>
          <w:szCs w:val="22"/>
          <w:lang w:val="en-US"/>
        </w:rPr>
        <w:t xml:space="preserve">). </w:t>
      </w:r>
      <w:r w:rsidRPr="00CB093C">
        <w:rPr>
          <w:rFonts w:ascii="Arial" w:hAnsi="Arial" w:cs="Arial"/>
          <w:szCs w:val="22"/>
        </w:rPr>
        <w:t>Using the guideline ratio of 20:1 for the foundation seagrass species, C:N ratios were categorised on their departure from the guideline and transformed to a 0 to 100 score using:</w:t>
      </w:r>
    </w:p>
    <w:p w14:paraId="04667B98" w14:textId="75462469" w:rsidR="00842050" w:rsidRPr="00CB093C" w:rsidRDefault="00842050" w:rsidP="00842050">
      <w:pPr>
        <w:rPr>
          <w:rFonts w:ascii="Arial" w:hAnsi="Arial" w:cs="Arial"/>
          <w:color w:val="000000"/>
          <w:szCs w:val="22"/>
        </w:rPr>
      </w:pPr>
      <w:r w:rsidRPr="00CB093C">
        <w:rPr>
          <w:rFonts w:ascii="Arial" w:hAnsi="Arial" w:cs="Arial"/>
          <w:szCs w:val="22"/>
        </w:rPr>
        <w:tab/>
      </w:r>
      <w:bookmarkStart w:id="765" w:name="_Ref408853282"/>
      <w:r w:rsidRPr="00CB093C">
        <w:rPr>
          <w:rFonts w:ascii="Arial" w:hAnsi="Arial" w:cs="Arial"/>
          <w:szCs w:val="22"/>
        </w:rPr>
        <w:t xml:space="preserve">Equation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Equation \* ARABIC </w:instrText>
      </w:r>
      <w:r w:rsidR="00C506C7" w:rsidRPr="00CB093C">
        <w:rPr>
          <w:rFonts w:ascii="Arial" w:hAnsi="Arial" w:cs="Arial"/>
          <w:noProof/>
          <w:szCs w:val="22"/>
        </w:rPr>
        <w:fldChar w:fldCharType="separate"/>
      </w:r>
      <w:r w:rsidR="005F00D4">
        <w:rPr>
          <w:rFonts w:ascii="Arial" w:hAnsi="Arial" w:cs="Arial"/>
          <w:noProof/>
          <w:szCs w:val="22"/>
        </w:rPr>
        <w:t>1</w:t>
      </w:r>
      <w:r w:rsidR="00C506C7" w:rsidRPr="00CB093C">
        <w:rPr>
          <w:rFonts w:ascii="Arial" w:hAnsi="Arial" w:cs="Arial"/>
          <w:noProof/>
          <w:szCs w:val="22"/>
        </w:rPr>
        <w:fldChar w:fldCharType="end"/>
      </w:r>
      <w:bookmarkEnd w:id="765"/>
      <w:r w:rsidRPr="00CB093C">
        <w:rPr>
          <w:rFonts w:ascii="Arial" w:hAnsi="Arial" w:cs="Arial"/>
          <w:color w:val="000000"/>
          <w:szCs w:val="22"/>
        </w:rPr>
        <w:tab/>
      </w:r>
      <w:r w:rsidR="00517CB7" w:rsidRPr="00CB093C">
        <w:rPr>
          <w:rFonts w:ascii="Arial" w:hAnsi="Arial" w:cs="Arial"/>
          <w:noProof/>
          <w:color w:val="000000"/>
          <w:position w:val="-10"/>
          <w:szCs w:val="22"/>
          <w:lang w:val="en-US"/>
        </w:rPr>
        <w:drawing>
          <wp:inline distT="0" distB="0" distL="0" distR="0" wp14:anchorId="2ABB6B67" wp14:editId="41A5B705">
            <wp:extent cx="1067435" cy="234950"/>
            <wp:effectExtent l="0" t="0" r="0" b="0"/>
            <wp:docPr id="56" name="Picture 1" descr="Equation used to determine C:N ratio departure from the guideline and transformed to a 0 to 100 sc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quation used to determine C:N ratio departure from the guideline and transformed to a 0 to 100 score"/>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1067435" cy="234950"/>
                    </a:xfrm>
                    <a:prstGeom prst="rect">
                      <a:avLst/>
                    </a:prstGeom>
                    <a:noFill/>
                    <a:ln>
                      <a:noFill/>
                    </a:ln>
                  </pic:spPr>
                </pic:pic>
              </a:graphicData>
            </a:graphic>
          </wp:inline>
        </w:drawing>
      </w:r>
    </w:p>
    <w:p w14:paraId="6AA01623" w14:textId="77777777" w:rsidR="00842050" w:rsidRPr="00CB093C" w:rsidRDefault="00842050" w:rsidP="00842050">
      <w:pPr>
        <w:tabs>
          <w:tab w:val="left" w:pos="2835"/>
        </w:tabs>
        <w:spacing w:before="0" w:after="0"/>
        <w:rPr>
          <w:rFonts w:ascii="Arial" w:hAnsi="Arial" w:cs="Arial"/>
          <w:i/>
          <w:color w:val="000000"/>
          <w:szCs w:val="22"/>
        </w:rPr>
      </w:pPr>
      <w:r w:rsidRPr="00CB093C">
        <w:rPr>
          <w:rFonts w:ascii="Arial" w:hAnsi="Arial" w:cs="Arial"/>
          <w:i/>
          <w:color w:val="000000"/>
          <w:szCs w:val="22"/>
        </w:rPr>
        <w:tab/>
        <w:t>NB: C:N ratios &gt;35  scored as 100, C:N ratios &lt;10  scored as 0</w:t>
      </w:r>
    </w:p>
    <w:p w14:paraId="26B71A72" w14:textId="3BA6A13D" w:rsidR="004A36C2" w:rsidRPr="00CB093C" w:rsidRDefault="00842050" w:rsidP="001D39B6">
      <w:pPr>
        <w:spacing w:before="240"/>
        <w:rPr>
          <w:rFonts w:ascii="Arial" w:hAnsi="Arial" w:cs="Arial"/>
          <w:color w:val="000000"/>
          <w:szCs w:val="22"/>
        </w:rPr>
      </w:pPr>
      <w:r w:rsidRPr="00CB093C">
        <w:rPr>
          <w:rFonts w:ascii="Arial" w:hAnsi="Arial" w:cs="Arial"/>
          <w:color w:val="000000"/>
          <w:szCs w:val="22"/>
        </w:rPr>
        <w:t>The score was then used to represent the status to allow integration with other components of the report card.</w:t>
      </w:r>
    </w:p>
    <w:p w14:paraId="597E5291" w14:textId="77777777" w:rsidR="005132EF" w:rsidRPr="00CB093C" w:rsidRDefault="005132EF" w:rsidP="00034AD4">
      <w:pPr>
        <w:ind w:left="540" w:hanging="540"/>
        <w:rPr>
          <w:rFonts w:ascii="Arial" w:hAnsi="Arial" w:cs="Arial"/>
          <w:color w:val="000000"/>
          <w:szCs w:val="22"/>
        </w:rPr>
        <w:sectPr w:rsidR="005132EF" w:rsidRPr="00CB093C" w:rsidSect="00D10D59">
          <w:headerReference w:type="even" r:id="rId174"/>
          <w:headerReference w:type="default" r:id="rId175"/>
          <w:footerReference w:type="default" r:id="rId176"/>
          <w:headerReference w:type="first" r:id="rId177"/>
          <w:pgSz w:w="11906" w:h="16838"/>
          <w:pgMar w:top="1418" w:right="1418" w:bottom="1418" w:left="1418" w:header="709" w:footer="709" w:gutter="0"/>
          <w:cols w:space="708"/>
          <w:docGrid w:linePitch="360"/>
        </w:sectPr>
      </w:pPr>
    </w:p>
    <w:p w14:paraId="5E3265A2" w14:textId="77777777" w:rsidR="008A429D" w:rsidRPr="00CB093C" w:rsidRDefault="008A429D" w:rsidP="008A429D">
      <w:pPr>
        <w:ind w:left="540" w:hanging="540"/>
        <w:rPr>
          <w:rFonts w:ascii="Arial" w:hAnsi="Arial" w:cs="Arial"/>
          <w:color w:val="000000"/>
          <w:szCs w:val="22"/>
        </w:rPr>
      </w:pPr>
      <w:bookmarkStart w:id="766" w:name="_Toc379612624"/>
    </w:p>
    <w:p w14:paraId="4E71D357" w14:textId="77777777" w:rsidR="008A429D" w:rsidRPr="00CB093C" w:rsidRDefault="008A429D" w:rsidP="008A429D">
      <w:pPr>
        <w:ind w:left="540" w:hanging="540"/>
        <w:rPr>
          <w:rFonts w:ascii="Arial" w:hAnsi="Arial" w:cs="Arial"/>
          <w:color w:val="000000"/>
          <w:szCs w:val="22"/>
        </w:rPr>
      </w:pPr>
    </w:p>
    <w:p w14:paraId="7FC58220" w14:textId="77777777" w:rsidR="008A429D" w:rsidRPr="00CB093C" w:rsidRDefault="008A429D" w:rsidP="008A429D">
      <w:pPr>
        <w:ind w:left="540" w:hanging="540"/>
        <w:rPr>
          <w:rFonts w:ascii="Arial" w:hAnsi="Arial" w:cs="Arial"/>
          <w:color w:val="000000"/>
          <w:szCs w:val="22"/>
        </w:rPr>
      </w:pPr>
    </w:p>
    <w:p w14:paraId="571DF771" w14:textId="77777777" w:rsidR="008A429D" w:rsidRPr="00CB093C" w:rsidRDefault="008A429D" w:rsidP="008A429D">
      <w:pPr>
        <w:ind w:left="540" w:hanging="540"/>
        <w:rPr>
          <w:rFonts w:ascii="Arial" w:hAnsi="Arial" w:cs="Arial"/>
          <w:color w:val="000000"/>
          <w:szCs w:val="22"/>
        </w:rPr>
      </w:pPr>
    </w:p>
    <w:p w14:paraId="33AA8098" w14:textId="77777777" w:rsidR="008A429D" w:rsidRPr="00CB093C" w:rsidRDefault="008A429D" w:rsidP="008A429D">
      <w:pPr>
        <w:ind w:left="540" w:hanging="540"/>
        <w:rPr>
          <w:rFonts w:ascii="Arial" w:hAnsi="Arial" w:cs="Arial"/>
          <w:color w:val="000000"/>
          <w:szCs w:val="22"/>
        </w:rPr>
      </w:pPr>
    </w:p>
    <w:p w14:paraId="2F141931" w14:textId="77777777" w:rsidR="008A429D" w:rsidRPr="00CB093C" w:rsidRDefault="008A429D" w:rsidP="008A429D">
      <w:pPr>
        <w:ind w:left="540" w:hanging="540"/>
        <w:rPr>
          <w:rFonts w:ascii="Arial" w:hAnsi="Arial" w:cs="Arial"/>
          <w:color w:val="000000"/>
          <w:szCs w:val="22"/>
        </w:rPr>
      </w:pPr>
    </w:p>
    <w:p w14:paraId="31173BB4" w14:textId="77777777" w:rsidR="008A429D" w:rsidRPr="00CB093C" w:rsidRDefault="008A429D" w:rsidP="008A429D">
      <w:pPr>
        <w:ind w:left="540" w:hanging="540"/>
        <w:rPr>
          <w:rFonts w:ascii="Arial" w:hAnsi="Arial" w:cs="Arial"/>
          <w:color w:val="000000"/>
          <w:szCs w:val="22"/>
        </w:rPr>
      </w:pPr>
    </w:p>
    <w:p w14:paraId="635A2621" w14:textId="77777777" w:rsidR="008A429D" w:rsidRPr="00CB093C" w:rsidRDefault="008A429D" w:rsidP="008A429D">
      <w:pPr>
        <w:ind w:left="540" w:hanging="540"/>
        <w:rPr>
          <w:rFonts w:ascii="Arial" w:hAnsi="Arial" w:cs="Arial"/>
          <w:color w:val="000000"/>
          <w:szCs w:val="22"/>
        </w:rPr>
      </w:pPr>
    </w:p>
    <w:p w14:paraId="1475B39B" w14:textId="77777777" w:rsidR="008A429D" w:rsidRPr="00CB093C" w:rsidRDefault="008A429D" w:rsidP="008A429D">
      <w:pPr>
        <w:ind w:left="540" w:hanging="540"/>
        <w:rPr>
          <w:rFonts w:ascii="Arial" w:hAnsi="Arial" w:cs="Arial"/>
          <w:color w:val="000000"/>
          <w:szCs w:val="22"/>
        </w:rPr>
      </w:pPr>
    </w:p>
    <w:p w14:paraId="0277FF34" w14:textId="77777777" w:rsidR="008A429D" w:rsidRPr="00CB093C" w:rsidRDefault="008A429D" w:rsidP="008A429D">
      <w:pPr>
        <w:ind w:left="540" w:hanging="540"/>
        <w:rPr>
          <w:rFonts w:ascii="Arial" w:hAnsi="Arial" w:cs="Arial"/>
          <w:color w:val="000000"/>
          <w:szCs w:val="22"/>
        </w:rPr>
      </w:pPr>
    </w:p>
    <w:p w14:paraId="508622B7" w14:textId="77777777" w:rsidR="008A429D" w:rsidRPr="00CB093C" w:rsidRDefault="008A429D" w:rsidP="008A429D">
      <w:pPr>
        <w:ind w:left="540" w:hanging="540"/>
        <w:rPr>
          <w:rFonts w:ascii="Arial" w:hAnsi="Arial" w:cs="Arial"/>
          <w:color w:val="000000"/>
          <w:szCs w:val="22"/>
        </w:rPr>
      </w:pPr>
    </w:p>
    <w:p w14:paraId="44EEA27F" w14:textId="77777777" w:rsidR="008A429D" w:rsidRPr="00CB093C" w:rsidRDefault="008A429D" w:rsidP="008A429D">
      <w:pPr>
        <w:ind w:left="540" w:hanging="540"/>
        <w:rPr>
          <w:rFonts w:ascii="Arial" w:hAnsi="Arial" w:cs="Arial"/>
          <w:color w:val="000000"/>
          <w:szCs w:val="22"/>
        </w:rPr>
      </w:pPr>
    </w:p>
    <w:p w14:paraId="11DCAEB7" w14:textId="77777777" w:rsidR="008A429D" w:rsidRPr="00CB093C" w:rsidRDefault="008A429D" w:rsidP="008A429D">
      <w:pPr>
        <w:ind w:left="540" w:hanging="540"/>
        <w:rPr>
          <w:rFonts w:ascii="Arial" w:hAnsi="Arial" w:cs="Arial"/>
          <w:color w:val="000000"/>
          <w:szCs w:val="22"/>
        </w:rPr>
      </w:pPr>
    </w:p>
    <w:p w14:paraId="5A276E62" w14:textId="77777777" w:rsidR="008A429D" w:rsidRPr="00CB093C" w:rsidRDefault="008A429D" w:rsidP="008A429D">
      <w:pPr>
        <w:ind w:left="540" w:hanging="540"/>
        <w:rPr>
          <w:rFonts w:ascii="Arial" w:hAnsi="Arial" w:cs="Arial"/>
          <w:color w:val="000000"/>
          <w:szCs w:val="22"/>
        </w:rPr>
      </w:pPr>
    </w:p>
    <w:p w14:paraId="35C27F84" w14:textId="77777777" w:rsidR="008A429D" w:rsidRPr="00CB093C" w:rsidRDefault="008A429D" w:rsidP="008A429D">
      <w:pPr>
        <w:ind w:left="540" w:hanging="540"/>
        <w:rPr>
          <w:rFonts w:ascii="Arial" w:hAnsi="Arial" w:cs="Arial"/>
          <w:color w:val="000000"/>
          <w:szCs w:val="22"/>
        </w:rPr>
      </w:pPr>
    </w:p>
    <w:p w14:paraId="01A2C399" w14:textId="77777777" w:rsidR="008A429D" w:rsidRPr="00CB093C" w:rsidRDefault="008A429D" w:rsidP="008A429D">
      <w:pPr>
        <w:ind w:left="540" w:hanging="540"/>
        <w:rPr>
          <w:rFonts w:ascii="Arial" w:hAnsi="Arial" w:cs="Arial"/>
          <w:color w:val="000000"/>
          <w:szCs w:val="22"/>
        </w:rPr>
      </w:pPr>
    </w:p>
    <w:p w14:paraId="5C36737C" w14:textId="77777777" w:rsidR="008A429D" w:rsidRPr="00CB093C" w:rsidRDefault="00842050" w:rsidP="0015509E">
      <w:pPr>
        <w:pStyle w:val="Heading1"/>
        <w:numPr>
          <w:ilvl w:val="0"/>
          <w:numId w:val="6"/>
        </w:numPr>
      </w:pPr>
      <w:bookmarkStart w:id="767" w:name="_Ref534181942"/>
      <w:bookmarkStart w:id="768" w:name="_Ref534182043"/>
      <w:bookmarkStart w:id="769" w:name="_Ref534193900"/>
      <w:bookmarkStart w:id="770" w:name="_Toc11394802"/>
      <w:r w:rsidRPr="00CB093C">
        <w:t>Detailed data</w:t>
      </w:r>
      <w:bookmarkEnd w:id="767"/>
      <w:bookmarkEnd w:id="768"/>
      <w:bookmarkEnd w:id="769"/>
      <w:bookmarkEnd w:id="770"/>
    </w:p>
    <w:bookmarkEnd w:id="766"/>
    <w:p w14:paraId="2FF95103" w14:textId="734CDD7E" w:rsidR="00E82D2E" w:rsidRPr="00CB093C" w:rsidRDefault="00E82D2E" w:rsidP="00E82D2E">
      <w:pPr>
        <w:rPr>
          <w:rFonts w:ascii="Arial" w:hAnsi="Arial" w:cs="Arial"/>
          <w:szCs w:val="22"/>
          <w:lang w:val="en-GB"/>
        </w:rPr>
      </w:pPr>
    </w:p>
    <w:p w14:paraId="66DA0D9A" w14:textId="2F2CD037" w:rsidR="003816AC" w:rsidRPr="00CB093C" w:rsidRDefault="003816AC" w:rsidP="00E82D2E">
      <w:pPr>
        <w:rPr>
          <w:rFonts w:ascii="Arial" w:hAnsi="Arial" w:cs="Arial"/>
          <w:szCs w:val="22"/>
          <w:lang w:val="en-GB"/>
        </w:rPr>
      </w:pPr>
    </w:p>
    <w:p w14:paraId="653C87D3" w14:textId="77777777" w:rsidR="003816AC" w:rsidRPr="00CB093C" w:rsidRDefault="003816AC" w:rsidP="00E82D2E">
      <w:pPr>
        <w:rPr>
          <w:rFonts w:ascii="Arial" w:hAnsi="Arial" w:cs="Arial"/>
          <w:szCs w:val="22"/>
          <w:lang w:val="en-GB"/>
        </w:rPr>
      </w:pPr>
    </w:p>
    <w:p w14:paraId="3ACEDACB" w14:textId="77777777" w:rsidR="003816AC" w:rsidRPr="00CB093C" w:rsidRDefault="003816AC" w:rsidP="00E82D2E">
      <w:pPr>
        <w:rPr>
          <w:rFonts w:ascii="Arial" w:hAnsi="Arial" w:cs="Arial"/>
          <w:szCs w:val="22"/>
          <w:lang w:val="en-GB"/>
        </w:rPr>
        <w:sectPr w:rsidR="003816AC" w:rsidRPr="00CB093C">
          <w:pgSz w:w="11906" w:h="16838"/>
          <w:pgMar w:top="1440" w:right="1440" w:bottom="1440" w:left="1440" w:header="708" w:footer="708" w:gutter="0"/>
          <w:cols w:space="708"/>
          <w:docGrid w:linePitch="360"/>
        </w:sectPr>
      </w:pPr>
    </w:p>
    <w:p w14:paraId="4E871E87" w14:textId="50302148" w:rsidR="003816AC" w:rsidRPr="00CB093C" w:rsidRDefault="003816AC" w:rsidP="003816AC">
      <w:pPr>
        <w:spacing w:before="0"/>
        <w:rPr>
          <w:rFonts w:ascii="Arial" w:hAnsi="Arial" w:cs="Arial"/>
          <w:i/>
          <w:vanish/>
          <w:szCs w:val="22"/>
          <w:specVanish/>
        </w:rPr>
      </w:pPr>
      <w:bookmarkStart w:id="771" w:name="_Ref511373432"/>
      <w:bookmarkStart w:id="772" w:name="_Toc516053460"/>
      <w:bookmarkStart w:id="773" w:name="_Toc5616049"/>
      <w:r w:rsidRPr="00CB093C">
        <w:rPr>
          <w:rFonts w:ascii="Arial" w:hAnsi="Arial" w:cs="Arial"/>
          <w:color w:val="000000"/>
          <w:szCs w:val="22"/>
        </w:rPr>
        <w:t xml:space="preserve">Table </w:t>
      </w:r>
      <w:r w:rsidRPr="00CB093C">
        <w:rPr>
          <w:rFonts w:ascii="Arial" w:hAnsi="Arial" w:cs="Arial"/>
          <w:szCs w:val="22"/>
        </w:rPr>
        <w:fldChar w:fldCharType="begin"/>
      </w:r>
      <w:r w:rsidRPr="00CB093C">
        <w:rPr>
          <w:rFonts w:ascii="Arial" w:hAnsi="Arial" w:cs="Arial"/>
          <w:color w:val="000000"/>
          <w:szCs w:val="22"/>
        </w:rPr>
        <w:instrText xml:space="preserve"> SEQ Table \* ARABIC </w:instrText>
      </w:r>
      <w:r w:rsidRPr="00CB093C">
        <w:rPr>
          <w:rFonts w:ascii="Arial" w:hAnsi="Arial" w:cs="Arial"/>
          <w:szCs w:val="22"/>
        </w:rPr>
        <w:fldChar w:fldCharType="separate"/>
      </w:r>
      <w:r w:rsidR="005F00D4">
        <w:rPr>
          <w:rFonts w:ascii="Arial" w:hAnsi="Arial" w:cs="Arial"/>
          <w:noProof/>
          <w:color w:val="000000"/>
          <w:szCs w:val="22"/>
        </w:rPr>
        <w:t>21</w:t>
      </w:r>
      <w:r w:rsidRPr="00CB093C">
        <w:rPr>
          <w:rFonts w:ascii="Arial" w:hAnsi="Arial" w:cs="Arial"/>
          <w:szCs w:val="22"/>
        </w:rPr>
        <w:fldChar w:fldCharType="end"/>
      </w:r>
      <w:bookmarkEnd w:id="771"/>
      <w:r w:rsidRPr="00CB093C">
        <w:rPr>
          <w:rFonts w:ascii="Arial" w:hAnsi="Arial" w:cs="Arial"/>
          <w:color w:val="000000"/>
          <w:szCs w:val="22"/>
        </w:rPr>
        <w:t xml:space="preserve">. </w:t>
      </w:r>
      <w:r w:rsidRPr="00CB093C">
        <w:rPr>
          <w:rFonts w:ascii="Arial" w:hAnsi="Arial" w:cs="Arial"/>
          <w:i/>
          <w:color w:val="000000"/>
          <w:szCs w:val="22"/>
        </w:rPr>
        <w:t>Samples collected at each MMP inshore monitoring site per parameter for each season</w:t>
      </w:r>
      <w:bookmarkEnd w:id="772"/>
      <w:bookmarkEnd w:id="773"/>
    </w:p>
    <w:p w14:paraId="30AAF2CA" w14:textId="77777777" w:rsidR="003816AC" w:rsidRPr="00CB093C" w:rsidRDefault="003816AC" w:rsidP="003816AC">
      <w:pPr>
        <w:spacing w:before="0" w:after="0"/>
        <w:rPr>
          <w:rFonts w:ascii="Arial" w:hAnsi="Arial" w:cs="Arial"/>
          <w:i/>
          <w:color w:val="000000"/>
          <w:szCs w:val="22"/>
        </w:rPr>
      </w:pPr>
      <w:r w:rsidRPr="00CB093C">
        <w:rPr>
          <w:rFonts w:ascii="Arial" w:hAnsi="Arial" w:cs="Arial"/>
          <w:i/>
          <w:color w:val="000000"/>
          <w:szCs w:val="22"/>
        </w:rPr>
        <w:t xml:space="preserve">. Activities include: SG = seagrass cover &amp; composition, SM=seed monitoring, TN=tissue nutrients, EM=edge mapping, RH=reproductive health, TL=temperature loggers, LL=light loggers, SH=sediment herbicides. ^=subtidal. </w:t>
      </w:r>
    </w:p>
    <w:tbl>
      <w:tblPr>
        <w:tblW w:w="13041" w:type="dxa"/>
        <w:jc w:val="center"/>
        <w:tblLayout w:type="fixed"/>
        <w:tblLook w:val="04A0" w:firstRow="1" w:lastRow="0" w:firstColumn="1" w:lastColumn="0" w:noHBand="0" w:noVBand="1"/>
      </w:tblPr>
      <w:tblGrid>
        <w:gridCol w:w="1148"/>
        <w:gridCol w:w="1294"/>
        <w:gridCol w:w="1299"/>
        <w:gridCol w:w="1307"/>
        <w:gridCol w:w="840"/>
        <w:gridCol w:w="555"/>
        <w:gridCol w:w="543"/>
        <w:gridCol w:w="540"/>
        <w:gridCol w:w="536"/>
        <w:gridCol w:w="540"/>
        <w:gridCol w:w="529"/>
        <w:gridCol w:w="559"/>
        <w:gridCol w:w="559"/>
        <w:gridCol w:w="559"/>
        <w:gridCol w:w="559"/>
        <w:gridCol w:w="559"/>
        <w:gridCol w:w="559"/>
        <w:gridCol w:w="546"/>
        <w:gridCol w:w="10"/>
      </w:tblGrid>
      <w:tr w:rsidR="003816AC" w:rsidRPr="00CB093C" w14:paraId="13C58C41" w14:textId="77777777" w:rsidTr="00035C35">
        <w:trPr>
          <w:cantSplit/>
          <w:trHeight w:val="251"/>
          <w:tblHeader/>
          <w:jc w:val="center"/>
        </w:trPr>
        <w:tc>
          <w:tcPr>
            <w:tcW w:w="1148" w:type="dxa"/>
            <w:vMerge w:val="restart"/>
            <w:tcBorders>
              <w:top w:val="single" w:sz="4" w:space="0" w:color="auto"/>
              <w:left w:val="nil"/>
              <w:bottom w:val="nil"/>
              <w:right w:val="nil"/>
            </w:tcBorders>
            <w:shd w:val="clear" w:color="auto" w:fill="BBE0E3"/>
            <w:noWrap/>
            <w:vAlign w:val="center"/>
            <w:hideMark/>
          </w:tcPr>
          <w:p w14:paraId="29310FBE" w14:textId="2553FB69" w:rsidR="003816AC" w:rsidRPr="00CB093C" w:rsidRDefault="003158FC" w:rsidP="003816AC">
            <w:pPr>
              <w:spacing w:before="0" w:after="0"/>
              <w:jc w:val="center"/>
              <w:rPr>
                <w:rFonts w:ascii="Arial" w:hAnsi="Arial" w:cs="Arial"/>
                <w:b/>
                <w:bCs/>
                <w:color w:val="000000"/>
                <w:szCs w:val="22"/>
              </w:rPr>
            </w:pPr>
            <w:r w:rsidRPr="00CB093C">
              <w:rPr>
                <w:rFonts w:ascii="Arial" w:hAnsi="Arial" w:cs="Arial"/>
                <w:b/>
                <w:bCs/>
                <w:color w:val="000000"/>
                <w:szCs w:val="22"/>
              </w:rPr>
              <w:t>R</w:t>
            </w:r>
            <w:r w:rsidR="003816AC" w:rsidRPr="00CB093C">
              <w:rPr>
                <w:rFonts w:ascii="Arial" w:hAnsi="Arial" w:cs="Arial"/>
                <w:b/>
                <w:bCs/>
                <w:color w:val="000000"/>
                <w:szCs w:val="22"/>
              </w:rPr>
              <w:t>egion</w:t>
            </w:r>
          </w:p>
        </w:tc>
        <w:tc>
          <w:tcPr>
            <w:tcW w:w="1294" w:type="dxa"/>
            <w:vMerge w:val="restart"/>
            <w:tcBorders>
              <w:top w:val="single" w:sz="4" w:space="0" w:color="auto"/>
              <w:left w:val="nil"/>
              <w:bottom w:val="nil"/>
              <w:right w:val="nil"/>
            </w:tcBorders>
            <w:shd w:val="clear" w:color="auto" w:fill="BBE0E3"/>
            <w:noWrap/>
            <w:vAlign w:val="center"/>
            <w:hideMark/>
          </w:tcPr>
          <w:p w14:paraId="5A35B620"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bCs/>
                <w:color w:val="000000"/>
                <w:szCs w:val="22"/>
              </w:rPr>
              <w:t>NRM region</w:t>
            </w:r>
          </w:p>
        </w:tc>
        <w:tc>
          <w:tcPr>
            <w:tcW w:w="1299" w:type="dxa"/>
            <w:vMerge w:val="restart"/>
            <w:tcBorders>
              <w:top w:val="single" w:sz="4" w:space="0" w:color="auto"/>
              <w:left w:val="nil"/>
              <w:bottom w:val="nil"/>
              <w:right w:val="nil"/>
            </w:tcBorders>
            <w:shd w:val="clear" w:color="auto" w:fill="BBE0E3"/>
            <w:vAlign w:val="center"/>
            <w:hideMark/>
          </w:tcPr>
          <w:p w14:paraId="5998DC1D"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bCs/>
                <w:color w:val="000000"/>
                <w:szCs w:val="22"/>
              </w:rPr>
              <w:t>Basin</w:t>
            </w:r>
          </w:p>
        </w:tc>
        <w:tc>
          <w:tcPr>
            <w:tcW w:w="2147" w:type="dxa"/>
            <w:gridSpan w:val="2"/>
            <w:vMerge w:val="restart"/>
            <w:tcBorders>
              <w:top w:val="single" w:sz="4" w:space="0" w:color="auto"/>
              <w:left w:val="nil"/>
              <w:bottom w:val="nil"/>
              <w:right w:val="nil"/>
            </w:tcBorders>
            <w:shd w:val="clear" w:color="auto" w:fill="BBE0E3"/>
            <w:noWrap/>
            <w:vAlign w:val="center"/>
            <w:hideMark/>
          </w:tcPr>
          <w:p w14:paraId="5841335A"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bCs/>
                <w:color w:val="000000"/>
                <w:szCs w:val="22"/>
              </w:rPr>
              <w:t>Monitoring location</w:t>
            </w:r>
          </w:p>
        </w:tc>
        <w:tc>
          <w:tcPr>
            <w:tcW w:w="3802" w:type="dxa"/>
            <w:gridSpan w:val="7"/>
            <w:tcBorders>
              <w:top w:val="single" w:sz="4" w:space="0" w:color="auto"/>
              <w:left w:val="nil"/>
              <w:bottom w:val="nil"/>
              <w:right w:val="single" w:sz="4" w:space="0" w:color="auto"/>
            </w:tcBorders>
            <w:shd w:val="clear" w:color="auto" w:fill="BBE0E3"/>
            <w:vAlign w:val="center"/>
            <w:hideMark/>
          </w:tcPr>
          <w:p w14:paraId="585BF656"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bCs/>
                <w:color w:val="000000"/>
                <w:szCs w:val="22"/>
              </w:rPr>
              <w:t>late dry Season (2017)</w:t>
            </w:r>
          </w:p>
        </w:tc>
        <w:tc>
          <w:tcPr>
            <w:tcW w:w="3351" w:type="dxa"/>
            <w:gridSpan w:val="7"/>
            <w:tcBorders>
              <w:top w:val="single" w:sz="4" w:space="0" w:color="auto"/>
              <w:left w:val="single" w:sz="4" w:space="0" w:color="auto"/>
              <w:bottom w:val="nil"/>
              <w:right w:val="nil"/>
            </w:tcBorders>
            <w:shd w:val="clear" w:color="auto" w:fill="BBE0E3"/>
            <w:vAlign w:val="center"/>
            <w:hideMark/>
          </w:tcPr>
          <w:p w14:paraId="5B0617A2"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bCs/>
                <w:color w:val="000000"/>
                <w:szCs w:val="22"/>
              </w:rPr>
              <w:t>late wet Season (2018)</w:t>
            </w:r>
          </w:p>
        </w:tc>
      </w:tr>
      <w:tr w:rsidR="003816AC" w:rsidRPr="00CB093C" w14:paraId="28FD466E" w14:textId="77777777" w:rsidTr="00035C35">
        <w:trPr>
          <w:gridAfter w:val="1"/>
          <w:wAfter w:w="10" w:type="dxa"/>
          <w:cantSplit/>
          <w:trHeight w:val="251"/>
          <w:jc w:val="center"/>
        </w:trPr>
        <w:tc>
          <w:tcPr>
            <w:tcW w:w="1148" w:type="dxa"/>
            <w:vMerge/>
            <w:tcBorders>
              <w:top w:val="single" w:sz="4" w:space="0" w:color="auto"/>
              <w:left w:val="nil"/>
              <w:bottom w:val="nil"/>
              <w:right w:val="nil"/>
            </w:tcBorders>
            <w:vAlign w:val="center"/>
            <w:hideMark/>
          </w:tcPr>
          <w:p w14:paraId="1CA24A65" w14:textId="77777777" w:rsidR="003816AC" w:rsidRPr="00CB093C" w:rsidRDefault="003816AC" w:rsidP="003816AC">
            <w:pPr>
              <w:spacing w:before="0" w:after="0"/>
              <w:rPr>
                <w:rFonts w:ascii="Arial" w:hAnsi="Arial" w:cs="Arial"/>
                <w:b/>
                <w:bCs/>
                <w:color w:val="000000"/>
                <w:szCs w:val="22"/>
              </w:rPr>
            </w:pPr>
          </w:p>
        </w:tc>
        <w:tc>
          <w:tcPr>
            <w:tcW w:w="1294" w:type="dxa"/>
            <w:vMerge/>
            <w:tcBorders>
              <w:top w:val="single" w:sz="4" w:space="0" w:color="auto"/>
              <w:left w:val="nil"/>
              <w:bottom w:val="nil"/>
              <w:right w:val="nil"/>
            </w:tcBorders>
            <w:vAlign w:val="center"/>
            <w:hideMark/>
          </w:tcPr>
          <w:p w14:paraId="190CC1B0" w14:textId="77777777" w:rsidR="003816AC" w:rsidRPr="00CB093C" w:rsidRDefault="003816AC" w:rsidP="003816AC">
            <w:pPr>
              <w:spacing w:before="0" w:after="0"/>
              <w:rPr>
                <w:rFonts w:ascii="Arial" w:hAnsi="Arial" w:cs="Arial"/>
                <w:b/>
                <w:bCs/>
                <w:color w:val="000000"/>
                <w:szCs w:val="22"/>
              </w:rPr>
            </w:pPr>
          </w:p>
        </w:tc>
        <w:tc>
          <w:tcPr>
            <w:tcW w:w="1299" w:type="dxa"/>
            <w:vMerge/>
            <w:tcBorders>
              <w:top w:val="single" w:sz="4" w:space="0" w:color="auto"/>
              <w:left w:val="nil"/>
              <w:bottom w:val="nil"/>
              <w:right w:val="nil"/>
            </w:tcBorders>
            <w:vAlign w:val="center"/>
            <w:hideMark/>
          </w:tcPr>
          <w:p w14:paraId="196F2ADF" w14:textId="77777777" w:rsidR="003816AC" w:rsidRPr="00CB093C" w:rsidRDefault="003816AC" w:rsidP="003816AC">
            <w:pPr>
              <w:spacing w:before="0" w:after="0"/>
              <w:rPr>
                <w:rFonts w:ascii="Arial" w:hAnsi="Arial" w:cs="Arial"/>
                <w:b/>
                <w:bCs/>
                <w:color w:val="000000"/>
                <w:szCs w:val="22"/>
              </w:rPr>
            </w:pPr>
          </w:p>
        </w:tc>
        <w:tc>
          <w:tcPr>
            <w:tcW w:w="2147" w:type="dxa"/>
            <w:gridSpan w:val="2"/>
            <w:vMerge/>
            <w:tcBorders>
              <w:top w:val="single" w:sz="4" w:space="0" w:color="auto"/>
              <w:left w:val="nil"/>
              <w:bottom w:val="nil"/>
              <w:right w:val="nil"/>
            </w:tcBorders>
            <w:vAlign w:val="center"/>
            <w:hideMark/>
          </w:tcPr>
          <w:p w14:paraId="58CC6DC0" w14:textId="77777777" w:rsidR="003816AC" w:rsidRPr="00CB093C" w:rsidRDefault="003816AC" w:rsidP="003816AC">
            <w:pPr>
              <w:spacing w:before="0" w:after="0"/>
              <w:rPr>
                <w:rFonts w:ascii="Arial" w:hAnsi="Arial" w:cs="Arial"/>
                <w:b/>
                <w:bCs/>
                <w:color w:val="000000"/>
                <w:szCs w:val="22"/>
              </w:rPr>
            </w:pPr>
          </w:p>
        </w:tc>
        <w:tc>
          <w:tcPr>
            <w:tcW w:w="555" w:type="dxa"/>
            <w:tcBorders>
              <w:top w:val="single" w:sz="4" w:space="0" w:color="auto"/>
              <w:left w:val="nil"/>
              <w:bottom w:val="nil"/>
              <w:right w:val="nil"/>
            </w:tcBorders>
            <w:shd w:val="clear" w:color="auto" w:fill="BBE0E3"/>
            <w:vAlign w:val="center"/>
            <w:hideMark/>
          </w:tcPr>
          <w:p w14:paraId="359B3631"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SG</w:t>
            </w:r>
          </w:p>
        </w:tc>
        <w:tc>
          <w:tcPr>
            <w:tcW w:w="543" w:type="dxa"/>
            <w:tcBorders>
              <w:top w:val="single" w:sz="4" w:space="0" w:color="auto"/>
              <w:left w:val="nil"/>
              <w:bottom w:val="nil"/>
              <w:right w:val="nil"/>
            </w:tcBorders>
            <w:shd w:val="clear" w:color="auto" w:fill="BBE0E3"/>
            <w:noWrap/>
            <w:vAlign w:val="center"/>
            <w:hideMark/>
          </w:tcPr>
          <w:p w14:paraId="1E7ACEAB"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SM</w:t>
            </w:r>
          </w:p>
        </w:tc>
        <w:tc>
          <w:tcPr>
            <w:tcW w:w="540" w:type="dxa"/>
            <w:tcBorders>
              <w:top w:val="single" w:sz="4" w:space="0" w:color="auto"/>
              <w:left w:val="nil"/>
              <w:bottom w:val="nil"/>
              <w:right w:val="nil"/>
            </w:tcBorders>
            <w:shd w:val="clear" w:color="auto" w:fill="BBE0E3"/>
            <w:noWrap/>
            <w:vAlign w:val="center"/>
            <w:hideMark/>
          </w:tcPr>
          <w:p w14:paraId="685739EE"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TN</w:t>
            </w:r>
          </w:p>
        </w:tc>
        <w:tc>
          <w:tcPr>
            <w:tcW w:w="536" w:type="dxa"/>
            <w:tcBorders>
              <w:top w:val="single" w:sz="4" w:space="0" w:color="auto"/>
              <w:left w:val="nil"/>
              <w:bottom w:val="nil"/>
              <w:right w:val="nil"/>
            </w:tcBorders>
            <w:shd w:val="clear" w:color="auto" w:fill="BBE0E3"/>
            <w:vAlign w:val="center"/>
            <w:hideMark/>
          </w:tcPr>
          <w:p w14:paraId="7556480F"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EM</w:t>
            </w:r>
          </w:p>
        </w:tc>
        <w:tc>
          <w:tcPr>
            <w:tcW w:w="540" w:type="dxa"/>
            <w:tcBorders>
              <w:top w:val="single" w:sz="4" w:space="0" w:color="auto"/>
              <w:left w:val="nil"/>
              <w:bottom w:val="nil"/>
              <w:right w:val="nil"/>
            </w:tcBorders>
            <w:shd w:val="clear" w:color="auto" w:fill="BBE0E3"/>
            <w:vAlign w:val="center"/>
            <w:hideMark/>
          </w:tcPr>
          <w:p w14:paraId="0A17572C"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RH</w:t>
            </w:r>
          </w:p>
        </w:tc>
        <w:tc>
          <w:tcPr>
            <w:tcW w:w="529" w:type="dxa"/>
            <w:tcBorders>
              <w:top w:val="single" w:sz="4" w:space="0" w:color="auto"/>
              <w:left w:val="nil"/>
              <w:bottom w:val="nil"/>
              <w:right w:val="nil"/>
            </w:tcBorders>
            <w:shd w:val="clear" w:color="auto" w:fill="BBE0E3"/>
            <w:vAlign w:val="center"/>
            <w:hideMark/>
          </w:tcPr>
          <w:p w14:paraId="3C77DFDE"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TL</w:t>
            </w:r>
          </w:p>
        </w:tc>
        <w:tc>
          <w:tcPr>
            <w:tcW w:w="559" w:type="dxa"/>
            <w:tcBorders>
              <w:top w:val="single" w:sz="4" w:space="0" w:color="auto"/>
              <w:left w:val="nil"/>
              <w:bottom w:val="nil"/>
              <w:right w:val="single" w:sz="4" w:space="0" w:color="auto"/>
            </w:tcBorders>
            <w:shd w:val="clear" w:color="auto" w:fill="BBE0E3"/>
            <w:vAlign w:val="center"/>
            <w:hideMark/>
          </w:tcPr>
          <w:p w14:paraId="5DD419EB"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LL</w:t>
            </w:r>
          </w:p>
        </w:tc>
        <w:tc>
          <w:tcPr>
            <w:tcW w:w="559" w:type="dxa"/>
            <w:tcBorders>
              <w:top w:val="single" w:sz="4" w:space="0" w:color="auto"/>
              <w:left w:val="single" w:sz="4" w:space="0" w:color="auto"/>
              <w:bottom w:val="nil"/>
              <w:right w:val="nil"/>
            </w:tcBorders>
            <w:shd w:val="clear" w:color="auto" w:fill="BBE0E3"/>
            <w:vAlign w:val="center"/>
            <w:hideMark/>
          </w:tcPr>
          <w:p w14:paraId="2CF33725"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SG</w:t>
            </w:r>
          </w:p>
        </w:tc>
        <w:tc>
          <w:tcPr>
            <w:tcW w:w="559" w:type="dxa"/>
            <w:tcBorders>
              <w:top w:val="single" w:sz="4" w:space="0" w:color="auto"/>
              <w:left w:val="nil"/>
              <w:bottom w:val="nil"/>
              <w:right w:val="nil"/>
            </w:tcBorders>
            <w:shd w:val="clear" w:color="auto" w:fill="BBE0E3"/>
            <w:vAlign w:val="center"/>
            <w:hideMark/>
          </w:tcPr>
          <w:p w14:paraId="09975A11"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SM</w:t>
            </w:r>
          </w:p>
        </w:tc>
        <w:tc>
          <w:tcPr>
            <w:tcW w:w="559" w:type="dxa"/>
            <w:tcBorders>
              <w:top w:val="single" w:sz="4" w:space="0" w:color="auto"/>
              <w:left w:val="nil"/>
              <w:bottom w:val="nil"/>
              <w:right w:val="nil"/>
            </w:tcBorders>
            <w:shd w:val="clear" w:color="auto" w:fill="BBE0E3"/>
            <w:vAlign w:val="center"/>
            <w:hideMark/>
          </w:tcPr>
          <w:p w14:paraId="0E66E691"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EM</w:t>
            </w:r>
          </w:p>
        </w:tc>
        <w:tc>
          <w:tcPr>
            <w:tcW w:w="559" w:type="dxa"/>
            <w:tcBorders>
              <w:top w:val="single" w:sz="4" w:space="0" w:color="auto"/>
              <w:left w:val="nil"/>
              <w:bottom w:val="nil"/>
              <w:right w:val="nil"/>
            </w:tcBorders>
            <w:shd w:val="clear" w:color="auto" w:fill="BBE0E3"/>
            <w:vAlign w:val="center"/>
            <w:hideMark/>
          </w:tcPr>
          <w:p w14:paraId="1CA7F87C"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RH</w:t>
            </w:r>
          </w:p>
        </w:tc>
        <w:tc>
          <w:tcPr>
            <w:tcW w:w="559" w:type="dxa"/>
            <w:tcBorders>
              <w:top w:val="single" w:sz="4" w:space="0" w:color="auto"/>
              <w:left w:val="nil"/>
              <w:bottom w:val="nil"/>
              <w:right w:val="nil"/>
            </w:tcBorders>
            <w:shd w:val="clear" w:color="auto" w:fill="BBE0E3"/>
            <w:vAlign w:val="center"/>
            <w:hideMark/>
          </w:tcPr>
          <w:p w14:paraId="72F45C2D"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TL</w:t>
            </w:r>
          </w:p>
        </w:tc>
        <w:tc>
          <w:tcPr>
            <w:tcW w:w="546" w:type="dxa"/>
            <w:tcBorders>
              <w:top w:val="single" w:sz="4" w:space="0" w:color="auto"/>
              <w:left w:val="nil"/>
              <w:bottom w:val="nil"/>
              <w:right w:val="nil"/>
            </w:tcBorders>
            <w:shd w:val="clear" w:color="auto" w:fill="BBE0E3"/>
            <w:vAlign w:val="center"/>
            <w:hideMark/>
          </w:tcPr>
          <w:p w14:paraId="23810DDB" w14:textId="77777777" w:rsidR="003816AC" w:rsidRPr="00CB093C" w:rsidRDefault="003816AC" w:rsidP="003816AC">
            <w:pPr>
              <w:spacing w:before="0" w:after="0"/>
              <w:jc w:val="center"/>
              <w:rPr>
                <w:rFonts w:ascii="Arial" w:hAnsi="Arial" w:cs="Arial"/>
                <w:b/>
                <w:bCs/>
                <w:color w:val="000000"/>
                <w:szCs w:val="22"/>
              </w:rPr>
            </w:pPr>
            <w:r w:rsidRPr="00CB093C">
              <w:rPr>
                <w:rFonts w:ascii="Arial" w:hAnsi="Arial" w:cs="Arial"/>
                <w:b/>
                <w:color w:val="000000"/>
                <w:szCs w:val="22"/>
              </w:rPr>
              <w:t>LL</w:t>
            </w:r>
          </w:p>
        </w:tc>
      </w:tr>
      <w:tr w:rsidR="003816AC" w:rsidRPr="00CB093C" w14:paraId="040CA7B1" w14:textId="77777777" w:rsidTr="00035C35">
        <w:trPr>
          <w:gridAfter w:val="1"/>
          <w:wAfter w:w="10" w:type="dxa"/>
          <w:cantSplit/>
          <w:trHeight w:val="170"/>
          <w:jc w:val="center"/>
        </w:trPr>
        <w:tc>
          <w:tcPr>
            <w:tcW w:w="1148" w:type="dxa"/>
            <w:vMerge w:val="restart"/>
            <w:tcBorders>
              <w:top w:val="single" w:sz="4" w:space="0" w:color="auto"/>
              <w:left w:val="nil"/>
              <w:bottom w:val="nil"/>
              <w:right w:val="nil"/>
            </w:tcBorders>
            <w:noWrap/>
            <w:vAlign w:val="center"/>
            <w:hideMark/>
          </w:tcPr>
          <w:p w14:paraId="1783A276"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Far Northern</w:t>
            </w:r>
          </w:p>
        </w:tc>
        <w:tc>
          <w:tcPr>
            <w:tcW w:w="1294" w:type="dxa"/>
            <w:vMerge w:val="restart"/>
            <w:tcBorders>
              <w:top w:val="single" w:sz="4" w:space="0" w:color="auto"/>
              <w:left w:val="nil"/>
              <w:bottom w:val="nil"/>
              <w:right w:val="nil"/>
            </w:tcBorders>
            <w:shd w:val="clear" w:color="auto" w:fill="E7F3F4"/>
            <w:noWrap/>
            <w:vAlign w:val="center"/>
            <w:hideMark/>
          </w:tcPr>
          <w:p w14:paraId="2FFC3AB2"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Cape York</w:t>
            </w:r>
          </w:p>
        </w:tc>
        <w:tc>
          <w:tcPr>
            <w:tcW w:w="1299" w:type="dxa"/>
            <w:vMerge w:val="restart"/>
            <w:tcBorders>
              <w:top w:val="single" w:sz="4" w:space="0" w:color="auto"/>
              <w:left w:val="nil"/>
              <w:bottom w:val="nil"/>
              <w:right w:val="nil"/>
            </w:tcBorders>
            <w:shd w:val="clear" w:color="auto" w:fill="E7F3F4"/>
            <w:vAlign w:val="center"/>
          </w:tcPr>
          <w:p w14:paraId="7A64907C"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Jacky Jacky / Olive Pascoe</w:t>
            </w:r>
          </w:p>
        </w:tc>
        <w:tc>
          <w:tcPr>
            <w:tcW w:w="1307" w:type="dxa"/>
            <w:vMerge w:val="restart"/>
            <w:tcBorders>
              <w:top w:val="single" w:sz="4" w:space="0" w:color="auto"/>
              <w:left w:val="nil"/>
              <w:bottom w:val="nil"/>
              <w:right w:val="nil"/>
            </w:tcBorders>
            <w:shd w:val="clear" w:color="auto" w:fill="E7F3F4"/>
            <w:noWrap/>
            <w:vAlign w:val="center"/>
            <w:hideMark/>
          </w:tcPr>
          <w:p w14:paraId="7F07CC5F"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Shelburne Bay</w:t>
            </w:r>
          </w:p>
        </w:tc>
        <w:tc>
          <w:tcPr>
            <w:tcW w:w="840" w:type="dxa"/>
            <w:tcBorders>
              <w:top w:val="single" w:sz="4" w:space="0" w:color="auto"/>
              <w:left w:val="nil"/>
              <w:right w:val="nil"/>
            </w:tcBorders>
            <w:shd w:val="clear" w:color="auto" w:fill="E7F3F4"/>
            <w:noWrap/>
            <w:vAlign w:val="center"/>
            <w:hideMark/>
          </w:tcPr>
          <w:p w14:paraId="693844EE"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SR1</w:t>
            </w:r>
          </w:p>
        </w:tc>
        <w:tc>
          <w:tcPr>
            <w:tcW w:w="555" w:type="dxa"/>
            <w:tcBorders>
              <w:top w:val="single" w:sz="4" w:space="0" w:color="auto"/>
              <w:left w:val="nil"/>
              <w:right w:val="nil"/>
            </w:tcBorders>
            <w:shd w:val="clear" w:color="auto" w:fill="E7F3F4"/>
            <w:vAlign w:val="center"/>
          </w:tcPr>
          <w:p w14:paraId="2EB9585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E7F3F4"/>
            <w:noWrap/>
            <w:vAlign w:val="center"/>
          </w:tcPr>
          <w:p w14:paraId="177FFC4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E7F3F4"/>
            <w:noWrap/>
            <w:vAlign w:val="center"/>
          </w:tcPr>
          <w:p w14:paraId="23FEA38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E7F3F4"/>
            <w:vAlign w:val="center"/>
          </w:tcPr>
          <w:p w14:paraId="7AD493E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E7F3F4"/>
            <w:vAlign w:val="center"/>
          </w:tcPr>
          <w:p w14:paraId="483A527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E7F3F4"/>
            <w:vAlign w:val="center"/>
          </w:tcPr>
          <w:p w14:paraId="007B7C5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E7F3F4"/>
          </w:tcPr>
          <w:p w14:paraId="1C5D39BF"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E7F3F4"/>
            <w:vAlign w:val="center"/>
          </w:tcPr>
          <w:p w14:paraId="3F7D13B4"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3C69B207"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3DDF793B"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413A993C"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0015739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E7F3F4"/>
          </w:tcPr>
          <w:p w14:paraId="5200CEDC" w14:textId="77777777" w:rsidR="003816AC" w:rsidRPr="00CB093C" w:rsidRDefault="003816AC" w:rsidP="003816AC">
            <w:pPr>
              <w:spacing w:before="0" w:after="0"/>
              <w:jc w:val="center"/>
              <w:rPr>
                <w:rFonts w:ascii="Arial" w:hAnsi="Arial" w:cs="Arial"/>
                <w:szCs w:val="22"/>
              </w:rPr>
            </w:pPr>
          </w:p>
        </w:tc>
      </w:tr>
      <w:tr w:rsidR="003816AC" w:rsidRPr="00CB093C" w14:paraId="549D832D" w14:textId="77777777" w:rsidTr="00035C3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7489E346"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hideMark/>
          </w:tcPr>
          <w:p w14:paraId="68E0FA8D"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19F8D276"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79AEA72B" w14:textId="77777777" w:rsidR="003816AC" w:rsidRPr="00CB093C" w:rsidRDefault="003816AC" w:rsidP="003816AC">
            <w:pPr>
              <w:spacing w:before="0" w:after="0"/>
              <w:rPr>
                <w:rFonts w:ascii="Arial" w:hAnsi="Arial" w:cs="Arial"/>
                <w:color w:val="000000"/>
                <w:szCs w:val="22"/>
              </w:rPr>
            </w:pPr>
          </w:p>
        </w:tc>
        <w:tc>
          <w:tcPr>
            <w:tcW w:w="840" w:type="dxa"/>
            <w:tcBorders>
              <w:left w:val="nil"/>
              <w:bottom w:val="nil"/>
            </w:tcBorders>
            <w:shd w:val="clear" w:color="auto" w:fill="E7F3F4"/>
            <w:noWrap/>
            <w:vAlign w:val="center"/>
            <w:hideMark/>
          </w:tcPr>
          <w:p w14:paraId="3C502691"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SR2</w:t>
            </w:r>
          </w:p>
        </w:tc>
        <w:tc>
          <w:tcPr>
            <w:tcW w:w="555" w:type="dxa"/>
            <w:tcBorders>
              <w:bottom w:val="nil"/>
            </w:tcBorders>
            <w:shd w:val="clear" w:color="auto" w:fill="E7F3F4"/>
            <w:vAlign w:val="center"/>
          </w:tcPr>
          <w:p w14:paraId="69E44B9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E7F3F4"/>
            <w:noWrap/>
            <w:vAlign w:val="center"/>
          </w:tcPr>
          <w:p w14:paraId="76349B3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E7F3F4"/>
            <w:noWrap/>
            <w:vAlign w:val="center"/>
          </w:tcPr>
          <w:p w14:paraId="5B32C7F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E7F3F4"/>
            <w:vAlign w:val="center"/>
          </w:tcPr>
          <w:p w14:paraId="462E6A35"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E7F3F4"/>
            <w:vAlign w:val="center"/>
          </w:tcPr>
          <w:p w14:paraId="7DAD496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E7F3F4"/>
            <w:vAlign w:val="center"/>
          </w:tcPr>
          <w:p w14:paraId="7BE689B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E7F3F4"/>
          </w:tcPr>
          <w:p w14:paraId="563E882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E7F3F4"/>
            <w:vAlign w:val="center"/>
          </w:tcPr>
          <w:p w14:paraId="37FA0314"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0D54F7FA"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0FB9DFE8"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68CF6F97"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78F8E96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E7F3F4"/>
          </w:tcPr>
          <w:p w14:paraId="001F877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46549514" w14:textId="77777777" w:rsidTr="00035C3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39BE3B1A"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hideMark/>
          </w:tcPr>
          <w:p w14:paraId="51EE2FEF"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39B1B559" w14:textId="77777777" w:rsidR="003816AC" w:rsidRPr="00CB093C" w:rsidRDefault="003816AC" w:rsidP="003816AC">
            <w:pPr>
              <w:spacing w:before="0" w:after="0"/>
              <w:rPr>
                <w:rFonts w:ascii="Arial" w:hAnsi="Arial" w:cs="Arial"/>
                <w:color w:val="000000"/>
                <w:szCs w:val="22"/>
              </w:rPr>
            </w:pPr>
          </w:p>
        </w:tc>
        <w:tc>
          <w:tcPr>
            <w:tcW w:w="1307" w:type="dxa"/>
            <w:vMerge w:val="restart"/>
            <w:tcBorders>
              <w:top w:val="single" w:sz="4" w:space="0" w:color="auto"/>
              <w:left w:val="nil"/>
              <w:bottom w:val="nil"/>
              <w:right w:val="nil"/>
            </w:tcBorders>
            <w:shd w:val="clear" w:color="auto" w:fill="E7F3F4"/>
            <w:noWrap/>
            <w:vAlign w:val="center"/>
            <w:hideMark/>
          </w:tcPr>
          <w:p w14:paraId="7186E2C8"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Piper Reef</w:t>
            </w:r>
          </w:p>
        </w:tc>
        <w:tc>
          <w:tcPr>
            <w:tcW w:w="840" w:type="dxa"/>
            <w:tcBorders>
              <w:top w:val="single" w:sz="4" w:space="0" w:color="auto"/>
              <w:left w:val="nil"/>
              <w:right w:val="nil"/>
            </w:tcBorders>
            <w:shd w:val="clear" w:color="auto" w:fill="E7F3F4"/>
            <w:noWrap/>
            <w:vAlign w:val="center"/>
            <w:hideMark/>
          </w:tcPr>
          <w:p w14:paraId="5EB70F7C"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FR1</w:t>
            </w:r>
          </w:p>
        </w:tc>
        <w:tc>
          <w:tcPr>
            <w:tcW w:w="555" w:type="dxa"/>
            <w:tcBorders>
              <w:top w:val="single" w:sz="4" w:space="0" w:color="auto"/>
              <w:left w:val="nil"/>
              <w:right w:val="nil"/>
            </w:tcBorders>
            <w:shd w:val="clear" w:color="auto" w:fill="E7F3F4"/>
            <w:vAlign w:val="center"/>
            <w:hideMark/>
          </w:tcPr>
          <w:p w14:paraId="2FD9F99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E7F3F4"/>
            <w:noWrap/>
            <w:vAlign w:val="center"/>
            <w:hideMark/>
          </w:tcPr>
          <w:p w14:paraId="5847EA45"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E7F3F4"/>
            <w:noWrap/>
            <w:vAlign w:val="center"/>
            <w:hideMark/>
          </w:tcPr>
          <w:p w14:paraId="59F3348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E7F3F4"/>
            <w:vAlign w:val="center"/>
            <w:hideMark/>
          </w:tcPr>
          <w:p w14:paraId="6233FD1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E7F3F4"/>
            <w:vAlign w:val="center"/>
            <w:hideMark/>
          </w:tcPr>
          <w:p w14:paraId="7F81E69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E7F3F4"/>
            <w:vAlign w:val="center"/>
            <w:hideMark/>
          </w:tcPr>
          <w:p w14:paraId="35795E9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E7F3F4"/>
          </w:tcPr>
          <w:p w14:paraId="0C2EB860"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E7F3F4"/>
            <w:vAlign w:val="center"/>
          </w:tcPr>
          <w:p w14:paraId="7763F577"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50CCD815"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5D8A6F39"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22D9D67E"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1A06721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E7F3F4"/>
          </w:tcPr>
          <w:p w14:paraId="0454DAA5" w14:textId="77777777" w:rsidR="003816AC" w:rsidRPr="00CB093C" w:rsidRDefault="003816AC" w:rsidP="003816AC">
            <w:pPr>
              <w:spacing w:before="0" w:after="0"/>
              <w:jc w:val="center"/>
              <w:rPr>
                <w:rFonts w:ascii="Arial" w:hAnsi="Arial" w:cs="Arial"/>
                <w:szCs w:val="22"/>
              </w:rPr>
            </w:pPr>
          </w:p>
        </w:tc>
      </w:tr>
      <w:tr w:rsidR="003816AC" w:rsidRPr="00CB093C" w14:paraId="5263DCD8" w14:textId="77777777" w:rsidTr="00035C3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35E7EF64"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hideMark/>
          </w:tcPr>
          <w:p w14:paraId="1DD7A1FA"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746DB4B5"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2FBA6922" w14:textId="77777777" w:rsidR="003816AC" w:rsidRPr="00CB093C" w:rsidRDefault="003816AC" w:rsidP="003816AC">
            <w:pPr>
              <w:spacing w:before="0" w:after="0"/>
              <w:rPr>
                <w:rFonts w:ascii="Arial" w:hAnsi="Arial" w:cs="Arial"/>
                <w:color w:val="000000"/>
                <w:szCs w:val="22"/>
              </w:rPr>
            </w:pPr>
          </w:p>
        </w:tc>
        <w:tc>
          <w:tcPr>
            <w:tcW w:w="840" w:type="dxa"/>
            <w:tcBorders>
              <w:left w:val="nil"/>
              <w:bottom w:val="nil"/>
            </w:tcBorders>
            <w:shd w:val="clear" w:color="auto" w:fill="E7F3F4"/>
            <w:noWrap/>
            <w:vAlign w:val="center"/>
            <w:hideMark/>
          </w:tcPr>
          <w:p w14:paraId="1D600E0D"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FR2</w:t>
            </w:r>
          </w:p>
        </w:tc>
        <w:tc>
          <w:tcPr>
            <w:tcW w:w="555" w:type="dxa"/>
            <w:tcBorders>
              <w:bottom w:val="nil"/>
            </w:tcBorders>
            <w:shd w:val="clear" w:color="auto" w:fill="E7F3F4"/>
            <w:vAlign w:val="center"/>
          </w:tcPr>
          <w:p w14:paraId="0907D44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E7F3F4"/>
            <w:noWrap/>
            <w:vAlign w:val="center"/>
          </w:tcPr>
          <w:p w14:paraId="0C6678B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E7F3F4"/>
            <w:noWrap/>
            <w:vAlign w:val="center"/>
          </w:tcPr>
          <w:p w14:paraId="5230BED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E7F3F4"/>
            <w:vAlign w:val="center"/>
          </w:tcPr>
          <w:p w14:paraId="331551A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E7F3F4"/>
            <w:vAlign w:val="center"/>
          </w:tcPr>
          <w:p w14:paraId="53EB86C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E7F3F4"/>
            <w:vAlign w:val="center"/>
            <w:hideMark/>
          </w:tcPr>
          <w:p w14:paraId="0D9E893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E7F3F4"/>
            <w:hideMark/>
          </w:tcPr>
          <w:p w14:paraId="1601CAC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E7F3F4"/>
            <w:vAlign w:val="center"/>
          </w:tcPr>
          <w:p w14:paraId="5DCE2EE7"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49EA4D9A"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3CAFE62F"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431E7FBA"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0416D69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E7F3F4"/>
          </w:tcPr>
          <w:p w14:paraId="7B3243E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2238CB74" w14:textId="77777777" w:rsidTr="00035C3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5C1C21E9"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tcPr>
          <w:p w14:paraId="3E4DC083" w14:textId="77777777" w:rsidR="003816AC" w:rsidRPr="00CB093C" w:rsidRDefault="003816AC" w:rsidP="003816AC">
            <w:pPr>
              <w:spacing w:before="0" w:after="0"/>
              <w:rPr>
                <w:rFonts w:ascii="Arial" w:hAnsi="Arial" w:cs="Arial"/>
                <w:color w:val="000000"/>
                <w:szCs w:val="22"/>
              </w:rPr>
            </w:pPr>
          </w:p>
        </w:tc>
        <w:tc>
          <w:tcPr>
            <w:tcW w:w="1299" w:type="dxa"/>
            <w:vMerge w:val="restart"/>
            <w:tcBorders>
              <w:top w:val="single" w:sz="4" w:space="0" w:color="auto"/>
              <w:left w:val="nil"/>
              <w:right w:val="nil"/>
            </w:tcBorders>
            <w:shd w:val="clear" w:color="auto" w:fill="E7F3F4"/>
            <w:vAlign w:val="center"/>
          </w:tcPr>
          <w:p w14:paraId="47DF2566"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Lockhart</w:t>
            </w:r>
          </w:p>
        </w:tc>
        <w:tc>
          <w:tcPr>
            <w:tcW w:w="1307" w:type="dxa"/>
            <w:tcBorders>
              <w:top w:val="single" w:sz="4" w:space="0" w:color="auto"/>
              <w:left w:val="nil"/>
              <w:right w:val="nil"/>
            </w:tcBorders>
            <w:shd w:val="clear" w:color="auto" w:fill="E7F3F4"/>
            <w:noWrap/>
            <w:vAlign w:val="center"/>
          </w:tcPr>
          <w:p w14:paraId="56AAA2A7"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Weymouth Bay</w:t>
            </w:r>
          </w:p>
        </w:tc>
        <w:tc>
          <w:tcPr>
            <w:tcW w:w="840" w:type="dxa"/>
            <w:tcBorders>
              <w:top w:val="single" w:sz="4" w:space="0" w:color="auto"/>
              <w:left w:val="nil"/>
              <w:right w:val="nil"/>
            </w:tcBorders>
            <w:shd w:val="clear" w:color="auto" w:fill="E7F3F4"/>
            <w:noWrap/>
            <w:vAlign w:val="center"/>
          </w:tcPr>
          <w:p w14:paraId="6B2ED062"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YY1</w:t>
            </w:r>
          </w:p>
        </w:tc>
        <w:tc>
          <w:tcPr>
            <w:tcW w:w="555" w:type="dxa"/>
            <w:tcBorders>
              <w:top w:val="single" w:sz="4" w:space="0" w:color="auto"/>
              <w:left w:val="nil"/>
              <w:right w:val="nil"/>
            </w:tcBorders>
            <w:shd w:val="clear" w:color="auto" w:fill="E7F3F4"/>
            <w:vAlign w:val="center"/>
          </w:tcPr>
          <w:p w14:paraId="7DFD3922" w14:textId="77777777" w:rsidR="003816AC" w:rsidRPr="00CB093C" w:rsidRDefault="003816AC" w:rsidP="003816AC">
            <w:pPr>
              <w:spacing w:before="0" w:after="0"/>
              <w:jc w:val="center"/>
              <w:rPr>
                <w:rFonts w:ascii="Arial" w:hAnsi="Arial" w:cs="Arial"/>
                <w:szCs w:val="22"/>
              </w:rPr>
            </w:pPr>
          </w:p>
        </w:tc>
        <w:tc>
          <w:tcPr>
            <w:tcW w:w="543" w:type="dxa"/>
            <w:tcBorders>
              <w:top w:val="single" w:sz="4" w:space="0" w:color="auto"/>
              <w:left w:val="nil"/>
              <w:right w:val="nil"/>
            </w:tcBorders>
            <w:shd w:val="clear" w:color="auto" w:fill="E7F3F4"/>
            <w:noWrap/>
            <w:vAlign w:val="center"/>
          </w:tcPr>
          <w:p w14:paraId="7685BF2A" w14:textId="77777777" w:rsidR="003816AC" w:rsidRPr="00CB093C" w:rsidRDefault="003816AC"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E7F3F4"/>
            <w:noWrap/>
            <w:vAlign w:val="center"/>
          </w:tcPr>
          <w:p w14:paraId="0403AB2B" w14:textId="77777777" w:rsidR="003816AC" w:rsidRPr="00CB093C" w:rsidRDefault="003816AC" w:rsidP="003816AC">
            <w:pPr>
              <w:spacing w:before="0" w:after="0"/>
              <w:jc w:val="center"/>
              <w:rPr>
                <w:rFonts w:ascii="Arial" w:hAnsi="Arial" w:cs="Arial"/>
                <w:szCs w:val="22"/>
              </w:rPr>
            </w:pPr>
          </w:p>
        </w:tc>
        <w:tc>
          <w:tcPr>
            <w:tcW w:w="536" w:type="dxa"/>
            <w:tcBorders>
              <w:top w:val="single" w:sz="4" w:space="0" w:color="auto"/>
              <w:left w:val="nil"/>
              <w:right w:val="nil"/>
            </w:tcBorders>
            <w:shd w:val="clear" w:color="auto" w:fill="E7F3F4"/>
            <w:vAlign w:val="center"/>
          </w:tcPr>
          <w:p w14:paraId="1BCA3C4F" w14:textId="77777777" w:rsidR="003816AC" w:rsidRPr="00CB093C" w:rsidRDefault="003816AC"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E7F3F4"/>
            <w:vAlign w:val="center"/>
          </w:tcPr>
          <w:p w14:paraId="38785234" w14:textId="77777777" w:rsidR="003816AC" w:rsidRPr="00CB093C" w:rsidRDefault="003816AC" w:rsidP="003816AC">
            <w:pPr>
              <w:spacing w:before="0" w:after="0"/>
              <w:jc w:val="center"/>
              <w:rPr>
                <w:rFonts w:ascii="Arial" w:hAnsi="Arial" w:cs="Arial"/>
                <w:szCs w:val="22"/>
              </w:rPr>
            </w:pPr>
          </w:p>
        </w:tc>
        <w:tc>
          <w:tcPr>
            <w:tcW w:w="529" w:type="dxa"/>
            <w:tcBorders>
              <w:top w:val="single" w:sz="4" w:space="0" w:color="auto"/>
              <w:left w:val="nil"/>
              <w:right w:val="nil"/>
            </w:tcBorders>
            <w:shd w:val="clear" w:color="auto" w:fill="E7F3F4"/>
            <w:vAlign w:val="center"/>
          </w:tcPr>
          <w:p w14:paraId="7AF674DF"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single" w:sz="4" w:space="0" w:color="auto"/>
            </w:tcBorders>
            <w:shd w:val="clear" w:color="auto" w:fill="E7F3F4"/>
          </w:tcPr>
          <w:p w14:paraId="5BEE8300"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E7F3F4"/>
            <w:vAlign w:val="center"/>
          </w:tcPr>
          <w:p w14:paraId="682477BB"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5A122DE1"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0676EEA1"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1BAD3A75"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5FA8552C" w14:textId="77777777" w:rsidR="003816AC" w:rsidRPr="00CB093C" w:rsidRDefault="003816AC" w:rsidP="003816AC">
            <w:pPr>
              <w:spacing w:before="0" w:after="0"/>
              <w:jc w:val="center"/>
              <w:rPr>
                <w:rFonts w:ascii="Arial" w:hAnsi="Arial" w:cs="Arial"/>
                <w:szCs w:val="22"/>
              </w:rPr>
            </w:pPr>
          </w:p>
        </w:tc>
        <w:tc>
          <w:tcPr>
            <w:tcW w:w="546" w:type="dxa"/>
            <w:tcBorders>
              <w:top w:val="single" w:sz="4" w:space="0" w:color="auto"/>
              <w:left w:val="nil"/>
              <w:right w:val="nil"/>
            </w:tcBorders>
            <w:shd w:val="clear" w:color="auto" w:fill="E7F3F4"/>
            <w:vAlign w:val="center"/>
          </w:tcPr>
          <w:p w14:paraId="57D85B70" w14:textId="77777777" w:rsidR="003816AC" w:rsidRPr="00CB093C" w:rsidRDefault="003816AC" w:rsidP="003816AC">
            <w:pPr>
              <w:spacing w:before="0" w:after="0"/>
              <w:jc w:val="center"/>
              <w:rPr>
                <w:rFonts w:ascii="Arial" w:hAnsi="Arial" w:cs="Arial"/>
                <w:szCs w:val="22"/>
              </w:rPr>
            </w:pPr>
          </w:p>
        </w:tc>
      </w:tr>
      <w:tr w:rsidR="003816AC" w:rsidRPr="00CB093C" w14:paraId="0CA4D2A4" w14:textId="77777777" w:rsidTr="00035C3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77E1ECF7"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tcPr>
          <w:p w14:paraId="314CB90A"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shd w:val="clear" w:color="auto" w:fill="E7F3F4"/>
            <w:vAlign w:val="center"/>
          </w:tcPr>
          <w:p w14:paraId="67639178" w14:textId="77777777" w:rsidR="003816AC" w:rsidRPr="00CB093C" w:rsidRDefault="003816AC" w:rsidP="003816AC">
            <w:pPr>
              <w:spacing w:before="0" w:after="0"/>
              <w:jc w:val="center"/>
              <w:rPr>
                <w:rFonts w:ascii="Arial" w:hAnsi="Arial" w:cs="Arial"/>
                <w:color w:val="000000"/>
                <w:szCs w:val="22"/>
              </w:rPr>
            </w:pPr>
          </w:p>
        </w:tc>
        <w:tc>
          <w:tcPr>
            <w:tcW w:w="1307" w:type="dxa"/>
            <w:vMerge w:val="restart"/>
            <w:tcBorders>
              <w:top w:val="single" w:sz="4" w:space="0" w:color="auto"/>
              <w:left w:val="nil"/>
              <w:right w:val="nil"/>
            </w:tcBorders>
            <w:shd w:val="clear" w:color="auto" w:fill="E7F3F4"/>
            <w:noWrap/>
            <w:vAlign w:val="center"/>
          </w:tcPr>
          <w:p w14:paraId="71D08474"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Lloyd Bay</w:t>
            </w:r>
          </w:p>
        </w:tc>
        <w:tc>
          <w:tcPr>
            <w:tcW w:w="840" w:type="dxa"/>
            <w:tcBorders>
              <w:top w:val="single" w:sz="4" w:space="0" w:color="auto"/>
              <w:left w:val="nil"/>
              <w:right w:val="nil"/>
            </w:tcBorders>
            <w:shd w:val="clear" w:color="auto" w:fill="E7F3F4"/>
            <w:noWrap/>
            <w:vAlign w:val="center"/>
          </w:tcPr>
          <w:p w14:paraId="67764A81"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LR1^</w:t>
            </w:r>
          </w:p>
        </w:tc>
        <w:tc>
          <w:tcPr>
            <w:tcW w:w="555" w:type="dxa"/>
            <w:tcBorders>
              <w:top w:val="single" w:sz="4" w:space="0" w:color="auto"/>
              <w:left w:val="nil"/>
              <w:right w:val="nil"/>
            </w:tcBorders>
            <w:shd w:val="clear" w:color="auto" w:fill="E7F3F4"/>
            <w:vAlign w:val="center"/>
          </w:tcPr>
          <w:p w14:paraId="4015142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19</w:t>
            </w:r>
          </w:p>
        </w:tc>
        <w:tc>
          <w:tcPr>
            <w:tcW w:w="543" w:type="dxa"/>
            <w:tcBorders>
              <w:top w:val="single" w:sz="4" w:space="0" w:color="auto"/>
              <w:left w:val="nil"/>
              <w:right w:val="nil"/>
            </w:tcBorders>
            <w:shd w:val="clear" w:color="auto" w:fill="E7F3F4"/>
            <w:noWrap/>
            <w:vAlign w:val="center"/>
          </w:tcPr>
          <w:p w14:paraId="03B2D51E" w14:textId="77777777" w:rsidR="003816AC" w:rsidRPr="00CB093C" w:rsidRDefault="003816AC"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E7F3F4"/>
            <w:noWrap/>
            <w:vAlign w:val="center"/>
          </w:tcPr>
          <w:p w14:paraId="7EA6952B" w14:textId="77777777" w:rsidR="003816AC" w:rsidRPr="00CB093C" w:rsidRDefault="003816AC" w:rsidP="003816AC">
            <w:pPr>
              <w:spacing w:before="0" w:after="0"/>
              <w:jc w:val="center"/>
              <w:rPr>
                <w:rFonts w:ascii="Arial" w:hAnsi="Arial" w:cs="Arial"/>
                <w:szCs w:val="22"/>
              </w:rPr>
            </w:pPr>
          </w:p>
        </w:tc>
        <w:tc>
          <w:tcPr>
            <w:tcW w:w="536" w:type="dxa"/>
            <w:tcBorders>
              <w:top w:val="single" w:sz="4" w:space="0" w:color="auto"/>
              <w:left w:val="nil"/>
              <w:right w:val="nil"/>
            </w:tcBorders>
            <w:shd w:val="clear" w:color="auto" w:fill="E7F3F4"/>
            <w:vAlign w:val="center"/>
          </w:tcPr>
          <w:p w14:paraId="57B59871" w14:textId="77777777" w:rsidR="003816AC" w:rsidRPr="00CB093C" w:rsidRDefault="003816AC"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E7F3F4"/>
            <w:vAlign w:val="center"/>
          </w:tcPr>
          <w:p w14:paraId="6CA610C6" w14:textId="77777777" w:rsidR="003816AC" w:rsidRPr="00CB093C" w:rsidRDefault="003816AC" w:rsidP="003816AC">
            <w:pPr>
              <w:spacing w:before="0" w:after="0"/>
              <w:jc w:val="center"/>
              <w:rPr>
                <w:rFonts w:ascii="Arial" w:hAnsi="Arial" w:cs="Arial"/>
                <w:szCs w:val="22"/>
              </w:rPr>
            </w:pPr>
          </w:p>
        </w:tc>
        <w:tc>
          <w:tcPr>
            <w:tcW w:w="529" w:type="dxa"/>
            <w:tcBorders>
              <w:top w:val="single" w:sz="4" w:space="0" w:color="auto"/>
              <w:left w:val="nil"/>
              <w:right w:val="nil"/>
            </w:tcBorders>
            <w:shd w:val="clear" w:color="auto" w:fill="E7F3F4"/>
            <w:vAlign w:val="center"/>
          </w:tcPr>
          <w:p w14:paraId="39DE6115"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single" w:sz="4" w:space="0" w:color="auto"/>
            </w:tcBorders>
            <w:shd w:val="clear" w:color="auto" w:fill="E7F3F4"/>
          </w:tcPr>
          <w:p w14:paraId="233F44DD"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E7F3F4"/>
            <w:vAlign w:val="center"/>
          </w:tcPr>
          <w:p w14:paraId="4D418AC8"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6675F2D8"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55F240A7"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49A72DFE"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2D9C559F" w14:textId="77777777" w:rsidR="003816AC" w:rsidRPr="00CB093C" w:rsidRDefault="003816AC" w:rsidP="003816AC">
            <w:pPr>
              <w:spacing w:before="0" w:after="0"/>
              <w:jc w:val="center"/>
              <w:rPr>
                <w:rFonts w:ascii="Arial" w:hAnsi="Arial" w:cs="Arial"/>
                <w:szCs w:val="22"/>
              </w:rPr>
            </w:pPr>
          </w:p>
        </w:tc>
        <w:tc>
          <w:tcPr>
            <w:tcW w:w="546" w:type="dxa"/>
            <w:tcBorders>
              <w:top w:val="single" w:sz="4" w:space="0" w:color="auto"/>
              <w:left w:val="nil"/>
              <w:right w:val="nil"/>
            </w:tcBorders>
            <w:shd w:val="clear" w:color="auto" w:fill="E7F3F4"/>
            <w:vAlign w:val="center"/>
          </w:tcPr>
          <w:p w14:paraId="618D8143" w14:textId="77777777" w:rsidR="003816AC" w:rsidRPr="00CB093C" w:rsidRDefault="003816AC" w:rsidP="003816AC">
            <w:pPr>
              <w:spacing w:before="0" w:after="0"/>
              <w:jc w:val="center"/>
              <w:rPr>
                <w:rFonts w:ascii="Arial" w:hAnsi="Arial" w:cs="Arial"/>
                <w:szCs w:val="22"/>
              </w:rPr>
            </w:pPr>
          </w:p>
        </w:tc>
      </w:tr>
      <w:tr w:rsidR="003816AC" w:rsidRPr="00CB093C" w14:paraId="0EFE6461" w14:textId="77777777" w:rsidTr="00035C3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2A319540"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tcPr>
          <w:p w14:paraId="4B379084" w14:textId="77777777" w:rsidR="003816AC" w:rsidRPr="00CB093C" w:rsidRDefault="003816AC" w:rsidP="003816AC">
            <w:pPr>
              <w:spacing w:before="0" w:after="0"/>
              <w:rPr>
                <w:rFonts w:ascii="Arial" w:hAnsi="Arial" w:cs="Arial"/>
                <w:color w:val="000000"/>
                <w:szCs w:val="22"/>
              </w:rPr>
            </w:pPr>
          </w:p>
        </w:tc>
        <w:tc>
          <w:tcPr>
            <w:tcW w:w="1299" w:type="dxa"/>
            <w:vMerge/>
            <w:tcBorders>
              <w:left w:val="nil"/>
              <w:bottom w:val="nil"/>
              <w:right w:val="nil"/>
            </w:tcBorders>
            <w:shd w:val="clear" w:color="auto" w:fill="E7F3F4"/>
            <w:vAlign w:val="center"/>
          </w:tcPr>
          <w:p w14:paraId="2DAFF0BF" w14:textId="77777777" w:rsidR="003816AC" w:rsidRPr="00CB093C" w:rsidRDefault="003816AC" w:rsidP="003816AC">
            <w:pPr>
              <w:spacing w:before="0" w:after="0"/>
              <w:jc w:val="center"/>
              <w:rPr>
                <w:rFonts w:ascii="Arial" w:hAnsi="Arial" w:cs="Arial"/>
                <w:color w:val="000000"/>
                <w:szCs w:val="22"/>
              </w:rPr>
            </w:pPr>
          </w:p>
        </w:tc>
        <w:tc>
          <w:tcPr>
            <w:tcW w:w="1307" w:type="dxa"/>
            <w:vMerge/>
            <w:tcBorders>
              <w:left w:val="nil"/>
              <w:bottom w:val="nil"/>
              <w:right w:val="nil"/>
            </w:tcBorders>
            <w:shd w:val="clear" w:color="auto" w:fill="E7F3F4"/>
            <w:noWrap/>
            <w:vAlign w:val="center"/>
          </w:tcPr>
          <w:p w14:paraId="51B38C3A" w14:textId="77777777" w:rsidR="003816AC" w:rsidRPr="00CB093C" w:rsidRDefault="003816AC" w:rsidP="003816AC">
            <w:pPr>
              <w:spacing w:before="0" w:after="0"/>
              <w:jc w:val="center"/>
              <w:rPr>
                <w:rFonts w:ascii="Arial" w:hAnsi="Arial" w:cs="Arial"/>
                <w:color w:val="000000"/>
                <w:szCs w:val="22"/>
              </w:rPr>
            </w:pPr>
          </w:p>
        </w:tc>
        <w:tc>
          <w:tcPr>
            <w:tcW w:w="840" w:type="dxa"/>
            <w:tcBorders>
              <w:left w:val="nil"/>
              <w:bottom w:val="nil"/>
            </w:tcBorders>
            <w:shd w:val="clear" w:color="auto" w:fill="E7F3F4"/>
            <w:noWrap/>
            <w:vAlign w:val="center"/>
          </w:tcPr>
          <w:p w14:paraId="701779CA"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LR2^</w:t>
            </w:r>
          </w:p>
        </w:tc>
        <w:tc>
          <w:tcPr>
            <w:tcW w:w="555" w:type="dxa"/>
            <w:tcBorders>
              <w:bottom w:val="nil"/>
            </w:tcBorders>
            <w:shd w:val="clear" w:color="auto" w:fill="E7F3F4"/>
            <w:vAlign w:val="center"/>
          </w:tcPr>
          <w:p w14:paraId="4FA829B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10</w:t>
            </w:r>
          </w:p>
        </w:tc>
        <w:tc>
          <w:tcPr>
            <w:tcW w:w="543" w:type="dxa"/>
            <w:tcBorders>
              <w:bottom w:val="nil"/>
            </w:tcBorders>
            <w:shd w:val="clear" w:color="auto" w:fill="E7F3F4"/>
            <w:noWrap/>
            <w:vAlign w:val="center"/>
          </w:tcPr>
          <w:p w14:paraId="01559B6B" w14:textId="77777777" w:rsidR="003816AC" w:rsidRPr="00CB093C" w:rsidRDefault="003816AC" w:rsidP="003816AC">
            <w:pPr>
              <w:spacing w:before="0" w:after="0"/>
              <w:jc w:val="center"/>
              <w:rPr>
                <w:rFonts w:ascii="Arial" w:hAnsi="Arial" w:cs="Arial"/>
                <w:szCs w:val="22"/>
              </w:rPr>
            </w:pPr>
          </w:p>
        </w:tc>
        <w:tc>
          <w:tcPr>
            <w:tcW w:w="540" w:type="dxa"/>
            <w:tcBorders>
              <w:bottom w:val="nil"/>
            </w:tcBorders>
            <w:shd w:val="clear" w:color="auto" w:fill="E7F3F4"/>
            <w:noWrap/>
            <w:vAlign w:val="center"/>
          </w:tcPr>
          <w:p w14:paraId="4C37F8FD" w14:textId="77777777" w:rsidR="003816AC" w:rsidRPr="00CB093C" w:rsidRDefault="003816AC" w:rsidP="003816AC">
            <w:pPr>
              <w:spacing w:before="0" w:after="0"/>
              <w:jc w:val="center"/>
              <w:rPr>
                <w:rFonts w:ascii="Arial" w:hAnsi="Arial" w:cs="Arial"/>
                <w:szCs w:val="22"/>
              </w:rPr>
            </w:pPr>
          </w:p>
        </w:tc>
        <w:tc>
          <w:tcPr>
            <w:tcW w:w="536" w:type="dxa"/>
            <w:tcBorders>
              <w:bottom w:val="nil"/>
            </w:tcBorders>
            <w:shd w:val="clear" w:color="auto" w:fill="E7F3F4"/>
            <w:vAlign w:val="center"/>
          </w:tcPr>
          <w:p w14:paraId="1A57E6B1" w14:textId="77777777" w:rsidR="003816AC" w:rsidRPr="00CB093C" w:rsidRDefault="003816AC" w:rsidP="003816AC">
            <w:pPr>
              <w:spacing w:before="0" w:after="0"/>
              <w:jc w:val="center"/>
              <w:rPr>
                <w:rFonts w:ascii="Arial" w:hAnsi="Arial" w:cs="Arial"/>
                <w:szCs w:val="22"/>
              </w:rPr>
            </w:pPr>
          </w:p>
        </w:tc>
        <w:tc>
          <w:tcPr>
            <w:tcW w:w="540" w:type="dxa"/>
            <w:tcBorders>
              <w:bottom w:val="nil"/>
            </w:tcBorders>
            <w:shd w:val="clear" w:color="auto" w:fill="E7F3F4"/>
            <w:vAlign w:val="center"/>
          </w:tcPr>
          <w:p w14:paraId="3939DF01" w14:textId="77777777" w:rsidR="003816AC" w:rsidRPr="00CB093C" w:rsidRDefault="003816AC" w:rsidP="003816AC">
            <w:pPr>
              <w:spacing w:before="0" w:after="0"/>
              <w:jc w:val="center"/>
              <w:rPr>
                <w:rFonts w:ascii="Arial" w:hAnsi="Arial" w:cs="Arial"/>
                <w:szCs w:val="22"/>
              </w:rPr>
            </w:pPr>
          </w:p>
        </w:tc>
        <w:tc>
          <w:tcPr>
            <w:tcW w:w="529" w:type="dxa"/>
            <w:tcBorders>
              <w:bottom w:val="nil"/>
            </w:tcBorders>
            <w:shd w:val="clear" w:color="auto" w:fill="E7F3F4"/>
            <w:vAlign w:val="center"/>
          </w:tcPr>
          <w:p w14:paraId="7C2D06DF" w14:textId="77777777" w:rsidR="003816AC" w:rsidRPr="00CB093C" w:rsidRDefault="003816AC" w:rsidP="003816AC">
            <w:pPr>
              <w:spacing w:before="0" w:after="0"/>
              <w:jc w:val="center"/>
              <w:rPr>
                <w:rFonts w:ascii="Arial" w:hAnsi="Arial" w:cs="Arial"/>
                <w:szCs w:val="22"/>
              </w:rPr>
            </w:pPr>
          </w:p>
        </w:tc>
        <w:tc>
          <w:tcPr>
            <w:tcW w:w="559" w:type="dxa"/>
            <w:tcBorders>
              <w:bottom w:val="nil"/>
              <w:right w:val="single" w:sz="4" w:space="0" w:color="auto"/>
            </w:tcBorders>
            <w:shd w:val="clear" w:color="auto" w:fill="E7F3F4"/>
          </w:tcPr>
          <w:p w14:paraId="666D8D39" w14:textId="77777777" w:rsidR="003816AC" w:rsidRPr="00CB093C" w:rsidRDefault="003816AC" w:rsidP="003816AC">
            <w:pPr>
              <w:spacing w:before="0" w:after="0"/>
              <w:jc w:val="center"/>
              <w:rPr>
                <w:rFonts w:ascii="Arial" w:hAnsi="Arial" w:cs="Arial"/>
                <w:szCs w:val="22"/>
              </w:rPr>
            </w:pPr>
          </w:p>
        </w:tc>
        <w:tc>
          <w:tcPr>
            <w:tcW w:w="559" w:type="dxa"/>
            <w:tcBorders>
              <w:left w:val="single" w:sz="4" w:space="0" w:color="auto"/>
              <w:bottom w:val="nil"/>
            </w:tcBorders>
            <w:shd w:val="clear" w:color="auto" w:fill="E7F3F4"/>
            <w:vAlign w:val="center"/>
          </w:tcPr>
          <w:p w14:paraId="13CFB96C"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2309256D"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30ED7B20"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21993AC4"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0E703744" w14:textId="77777777" w:rsidR="003816AC" w:rsidRPr="00CB093C" w:rsidRDefault="003816AC" w:rsidP="003816AC">
            <w:pPr>
              <w:spacing w:before="0" w:after="0"/>
              <w:jc w:val="center"/>
              <w:rPr>
                <w:rFonts w:ascii="Arial" w:hAnsi="Arial" w:cs="Arial"/>
                <w:szCs w:val="22"/>
              </w:rPr>
            </w:pPr>
          </w:p>
        </w:tc>
        <w:tc>
          <w:tcPr>
            <w:tcW w:w="546" w:type="dxa"/>
            <w:tcBorders>
              <w:bottom w:val="nil"/>
              <w:right w:val="nil"/>
            </w:tcBorders>
            <w:shd w:val="clear" w:color="auto" w:fill="E7F3F4"/>
            <w:vAlign w:val="center"/>
          </w:tcPr>
          <w:p w14:paraId="0204D8D0" w14:textId="77777777" w:rsidR="003816AC" w:rsidRPr="00CB093C" w:rsidRDefault="003816AC" w:rsidP="003816AC">
            <w:pPr>
              <w:spacing w:before="0" w:after="0"/>
              <w:jc w:val="center"/>
              <w:rPr>
                <w:rFonts w:ascii="Arial" w:hAnsi="Arial" w:cs="Arial"/>
                <w:szCs w:val="22"/>
              </w:rPr>
            </w:pPr>
          </w:p>
        </w:tc>
      </w:tr>
      <w:tr w:rsidR="00557CEB" w:rsidRPr="00CB093C" w14:paraId="7794CE69" w14:textId="77777777" w:rsidTr="009629F4">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505D9549" w14:textId="77777777" w:rsidR="00557CEB" w:rsidRPr="00CB093C" w:rsidRDefault="00557CEB"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hideMark/>
          </w:tcPr>
          <w:p w14:paraId="3134FD45" w14:textId="77777777" w:rsidR="00557CEB" w:rsidRPr="00CB093C" w:rsidRDefault="00557CEB" w:rsidP="003816AC">
            <w:pPr>
              <w:spacing w:before="0" w:after="0"/>
              <w:rPr>
                <w:rFonts w:ascii="Arial" w:hAnsi="Arial" w:cs="Arial"/>
                <w:color w:val="000000"/>
                <w:szCs w:val="22"/>
              </w:rPr>
            </w:pPr>
          </w:p>
        </w:tc>
        <w:tc>
          <w:tcPr>
            <w:tcW w:w="1299" w:type="dxa"/>
            <w:vMerge w:val="restart"/>
            <w:tcBorders>
              <w:top w:val="single" w:sz="4" w:space="0" w:color="auto"/>
              <w:left w:val="nil"/>
              <w:right w:val="nil"/>
            </w:tcBorders>
            <w:shd w:val="clear" w:color="auto" w:fill="E7F3F4"/>
            <w:vAlign w:val="center"/>
            <w:hideMark/>
          </w:tcPr>
          <w:p w14:paraId="58E4FB2F" w14:textId="77777777" w:rsidR="00557CEB" w:rsidRPr="00CB093C" w:rsidRDefault="00557CEB" w:rsidP="003816AC">
            <w:pPr>
              <w:spacing w:before="0" w:after="0"/>
              <w:jc w:val="center"/>
              <w:rPr>
                <w:rFonts w:ascii="Arial" w:hAnsi="Arial" w:cs="Arial"/>
                <w:color w:val="000000"/>
                <w:szCs w:val="22"/>
              </w:rPr>
            </w:pPr>
            <w:r w:rsidRPr="00CB093C">
              <w:rPr>
                <w:rFonts w:ascii="Arial" w:hAnsi="Arial" w:cs="Arial"/>
                <w:color w:val="000000"/>
                <w:szCs w:val="22"/>
              </w:rPr>
              <w:t>Normanby / Jeanie</w:t>
            </w:r>
          </w:p>
        </w:tc>
        <w:tc>
          <w:tcPr>
            <w:tcW w:w="1307" w:type="dxa"/>
            <w:vMerge w:val="restart"/>
            <w:tcBorders>
              <w:top w:val="single" w:sz="4" w:space="0" w:color="auto"/>
              <w:left w:val="nil"/>
              <w:right w:val="nil"/>
            </w:tcBorders>
            <w:shd w:val="clear" w:color="auto" w:fill="E7F3F4"/>
            <w:noWrap/>
            <w:vAlign w:val="center"/>
            <w:hideMark/>
          </w:tcPr>
          <w:p w14:paraId="63851FFA" w14:textId="77777777" w:rsidR="00557CEB" w:rsidRPr="00CB093C" w:rsidRDefault="00557CEB" w:rsidP="003816AC">
            <w:pPr>
              <w:spacing w:before="0" w:after="0"/>
              <w:jc w:val="center"/>
              <w:rPr>
                <w:rFonts w:ascii="Arial" w:hAnsi="Arial" w:cs="Arial"/>
                <w:color w:val="000000"/>
                <w:szCs w:val="22"/>
              </w:rPr>
            </w:pPr>
            <w:r w:rsidRPr="00CB093C">
              <w:rPr>
                <w:rFonts w:ascii="Arial" w:hAnsi="Arial" w:cs="Arial"/>
                <w:color w:val="000000"/>
                <w:szCs w:val="22"/>
              </w:rPr>
              <w:t>Flinders Group</w:t>
            </w:r>
          </w:p>
        </w:tc>
        <w:tc>
          <w:tcPr>
            <w:tcW w:w="840" w:type="dxa"/>
            <w:tcBorders>
              <w:top w:val="single" w:sz="4" w:space="0" w:color="auto"/>
              <w:left w:val="nil"/>
              <w:right w:val="nil"/>
            </w:tcBorders>
            <w:shd w:val="clear" w:color="auto" w:fill="E7F3F4"/>
            <w:noWrap/>
            <w:vAlign w:val="center"/>
            <w:hideMark/>
          </w:tcPr>
          <w:p w14:paraId="052894DD" w14:textId="77777777" w:rsidR="00557CEB" w:rsidRPr="00CB093C" w:rsidRDefault="00557CEB" w:rsidP="003816AC">
            <w:pPr>
              <w:spacing w:before="0" w:after="0"/>
              <w:jc w:val="center"/>
              <w:rPr>
                <w:rFonts w:ascii="Arial" w:hAnsi="Arial" w:cs="Arial"/>
                <w:b/>
                <w:color w:val="000000"/>
                <w:szCs w:val="22"/>
              </w:rPr>
            </w:pPr>
            <w:r w:rsidRPr="00CB093C">
              <w:rPr>
                <w:rFonts w:ascii="Arial" w:hAnsi="Arial" w:cs="Arial"/>
                <w:b/>
                <w:color w:val="000000"/>
                <w:szCs w:val="22"/>
              </w:rPr>
              <w:t>ST1</w:t>
            </w:r>
          </w:p>
        </w:tc>
        <w:tc>
          <w:tcPr>
            <w:tcW w:w="555" w:type="dxa"/>
            <w:tcBorders>
              <w:top w:val="single" w:sz="4" w:space="0" w:color="auto"/>
              <w:left w:val="nil"/>
              <w:right w:val="nil"/>
            </w:tcBorders>
            <w:shd w:val="clear" w:color="auto" w:fill="E7F3F4"/>
            <w:vAlign w:val="center"/>
            <w:hideMark/>
          </w:tcPr>
          <w:p w14:paraId="00E38A00"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E7F3F4"/>
            <w:noWrap/>
            <w:vAlign w:val="center"/>
            <w:hideMark/>
          </w:tcPr>
          <w:p w14:paraId="3431DFD1"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E7F3F4"/>
            <w:noWrap/>
            <w:vAlign w:val="center"/>
            <w:hideMark/>
          </w:tcPr>
          <w:p w14:paraId="78642925"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E7F3F4"/>
            <w:vAlign w:val="center"/>
            <w:hideMark/>
          </w:tcPr>
          <w:p w14:paraId="358B5C14"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E7F3F4"/>
            <w:vAlign w:val="center"/>
            <w:hideMark/>
          </w:tcPr>
          <w:p w14:paraId="3E582F3A"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E7F3F4"/>
            <w:vAlign w:val="center"/>
            <w:hideMark/>
          </w:tcPr>
          <w:p w14:paraId="5818943E"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E7F3F4"/>
            <w:hideMark/>
          </w:tcPr>
          <w:p w14:paraId="41FBF600"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right w:val="nil"/>
            </w:tcBorders>
            <w:shd w:val="clear" w:color="auto" w:fill="E7F3F4"/>
            <w:vAlign w:val="center"/>
            <w:hideMark/>
          </w:tcPr>
          <w:p w14:paraId="7A1931EB"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339CEEFF"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26897266"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01F66AA8"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656659F7"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E7F3F4"/>
            <w:vAlign w:val="center"/>
            <w:hideMark/>
          </w:tcPr>
          <w:p w14:paraId="229635A5"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r>
      <w:tr w:rsidR="00557CEB" w:rsidRPr="00CB093C" w14:paraId="7A4C7670" w14:textId="77777777" w:rsidTr="009629F4">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22BF7953" w14:textId="77777777" w:rsidR="00557CEB" w:rsidRPr="00CB093C" w:rsidRDefault="00557CEB"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hideMark/>
          </w:tcPr>
          <w:p w14:paraId="269E1D47" w14:textId="77777777" w:rsidR="00557CEB" w:rsidRPr="00CB093C" w:rsidRDefault="00557CEB" w:rsidP="003816AC">
            <w:pPr>
              <w:spacing w:before="0" w:after="0"/>
              <w:rPr>
                <w:rFonts w:ascii="Arial" w:hAnsi="Arial" w:cs="Arial"/>
                <w:color w:val="000000"/>
                <w:szCs w:val="22"/>
              </w:rPr>
            </w:pPr>
          </w:p>
        </w:tc>
        <w:tc>
          <w:tcPr>
            <w:tcW w:w="1299" w:type="dxa"/>
            <w:vMerge/>
            <w:tcBorders>
              <w:left w:val="nil"/>
              <w:right w:val="nil"/>
            </w:tcBorders>
            <w:vAlign w:val="center"/>
            <w:hideMark/>
          </w:tcPr>
          <w:p w14:paraId="1AD5E225" w14:textId="77777777" w:rsidR="00557CEB" w:rsidRPr="00CB093C" w:rsidRDefault="00557CEB" w:rsidP="003816AC">
            <w:pPr>
              <w:spacing w:before="0" w:after="0"/>
              <w:rPr>
                <w:rFonts w:ascii="Arial" w:hAnsi="Arial" w:cs="Arial"/>
                <w:color w:val="000000"/>
                <w:szCs w:val="22"/>
              </w:rPr>
            </w:pPr>
          </w:p>
        </w:tc>
        <w:tc>
          <w:tcPr>
            <w:tcW w:w="1307" w:type="dxa"/>
            <w:vMerge/>
            <w:tcBorders>
              <w:left w:val="nil"/>
              <w:right w:val="nil"/>
            </w:tcBorders>
            <w:vAlign w:val="center"/>
            <w:hideMark/>
          </w:tcPr>
          <w:p w14:paraId="1A516582" w14:textId="77777777" w:rsidR="00557CEB" w:rsidRPr="00CB093C" w:rsidRDefault="00557CEB" w:rsidP="003816AC">
            <w:pPr>
              <w:spacing w:before="0" w:after="0"/>
              <w:rPr>
                <w:rFonts w:ascii="Arial" w:hAnsi="Arial" w:cs="Arial"/>
                <w:color w:val="000000"/>
                <w:szCs w:val="22"/>
              </w:rPr>
            </w:pPr>
          </w:p>
        </w:tc>
        <w:tc>
          <w:tcPr>
            <w:tcW w:w="840" w:type="dxa"/>
            <w:tcBorders>
              <w:left w:val="nil"/>
              <w:bottom w:val="single" w:sz="4" w:space="0" w:color="auto"/>
            </w:tcBorders>
            <w:shd w:val="clear" w:color="auto" w:fill="E7F3F4"/>
            <w:noWrap/>
            <w:vAlign w:val="center"/>
            <w:hideMark/>
          </w:tcPr>
          <w:p w14:paraId="3FAFEB51" w14:textId="77777777" w:rsidR="00557CEB" w:rsidRPr="00CB093C" w:rsidRDefault="00557CEB" w:rsidP="003816AC">
            <w:pPr>
              <w:spacing w:before="0" w:after="0"/>
              <w:jc w:val="center"/>
              <w:rPr>
                <w:rFonts w:ascii="Arial" w:hAnsi="Arial" w:cs="Arial"/>
                <w:b/>
                <w:color w:val="000000"/>
                <w:szCs w:val="22"/>
              </w:rPr>
            </w:pPr>
            <w:r w:rsidRPr="00CB093C">
              <w:rPr>
                <w:rFonts w:ascii="Arial" w:hAnsi="Arial" w:cs="Arial"/>
                <w:b/>
                <w:color w:val="000000"/>
                <w:szCs w:val="22"/>
              </w:rPr>
              <w:t>ST2</w:t>
            </w:r>
          </w:p>
        </w:tc>
        <w:tc>
          <w:tcPr>
            <w:tcW w:w="555" w:type="dxa"/>
            <w:tcBorders>
              <w:bottom w:val="single" w:sz="4" w:space="0" w:color="auto"/>
            </w:tcBorders>
            <w:shd w:val="clear" w:color="auto" w:fill="E7F3F4"/>
            <w:vAlign w:val="center"/>
            <w:hideMark/>
          </w:tcPr>
          <w:p w14:paraId="5AE35A04"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single" w:sz="4" w:space="0" w:color="auto"/>
            </w:tcBorders>
            <w:shd w:val="clear" w:color="auto" w:fill="E7F3F4"/>
            <w:noWrap/>
            <w:vAlign w:val="center"/>
            <w:hideMark/>
          </w:tcPr>
          <w:p w14:paraId="5F013241"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single" w:sz="4" w:space="0" w:color="auto"/>
            </w:tcBorders>
            <w:shd w:val="clear" w:color="auto" w:fill="E7F3F4"/>
            <w:noWrap/>
            <w:vAlign w:val="center"/>
            <w:hideMark/>
          </w:tcPr>
          <w:p w14:paraId="4BF1C98B"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single" w:sz="4" w:space="0" w:color="auto"/>
            </w:tcBorders>
            <w:shd w:val="clear" w:color="auto" w:fill="E7F3F4"/>
            <w:vAlign w:val="center"/>
            <w:hideMark/>
          </w:tcPr>
          <w:p w14:paraId="15CDC2D9"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single" w:sz="4" w:space="0" w:color="auto"/>
            </w:tcBorders>
            <w:shd w:val="clear" w:color="auto" w:fill="E7F3F4"/>
            <w:vAlign w:val="center"/>
            <w:hideMark/>
          </w:tcPr>
          <w:p w14:paraId="11B8C126"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single" w:sz="4" w:space="0" w:color="auto"/>
            </w:tcBorders>
            <w:shd w:val="clear" w:color="auto" w:fill="E7F3F4"/>
            <w:vAlign w:val="center"/>
            <w:hideMark/>
          </w:tcPr>
          <w:p w14:paraId="77D678C3"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single" w:sz="4" w:space="0" w:color="auto"/>
              <w:right w:val="single" w:sz="4" w:space="0" w:color="auto"/>
            </w:tcBorders>
            <w:shd w:val="clear" w:color="auto" w:fill="E7F3F4"/>
          </w:tcPr>
          <w:p w14:paraId="79E3C640" w14:textId="77777777" w:rsidR="00557CEB" w:rsidRPr="00CB093C" w:rsidRDefault="00557CEB" w:rsidP="003816AC">
            <w:pPr>
              <w:spacing w:before="0" w:after="0"/>
              <w:jc w:val="center"/>
              <w:rPr>
                <w:rFonts w:ascii="Arial" w:hAnsi="Arial" w:cs="Arial"/>
                <w:szCs w:val="22"/>
              </w:rPr>
            </w:pPr>
          </w:p>
        </w:tc>
        <w:tc>
          <w:tcPr>
            <w:tcW w:w="559" w:type="dxa"/>
            <w:tcBorders>
              <w:left w:val="single" w:sz="4" w:space="0" w:color="auto"/>
              <w:bottom w:val="single" w:sz="4" w:space="0" w:color="auto"/>
            </w:tcBorders>
            <w:shd w:val="clear" w:color="auto" w:fill="E7F3F4"/>
            <w:vAlign w:val="center"/>
            <w:hideMark/>
          </w:tcPr>
          <w:p w14:paraId="3239775E" w14:textId="77777777" w:rsidR="00557CEB" w:rsidRPr="00CB093C" w:rsidRDefault="00557CEB" w:rsidP="003816AC">
            <w:pPr>
              <w:spacing w:before="0" w:after="0"/>
              <w:jc w:val="center"/>
              <w:rPr>
                <w:rFonts w:ascii="Arial" w:hAnsi="Arial" w:cs="Arial"/>
                <w:szCs w:val="22"/>
              </w:rPr>
            </w:pPr>
          </w:p>
        </w:tc>
        <w:tc>
          <w:tcPr>
            <w:tcW w:w="559" w:type="dxa"/>
            <w:tcBorders>
              <w:bottom w:val="single" w:sz="4" w:space="0" w:color="auto"/>
            </w:tcBorders>
            <w:shd w:val="clear" w:color="auto" w:fill="E7F3F4"/>
            <w:vAlign w:val="center"/>
            <w:hideMark/>
          </w:tcPr>
          <w:p w14:paraId="61A51D33" w14:textId="77777777" w:rsidR="00557CEB" w:rsidRPr="00CB093C" w:rsidRDefault="00557CEB" w:rsidP="003816AC">
            <w:pPr>
              <w:spacing w:before="0" w:after="0"/>
              <w:jc w:val="center"/>
              <w:rPr>
                <w:rFonts w:ascii="Arial" w:hAnsi="Arial" w:cs="Arial"/>
                <w:szCs w:val="22"/>
              </w:rPr>
            </w:pPr>
          </w:p>
        </w:tc>
        <w:tc>
          <w:tcPr>
            <w:tcW w:w="559" w:type="dxa"/>
            <w:tcBorders>
              <w:bottom w:val="single" w:sz="4" w:space="0" w:color="auto"/>
            </w:tcBorders>
            <w:shd w:val="clear" w:color="auto" w:fill="E7F3F4"/>
            <w:vAlign w:val="center"/>
            <w:hideMark/>
          </w:tcPr>
          <w:p w14:paraId="165E1561" w14:textId="77777777" w:rsidR="00557CEB" w:rsidRPr="00CB093C" w:rsidRDefault="00557CEB" w:rsidP="003816AC">
            <w:pPr>
              <w:spacing w:before="0" w:after="0"/>
              <w:jc w:val="center"/>
              <w:rPr>
                <w:rFonts w:ascii="Arial" w:hAnsi="Arial" w:cs="Arial"/>
                <w:szCs w:val="22"/>
              </w:rPr>
            </w:pPr>
          </w:p>
        </w:tc>
        <w:tc>
          <w:tcPr>
            <w:tcW w:w="559" w:type="dxa"/>
            <w:tcBorders>
              <w:bottom w:val="single" w:sz="4" w:space="0" w:color="auto"/>
            </w:tcBorders>
            <w:shd w:val="clear" w:color="auto" w:fill="E7F3F4"/>
            <w:vAlign w:val="center"/>
            <w:hideMark/>
          </w:tcPr>
          <w:p w14:paraId="3266FAA3" w14:textId="77777777" w:rsidR="00557CEB" w:rsidRPr="00CB093C" w:rsidRDefault="00557CEB" w:rsidP="003816AC">
            <w:pPr>
              <w:spacing w:before="0" w:after="0"/>
              <w:jc w:val="center"/>
              <w:rPr>
                <w:rFonts w:ascii="Arial" w:hAnsi="Arial" w:cs="Arial"/>
                <w:szCs w:val="22"/>
              </w:rPr>
            </w:pPr>
          </w:p>
        </w:tc>
        <w:tc>
          <w:tcPr>
            <w:tcW w:w="559" w:type="dxa"/>
            <w:tcBorders>
              <w:bottom w:val="single" w:sz="4" w:space="0" w:color="auto"/>
            </w:tcBorders>
            <w:shd w:val="clear" w:color="auto" w:fill="E7F3F4"/>
            <w:vAlign w:val="center"/>
            <w:hideMark/>
          </w:tcPr>
          <w:p w14:paraId="33AA153C"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single" w:sz="4" w:space="0" w:color="auto"/>
              <w:right w:val="nil"/>
            </w:tcBorders>
            <w:shd w:val="clear" w:color="auto" w:fill="E7F3F4"/>
            <w:vAlign w:val="center"/>
          </w:tcPr>
          <w:p w14:paraId="1EFD665B" w14:textId="77777777" w:rsidR="00557CEB" w:rsidRPr="00CB093C" w:rsidRDefault="00557CEB" w:rsidP="003816AC">
            <w:pPr>
              <w:spacing w:before="0" w:after="0"/>
              <w:jc w:val="center"/>
              <w:rPr>
                <w:rFonts w:ascii="Arial" w:hAnsi="Arial" w:cs="Arial"/>
                <w:szCs w:val="22"/>
              </w:rPr>
            </w:pPr>
          </w:p>
        </w:tc>
      </w:tr>
      <w:tr w:rsidR="00557CEB" w:rsidRPr="00CB093C" w14:paraId="3ECAF687" w14:textId="77777777" w:rsidTr="009629F4">
        <w:trPr>
          <w:gridAfter w:val="1"/>
          <w:wAfter w:w="10" w:type="dxa"/>
          <w:cantSplit/>
          <w:trHeight w:val="170"/>
          <w:jc w:val="center"/>
        </w:trPr>
        <w:tc>
          <w:tcPr>
            <w:tcW w:w="1148" w:type="dxa"/>
            <w:vMerge/>
            <w:tcBorders>
              <w:top w:val="single" w:sz="4" w:space="0" w:color="auto"/>
              <w:left w:val="nil"/>
              <w:bottom w:val="nil"/>
              <w:right w:val="nil"/>
            </w:tcBorders>
            <w:vAlign w:val="center"/>
          </w:tcPr>
          <w:p w14:paraId="6268AE88" w14:textId="77777777" w:rsidR="00557CEB" w:rsidRPr="00CB093C" w:rsidRDefault="00557CEB"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tcPr>
          <w:p w14:paraId="64FC7D62" w14:textId="77777777" w:rsidR="00557CEB" w:rsidRPr="00CB093C" w:rsidRDefault="00557CEB" w:rsidP="003816AC">
            <w:pPr>
              <w:spacing w:before="0" w:after="0"/>
              <w:rPr>
                <w:rFonts w:ascii="Arial" w:hAnsi="Arial" w:cs="Arial"/>
                <w:color w:val="000000"/>
                <w:szCs w:val="22"/>
              </w:rPr>
            </w:pPr>
          </w:p>
        </w:tc>
        <w:tc>
          <w:tcPr>
            <w:tcW w:w="1299" w:type="dxa"/>
            <w:vMerge/>
            <w:tcBorders>
              <w:left w:val="nil"/>
              <w:right w:val="nil"/>
            </w:tcBorders>
            <w:vAlign w:val="center"/>
          </w:tcPr>
          <w:p w14:paraId="4562FA9C" w14:textId="77777777" w:rsidR="00557CEB" w:rsidRPr="00CB093C" w:rsidRDefault="00557CEB" w:rsidP="003816AC">
            <w:pPr>
              <w:spacing w:before="0" w:after="0"/>
              <w:rPr>
                <w:rFonts w:ascii="Arial" w:hAnsi="Arial" w:cs="Arial"/>
                <w:color w:val="000000"/>
                <w:szCs w:val="22"/>
              </w:rPr>
            </w:pPr>
          </w:p>
        </w:tc>
        <w:tc>
          <w:tcPr>
            <w:tcW w:w="1307" w:type="dxa"/>
            <w:vMerge/>
            <w:tcBorders>
              <w:left w:val="nil"/>
              <w:right w:val="nil"/>
            </w:tcBorders>
            <w:shd w:val="clear" w:color="auto" w:fill="E7F3F4"/>
            <w:noWrap/>
            <w:vAlign w:val="center"/>
          </w:tcPr>
          <w:p w14:paraId="0134FCA1" w14:textId="77777777" w:rsidR="00557CEB" w:rsidRPr="00CB093C" w:rsidRDefault="00557CEB" w:rsidP="003816AC">
            <w:pPr>
              <w:spacing w:before="0" w:after="0"/>
              <w:jc w:val="center"/>
              <w:rPr>
                <w:rFonts w:ascii="Arial" w:hAnsi="Arial" w:cs="Arial"/>
                <w:color w:val="000000"/>
                <w:szCs w:val="22"/>
              </w:rPr>
            </w:pPr>
          </w:p>
        </w:tc>
        <w:tc>
          <w:tcPr>
            <w:tcW w:w="840" w:type="dxa"/>
            <w:tcBorders>
              <w:top w:val="single" w:sz="4" w:space="0" w:color="auto"/>
              <w:left w:val="nil"/>
            </w:tcBorders>
            <w:shd w:val="clear" w:color="auto" w:fill="E7F3F4"/>
            <w:noWrap/>
            <w:vAlign w:val="center"/>
          </w:tcPr>
          <w:p w14:paraId="68CC6AAD" w14:textId="77777777" w:rsidR="00557CEB" w:rsidRPr="00CB093C" w:rsidRDefault="00557CEB" w:rsidP="003816AC">
            <w:pPr>
              <w:spacing w:before="0" w:after="0"/>
              <w:jc w:val="center"/>
              <w:rPr>
                <w:rFonts w:ascii="Arial" w:hAnsi="Arial" w:cs="Arial"/>
                <w:b/>
                <w:color w:val="000000"/>
                <w:szCs w:val="22"/>
              </w:rPr>
            </w:pPr>
            <w:r w:rsidRPr="00CB093C">
              <w:rPr>
                <w:rFonts w:ascii="Arial" w:hAnsi="Arial" w:cs="Arial"/>
                <w:b/>
                <w:color w:val="000000"/>
                <w:szCs w:val="22"/>
              </w:rPr>
              <w:t>FG1^</w:t>
            </w:r>
          </w:p>
        </w:tc>
        <w:tc>
          <w:tcPr>
            <w:tcW w:w="555" w:type="dxa"/>
            <w:tcBorders>
              <w:top w:val="single" w:sz="4" w:space="0" w:color="auto"/>
            </w:tcBorders>
            <w:shd w:val="clear" w:color="auto" w:fill="E7F3F4"/>
            <w:vAlign w:val="center"/>
          </w:tcPr>
          <w:p w14:paraId="052565EA"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20</w:t>
            </w:r>
          </w:p>
        </w:tc>
        <w:tc>
          <w:tcPr>
            <w:tcW w:w="543" w:type="dxa"/>
            <w:tcBorders>
              <w:top w:val="single" w:sz="4" w:space="0" w:color="auto"/>
            </w:tcBorders>
            <w:shd w:val="clear" w:color="auto" w:fill="E7F3F4"/>
            <w:noWrap/>
            <w:vAlign w:val="center"/>
          </w:tcPr>
          <w:p w14:paraId="06C372A4" w14:textId="77777777" w:rsidR="00557CEB" w:rsidRPr="00CB093C" w:rsidRDefault="00557CEB" w:rsidP="003816AC">
            <w:pPr>
              <w:spacing w:before="0" w:after="0"/>
              <w:jc w:val="center"/>
              <w:rPr>
                <w:rFonts w:ascii="Arial" w:hAnsi="Arial" w:cs="Arial"/>
                <w:szCs w:val="22"/>
              </w:rPr>
            </w:pPr>
          </w:p>
        </w:tc>
        <w:tc>
          <w:tcPr>
            <w:tcW w:w="540" w:type="dxa"/>
            <w:tcBorders>
              <w:top w:val="single" w:sz="4" w:space="0" w:color="auto"/>
            </w:tcBorders>
            <w:shd w:val="clear" w:color="auto" w:fill="E7F3F4"/>
            <w:noWrap/>
            <w:vAlign w:val="center"/>
          </w:tcPr>
          <w:p w14:paraId="1311ACA3" w14:textId="77777777" w:rsidR="00557CEB" w:rsidRPr="00CB093C" w:rsidRDefault="00557CEB" w:rsidP="003816AC">
            <w:pPr>
              <w:spacing w:before="0" w:after="0"/>
              <w:jc w:val="center"/>
              <w:rPr>
                <w:rFonts w:ascii="Arial" w:hAnsi="Arial" w:cs="Arial"/>
                <w:szCs w:val="22"/>
              </w:rPr>
            </w:pPr>
          </w:p>
        </w:tc>
        <w:tc>
          <w:tcPr>
            <w:tcW w:w="536" w:type="dxa"/>
            <w:tcBorders>
              <w:top w:val="single" w:sz="4" w:space="0" w:color="auto"/>
            </w:tcBorders>
            <w:shd w:val="clear" w:color="auto" w:fill="E7F3F4"/>
            <w:vAlign w:val="center"/>
          </w:tcPr>
          <w:p w14:paraId="28189F64" w14:textId="77777777" w:rsidR="00557CEB" w:rsidRPr="00CB093C" w:rsidRDefault="00557CEB" w:rsidP="003816AC">
            <w:pPr>
              <w:spacing w:before="0" w:after="0"/>
              <w:jc w:val="center"/>
              <w:rPr>
                <w:rFonts w:ascii="Arial" w:hAnsi="Arial" w:cs="Arial"/>
                <w:szCs w:val="22"/>
              </w:rPr>
            </w:pPr>
          </w:p>
        </w:tc>
        <w:tc>
          <w:tcPr>
            <w:tcW w:w="540" w:type="dxa"/>
            <w:tcBorders>
              <w:top w:val="single" w:sz="4" w:space="0" w:color="auto"/>
            </w:tcBorders>
            <w:shd w:val="clear" w:color="auto" w:fill="E7F3F4"/>
            <w:vAlign w:val="center"/>
          </w:tcPr>
          <w:p w14:paraId="53A77F51" w14:textId="77777777" w:rsidR="00557CEB" w:rsidRPr="00CB093C" w:rsidRDefault="00557CEB" w:rsidP="003816AC">
            <w:pPr>
              <w:spacing w:before="0" w:after="0"/>
              <w:jc w:val="center"/>
              <w:rPr>
                <w:rFonts w:ascii="Arial" w:hAnsi="Arial" w:cs="Arial"/>
                <w:szCs w:val="22"/>
              </w:rPr>
            </w:pPr>
          </w:p>
        </w:tc>
        <w:tc>
          <w:tcPr>
            <w:tcW w:w="529" w:type="dxa"/>
            <w:tcBorders>
              <w:top w:val="single" w:sz="4" w:space="0" w:color="auto"/>
            </w:tcBorders>
            <w:shd w:val="clear" w:color="auto" w:fill="E7F3F4"/>
            <w:vAlign w:val="center"/>
          </w:tcPr>
          <w:p w14:paraId="5BCC24E9"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right w:val="single" w:sz="4" w:space="0" w:color="auto"/>
            </w:tcBorders>
            <w:shd w:val="clear" w:color="auto" w:fill="E7F3F4"/>
          </w:tcPr>
          <w:p w14:paraId="41B0DA5B"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single" w:sz="4" w:space="0" w:color="auto"/>
            </w:tcBorders>
            <w:shd w:val="clear" w:color="auto" w:fill="E7F3F4"/>
            <w:vAlign w:val="center"/>
          </w:tcPr>
          <w:p w14:paraId="38B5BB7D"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tcBorders>
            <w:shd w:val="clear" w:color="auto" w:fill="E7F3F4"/>
            <w:vAlign w:val="center"/>
          </w:tcPr>
          <w:p w14:paraId="2EE66980"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tcBorders>
            <w:shd w:val="clear" w:color="auto" w:fill="E7F3F4"/>
            <w:vAlign w:val="center"/>
          </w:tcPr>
          <w:p w14:paraId="586A2B17"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tcBorders>
            <w:shd w:val="clear" w:color="auto" w:fill="E7F3F4"/>
            <w:vAlign w:val="center"/>
          </w:tcPr>
          <w:p w14:paraId="7C03F827"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tcBorders>
            <w:shd w:val="clear" w:color="auto" w:fill="E7F3F4"/>
            <w:vAlign w:val="center"/>
          </w:tcPr>
          <w:p w14:paraId="3F53F877" w14:textId="77777777" w:rsidR="00557CEB" w:rsidRPr="00CB093C" w:rsidRDefault="00557CEB" w:rsidP="003816AC">
            <w:pPr>
              <w:spacing w:before="0" w:after="0"/>
              <w:jc w:val="center"/>
              <w:rPr>
                <w:rFonts w:ascii="Arial" w:hAnsi="Arial" w:cs="Arial"/>
                <w:szCs w:val="22"/>
              </w:rPr>
            </w:pPr>
          </w:p>
        </w:tc>
        <w:tc>
          <w:tcPr>
            <w:tcW w:w="546" w:type="dxa"/>
            <w:tcBorders>
              <w:top w:val="single" w:sz="4" w:space="0" w:color="auto"/>
              <w:right w:val="nil"/>
            </w:tcBorders>
            <w:shd w:val="clear" w:color="auto" w:fill="E7F3F4"/>
            <w:vAlign w:val="center"/>
          </w:tcPr>
          <w:p w14:paraId="136FB04B" w14:textId="77777777" w:rsidR="00557CEB" w:rsidRPr="00CB093C" w:rsidRDefault="00557CEB" w:rsidP="003816AC">
            <w:pPr>
              <w:spacing w:before="0" w:after="0"/>
              <w:jc w:val="center"/>
              <w:rPr>
                <w:rFonts w:ascii="Arial" w:hAnsi="Arial" w:cs="Arial"/>
                <w:szCs w:val="22"/>
              </w:rPr>
            </w:pPr>
          </w:p>
        </w:tc>
      </w:tr>
      <w:tr w:rsidR="00557CEB" w:rsidRPr="00CB093C" w14:paraId="7A423D50" w14:textId="77777777" w:rsidTr="009629F4">
        <w:trPr>
          <w:gridAfter w:val="1"/>
          <w:wAfter w:w="10" w:type="dxa"/>
          <w:cantSplit/>
          <w:trHeight w:val="170"/>
          <w:jc w:val="center"/>
        </w:trPr>
        <w:tc>
          <w:tcPr>
            <w:tcW w:w="1148" w:type="dxa"/>
            <w:vMerge/>
            <w:tcBorders>
              <w:top w:val="single" w:sz="4" w:space="0" w:color="auto"/>
              <w:left w:val="nil"/>
              <w:bottom w:val="nil"/>
              <w:right w:val="nil"/>
            </w:tcBorders>
            <w:vAlign w:val="center"/>
          </w:tcPr>
          <w:p w14:paraId="0B606540" w14:textId="77777777" w:rsidR="00557CEB" w:rsidRPr="00CB093C" w:rsidRDefault="00557CEB"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tcPr>
          <w:p w14:paraId="0C18F150" w14:textId="77777777" w:rsidR="00557CEB" w:rsidRPr="00CB093C" w:rsidRDefault="00557CEB" w:rsidP="003816AC">
            <w:pPr>
              <w:spacing w:before="0" w:after="0"/>
              <w:rPr>
                <w:rFonts w:ascii="Arial" w:hAnsi="Arial" w:cs="Arial"/>
                <w:color w:val="000000"/>
                <w:szCs w:val="22"/>
              </w:rPr>
            </w:pPr>
          </w:p>
        </w:tc>
        <w:tc>
          <w:tcPr>
            <w:tcW w:w="1299" w:type="dxa"/>
            <w:vMerge/>
            <w:tcBorders>
              <w:left w:val="nil"/>
              <w:right w:val="nil"/>
            </w:tcBorders>
            <w:vAlign w:val="center"/>
          </w:tcPr>
          <w:p w14:paraId="33EE5238" w14:textId="77777777" w:rsidR="00557CEB" w:rsidRPr="00CB093C" w:rsidRDefault="00557CEB" w:rsidP="003816AC">
            <w:pPr>
              <w:spacing w:before="0" w:after="0"/>
              <w:rPr>
                <w:rFonts w:ascii="Arial" w:hAnsi="Arial" w:cs="Arial"/>
                <w:color w:val="000000"/>
                <w:szCs w:val="22"/>
              </w:rPr>
            </w:pPr>
          </w:p>
        </w:tc>
        <w:tc>
          <w:tcPr>
            <w:tcW w:w="1307" w:type="dxa"/>
            <w:vMerge/>
            <w:tcBorders>
              <w:left w:val="nil"/>
              <w:bottom w:val="nil"/>
              <w:right w:val="nil"/>
            </w:tcBorders>
            <w:shd w:val="clear" w:color="auto" w:fill="E7F3F4"/>
            <w:noWrap/>
            <w:vAlign w:val="center"/>
          </w:tcPr>
          <w:p w14:paraId="58D5051C" w14:textId="77777777" w:rsidR="00557CEB" w:rsidRPr="00CB093C" w:rsidRDefault="00557CEB" w:rsidP="003816AC">
            <w:pPr>
              <w:spacing w:before="0" w:after="0"/>
              <w:jc w:val="center"/>
              <w:rPr>
                <w:rFonts w:ascii="Arial" w:hAnsi="Arial" w:cs="Arial"/>
                <w:color w:val="000000"/>
                <w:szCs w:val="22"/>
              </w:rPr>
            </w:pPr>
          </w:p>
        </w:tc>
        <w:tc>
          <w:tcPr>
            <w:tcW w:w="840" w:type="dxa"/>
            <w:tcBorders>
              <w:left w:val="nil"/>
            </w:tcBorders>
            <w:shd w:val="clear" w:color="auto" w:fill="E7F3F4"/>
            <w:noWrap/>
            <w:vAlign w:val="center"/>
          </w:tcPr>
          <w:p w14:paraId="7F31EA0B" w14:textId="77777777" w:rsidR="00557CEB" w:rsidRPr="00CB093C" w:rsidRDefault="00557CEB" w:rsidP="003816AC">
            <w:pPr>
              <w:spacing w:before="0" w:after="0"/>
              <w:jc w:val="center"/>
              <w:rPr>
                <w:rFonts w:ascii="Arial" w:hAnsi="Arial" w:cs="Arial"/>
                <w:b/>
                <w:color w:val="000000"/>
                <w:szCs w:val="22"/>
              </w:rPr>
            </w:pPr>
            <w:r w:rsidRPr="00CB093C">
              <w:rPr>
                <w:rFonts w:ascii="Arial" w:hAnsi="Arial" w:cs="Arial"/>
                <w:b/>
                <w:color w:val="000000"/>
                <w:szCs w:val="22"/>
              </w:rPr>
              <w:t>FG2^</w:t>
            </w:r>
          </w:p>
        </w:tc>
        <w:tc>
          <w:tcPr>
            <w:tcW w:w="555" w:type="dxa"/>
            <w:shd w:val="clear" w:color="auto" w:fill="E7F3F4"/>
            <w:vAlign w:val="center"/>
          </w:tcPr>
          <w:p w14:paraId="38ECB742"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23</w:t>
            </w:r>
          </w:p>
        </w:tc>
        <w:tc>
          <w:tcPr>
            <w:tcW w:w="543" w:type="dxa"/>
            <w:shd w:val="clear" w:color="auto" w:fill="E7F3F4"/>
            <w:noWrap/>
            <w:vAlign w:val="center"/>
          </w:tcPr>
          <w:p w14:paraId="6C3F4434" w14:textId="77777777" w:rsidR="00557CEB" w:rsidRPr="00CB093C" w:rsidRDefault="00557CEB" w:rsidP="003816AC">
            <w:pPr>
              <w:spacing w:before="0" w:after="0"/>
              <w:jc w:val="center"/>
              <w:rPr>
                <w:rFonts w:ascii="Arial" w:hAnsi="Arial" w:cs="Arial"/>
                <w:szCs w:val="22"/>
              </w:rPr>
            </w:pPr>
          </w:p>
        </w:tc>
        <w:tc>
          <w:tcPr>
            <w:tcW w:w="540" w:type="dxa"/>
            <w:shd w:val="clear" w:color="auto" w:fill="E7F3F4"/>
            <w:noWrap/>
            <w:vAlign w:val="center"/>
          </w:tcPr>
          <w:p w14:paraId="522867F0" w14:textId="77777777" w:rsidR="00557CEB" w:rsidRPr="00CB093C" w:rsidRDefault="00557CEB" w:rsidP="003816AC">
            <w:pPr>
              <w:spacing w:before="0" w:after="0"/>
              <w:jc w:val="center"/>
              <w:rPr>
                <w:rFonts w:ascii="Arial" w:hAnsi="Arial" w:cs="Arial"/>
                <w:szCs w:val="22"/>
              </w:rPr>
            </w:pPr>
          </w:p>
        </w:tc>
        <w:tc>
          <w:tcPr>
            <w:tcW w:w="536" w:type="dxa"/>
            <w:shd w:val="clear" w:color="auto" w:fill="E7F3F4"/>
            <w:vAlign w:val="center"/>
          </w:tcPr>
          <w:p w14:paraId="73285580" w14:textId="77777777" w:rsidR="00557CEB" w:rsidRPr="00CB093C" w:rsidRDefault="00557CEB" w:rsidP="003816AC">
            <w:pPr>
              <w:spacing w:before="0" w:after="0"/>
              <w:jc w:val="center"/>
              <w:rPr>
                <w:rFonts w:ascii="Arial" w:hAnsi="Arial" w:cs="Arial"/>
                <w:szCs w:val="22"/>
              </w:rPr>
            </w:pPr>
          </w:p>
        </w:tc>
        <w:tc>
          <w:tcPr>
            <w:tcW w:w="540" w:type="dxa"/>
            <w:shd w:val="clear" w:color="auto" w:fill="E7F3F4"/>
            <w:vAlign w:val="center"/>
          </w:tcPr>
          <w:p w14:paraId="6D64FE3E" w14:textId="77777777" w:rsidR="00557CEB" w:rsidRPr="00CB093C" w:rsidRDefault="00557CEB" w:rsidP="003816AC">
            <w:pPr>
              <w:spacing w:before="0" w:after="0"/>
              <w:jc w:val="center"/>
              <w:rPr>
                <w:rFonts w:ascii="Arial" w:hAnsi="Arial" w:cs="Arial"/>
                <w:szCs w:val="22"/>
              </w:rPr>
            </w:pPr>
          </w:p>
        </w:tc>
        <w:tc>
          <w:tcPr>
            <w:tcW w:w="529" w:type="dxa"/>
            <w:shd w:val="clear" w:color="auto" w:fill="E7F3F4"/>
            <w:vAlign w:val="center"/>
          </w:tcPr>
          <w:p w14:paraId="567A7C58" w14:textId="77777777" w:rsidR="00557CEB" w:rsidRPr="00CB093C" w:rsidRDefault="00557CEB" w:rsidP="003816AC">
            <w:pPr>
              <w:spacing w:before="0" w:after="0"/>
              <w:jc w:val="center"/>
              <w:rPr>
                <w:rFonts w:ascii="Arial" w:hAnsi="Arial" w:cs="Arial"/>
                <w:szCs w:val="22"/>
              </w:rPr>
            </w:pPr>
          </w:p>
        </w:tc>
        <w:tc>
          <w:tcPr>
            <w:tcW w:w="559" w:type="dxa"/>
            <w:tcBorders>
              <w:right w:val="single" w:sz="4" w:space="0" w:color="auto"/>
            </w:tcBorders>
            <w:shd w:val="clear" w:color="auto" w:fill="E7F3F4"/>
          </w:tcPr>
          <w:p w14:paraId="3401247F" w14:textId="77777777" w:rsidR="00557CEB" w:rsidRPr="00CB093C" w:rsidRDefault="00557CEB" w:rsidP="003816AC">
            <w:pPr>
              <w:spacing w:before="0" w:after="0"/>
              <w:jc w:val="center"/>
              <w:rPr>
                <w:rFonts w:ascii="Arial" w:hAnsi="Arial" w:cs="Arial"/>
                <w:szCs w:val="22"/>
              </w:rPr>
            </w:pPr>
          </w:p>
        </w:tc>
        <w:tc>
          <w:tcPr>
            <w:tcW w:w="559" w:type="dxa"/>
            <w:tcBorders>
              <w:left w:val="single" w:sz="4" w:space="0" w:color="auto"/>
              <w:bottom w:val="single" w:sz="4" w:space="0" w:color="auto"/>
            </w:tcBorders>
            <w:shd w:val="clear" w:color="auto" w:fill="E7F3F4"/>
            <w:vAlign w:val="center"/>
          </w:tcPr>
          <w:p w14:paraId="2AE1DE86" w14:textId="77777777" w:rsidR="00557CEB" w:rsidRPr="00CB093C" w:rsidRDefault="00557CEB" w:rsidP="003816AC">
            <w:pPr>
              <w:spacing w:before="0" w:after="0"/>
              <w:jc w:val="center"/>
              <w:rPr>
                <w:rFonts w:ascii="Arial" w:hAnsi="Arial" w:cs="Arial"/>
                <w:szCs w:val="22"/>
              </w:rPr>
            </w:pPr>
          </w:p>
        </w:tc>
        <w:tc>
          <w:tcPr>
            <w:tcW w:w="559" w:type="dxa"/>
            <w:shd w:val="clear" w:color="auto" w:fill="E7F3F4"/>
            <w:vAlign w:val="center"/>
          </w:tcPr>
          <w:p w14:paraId="362291F9" w14:textId="77777777" w:rsidR="00557CEB" w:rsidRPr="00CB093C" w:rsidRDefault="00557CEB" w:rsidP="003816AC">
            <w:pPr>
              <w:spacing w:before="0" w:after="0"/>
              <w:jc w:val="center"/>
              <w:rPr>
                <w:rFonts w:ascii="Arial" w:hAnsi="Arial" w:cs="Arial"/>
                <w:szCs w:val="22"/>
              </w:rPr>
            </w:pPr>
          </w:p>
        </w:tc>
        <w:tc>
          <w:tcPr>
            <w:tcW w:w="559" w:type="dxa"/>
            <w:shd w:val="clear" w:color="auto" w:fill="E7F3F4"/>
            <w:vAlign w:val="center"/>
          </w:tcPr>
          <w:p w14:paraId="6746C862" w14:textId="77777777" w:rsidR="00557CEB" w:rsidRPr="00CB093C" w:rsidRDefault="00557CEB" w:rsidP="003816AC">
            <w:pPr>
              <w:spacing w:before="0" w:after="0"/>
              <w:jc w:val="center"/>
              <w:rPr>
                <w:rFonts w:ascii="Arial" w:hAnsi="Arial" w:cs="Arial"/>
                <w:szCs w:val="22"/>
              </w:rPr>
            </w:pPr>
          </w:p>
        </w:tc>
        <w:tc>
          <w:tcPr>
            <w:tcW w:w="559" w:type="dxa"/>
            <w:shd w:val="clear" w:color="auto" w:fill="E7F3F4"/>
            <w:vAlign w:val="center"/>
          </w:tcPr>
          <w:p w14:paraId="21824A05" w14:textId="77777777" w:rsidR="00557CEB" w:rsidRPr="00CB093C" w:rsidRDefault="00557CEB" w:rsidP="003816AC">
            <w:pPr>
              <w:spacing w:before="0" w:after="0"/>
              <w:jc w:val="center"/>
              <w:rPr>
                <w:rFonts w:ascii="Arial" w:hAnsi="Arial" w:cs="Arial"/>
                <w:szCs w:val="22"/>
              </w:rPr>
            </w:pPr>
          </w:p>
        </w:tc>
        <w:tc>
          <w:tcPr>
            <w:tcW w:w="559" w:type="dxa"/>
            <w:shd w:val="clear" w:color="auto" w:fill="E7F3F4"/>
            <w:vAlign w:val="center"/>
          </w:tcPr>
          <w:p w14:paraId="1E5E634E" w14:textId="77777777" w:rsidR="00557CEB" w:rsidRPr="00CB093C" w:rsidRDefault="00557CEB" w:rsidP="003816AC">
            <w:pPr>
              <w:spacing w:before="0" w:after="0"/>
              <w:jc w:val="center"/>
              <w:rPr>
                <w:rFonts w:ascii="Arial" w:hAnsi="Arial" w:cs="Arial"/>
                <w:szCs w:val="22"/>
              </w:rPr>
            </w:pPr>
          </w:p>
        </w:tc>
        <w:tc>
          <w:tcPr>
            <w:tcW w:w="546" w:type="dxa"/>
            <w:tcBorders>
              <w:right w:val="nil"/>
            </w:tcBorders>
            <w:shd w:val="clear" w:color="auto" w:fill="E7F3F4"/>
            <w:vAlign w:val="center"/>
          </w:tcPr>
          <w:p w14:paraId="261477BC" w14:textId="77777777" w:rsidR="00557CEB" w:rsidRPr="00CB093C" w:rsidRDefault="00557CEB" w:rsidP="003816AC">
            <w:pPr>
              <w:spacing w:before="0" w:after="0"/>
              <w:jc w:val="center"/>
              <w:rPr>
                <w:rFonts w:ascii="Arial" w:hAnsi="Arial" w:cs="Arial"/>
                <w:szCs w:val="22"/>
              </w:rPr>
            </w:pPr>
          </w:p>
        </w:tc>
      </w:tr>
      <w:tr w:rsidR="00557CEB" w:rsidRPr="00CB093C" w14:paraId="33A56F60" w14:textId="77777777" w:rsidTr="009629F4">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5A3713FB" w14:textId="77777777" w:rsidR="00557CEB" w:rsidRPr="00CB093C" w:rsidRDefault="00557CEB"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hideMark/>
          </w:tcPr>
          <w:p w14:paraId="0E067002" w14:textId="77777777" w:rsidR="00557CEB" w:rsidRPr="00CB093C" w:rsidRDefault="00557CEB" w:rsidP="003816AC">
            <w:pPr>
              <w:spacing w:before="0" w:after="0"/>
              <w:rPr>
                <w:rFonts w:ascii="Arial" w:hAnsi="Arial" w:cs="Arial"/>
                <w:color w:val="000000"/>
                <w:szCs w:val="22"/>
              </w:rPr>
            </w:pPr>
          </w:p>
        </w:tc>
        <w:tc>
          <w:tcPr>
            <w:tcW w:w="1299" w:type="dxa"/>
            <w:vMerge/>
            <w:tcBorders>
              <w:left w:val="nil"/>
              <w:right w:val="nil"/>
            </w:tcBorders>
            <w:vAlign w:val="center"/>
            <w:hideMark/>
          </w:tcPr>
          <w:p w14:paraId="2803BED1" w14:textId="77777777" w:rsidR="00557CEB" w:rsidRPr="00CB093C" w:rsidRDefault="00557CEB" w:rsidP="003816AC">
            <w:pPr>
              <w:spacing w:before="0" w:after="0"/>
              <w:rPr>
                <w:rFonts w:ascii="Arial" w:hAnsi="Arial" w:cs="Arial"/>
                <w:color w:val="000000"/>
                <w:szCs w:val="22"/>
              </w:rPr>
            </w:pPr>
          </w:p>
        </w:tc>
        <w:tc>
          <w:tcPr>
            <w:tcW w:w="1307" w:type="dxa"/>
            <w:vMerge w:val="restart"/>
            <w:tcBorders>
              <w:top w:val="single" w:sz="4" w:space="0" w:color="auto"/>
              <w:left w:val="nil"/>
              <w:right w:val="nil"/>
            </w:tcBorders>
            <w:shd w:val="clear" w:color="auto" w:fill="E7F3F4"/>
            <w:noWrap/>
            <w:vAlign w:val="center"/>
            <w:hideMark/>
          </w:tcPr>
          <w:p w14:paraId="32BC1358" w14:textId="77777777" w:rsidR="00557CEB" w:rsidRPr="00CB093C" w:rsidRDefault="00557CEB" w:rsidP="003816AC">
            <w:pPr>
              <w:spacing w:before="0" w:after="0"/>
              <w:jc w:val="center"/>
              <w:rPr>
                <w:rFonts w:ascii="Arial" w:hAnsi="Arial" w:cs="Arial"/>
                <w:color w:val="000000"/>
                <w:szCs w:val="22"/>
              </w:rPr>
            </w:pPr>
            <w:r w:rsidRPr="00CB093C">
              <w:rPr>
                <w:rFonts w:ascii="Arial" w:hAnsi="Arial" w:cs="Arial"/>
                <w:color w:val="000000"/>
                <w:szCs w:val="22"/>
              </w:rPr>
              <w:t>Bathurst Bay</w:t>
            </w:r>
          </w:p>
        </w:tc>
        <w:tc>
          <w:tcPr>
            <w:tcW w:w="840" w:type="dxa"/>
            <w:tcBorders>
              <w:top w:val="single" w:sz="4" w:space="0" w:color="auto"/>
              <w:left w:val="nil"/>
              <w:right w:val="nil"/>
            </w:tcBorders>
            <w:shd w:val="clear" w:color="auto" w:fill="E7F3F4"/>
            <w:noWrap/>
            <w:vAlign w:val="center"/>
            <w:hideMark/>
          </w:tcPr>
          <w:p w14:paraId="743EF261" w14:textId="77777777" w:rsidR="00557CEB" w:rsidRPr="00CB093C" w:rsidRDefault="00557CEB" w:rsidP="003816AC">
            <w:pPr>
              <w:spacing w:before="0" w:after="0"/>
              <w:jc w:val="center"/>
              <w:rPr>
                <w:rFonts w:ascii="Arial" w:hAnsi="Arial" w:cs="Arial"/>
                <w:b/>
                <w:color w:val="000000"/>
                <w:szCs w:val="22"/>
              </w:rPr>
            </w:pPr>
            <w:r w:rsidRPr="00CB093C">
              <w:rPr>
                <w:rFonts w:ascii="Arial" w:hAnsi="Arial" w:cs="Arial"/>
                <w:b/>
                <w:color w:val="000000"/>
                <w:szCs w:val="22"/>
              </w:rPr>
              <w:t>BY1</w:t>
            </w:r>
          </w:p>
        </w:tc>
        <w:tc>
          <w:tcPr>
            <w:tcW w:w="555" w:type="dxa"/>
            <w:tcBorders>
              <w:top w:val="single" w:sz="4" w:space="0" w:color="auto"/>
              <w:left w:val="nil"/>
              <w:right w:val="nil"/>
            </w:tcBorders>
            <w:shd w:val="clear" w:color="auto" w:fill="E7F3F4"/>
            <w:vAlign w:val="center"/>
            <w:hideMark/>
          </w:tcPr>
          <w:p w14:paraId="2DE56428"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E7F3F4"/>
            <w:noWrap/>
            <w:vAlign w:val="center"/>
            <w:hideMark/>
          </w:tcPr>
          <w:p w14:paraId="5440222E"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E7F3F4"/>
            <w:noWrap/>
            <w:vAlign w:val="center"/>
            <w:hideMark/>
          </w:tcPr>
          <w:p w14:paraId="3B6C1BC6"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E7F3F4"/>
            <w:vAlign w:val="center"/>
            <w:hideMark/>
          </w:tcPr>
          <w:p w14:paraId="3D724555"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E7F3F4"/>
            <w:vAlign w:val="center"/>
            <w:hideMark/>
          </w:tcPr>
          <w:p w14:paraId="63DAB5E1"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E7F3F4"/>
            <w:vAlign w:val="center"/>
            <w:hideMark/>
          </w:tcPr>
          <w:p w14:paraId="58805712"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E7F3F4"/>
          </w:tcPr>
          <w:p w14:paraId="4E9941AD"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E7F3F4"/>
            <w:vAlign w:val="center"/>
            <w:hideMark/>
          </w:tcPr>
          <w:p w14:paraId="68797884"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171144A9"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0C83BFAB"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355CC668" w14:textId="77777777" w:rsidR="00557CEB" w:rsidRPr="00CB093C" w:rsidRDefault="00557CEB"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433461F7"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E7F3F4"/>
            <w:vAlign w:val="center"/>
          </w:tcPr>
          <w:p w14:paraId="4B9F26EF" w14:textId="77777777" w:rsidR="00557CEB" w:rsidRPr="00CB093C" w:rsidRDefault="00557CEB" w:rsidP="003816AC">
            <w:pPr>
              <w:spacing w:before="0" w:after="0"/>
              <w:jc w:val="center"/>
              <w:rPr>
                <w:rFonts w:ascii="Arial" w:hAnsi="Arial" w:cs="Arial"/>
                <w:szCs w:val="22"/>
              </w:rPr>
            </w:pPr>
          </w:p>
        </w:tc>
      </w:tr>
      <w:tr w:rsidR="00557CEB" w:rsidRPr="00CB093C" w14:paraId="6A336C21" w14:textId="77777777" w:rsidTr="009629F4">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6CAE7377" w14:textId="77777777" w:rsidR="00557CEB" w:rsidRPr="00CB093C" w:rsidRDefault="00557CEB"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hideMark/>
          </w:tcPr>
          <w:p w14:paraId="7B9081E8" w14:textId="77777777" w:rsidR="00557CEB" w:rsidRPr="00CB093C" w:rsidRDefault="00557CEB" w:rsidP="003816AC">
            <w:pPr>
              <w:spacing w:before="0" w:after="0"/>
              <w:rPr>
                <w:rFonts w:ascii="Arial" w:hAnsi="Arial" w:cs="Arial"/>
                <w:color w:val="000000"/>
                <w:szCs w:val="22"/>
              </w:rPr>
            </w:pPr>
          </w:p>
        </w:tc>
        <w:tc>
          <w:tcPr>
            <w:tcW w:w="1299" w:type="dxa"/>
            <w:vMerge/>
            <w:tcBorders>
              <w:left w:val="nil"/>
              <w:right w:val="nil"/>
            </w:tcBorders>
            <w:vAlign w:val="center"/>
            <w:hideMark/>
          </w:tcPr>
          <w:p w14:paraId="71D48DDA" w14:textId="77777777" w:rsidR="00557CEB" w:rsidRPr="00CB093C" w:rsidRDefault="00557CEB" w:rsidP="003816AC">
            <w:pPr>
              <w:spacing w:before="0" w:after="0"/>
              <w:rPr>
                <w:rFonts w:ascii="Arial" w:hAnsi="Arial" w:cs="Arial"/>
                <w:color w:val="000000"/>
                <w:szCs w:val="22"/>
              </w:rPr>
            </w:pPr>
          </w:p>
        </w:tc>
        <w:tc>
          <w:tcPr>
            <w:tcW w:w="1307" w:type="dxa"/>
            <w:vMerge/>
            <w:tcBorders>
              <w:left w:val="nil"/>
              <w:right w:val="nil"/>
            </w:tcBorders>
            <w:vAlign w:val="center"/>
            <w:hideMark/>
          </w:tcPr>
          <w:p w14:paraId="0252C5AE" w14:textId="77777777" w:rsidR="00557CEB" w:rsidRPr="00CB093C" w:rsidRDefault="00557CEB" w:rsidP="003816AC">
            <w:pPr>
              <w:spacing w:before="0" w:after="0"/>
              <w:rPr>
                <w:rFonts w:ascii="Arial" w:hAnsi="Arial" w:cs="Arial"/>
                <w:color w:val="000000"/>
                <w:szCs w:val="22"/>
              </w:rPr>
            </w:pPr>
          </w:p>
        </w:tc>
        <w:tc>
          <w:tcPr>
            <w:tcW w:w="840" w:type="dxa"/>
            <w:tcBorders>
              <w:left w:val="nil"/>
              <w:bottom w:val="nil"/>
            </w:tcBorders>
            <w:shd w:val="clear" w:color="auto" w:fill="E7F3F4"/>
            <w:noWrap/>
            <w:vAlign w:val="center"/>
            <w:hideMark/>
          </w:tcPr>
          <w:p w14:paraId="3C7663D3" w14:textId="77777777" w:rsidR="00557CEB" w:rsidRPr="00CB093C" w:rsidRDefault="00557CEB" w:rsidP="003816AC">
            <w:pPr>
              <w:spacing w:before="0" w:after="0"/>
              <w:jc w:val="center"/>
              <w:rPr>
                <w:rFonts w:ascii="Arial" w:hAnsi="Arial" w:cs="Arial"/>
                <w:b/>
                <w:color w:val="000000"/>
                <w:szCs w:val="22"/>
              </w:rPr>
            </w:pPr>
            <w:r w:rsidRPr="00CB093C">
              <w:rPr>
                <w:rFonts w:ascii="Arial" w:hAnsi="Arial" w:cs="Arial"/>
                <w:b/>
                <w:color w:val="000000"/>
                <w:szCs w:val="22"/>
              </w:rPr>
              <w:t>BY2</w:t>
            </w:r>
          </w:p>
        </w:tc>
        <w:tc>
          <w:tcPr>
            <w:tcW w:w="555" w:type="dxa"/>
            <w:tcBorders>
              <w:bottom w:val="nil"/>
            </w:tcBorders>
            <w:shd w:val="clear" w:color="auto" w:fill="E7F3F4"/>
            <w:vAlign w:val="center"/>
            <w:hideMark/>
          </w:tcPr>
          <w:p w14:paraId="24E077AA"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E7F3F4"/>
            <w:noWrap/>
            <w:vAlign w:val="center"/>
            <w:hideMark/>
          </w:tcPr>
          <w:p w14:paraId="525B6F5A"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E7F3F4"/>
            <w:noWrap/>
            <w:vAlign w:val="center"/>
            <w:hideMark/>
          </w:tcPr>
          <w:p w14:paraId="18CBAB2F"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E7F3F4"/>
            <w:vAlign w:val="center"/>
            <w:hideMark/>
          </w:tcPr>
          <w:p w14:paraId="5872FB98"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E7F3F4"/>
            <w:vAlign w:val="center"/>
            <w:hideMark/>
          </w:tcPr>
          <w:p w14:paraId="4E2AE809"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E7F3F4"/>
            <w:vAlign w:val="center"/>
            <w:hideMark/>
          </w:tcPr>
          <w:p w14:paraId="5F1477BC"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E7F3F4"/>
            <w:hideMark/>
          </w:tcPr>
          <w:p w14:paraId="2F4258AA"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E7F3F4"/>
            <w:vAlign w:val="center"/>
            <w:hideMark/>
          </w:tcPr>
          <w:p w14:paraId="1F5044C8" w14:textId="77777777" w:rsidR="00557CEB" w:rsidRPr="00CB093C" w:rsidRDefault="00557CEB" w:rsidP="003816AC">
            <w:pPr>
              <w:spacing w:before="0" w:after="0"/>
              <w:jc w:val="center"/>
              <w:rPr>
                <w:rFonts w:ascii="Arial" w:hAnsi="Arial" w:cs="Arial"/>
                <w:szCs w:val="22"/>
              </w:rPr>
            </w:pPr>
          </w:p>
        </w:tc>
        <w:tc>
          <w:tcPr>
            <w:tcW w:w="559" w:type="dxa"/>
            <w:tcBorders>
              <w:bottom w:val="nil"/>
            </w:tcBorders>
            <w:shd w:val="clear" w:color="auto" w:fill="E7F3F4"/>
            <w:vAlign w:val="center"/>
            <w:hideMark/>
          </w:tcPr>
          <w:p w14:paraId="656B6A05" w14:textId="77777777" w:rsidR="00557CEB" w:rsidRPr="00CB093C" w:rsidRDefault="00557CEB" w:rsidP="003816AC">
            <w:pPr>
              <w:spacing w:before="0" w:after="0"/>
              <w:jc w:val="center"/>
              <w:rPr>
                <w:rFonts w:ascii="Arial" w:hAnsi="Arial" w:cs="Arial"/>
                <w:szCs w:val="22"/>
              </w:rPr>
            </w:pPr>
          </w:p>
        </w:tc>
        <w:tc>
          <w:tcPr>
            <w:tcW w:w="559" w:type="dxa"/>
            <w:tcBorders>
              <w:bottom w:val="nil"/>
            </w:tcBorders>
            <w:shd w:val="clear" w:color="auto" w:fill="E7F3F4"/>
            <w:vAlign w:val="center"/>
            <w:hideMark/>
          </w:tcPr>
          <w:p w14:paraId="64CF38F3" w14:textId="77777777" w:rsidR="00557CEB" w:rsidRPr="00CB093C" w:rsidRDefault="00557CEB" w:rsidP="003816AC">
            <w:pPr>
              <w:spacing w:before="0" w:after="0"/>
              <w:jc w:val="center"/>
              <w:rPr>
                <w:rFonts w:ascii="Arial" w:hAnsi="Arial" w:cs="Arial"/>
                <w:szCs w:val="22"/>
              </w:rPr>
            </w:pPr>
          </w:p>
        </w:tc>
        <w:tc>
          <w:tcPr>
            <w:tcW w:w="559" w:type="dxa"/>
            <w:tcBorders>
              <w:bottom w:val="nil"/>
            </w:tcBorders>
            <w:shd w:val="clear" w:color="auto" w:fill="E7F3F4"/>
            <w:vAlign w:val="center"/>
            <w:hideMark/>
          </w:tcPr>
          <w:p w14:paraId="7CC8BB22" w14:textId="77777777" w:rsidR="00557CEB" w:rsidRPr="00CB093C" w:rsidRDefault="00557CEB" w:rsidP="003816AC">
            <w:pPr>
              <w:spacing w:before="0" w:after="0"/>
              <w:jc w:val="center"/>
              <w:rPr>
                <w:rFonts w:ascii="Arial" w:hAnsi="Arial" w:cs="Arial"/>
                <w:szCs w:val="22"/>
              </w:rPr>
            </w:pPr>
          </w:p>
        </w:tc>
        <w:tc>
          <w:tcPr>
            <w:tcW w:w="559" w:type="dxa"/>
            <w:tcBorders>
              <w:bottom w:val="nil"/>
            </w:tcBorders>
            <w:shd w:val="clear" w:color="auto" w:fill="E7F3F4"/>
            <w:vAlign w:val="center"/>
            <w:hideMark/>
          </w:tcPr>
          <w:p w14:paraId="3BC00708"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E7F3F4"/>
            <w:vAlign w:val="center"/>
            <w:hideMark/>
          </w:tcPr>
          <w:p w14:paraId="50DA852A" w14:textId="77777777" w:rsidR="00557CEB" w:rsidRPr="00CB093C" w:rsidRDefault="00557CEB" w:rsidP="003816AC">
            <w:pPr>
              <w:spacing w:before="0" w:after="0"/>
              <w:jc w:val="center"/>
              <w:rPr>
                <w:rFonts w:ascii="Arial" w:hAnsi="Arial" w:cs="Arial"/>
                <w:szCs w:val="22"/>
              </w:rPr>
            </w:pPr>
            <w:r w:rsidRPr="00CB093C">
              <w:rPr>
                <w:rFonts w:ascii="Arial" w:hAnsi="Arial" w:cs="Arial"/>
                <w:szCs w:val="22"/>
              </w:rPr>
              <w:sym w:font="Wingdings" w:char="F0FC"/>
            </w:r>
          </w:p>
        </w:tc>
      </w:tr>
      <w:tr w:rsidR="00557CEB" w:rsidRPr="00CB093C" w14:paraId="4419517C" w14:textId="77777777" w:rsidTr="009629F4">
        <w:trPr>
          <w:gridAfter w:val="1"/>
          <w:wAfter w:w="10" w:type="dxa"/>
          <w:cantSplit/>
          <w:trHeight w:val="170"/>
          <w:jc w:val="center"/>
        </w:trPr>
        <w:tc>
          <w:tcPr>
            <w:tcW w:w="1148" w:type="dxa"/>
            <w:vMerge/>
            <w:tcBorders>
              <w:top w:val="single" w:sz="4" w:space="0" w:color="auto"/>
              <w:left w:val="nil"/>
              <w:bottom w:val="nil"/>
              <w:right w:val="nil"/>
            </w:tcBorders>
            <w:vAlign w:val="center"/>
          </w:tcPr>
          <w:p w14:paraId="7F5641B3" w14:textId="77777777" w:rsidR="00557CEB" w:rsidRPr="00CB093C" w:rsidRDefault="00557CEB"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tcPr>
          <w:p w14:paraId="2B236105" w14:textId="77777777" w:rsidR="00557CEB" w:rsidRPr="00CB093C" w:rsidRDefault="00557CEB" w:rsidP="003816AC">
            <w:pPr>
              <w:spacing w:before="0" w:after="0"/>
              <w:rPr>
                <w:rFonts w:ascii="Arial" w:hAnsi="Arial" w:cs="Arial"/>
                <w:color w:val="000000"/>
                <w:szCs w:val="22"/>
              </w:rPr>
            </w:pPr>
          </w:p>
        </w:tc>
        <w:tc>
          <w:tcPr>
            <w:tcW w:w="1299" w:type="dxa"/>
            <w:vMerge/>
            <w:tcBorders>
              <w:left w:val="nil"/>
              <w:bottom w:val="nil"/>
              <w:right w:val="nil"/>
            </w:tcBorders>
            <w:vAlign w:val="center"/>
          </w:tcPr>
          <w:p w14:paraId="074DD35D" w14:textId="77777777" w:rsidR="00557CEB" w:rsidRPr="00CB093C" w:rsidRDefault="00557CEB" w:rsidP="003816AC">
            <w:pPr>
              <w:spacing w:before="0" w:after="0"/>
              <w:rPr>
                <w:rFonts w:ascii="Arial" w:hAnsi="Arial" w:cs="Arial"/>
                <w:color w:val="000000"/>
                <w:szCs w:val="22"/>
              </w:rPr>
            </w:pPr>
          </w:p>
        </w:tc>
        <w:tc>
          <w:tcPr>
            <w:tcW w:w="1307" w:type="dxa"/>
            <w:vMerge/>
            <w:tcBorders>
              <w:left w:val="nil"/>
              <w:bottom w:val="nil"/>
              <w:right w:val="nil"/>
            </w:tcBorders>
            <w:vAlign w:val="center"/>
          </w:tcPr>
          <w:p w14:paraId="4FB24265" w14:textId="77777777" w:rsidR="00557CEB" w:rsidRPr="00CB093C" w:rsidRDefault="00557CEB" w:rsidP="003816AC">
            <w:pPr>
              <w:spacing w:before="0" w:after="0"/>
              <w:rPr>
                <w:rFonts w:ascii="Arial" w:hAnsi="Arial" w:cs="Arial"/>
                <w:color w:val="000000"/>
                <w:szCs w:val="22"/>
              </w:rPr>
            </w:pPr>
          </w:p>
        </w:tc>
        <w:tc>
          <w:tcPr>
            <w:tcW w:w="840" w:type="dxa"/>
            <w:tcBorders>
              <w:left w:val="nil"/>
              <w:bottom w:val="nil"/>
            </w:tcBorders>
            <w:shd w:val="clear" w:color="auto" w:fill="E7F3F4"/>
            <w:noWrap/>
            <w:vAlign w:val="center"/>
          </w:tcPr>
          <w:p w14:paraId="04A9EB98" w14:textId="6DBB9A98" w:rsidR="00557CEB" w:rsidRPr="00CB093C" w:rsidRDefault="00557CEB" w:rsidP="003816AC">
            <w:pPr>
              <w:spacing w:before="0" w:after="0"/>
              <w:jc w:val="center"/>
              <w:rPr>
                <w:rFonts w:ascii="Arial" w:hAnsi="Arial" w:cs="Arial"/>
                <w:b/>
                <w:color w:val="000000"/>
                <w:szCs w:val="22"/>
              </w:rPr>
            </w:pPr>
            <w:r w:rsidRPr="00CB093C">
              <w:rPr>
                <w:rFonts w:ascii="Arial" w:hAnsi="Arial" w:cs="Arial"/>
                <w:b/>
                <w:color w:val="000000"/>
                <w:szCs w:val="22"/>
              </w:rPr>
              <w:t>BY4^</w:t>
            </w:r>
          </w:p>
        </w:tc>
        <w:tc>
          <w:tcPr>
            <w:tcW w:w="555" w:type="dxa"/>
            <w:tcBorders>
              <w:bottom w:val="nil"/>
            </w:tcBorders>
            <w:shd w:val="clear" w:color="auto" w:fill="E7F3F4"/>
            <w:vAlign w:val="center"/>
          </w:tcPr>
          <w:p w14:paraId="05BFE3F7" w14:textId="10935D6E" w:rsidR="00557CEB" w:rsidRPr="00CB093C" w:rsidRDefault="00557CEB" w:rsidP="00557CEB">
            <w:pPr>
              <w:spacing w:before="0" w:after="0"/>
              <w:jc w:val="center"/>
              <w:rPr>
                <w:rFonts w:ascii="Arial" w:hAnsi="Arial" w:cs="Arial"/>
                <w:szCs w:val="22"/>
              </w:rPr>
            </w:pPr>
            <w:r w:rsidRPr="00CB093C">
              <w:rPr>
                <w:rFonts w:ascii="Arial" w:hAnsi="Arial" w:cs="Arial"/>
                <w:szCs w:val="22"/>
              </w:rPr>
              <w:t>11</w:t>
            </w:r>
          </w:p>
        </w:tc>
        <w:tc>
          <w:tcPr>
            <w:tcW w:w="543" w:type="dxa"/>
            <w:tcBorders>
              <w:bottom w:val="nil"/>
            </w:tcBorders>
            <w:shd w:val="clear" w:color="auto" w:fill="E7F3F4"/>
            <w:noWrap/>
            <w:vAlign w:val="center"/>
          </w:tcPr>
          <w:p w14:paraId="2D99219F" w14:textId="77777777" w:rsidR="00557CEB" w:rsidRPr="00CB093C" w:rsidRDefault="00557CEB" w:rsidP="003816AC">
            <w:pPr>
              <w:spacing w:before="0" w:after="0"/>
              <w:jc w:val="center"/>
              <w:rPr>
                <w:rFonts w:ascii="Arial" w:hAnsi="Arial" w:cs="Arial"/>
                <w:szCs w:val="22"/>
              </w:rPr>
            </w:pPr>
          </w:p>
        </w:tc>
        <w:tc>
          <w:tcPr>
            <w:tcW w:w="540" w:type="dxa"/>
            <w:tcBorders>
              <w:bottom w:val="nil"/>
            </w:tcBorders>
            <w:shd w:val="clear" w:color="auto" w:fill="E7F3F4"/>
            <w:noWrap/>
            <w:vAlign w:val="center"/>
          </w:tcPr>
          <w:p w14:paraId="66AB8EA7" w14:textId="77777777" w:rsidR="00557CEB" w:rsidRPr="00CB093C" w:rsidRDefault="00557CEB" w:rsidP="003816AC">
            <w:pPr>
              <w:spacing w:before="0" w:after="0"/>
              <w:jc w:val="center"/>
              <w:rPr>
                <w:rFonts w:ascii="Arial" w:hAnsi="Arial" w:cs="Arial"/>
                <w:szCs w:val="22"/>
              </w:rPr>
            </w:pPr>
          </w:p>
        </w:tc>
        <w:tc>
          <w:tcPr>
            <w:tcW w:w="536" w:type="dxa"/>
            <w:tcBorders>
              <w:bottom w:val="nil"/>
            </w:tcBorders>
            <w:shd w:val="clear" w:color="auto" w:fill="E7F3F4"/>
            <w:vAlign w:val="center"/>
          </w:tcPr>
          <w:p w14:paraId="5E8C77DB" w14:textId="77777777" w:rsidR="00557CEB" w:rsidRPr="00CB093C" w:rsidRDefault="00557CEB" w:rsidP="003816AC">
            <w:pPr>
              <w:spacing w:before="0" w:after="0"/>
              <w:jc w:val="center"/>
              <w:rPr>
                <w:rFonts w:ascii="Arial" w:hAnsi="Arial" w:cs="Arial"/>
                <w:szCs w:val="22"/>
              </w:rPr>
            </w:pPr>
          </w:p>
        </w:tc>
        <w:tc>
          <w:tcPr>
            <w:tcW w:w="540" w:type="dxa"/>
            <w:tcBorders>
              <w:bottom w:val="nil"/>
            </w:tcBorders>
            <w:shd w:val="clear" w:color="auto" w:fill="E7F3F4"/>
            <w:vAlign w:val="center"/>
          </w:tcPr>
          <w:p w14:paraId="4DDEE892" w14:textId="77777777" w:rsidR="00557CEB" w:rsidRPr="00CB093C" w:rsidRDefault="00557CEB" w:rsidP="003816AC">
            <w:pPr>
              <w:spacing w:before="0" w:after="0"/>
              <w:jc w:val="center"/>
              <w:rPr>
                <w:rFonts w:ascii="Arial" w:hAnsi="Arial" w:cs="Arial"/>
                <w:szCs w:val="22"/>
              </w:rPr>
            </w:pPr>
          </w:p>
        </w:tc>
        <w:tc>
          <w:tcPr>
            <w:tcW w:w="529" w:type="dxa"/>
            <w:tcBorders>
              <w:bottom w:val="nil"/>
            </w:tcBorders>
            <w:shd w:val="clear" w:color="auto" w:fill="E7F3F4"/>
            <w:vAlign w:val="center"/>
          </w:tcPr>
          <w:p w14:paraId="7B8D04F9" w14:textId="77777777" w:rsidR="00557CEB" w:rsidRPr="00CB093C" w:rsidRDefault="00557CEB" w:rsidP="003816AC">
            <w:pPr>
              <w:spacing w:before="0" w:after="0"/>
              <w:jc w:val="center"/>
              <w:rPr>
                <w:rFonts w:ascii="Arial" w:hAnsi="Arial" w:cs="Arial"/>
                <w:szCs w:val="22"/>
              </w:rPr>
            </w:pPr>
          </w:p>
        </w:tc>
        <w:tc>
          <w:tcPr>
            <w:tcW w:w="559" w:type="dxa"/>
            <w:tcBorders>
              <w:bottom w:val="nil"/>
              <w:right w:val="single" w:sz="4" w:space="0" w:color="auto"/>
            </w:tcBorders>
            <w:shd w:val="clear" w:color="auto" w:fill="E7F3F4"/>
          </w:tcPr>
          <w:p w14:paraId="6C04BFC9" w14:textId="77777777" w:rsidR="00557CEB" w:rsidRPr="00CB093C" w:rsidRDefault="00557CEB" w:rsidP="003816AC">
            <w:pPr>
              <w:spacing w:before="0" w:after="0"/>
              <w:jc w:val="center"/>
              <w:rPr>
                <w:rFonts w:ascii="Arial" w:hAnsi="Arial" w:cs="Arial"/>
                <w:szCs w:val="22"/>
              </w:rPr>
            </w:pPr>
          </w:p>
        </w:tc>
        <w:tc>
          <w:tcPr>
            <w:tcW w:w="559" w:type="dxa"/>
            <w:tcBorders>
              <w:left w:val="single" w:sz="4" w:space="0" w:color="auto"/>
              <w:bottom w:val="nil"/>
            </w:tcBorders>
            <w:shd w:val="clear" w:color="auto" w:fill="E7F3F4"/>
            <w:vAlign w:val="center"/>
          </w:tcPr>
          <w:p w14:paraId="0D3E81A0" w14:textId="77777777" w:rsidR="00557CEB" w:rsidRPr="00CB093C" w:rsidRDefault="00557CEB"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31FF977D" w14:textId="77777777" w:rsidR="00557CEB" w:rsidRPr="00CB093C" w:rsidRDefault="00557CEB"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35637160" w14:textId="77777777" w:rsidR="00557CEB" w:rsidRPr="00CB093C" w:rsidRDefault="00557CEB"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430136FB" w14:textId="77777777" w:rsidR="00557CEB" w:rsidRPr="00CB093C" w:rsidRDefault="00557CEB"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20A7237C" w14:textId="77777777" w:rsidR="00557CEB" w:rsidRPr="00CB093C" w:rsidRDefault="00557CEB" w:rsidP="003816AC">
            <w:pPr>
              <w:spacing w:before="0" w:after="0"/>
              <w:jc w:val="center"/>
              <w:rPr>
                <w:rFonts w:ascii="Arial" w:hAnsi="Arial" w:cs="Arial"/>
                <w:szCs w:val="22"/>
              </w:rPr>
            </w:pPr>
          </w:p>
        </w:tc>
        <w:tc>
          <w:tcPr>
            <w:tcW w:w="546" w:type="dxa"/>
            <w:tcBorders>
              <w:bottom w:val="nil"/>
              <w:right w:val="nil"/>
            </w:tcBorders>
            <w:shd w:val="clear" w:color="auto" w:fill="E7F3F4"/>
            <w:vAlign w:val="center"/>
          </w:tcPr>
          <w:p w14:paraId="47091FE4" w14:textId="77777777" w:rsidR="00557CEB" w:rsidRPr="00CB093C" w:rsidRDefault="00557CEB" w:rsidP="003816AC">
            <w:pPr>
              <w:spacing w:before="0" w:after="0"/>
              <w:jc w:val="center"/>
              <w:rPr>
                <w:rFonts w:ascii="Arial" w:hAnsi="Arial" w:cs="Arial"/>
                <w:szCs w:val="22"/>
              </w:rPr>
            </w:pPr>
          </w:p>
        </w:tc>
      </w:tr>
      <w:tr w:rsidR="003816AC" w:rsidRPr="00CB093C" w14:paraId="34D2DCCA" w14:textId="77777777" w:rsidTr="00035C3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51C81FF4"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hideMark/>
          </w:tcPr>
          <w:p w14:paraId="057EB80C" w14:textId="77777777" w:rsidR="003816AC" w:rsidRPr="00CB093C" w:rsidRDefault="003816AC" w:rsidP="003816AC">
            <w:pPr>
              <w:spacing w:before="0" w:after="0"/>
              <w:rPr>
                <w:rFonts w:ascii="Arial" w:hAnsi="Arial" w:cs="Arial"/>
                <w:color w:val="000000"/>
                <w:szCs w:val="22"/>
              </w:rPr>
            </w:pPr>
          </w:p>
        </w:tc>
        <w:tc>
          <w:tcPr>
            <w:tcW w:w="1299" w:type="dxa"/>
            <w:vMerge w:val="restart"/>
            <w:tcBorders>
              <w:top w:val="single" w:sz="4" w:space="0" w:color="auto"/>
              <w:left w:val="nil"/>
              <w:bottom w:val="nil"/>
              <w:right w:val="nil"/>
            </w:tcBorders>
            <w:shd w:val="clear" w:color="auto" w:fill="E7F3F4"/>
            <w:vAlign w:val="center"/>
            <w:hideMark/>
          </w:tcPr>
          <w:p w14:paraId="6967671E"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Endeavour</w:t>
            </w:r>
          </w:p>
        </w:tc>
        <w:tc>
          <w:tcPr>
            <w:tcW w:w="1307" w:type="dxa"/>
            <w:vMerge w:val="restart"/>
            <w:tcBorders>
              <w:top w:val="single" w:sz="4" w:space="0" w:color="auto"/>
              <w:left w:val="nil"/>
              <w:bottom w:val="nil"/>
              <w:right w:val="nil"/>
            </w:tcBorders>
            <w:shd w:val="clear" w:color="auto" w:fill="E7F3F4"/>
            <w:noWrap/>
            <w:vAlign w:val="center"/>
            <w:hideMark/>
          </w:tcPr>
          <w:p w14:paraId="3EEBE408"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Archer Point</w:t>
            </w:r>
          </w:p>
        </w:tc>
        <w:tc>
          <w:tcPr>
            <w:tcW w:w="840" w:type="dxa"/>
            <w:tcBorders>
              <w:top w:val="single" w:sz="4" w:space="0" w:color="auto"/>
              <w:left w:val="nil"/>
              <w:right w:val="nil"/>
            </w:tcBorders>
            <w:shd w:val="clear" w:color="auto" w:fill="E7F3F4"/>
            <w:noWrap/>
            <w:vAlign w:val="center"/>
            <w:hideMark/>
          </w:tcPr>
          <w:p w14:paraId="7A97E397"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AP1</w:t>
            </w:r>
          </w:p>
        </w:tc>
        <w:tc>
          <w:tcPr>
            <w:tcW w:w="555" w:type="dxa"/>
            <w:tcBorders>
              <w:top w:val="single" w:sz="4" w:space="0" w:color="auto"/>
              <w:left w:val="nil"/>
              <w:right w:val="nil"/>
            </w:tcBorders>
            <w:shd w:val="clear" w:color="auto" w:fill="E7F3F4"/>
            <w:vAlign w:val="center"/>
            <w:hideMark/>
          </w:tcPr>
          <w:p w14:paraId="30030C25"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E7F3F4"/>
            <w:noWrap/>
            <w:vAlign w:val="center"/>
            <w:hideMark/>
          </w:tcPr>
          <w:p w14:paraId="7FF5BDA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E7F3F4"/>
            <w:noWrap/>
            <w:vAlign w:val="center"/>
            <w:hideMark/>
          </w:tcPr>
          <w:p w14:paraId="117ABF0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E7F3F4"/>
            <w:vAlign w:val="center"/>
            <w:hideMark/>
          </w:tcPr>
          <w:p w14:paraId="2CFF9BC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E7F3F4"/>
            <w:vAlign w:val="center"/>
            <w:hideMark/>
          </w:tcPr>
          <w:p w14:paraId="6508F80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E7F3F4"/>
            <w:vAlign w:val="center"/>
            <w:hideMark/>
          </w:tcPr>
          <w:p w14:paraId="241F848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E7F3F4"/>
          </w:tcPr>
          <w:p w14:paraId="682CD98E"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E7F3F4"/>
            <w:vAlign w:val="center"/>
          </w:tcPr>
          <w:p w14:paraId="1BA30F9A"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599A59D1"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11747CB9"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tcPr>
          <w:p w14:paraId="3CE177DC"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30C004A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E7F3F4"/>
            <w:vAlign w:val="center"/>
          </w:tcPr>
          <w:p w14:paraId="517FF47A" w14:textId="77777777" w:rsidR="003816AC" w:rsidRPr="00CB093C" w:rsidRDefault="003816AC" w:rsidP="003816AC">
            <w:pPr>
              <w:spacing w:before="0" w:after="0"/>
              <w:jc w:val="center"/>
              <w:rPr>
                <w:rFonts w:ascii="Arial" w:hAnsi="Arial" w:cs="Arial"/>
                <w:szCs w:val="22"/>
                <w:highlight w:val="yellow"/>
              </w:rPr>
            </w:pPr>
          </w:p>
        </w:tc>
      </w:tr>
      <w:tr w:rsidR="003816AC" w:rsidRPr="00CB093C" w14:paraId="478018A8" w14:textId="77777777" w:rsidTr="00035C3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186CFD83"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nil"/>
              <w:right w:val="nil"/>
            </w:tcBorders>
            <w:vAlign w:val="center"/>
            <w:hideMark/>
          </w:tcPr>
          <w:p w14:paraId="2846530C"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2CECBFA3"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1180A69C" w14:textId="77777777" w:rsidR="003816AC" w:rsidRPr="00CB093C" w:rsidRDefault="003816AC" w:rsidP="003816AC">
            <w:pPr>
              <w:spacing w:before="0" w:after="0"/>
              <w:rPr>
                <w:rFonts w:ascii="Arial" w:hAnsi="Arial" w:cs="Arial"/>
                <w:color w:val="000000"/>
                <w:szCs w:val="22"/>
              </w:rPr>
            </w:pPr>
          </w:p>
        </w:tc>
        <w:tc>
          <w:tcPr>
            <w:tcW w:w="840" w:type="dxa"/>
            <w:shd w:val="clear" w:color="auto" w:fill="E7F3F4"/>
            <w:noWrap/>
            <w:vAlign w:val="center"/>
            <w:hideMark/>
          </w:tcPr>
          <w:p w14:paraId="0F8472B6"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AP2</w:t>
            </w:r>
          </w:p>
        </w:tc>
        <w:tc>
          <w:tcPr>
            <w:tcW w:w="555" w:type="dxa"/>
            <w:shd w:val="clear" w:color="auto" w:fill="E7F3F4"/>
            <w:vAlign w:val="center"/>
            <w:hideMark/>
          </w:tcPr>
          <w:p w14:paraId="673160E5"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shd w:val="clear" w:color="auto" w:fill="E7F3F4"/>
            <w:vAlign w:val="center"/>
            <w:hideMark/>
          </w:tcPr>
          <w:p w14:paraId="6C5F148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shd w:val="clear" w:color="auto" w:fill="E7F3F4"/>
            <w:vAlign w:val="center"/>
            <w:hideMark/>
          </w:tcPr>
          <w:p w14:paraId="16A4132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shd w:val="clear" w:color="auto" w:fill="E7F3F4"/>
            <w:vAlign w:val="center"/>
            <w:hideMark/>
          </w:tcPr>
          <w:p w14:paraId="2F7FA65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shd w:val="clear" w:color="auto" w:fill="E7F3F4"/>
            <w:vAlign w:val="center"/>
            <w:hideMark/>
          </w:tcPr>
          <w:p w14:paraId="4F1D5C6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shd w:val="clear" w:color="auto" w:fill="E7F3F4"/>
            <w:vAlign w:val="center"/>
            <w:hideMark/>
          </w:tcPr>
          <w:p w14:paraId="346DC9F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bottom w:val="nil"/>
              <w:right w:val="single" w:sz="4" w:space="0" w:color="auto"/>
            </w:tcBorders>
            <w:shd w:val="clear" w:color="auto" w:fill="E7F3F4"/>
          </w:tcPr>
          <w:p w14:paraId="72EA8CB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left w:val="single" w:sz="4" w:space="0" w:color="auto"/>
              <w:bottom w:val="nil"/>
            </w:tcBorders>
            <w:shd w:val="clear" w:color="auto" w:fill="E7F3F4"/>
            <w:vAlign w:val="center"/>
          </w:tcPr>
          <w:p w14:paraId="2B25C703" w14:textId="77777777" w:rsidR="003816AC" w:rsidRPr="00CB093C" w:rsidRDefault="003816AC" w:rsidP="003816AC">
            <w:pPr>
              <w:spacing w:before="0" w:after="0"/>
              <w:jc w:val="center"/>
              <w:rPr>
                <w:rFonts w:ascii="Arial" w:hAnsi="Arial" w:cs="Arial"/>
                <w:szCs w:val="22"/>
              </w:rPr>
            </w:pPr>
          </w:p>
        </w:tc>
        <w:tc>
          <w:tcPr>
            <w:tcW w:w="559" w:type="dxa"/>
            <w:shd w:val="clear" w:color="auto" w:fill="E7F3F4"/>
            <w:vAlign w:val="center"/>
          </w:tcPr>
          <w:p w14:paraId="63509947" w14:textId="77777777" w:rsidR="003816AC" w:rsidRPr="00CB093C" w:rsidRDefault="003816AC" w:rsidP="003816AC">
            <w:pPr>
              <w:spacing w:before="0" w:after="0"/>
              <w:jc w:val="center"/>
              <w:rPr>
                <w:rFonts w:ascii="Arial" w:hAnsi="Arial" w:cs="Arial"/>
                <w:szCs w:val="22"/>
              </w:rPr>
            </w:pPr>
          </w:p>
        </w:tc>
        <w:tc>
          <w:tcPr>
            <w:tcW w:w="559" w:type="dxa"/>
            <w:shd w:val="clear" w:color="auto" w:fill="E7F3F4"/>
            <w:vAlign w:val="center"/>
          </w:tcPr>
          <w:p w14:paraId="261514CF" w14:textId="77777777" w:rsidR="003816AC" w:rsidRPr="00CB093C" w:rsidRDefault="003816AC" w:rsidP="003816AC">
            <w:pPr>
              <w:spacing w:before="0" w:after="0"/>
              <w:jc w:val="center"/>
              <w:rPr>
                <w:rFonts w:ascii="Arial" w:hAnsi="Arial" w:cs="Arial"/>
                <w:szCs w:val="22"/>
              </w:rPr>
            </w:pPr>
          </w:p>
        </w:tc>
        <w:tc>
          <w:tcPr>
            <w:tcW w:w="559" w:type="dxa"/>
            <w:shd w:val="clear" w:color="auto" w:fill="E7F3F4"/>
            <w:vAlign w:val="center"/>
          </w:tcPr>
          <w:p w14:paraId="11CBFEC7" w14:textId="77777777" w:rsidR="003816AC" w:rsidRPr="00CB093C" w:rsidRDefault="003816AC" w:rsidP="003816AC">
            <w:pPr>
              <w:spacing w:before="0" w:after="0"/>
              <w:jc w:val="center"/>
              <w:rPr>
                <w:rFonts w:ascii="Arial" w:hAnsi="Arial" w:cs="Arial"/>
                <w:szCs w:val="22"/>
              </w:rPr>
            </w:pPr>
          </w:p>
        </w:tc>
        <w:tc>
          <w:tcPr>
            <w:tcW w:w="559" w:type="dxa"/>
            <w:shd w:val="clear" w:color="auto" w:fill="E7F3F4"/>
            <w:vAlign w:val="center"/>
            <w:hideMark/>
          </w:tcPr>
          <w:p w14:paraId="59F9C6E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shd w:val="clear" w:color="auto" w:fill="E7F3F4"/>
            <w:vAlign w:val="center"/>
          </w:tcPr>
          <w:p w14:paraId="5E503EA5" w14:textId="77777777" w:rsidR="003816AC" w:rsidRPr="00CB093C" w:rsidRDefault="003816AC" w:rsidP="003816AC">
            <w:pPr>
              <w:spacing w:before="0" w:after="0"/>
              <w:jc w:val="center"/>
              <w:rPr>
                <w:rFonts w:ascii="Arial" w:hAnsi="Arial" w:cs="Arial"/>
                <w:szCs w:val="22"/>
                <w:highlight w:val="yellow"/>
              </w:rPr>
            </w:pPr>
            <w:r w:rsidRPr="00CB093C">
              <w:rPr>
                <w:rFonts w:ascii="Arial" w:hAnsi="Arial" w:cs="Arial"/>
                <w:szCs w:val="22"/>
              </w:rPr>
              <w:sym w:font="Wingdings" w:char="F0FC"/>
            </w:r>
          </w:p>
        </w:tc>
      </w:tr>
      <w:tr w:rsidR="003816AC" w:rsidRPr="00CB093C" w14:paraId="1C5FF161" w14:textId="77777777" w:rsidTr="00035C35">
        <w:trPr>
          <w:gridAfter w:val="1"/>
          <w:wAfter w:w="10" w:type="dxa"/>
          <w:cantSplit/>
          <w:trHeight w:val="170"/>
          <w:jc w:val="center"/>
        </w:trPr>
        <w:tc>
          <w:tcPr>
            <w:tcW w:w="1148" w:type="dxa"/>
            <w:vMerge w:val="restart"/>
            <w:tcBorders>
              <w:top w:val="single" w:sz="4" w:space="0" w:color="auto"/>
              <w:left w:val="nil"/>
              <w:right w:val="nil"/>
            </w:tcBorders>
            <w:noWrap/>
            <w:vAlign w:val="center"/>
            <w:hideMark/>
          </w:tcPr>
          <w:p w14:paraId="183EC145"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Northern</w:t>
            </w:r>
          </w:p>
        </w:tc>
        <w:tc>
          <w:tcPr>
            <w:tcW w:w="1294" w:type="dxa"/>
            <w:vMerge w:val="restart"/>
            <w:tcBorders>
              <w:top w:val="single" w:sz="4" w:space="0" w:color="auto"/>
              <w:left w:val="nil"/>
              <w:right w:val="nil"/>
            </w:tcBorders>
            <w:shd w:val="clear" w:color="auto" w:fill="F3F9FA"/>
            <w:noWrap/>
            <w:vAlign w:val="center"/>
            <w:hideMark/>
          </w:tcPr>
          <w:p w14:paraId="3A893E8C"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Wet Tropics</w:t>
            </w:r>
          </w:p>
        </w:tc>
        <w:tc>
          <w:tcPr>
            <w:tcW w:w="1299" w:type="dxa"/>
            <w:vMerge w:val="restart"/>
            <w:tcBorders>
              <w:top w:val="single" w:sz="4" w:space="0" w:color="auto"/>
              <w:left w:val="nil"/>
              <w:bottom w:val="nil"/>
              <w:right w:val="nil"/>
            </w:tcBorders>
            <w:shd w:val="clear" w:color="auto" w:fill="F3F9FA"/>
            <w:vAlign w:val="center"/>
            <w:hideMark/>
          </w:tcPr>
          <w:p w14:paraId="3E314977"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Daintree</w:t>
            </w:r>
          </w:p>
        </w:tc>
        <w:tc>
          <w:tcPr>
            <w:tcW w:w="1307" w:type="dxa"/>
            <w:vMerge w:val="restart"/>
            <w:tcBorders>
              <w:top w:val="single" w:sz="4" w:space="0" w:color="auto"/>
              <w:left w:val="nil"/>
              <w:bottom w:val="nil"/>
              <w:right w:val="nil"/>
            </w:tcBorders>
            <w:shd w:val="clear" w:color="auto" w:fill="F3F9FA"/>
            <w:noWrap/>
            <w:vAlign w:val="center"/>
            <w:hideMark/>
          </w:tcPr>
          <w:p w14:paraId="03DC3473"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Low Isles</w:t>
            </w:r>
          </w:p>
        </w:tc>
        <w:tc>
          <w:tcPr>
            <w:tcW w:w="840" w:type="dxa"/>
            <w:tcBorders>
              <w:top w:val="single" w:sz="4" w:space="0" w:color="auto"/>
              <w:left w:val="nil"/>
              <w:right w:val="nil"/>
            </w:tcBorders>
            <w:shd w:val="clear" w:color="auto" w:fill="F3F9FA"/>
            <w:noWrap/>
            <w:vAlign w:val="center"/>
            <w:hideMark/>
          </w:tcPr>
          <w:p w14:paraId="31D4C791"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LI1</w:t>
            </w:r>
          </w:p>
        </w:tc>
        <w:tc>
          <w:tcPr>
            <w:tcW w:w="555" w:type="dxa"/>
            <w:tcBorders>
              <w:top w:val="single" w:sz="4" w:space="0" w:color="auto"/>
              <w:left w:val="nil"/>
              <w:right w:val="nil"/>
            </w:tcBorders>
            <w:shd w:val="clear" w:color="auto" w:fill="F3F9FA"/>
            <w:vAlign w:val="center"/>
            <w:hideMark/>
          </w:tcPr>
          <w:p w14:paraId="4AF8CA7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hideMark/>
          </w:tcPr>
          <w:p w14:paraId="457BE0F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hideMark/>
          </w:tcPr>
          <w:p w14:paraId="3C72443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F3F9FA"/>
            <w:vAlign w:val="center"/>
            <w:hideMark/>
          </w:tcPr>
          <w:p w14:paraId="06B0B03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F3F9FA"/>
            <w:vAlign w:val="center"/>
            <w:hideMark/>
          </w:tcPr>
          <w:p w14:paraId="43647EC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F3F9FA"/>
            <w:vAlign w:val="center"/>
            <w:hideMark/>
          </w:tcPr>
          <w:p w14:paraId="0160618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hideMark/>
          </w:tcPr>
          <w:p w14:paraId="698930B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right w:val="nil"/>
            </w:tcBorders>
            <w:shd w:val="clear" w:color="auto" w:fill="F3F9FA"/>
            <w:vAlign w:val="center"/>
            <w:hideMark/>
          </w:tcPr>
          <w:p w14:paraId="4F1F6FD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hideMark/>
          </w:tcPr>
          <w:p w14:paraId="041284B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hideMark/>
          </w:tcPr>
          <w:p w14:paraId="557A32C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F3F9FA"/>
            <w:vAlign w:val="center"/>
          </w:tcPr>
          <w:p w14:paraId="4BF9DA86" w14:textId="2AE58619"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hideMark/>
          </w:tcPr>
          <w:p w14:paraId="4B411A4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hideMark/>
          </w:tcPr>
          <w:p w14:paraId="1B9ACAB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43172D72" w14:textId="77777777" w:rsidTr="00035C35">
        <w:trPr>
          <w:gridAfter w:val="1"/>
          <w:wAfter w:w="10" w:type="dxa"/>
          <w:cantSplit/>
          <w:trHeight w:val="170"/>
          <w:jc w:val="center"/>
        </w:trPr>
        <w:tc>
          <w:tcPr>
            <w:tcW w:w="1148" w:type="dxa"/>
            <w:vMerge/>
            <w:tcBorders>
              <w:left w:val="nil"/>
              <w:right w:val="nil"/>
            </w:tcBorders>
            <w:vAlign w:val="center"/>
            <w:hideMark/>
          </w:tcPr>
          <w:p w14:paraId="27BBC55F"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698F8AA7"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42C70AE6"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68F9F869" w14:textId="77777777" w:rsidR="003816AC" w:rsidRPr="00CB093C" w:rsidRDefault="003816AC" w:rsidP="003816AC">
            <w:pPr>
              <w:spacing w:before="0" w:after="0"/>
              <w:rPr>
                <w:rFonts w:ascii="Arial" w:hAnsi="Arial" w:cs="Arial"/>
                <w:color w:val="000000"/>
                <w:szCs w:val="22"/>
              </w:rPr>
            </w:pPr>
          </w:p>
        </w:tc>
        <w:tc>
          <w:tcPr>
            <w:tcW w:w="840" w:type="dxa"/>
            <w:tcBorders>
              <w:left w:val="nil"/>
              <w:bottom w:val="nil"/>
            </w:tcBorders>
            <w:shd w:val="clear" w:color="auto" w:fill="F3F9FA"/>
            <w:noWrap/>
            <w:vAlign w:val="center"/>
            <w:hideMark/>
          </w:tcPr>
          <w:p w14:paraId="58BBD2B2"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LI2^</w:t>
            </w:r>
          </w:p>
        </w:tc>
        <w:tc>
          <w:tcPr>
            <w:tcW w:w="555" w:type="dxa"/>
            <w:tcBorders>
              <w:bottom w:val="nil"/>
            </w:tcBorders>
            <w:shd w:val="clear" w:color="auto" w:fill="F3F9FA"/>
            <w:vAlign w:val="center"/>
            <w:hideMark/>
          </w:tcPr>
          <w:p w14:paraId="388EEED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hideMark/>
          </w:tcPr>
          <w:p w14:paraId="5E6DE22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hideMark/>
          </w:tcPr>
          <w:p w14:paraId="388A04E1" w14:textId="77777777" w:rsidR="003816AC" w:rsidRPr="00CB093C" w:rsidRDefault="003816AC" w:rsidP="003816AC">
            <w:pPr>
              <w:spacing w:before="0" w:after="0"/>
              <w:jc w:val="center"/>
              <w:rPr>
                <w:rFonts w:ascii="Arial" w:hAnsi="Arial" w:cs="Arial"/>
                <w:szCs w:val="22"/>
              </w:rPr>
            </w:pPr>
          </w:p>
        </w:tc>
        <w:tc>
          <w:tcPr>
            <w:tcW w:w="536" w:type="dxa"/>
            <w:tcBorders>
              <w:bottom w:val="nil"/>
            </w:tcBorders>
            <w:shd w:val="clear" w:color="auto" w:fill="F3F9FA"/>
            <w:vAlign w:val="center"/>
            <w:hideMark/>
          </w:tcPr>
          <w:p w14:paraId="21E9F83E" w14:textId="77777777" w:rsidR="003816AC" w:rsidRPr="00CB093C" w:rsidRDefault="003816AC" w:rsidP="003816AC">
            <w:pPr>
              <w:spacing w:before="0" w:after="0"/>
              <w:jc w:val="center"/>
              <w:rPr>
                <w:rFonts w:ascii="Arial" w:hAnsi="Arial" w:cs="Arial"/>
                <w:szCs w:val="22"/>
              </w:rPr>
            </w:pPr>
          </w:p>
        </w:tc>
        <w:tc>
          <w:tcPr>
            <w:tcW w:w="540" w:type="dxa"/>
            <w:tcBorders>
              <w:bottom w:val="nil"/>
            </w:tcBorders>
            <w:shd w:val="clear" w:color="auto" w:fill="F3F9FA"/>
            <w:vAlign w:val="center"/>
          </w:tcPr>
          <w:p w14:paraId="27E52776" w14:textId="77777777" w:rsidR="003816AC" w:rsidRPr="00CB093C" w:rsidRDefault="003816AC" w:rsidP="003816AC">
            <w:pPr>
              <w:spacing w:before="0" w:after="0"/>
              <w:jc w:val="center"/>
              <w:rPr>
                <w:rFonts w:ascii="Arial" w:hAnsi="Arial" w:cs="Arial"/>
                <w:szCs w:val="22"/>
              </w:rPr>
            </w:pPr>
          </w:p>
        </w:tc>
        <w:tc>
          <w:tcPr>
            <w:tcW w:w="529" w:type="dxa"/>
            <w:tcBorders>
              <w:bottom w:val="nil"/>
            </w:tcBorders>
            <w:shd w:val="clear" w:color="auto" w:fill="F3F9FA"/>
            <w:vAlign w:val="center"/>
            <w:hideMark/>
          </w:tcPr>
          <w:p w14:paraId="1D27918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F3F9FA"/>
            <w:vAlign w:val="center"/>
            <w:hideMark/>
          </w:tcPr>
          <w:p w14:paraId="1207336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F3F9FA"/>
            <w:vAlign w:val="center"/>
            <w:hideMark/>
          </w:tcPr>
          <w:p w14:paraId="394BA8D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F3F9FA"/>
            <w:vAlign w:val="center"/>
            <w:hideMark/>
          </w:tcPr>
          <w:p w14:paraId="269949A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F3F9FA"/>
            <w:vAlign w:val="center"/>
            <w:hideMark/>
          </w:tcPr>
          <w:p w14:paraId="61AC383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F3F9FA"/>
            <w:vAlign w:val="center"/>
          </w:tcPr>
          <w:p w14:paraId="26F5123C" w14:textId="42562EF2"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hideMark/>
          </w:tcPr>
          <w:p w14:paraId="22C95E7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F3F9FA"/>
            <w:vAlign w:val="center"/>
            <w:hideMark/>
          </w:tcPr>
          <w:p w14:paraId="223AC15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5FF97AE3" w14:textId="77777777" w:rsidTr="00035C35">
        <w:trPr>
          <w:gridAfter w:val="1"/>
          <w:wAfter w:w="10" w:type="dxa"/>
          <w:cantSplit/>
          <w:trHeight w:val="170"/>
          <w:jc w:val="center"/>
        </w:trPr>
        <w:tc>
          <w:tcPr>
            <w:tcW w:w="1148" w:type="dxa"/>
            <w:vMerge/>
            <w:tcBorders>
              <w:left w:val="nil"/>
              <w:right w:val="nil"/>
            </w:tcBorders>
            <w:vAlign w:val="center"/>
            <w:hideMark/>
          </w:tcPr>
          <w:p w14:paraId="6B375344"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44824446" w14:textId="77777777" w:rsidR="003816AC" w:rsidRPr="00CB093C" w:rsidRDefault="003816AC" w:rsidP="003816AC">
            <w:pPr>
              <w:spacing w:before="0" w:after="0"/>
              <w:rPr>
                <w:rFonts w:ascii="Arial" w:hAnsi="Arial" w:cs="Arial"/>
                <w:color w:val="000000"/>
                <w:szCs w:val="22"/>
              </w:rPr>
            </w:pPr>
          </w:p>
        </w:tc>
        <w:tc>
          <w:tcPr>
            <w:tcW w:w="1299" w:type="dxa"/>
            <w:vMerge w:val="restart"/>
            <w:tcBorders>
              <w:top w:val="single" w:sz="4" w:space="0" w:color="auto"/>
              <w:left w:val="nil"/>
              <w:right w:val="nil"/>
            </w:tcBorders>
            <w:shd w:val="clear" w:color="auto" w:fill="F3F9FA"/>
            <w:vAlign w:val="center"/>
            <w:hideMark/>
          </w:tcPr>
          <w:p w14:paraId="548212E9"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Mossman / Barron / Mulgrave - Russell / Johnstone</w:t>
            </w:r>
          </w:p>
        </w:tc>
        <w:tc>
          <w:tcPr>
            <w:tcW w:w="1307" w:type="dxa"/>
            <w:vMerge w:val="restart"/>
            <w:tcBorders>
              <w:top w:val="single" w:sz="4" w:space="0" w:color="auto"/>
              <w:left w:val="nil"/>
              <w:bottom w:val="nil"/>
              <w:right w:val="nil"/>
            </w:tcBorders>
            <w:shd w:val="clear" w:color="auto" w:fill="F3F9FA"/>
            <w:noWrap/>
            <w:vAlign w:val="center"/>
            <w:hideMark/>
          </w:tcPr>
          <w:p w14:paraId="1D1C5A8D"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Yule Point</w:t>
            </w:r>
          </w:p>
        </w:tc>
        <w:tc>
          <w:tcPr>
            <w:tcW w:w="840" w:type="dxa"/>
            <w:tcBorders>
              <w:top w:val="single" w:sz="4" w:space="0" w:color="auto"/>
              <w:left w:val="nil"/>
              <w:right w:val="nil"/>
            </w:tcBorders>
            <w:shd w:val="clear" w:color="auto" w:fill="F3F9FA"/>
            <w:noWrap/>
            <w:vAlign w:val="center"/>
            <w:hideMark/>
          </w:tcPr>
          <w:p w14:paraId="63CA87E5"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YP1</w:t>
            </w:r>
          </w:p>
        </w:tc>
        <w:tc>
          <w:tcPr>
            <w:tcW w:w="555" w:type="dxa"/>
            <w:tcBorders>
              <w:top w:val="single" w:sz="4" w:space="0" w:color="auto"/>
              <w:left w:val="nil"/>
              <w:right w:val="nil"/>
            </w:tcBorders>
            <w:shd w:val="clear" w:color="auto" w:fill="F3F9FA"/>
            <w:vAlign w:val="center"/>
            <w:hideMark/>
          </w:tcPr>
          <w:p w14:paraId="6BCC50A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hideMark/>
          </w:tcPr>
          <w:p w14:paraId="183E14A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hideMark/>
          </w:tcPr>
          <w:p w14:paraId="20ABB86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F3F9FA"/>
            <w:vAlign w:val="center"/>
            <w:hideMark/>
          </w:tcPr>
          <w:p w14:paraId="76CEA19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F3F9FA"/>
            <w:vAlign w:val="center"/>
            <w:hideMark/>
          </w:tcPr>
          <w:p w14:paraId="701AB51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F3F9FA"/>
            <w:vAlign w:val="center"/>
            <w:hideMark/>
          </w:tcPr>
          <w:p w14:paraId="4BA2F27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tcPr>
          <w:p w14:paraId="453CFD2C"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hideMark/>
          </w:tcPr>
          <w:p w14:paraId="4FC96C6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hideMark/>
          </w:tcPr>
          <w:p w14:paraId="7D51A3E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hideMark/>
          </w:tcPr>
          <w:p w14:paraId="400AD7D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F3F9FA"/>
            <w:vAlign w:val="center"/>
            <w:hideMark/>
          </w:tcPr>
          <w:p w14:paraId="7B07795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59" w:type="dxa"/>
            <w:tcBorders>
              <w:top w:val="single" w:sz="4" w:space="0" w:color="auto"/>
              <w:left w:val="nil"/>
              <w:right w:val="nil"/>
            </w:tcBorders>
            <w:shd w:val="clear" w:color="auto" w:fill="F3F9FA"/>
            <w:vAlign w:val="center"/>
            <w:hideMark/>
          </w:tcPr>
          <w:p w14:paraId="68C80DA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tcPr>
          <w:p w14:paraId="5DC16982" w14:textId="77777777" w:rsidR="003816AC" w:rsidRPr="00CB093C" w:rsidRDefault="003816AC" w:rsidP="003816AC">
            <w:pPr>
              <w:spacing w:before="0" w:after="0"/>
              <w:jc w:val="center"/>
              <w:rPr>
                <w:rFonts w:ascii="Arial" w:hAnsi="Arial" w:cs="Arial"/>
                <w:szCs w:val="22"/>
              </w:rPr>
            </w:pPr>
          </w:p>
        </w:tc>
      </w:tr>
      <w:tr w:rsidR="003816AC" w:rsidRPr="00CB093C" w14:paraId="32E999FF" w14:textId="77777777" w:rsidTr="00035C35">
        <w:trPr>
          <w:gridAfter w:val="1"/>
          <w:wAfter w:w="10" w:type="dxa"/>
          <w:cantSplit/>
          <w:trHeight w:val="170"/>
          <w:jc w:val="center"/>
        </w:trPr>
        <w:tc>
          <w:tcPr>
            <w:tcW w:w="1148" w:type="dxa"/>
            <w:vMerge/>
            <w:tcBorders>
              <w:left w:val="nil"/>
              <w:right w:val="nil"/>
            </w:tcBorders>
            <w:vAlign w:val="center"/>
            <w:hideMark/>
          </w:tcPr>
          <w:p w14:paraId="00EC4E6E"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04897E06"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vAlign w:val="center"/>
            <w:hideMark/>
          </w:tcPr>
          <w:p w14:paraId="29B4582A" w14:textId="77777777" w:rsidR="003816AC" w:rsidRPr="00CB093C" w:rsidRDefault="003816AC" w:rsidP="003816AC">
            <w:pPr>
              <w:spacing w:before="0" w:after="0"/>
              <w:jc w:val="center"/>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06A71A23" w14:textId="77777777" w:rsidR="003816AC" w:rsidRPr="00CB093C" w:rsidRDefault="003816AC" w:rsidP="003816AC">
            <w:pPr>
              <w:spacing w:before="0" w:after="0"/>
              <w:rPr>
                <w:rFonts w:ascii="Arial" w:hAnsi="Arial" w:cs="Arial"/>
                <w:color w:val="000000"/>
                <w:szCs w:val="22"/>
              </w:rPr>
            </w:pPr>
          </w:p>
        </w:tc>
        <w:tc>
          <w:tcPr>
            <w:tcW w:w="840" w:type="dxa"/>
            <w:tcBorders>
              <w:left w:val="nil"/>
              <w:bottom w:val="nil"/>
            </w:tcBorders>
            <w:shd w:val="clear" w:color="auto" w:fill="F3F9FA"/>
            <w:noWrap/>
            <w:vAlign w:val="center"/>
            <w:hideMark/>
          </w:tcPr>
          <w:p w14:paraId="53A260DB"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YP2</w:t>
            </w:r>
          </w:p>
        </w:tc>
        <w:tc>
          <w:tcPr>
            <w:tcW w:w="555" w:type="dxa"/>
            <w:tcBorders>
              <w:bottom w:val="nil"/>
            </w:tcBorders>
            <w:shd w:val="clear" w:color="auto" w:fill="F3F9FA"/>
            <w:vAlign w:val="center"/>
            <w:hideMark/>
          </w:tcPr>
          <w:p w14:paraId="176A933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hideMark/>
          </w:tcPr>
          <w:p w14:paraId="6E9EFC2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hideMark/>
          </w:tcPr>
          <w:p w14:paraId="643D179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F3F9FA"/>
            <w:vAlign w:val="center"/>
            <w:hideMark/>
          </w:tcPr>
          <w:p w14:paraId="16BF2CE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F3F9FA"/>
            <w:vAlign w:val="center"/>
            <w:hideMark/>
          </w:tcPr>
          <w:p w14:paraId="3F2AC8C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F3F9FA"/>
            <w:vAlign w:val="center"/>
            <w:hideMark/>
          </w:tcPr>
          <w:p w14:paraId="6766385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F3F9FA"/>
            <w:vAlign w:val="center"/>
            <w:hideMark/>
          </w:tcPr>
          <w:p w14:paraId="578D241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F3F9FA"/>
            <w:vAlign w:val="center"/>
            <w:hideMark/>
          </w:tcPr>
          <w:p w14:paraId="5CAEA48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F3F9FA"/>
            <w:vAlign w:val="center"/>
            <w:hideMark/>
          </w:tcPr>
          <w:p w14:paraId="32EAB9E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F3F9FA"/>
            <w:vAlign w:val="center"/>
            <w:hideMark/>
          </w:tcPr>
          <w:p w14:paraId="71EA3A6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F3F9FA"/>
            <w:vAlign w:val="center"/>
            <w:hideMark/>
          </w:tcPr>
          <w:p w14:paraId="41CFE58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59" w:type="dxa"/>
            <w:tcBorders>
              <w:bottom w:val="nil"/>
            </w:tcBorders>
            <w:shd w:val="clear" w:color="auto" w:fill="F3F9FA"/>
            <w:vAlign w:val="center"/>
            <w:hideMark/>
          </w:tcPr>
          <w:p w14:paraId="5FA4360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F3F9FA"/>
            <w:vAlign w:val="center"/>
            <w:hideMark/>
          </w:tcPr>
          <w:p w14:paraId="39BA15F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0BF98A3B" w14:textId="77777777" w:rsidTr="00035C35">
        <w:trPr>
          <w:gridAfter w:val="1"/>
          <w:wAfter w:w="10" w:type="dxa"/>
          <w:cantSplit/>
          <w:trHeight w:val="170"/>
          <w:jc w:val="center"/>
        </w:trPr>
        <w:tc>
          <w:tcPr>
            <w:tcW w:w="1148" w:type="dxa"/>
            <w:vMerge/>
            <w:tcBorders>
              <w:left w:val="nil"/>
              <w:right w:val="nil"/>
            </w:tcBorders>
            <w:vAlign w:val="center"/>
            <w:hideMark/>
          </w:tcPr>
          <w:p w14:paraId="46C58961"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23341B7E"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shd w:val="clear" w:color="auto" w:fill="F3F9FA"/>
            <w:vAlign w:val="center"/>
            <w:hideMark/>
          </w:tcPr>
          <w:p w14:paraId="210F6EAB" w14:textId="77777777" w:rsidR="003816AC" w:rsidRPr="00CB093C" w:rsidRDefault="003816AC" w:rsidP="003816AC">
            <w:pPr>
              <w:spacing w:before="0" w:after="0"/>
              <w:jc w:val="center"/>
              <w:rPr>
                <w:rFonts w:ascii="Arial" w:hAnsi="Arial" w:cs="Arial"/>
                <w:color w:val="000000"/>
                <w:szCs w:val="22"/>
              </w:rPr>
            </w:pPr>
          </w:p>
        </w:tc>
        <w:tc>
          <w:tcPr>
            <w:tcW w:w="1307" w:type="dxa"/>
            <w:vMerge w:val="restart"/>
            <w:tcBorders>
              <w:top w:val="single" w:sz="4" w:space="0" w:color="auto"/>
              <w:left w:val="nil"/>
              <w:bottom w:val="nil"/>
              <w:right w:val="nil"/>
            </w:tcBorders>
            <w:shd w:val="clear" w:color="auto" w:fill="F3F9FA"/>
            <w:noWrap/>
            <w:vAlign w:val="center"/>
            <w:hideMark/>
          </w:tcPr>
          <w:p w14:paraId="68154AF2" w14:textId="77777777" w:rsidR="003816AC" w:rsidRPr="00CB093C" w:rsidRDefault="003816AC" w:rsidP="003816AC">
            <w:pPr>
              <w:spacing w:before="0" w:after="0"/>
              <w:jc w:val="center"/>
              <w:rPr>
                <w:rFonts w:ascii="Arial" w:hAnsi="Arial" w:cs="Arial"/>
                <w:i/>
                <w:iCs/>
                <w:color w:val="000000"/>
                <w:szCs w:val="22"/>
              </w:rPr>
            </w:pPr>
            <w:r w:rsidRPr="00CB093C">
              <w:rPr>
                <w:rFonts w:ascii="Arial" w:hAnsi="Arial" w:cs="Arial"/>
                <w:color w:val="000000"/>
                <w:szCs w:val="22"/>
              </w:rPr>
              <w:t>Green Island</w:t>
            </w:r>
          </w:p>
        </w:tc>
        <w:tc>
          <w:tcPr>
            <w:tcW w:w="840" w:type="dxa"/>
            <w:tcBorders>
              <w:top w:val="single" w:sz="4" w:space="0" w:color="auto"/>
              <w:left w:val="nil"/>
              <w:right w:val="nil"/>
            </w:tcBorders>
            <w:shd w:val="clear" w:color="auto" w:fill="F3F9FA"/>
            <w:noWrap/>
            <w:vAlign w:val="center"/>
            <w:hideMark/>
          </w:tcPr>
          <w:p w14:paraId="13E901EE"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GI1</w:t>
            </w:r>
          </w:p>
        </w:tc>
        <w:tc>
          <w:tcPr>
            <w:tcW w:w="555" w:type="dxa"/>
            <w:tcBorders>
              <w:top w:val="single" w:sz="4" w:space="0" w:color="auto"/>
              <w:left w:val="nil"/>
              <w:right w:val="nil"/>
            </w:tcBorders>
            <w:shd w:val="clear" w:color="auto" w:fill="F3F9FA"/>
            <w:vAlign w:val="center"/>
            <w:hideMark/>
          </w:tcPr>
          <w:p w14:paraId="6CFBBD0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hideMark/>
          </w:tcPr>
          <w:p w14:paraId="108FD73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hideMark/>
          </w:tcPr>
          <w:p w14:paraId="7941186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F3F9FA"/>
            <w:vAlign w:val="center"/>
            <w:hideMark/>
          </w:tcPr>
          <w:p w14:paraId="5151E7B5"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F3F9FA"/>
            <w:vAlign w:val="center"/>
            <w:hideMark/>
          </w:tcPr>
          <w:p w14:paraId="4E32DEE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F3F9FA"/>
            <w:vAlign w:val="center"/>
            <w:hideMark/>
          </w:tcPr>
          <w:p w14:paraId="109DF6B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hideMark/>
          </w:tcPr>
          <w:p w14:paraId="170ED08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right w:val="nil"/>
            </w:tcBorders>
            <w:shd w:val="clear" w:color="auto" w:fill="F3F9FA"/>
            <w:vAlign w:val="center"/>
            <w:hideMark/>
          </w:tcPr>
          <w:p w14:paraId="2E62A32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hideMark/>
          </w:tcPr>
          <w:p w14:paraId="191A26C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hideMark/>
          </w:tcPr>
          <w:p w14:paraId="1B4D58D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F3F9FA"/>
            <w:vAlign w:val="center"/>
          </w:tcPr>
          <w:p w14:paraId="0155CF5B" w14:textId="7F53C6C9"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hideMark/>
          </w:tcPr>
          <w:p w14:paraId="54007FB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hideMark/>
          </w:tcPr>
          <w:p w14:paraId="32308F6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7D66453C" w14:textId="77777777" w:rsidTr="00035C35">
        <w:trPr>
          <w:gridAfter w:val="1"/>
          <w:wAfter w:w="10" w:type="dxa"/>
          <w:cantSplit/>
          <w:trHeight w:val="170"/>
          <w:jc w:val="center"/>
        </w:trPr>
        <w:tc>
          <w:tcPr>
            <w:tcW w:w="1148" w:type="dxa"/>
            <w:vMerge/>
            <w:tcBorders>
              <w:left w:val="nil"/>
              <w:right w:val="nil"/>
            </w:tcBorders>
            <w:vAlign w:val="center"/>
            <w:hideMark/>
          </w:tcPr>
          <w:p w14:paraId="7F38B4EC"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3D81CA7B"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vAlign w:val="center"/>
            <w:hideMark/>
          </w:tcPr>
          <w:p w14:paraId="37419731"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6A5209B7" w14:textId="77777777" w:rsidR="003816AC" w:rsidRPr="00CB093C" w:rsidRDefault="003816AC" w:rsidP="003816AC">
            <w:pPr>
              <w:spacing w:before="0" w:after="0"/>
              <w:rPr>
                <w:rFonts w:ascii="Arial" w:hAnsi="Arial" w:cs="Arial"/>
                <w:i/>
                <w:iCs/>
                <w:color w:val="000000"/>
                <w:szCs w:val="22"/>
              </w:rPr>
            </w:pPr>
          </w:p>
        </w:tc>
        <w:tc>
          <w:tcPr>
            <w:tcW w:w="840" w:type="dxa"/>
            <w:tcBorders>
              <w:left w:val="nil"/>
              <w:bottom w:val="nil"/>
            </w:tcBorders>
            <w:shd w:val="clear" w:color="auto" w:fill="F3F9FA"/>
            <w:noWrap/>
            <w:vAlign w:val="center"/>
            <w:hideMark/>
          </w:tcPr>
          <w:p w14:paraId="684BA64B"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GI2</w:t>
            </w:r>
          </w:p>
        </w:tc>
        <w:tc>
          <w:tcPr>
            <w:tcW w:w="555" w:type="dxa"/>
            <w:tcBorders>
              <w:bottom w:val="nil"/>
            </w:tcBorders>
            <w:shd w:val="clear" w:color="auto" w:fill="F3F9FA"/>
            <w:vAlign w:val="center"/>
            <w:hideMark/>
          </w:tcPr>
          <w:p w14:paraId="39376BE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hideMark/>
          </w:tcPr>
          <w:p w14:paraId="1E3362E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hideMark/>
          </w:tcPr>
          <w:p w14:paraId="3465CD3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F3F9FA"/>
            <w:vAlign w:val="center"/>
            <w:hideMark/>
          </w:tcPr>
          <w:p w14:paraId="407DE77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F3F9FA"/>
            <w:vAlign w:val="center"/>
            <w:hideMark/>
          </w:tcPr>
          <w:p w14:paraId="39263E3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F3F9FA"/>
            <w:vAlign w:val="center"/>
            <w:hideMark/>
          </w:tcPr>
          <w:p w14:paraId="0B2E7AD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F3F9FA"/>
            <w:vAlign w:val="center"/>
          </w:tcPr>
          <w:p w14:paraId="112C1574" w14:textId="77777777" w:rsidR="003816AC" w:rsidRPr="00CB093C" w:rsidRDefault="003816AC" w:rsidP="003816AC">
            <w:pPr>
              <w:spacing w:before="0" w:after="0"/>
              <w:jc w:val="center"/>
              <w:rPr>
                <w:rFonts w:ascii="Arial" w:hAnsi="Arial" w:cs="Arial"/>
                <w:szCs w:val="22"/>
              </w:rPr>
            </w:pPr>
          </w:p>
        </w:tc>
        <w:tc>
          <w:tcPr>
            <w:tcW w:w="559" w:type="dxa"/>
            <w:tcBorders>
              <w:left w:val="single" w:sz="4" w:space="0" w:color="auto"/>
              <w:bottom w:val="nil"/>
            </w:tcBorders>
            <w:shd w:val="clear" w:color="auto" w:fill="F3F9FA"/>
            <w:vAlign w:val="center"/>
            <w:hideMark/>
          </w:tcPr>
          <w:p w14:paraId="633FBA3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F3F9FA"/>
            <w:vAlign w:val="center"/>
            <w:hideMark/>
          </w:tcPr>
          <w:p w14:paraId="1ED796D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F3F9FA"/>
            <w:vAlign w:val="center"/>
            <w:hideMark/>
          </w:tcPr>
          <w:p w14:paraId="4FC36FA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F3F9FA"/>
            <w:vAlign w:val="center"/>
          </w:tcPr>
          <w:p w14:paraId="17A0466C" w14:textId="4BFE1B28"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hideMark/>
          </w:tcPr>
          <w:p w14:paraId="7ABA596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F3F9FA"/>
            <w:vAlign w:val="center"/>
          </w:tcPr>
          <w:p w14:paraId="5A0498C9" w14:textId="77777777" w:rsidR="003816AC" w:rsidRPr="00CB093C" w:rsidRDefault="003816AC" w:rsidP="003816AC">
            <w:pPr>
              <w:spacing w:before="0" w:after="0"/>
              <w:jc w:val="center"/>
              <w:rPr>
                <w:rFonts w:ascii="Arial" w:hAnsi="Arial" w:cs="Arial"/>
                <w:szCs w:val="22"/>
              </w:rPr>
            </w:pPr>
          </w:p>
        </w:tc>
      </w:tr>
      <w:tr w:rsidR="003816AC" w:rsidRPr="00CB093C" w14:paraId="71C1DD47" w14:textId="77777777" w:rsidTr="00035C35">
        <w:trPr>
          <w:gridAfter w:val="1"/>
          <w:wAfter w:w="10" w:type="dxa"/>
          <w:cantSplit/>
          <w:trHeight w:val="170"/>
          <w:jc w:val="center"/>
        </w:trPr>
        <w:tc>
          <w:tcPr>
            <w:tcW w:w="1148" w:type="dxa"/>
            <w:vMerge/>
            <w:tcBorders>
              <w:left w:val="nil"/>
              <w:right w:val="nil"/>
            </w:tcBorders>
            <w:vAlign w:val="center"/>
            <w:hideMark/>
          </w:tcPr>
          <w:p w14:paraId="577B166A"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2817D805" w14:textId="77777777" w:rsidR="003816AC" w:rsidRPr="00CB093C" w:rsidRDefault="003816AC" w:rsidP="003816AC">
            <w:pPr>
              <w:spacing w:before="0" w:after="0"/>
              <w:rPr>
                <w:rFonts w:ascii="Arial" w:hAnsi="Arial" w:cs="Arial"/>
                <w:color w:val="000000"/>
                <w:szCs w:val="22"/>
              </w:rPr>
            </w:pPr>
          </w:p>
        </w:tc>
        <w:tc>
          <w:tcPr>
            <w:tcW w:w="1299" w:type="dxa"/>
            <w:vMerge/>
            <w:tcBorders>
              <w:left w:val="nil"/>
              <w:bottom w:val="nil"/>
              <w:right w:val="nil"/>
            </w:tcBorders>
            <w:vAlign w:val="center"/>
            <w:hideMark/>
          </w:tcPr>
          <w:p w14:paraId="35C706CB"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2F5C5E75" w14:textId="77777777" w:rsidR="003816AC" w:rsidRPr="00CB093C" w:rsidRDefault="003816AC" w:rsidP="003816AC">
            <w:pPr>
              <w:spacing w:before="0" w:after="0"/>
              <w:rPr>
                <w:rFonts w:ascii="Arial" w:hAnsi="Arial" w:cs="Arial"/>
                <w:i/>
                <w:iCs/>
                <w:color w:val="000000"/>
                <w:szCs w:val="22"/>
              </w:rPr>
            </w:pPr>
          </w:p>
        </w:tc>
        <w:tc>
          <w:tcPr>
            <w:tcW w:w="840" w:type="dxa"/>
            <w:tcBorders>
              <w:left w:val="nil"/>
              <w:bottom w:val="nil"/>
            </w:tcBorders>
            <w:shd w:val="clear" w:color="auto" w:fill="F3F9FA"/>
            <w:noWrap/>
            <w:vAlign w:val="center"/>
            <w:hideMark/>
          </w:tcPr>
          <w:p w14:paraId="05A077A3"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GI3^</w:t>
            </w:r>
          </w:p>
        </w:tc>
        <w:tc>
          <w:tcPr>
            <w:tcW w:w="555" w:type="dxa"/>
            <w:tcBorders>
              <w:bottom w:val="nil"/>
            </w:tcBorders>
            <w:shd w:val="clear" w:color="auto" w:fill="F3F9FA"/>
            <w:vAlign w:val="center"/>
            <w:hideMark/>
          </w:tcPr>
          <w:p w14:paraId="781A667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hideMark/>
          </w:tcPr>
          <w:p w14:paraId="27DA545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hideMark/>
          </w:tcPr>
          <w:p w14:paraId="7DE2C84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F3F9FA"/>
            <w:vAlign w:val="center"/>
            <w:hideMark/>
          </w:tcPr>
          <w:p w14:paraId="00292B0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F3F9FA"/>
            <w:vAlign w:val="center"/>
            <w:hideMark/>
          </w:tcPr>
          <w:p w14:paraId="46635A45"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F3F9FA"/>
            <w:vAlign w:val="center"/>
            <w:hideMark/>
          </w:tcPr>
          <w:p w14:paraId="6C8AD68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F3F9FA"/>
            <w:vAlign w:val="center"/>
            <w:hideMark/>
          </w:tcPr>
          <w:p w14:paraId="255573A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F3F9FA"/>
            <w:vAlign w:val="center"/>
            <w:hideMark/>
          </w:tcPr>
          <w:p w14:paraId="5A43A45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F3F9FA"/>
            <w:vAlign w:val="center"/>
            <w:hideMark/>
          </w:tcPr>
          <w:p w14:paraId="7003838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F3F9FA"/>
            <w:vAlign w:val="center"/>
            <w:hideMark/>
          </w:tcPr>
          <w:p w14:paraId="51DAA70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F3F9FA"/>
            <w:vAlign w:val="center"/>
          </w:tcPr>
          <w:p w14:paraId="4C471D59" w14:textId="6E64BD66"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hideMark/>
          </w:tcPr>
          <w:p w14:paraId="5F3DBCB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F3F9FA"/>
            <w:vAlign w:val="center"/>
            <w:hideMark/>
          </w:tcPr>
          <w:p w14:paraId="5E7CB89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6B49C599" w14:textId="77777777" w:rsidTr="00035C35">
        <w:trPr>
          <w:gridAfter w:val="1"/>
          <w:wAfter w:w="10" w:type="dxa"/>
          <w:cantSplit/>
          <w:trHeight w:val="170"/>
          <w:jc w:val="center"/>
        </w:trPr>
        <w:tc>
          <w:tcPr>
            <w:tcW w:w="1148" w:type="dxa"/>
            <w:vMerge/>
            <w:tcBorders>
              <w:left w:val="nil"/>
              <w:right w:val="nil"/>
            </w:tcBorders>
            <w:vAlign w:val="center"/>
            <w:hideMark/>
          </w:tcPr>
          <w:p w14:paraId="3552F2FE"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4A40BA0A" w14:textId="77777777" w:rsidR="003816AC" w:rsidRPr="00CB093C" w:rsidRDefault="003816AC" w:rsidP="003816AC">
            <w:pPr>
              <w:spacing w:before="0" w:after="0"/>
              <w:rPr>
                <w:rFonts w:ascii="Arial" w:hAnsi="Arial" w:cs="Arial"/>
                <w:color w:val="000000"/>
                <w:szCs w:val="22"/>
              </w:rPr>
            </w:pPr>
          </w:p>
        </w:tc>
        <w:tc>
          <w:tcPr>
            <w:tcW w:w="1299" w:type="dxa"/>
            <w:vMerge w:val="restart"/>
            <w:tcBorders>
              <w:top w:val="single" w:sz="4" w:space="0" w:color="auto"/>
              <w:left w:val="nil"/>
              <w:right w:val="nil"/>
            </w:tcBorders>
            <w:shd w:val="clear" w:color="auto" w:fill="F3F9FA"/>
            <w:vAlign w:val="center"/>
            <w:hideMark/>
          </w:tcPr>
          <w:p w14:paraId="302DDB37"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Tully / Murray / Herbert</w:t>
            </w:r>
          </w:p>
        </w:tc>
        <w:tc>
          <w:tcPr>
            <w:tcW w:w="1307" w:type="dxa"/>
            <w:vMerge w:val="restart"/>
            <w:tcBorders>
              <w:top w:val="single" w:sz="4" w:space="0" w:color="auto"/>
              <w:left w:val="nil"/>
              <w:bottom w:val="nil"/>
              <w:right w:val="nil"/>
            </w:tcBorders>
            <w:shd w:val="clear" w:color="auto" w:fill="F3F9FA"/>
            <w:noWrap/>
            <w:vAlign w:val="center"/>
            <w:hideMark/>
          </w:tcPr>
          <w:p w14:paraId="6A3F8EB1"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Mission Beach</w:t>
            </w:r>
          </w:p>
        </w:tc>
        <w:tc>
          <w:tcPr>
            <w:tcW w:w="840" w:type="dxa"/>
            <w:tcBorders>
              <w:top w:val="single" w:sz="4" w:space="0" w:color="auto"/>
              <w:left w:val="nil"/>
              <w:right w:val="nil"/>
            </w:tcBorders>
            <w:shd w:val="clear" w:color="auto" w:fill="F3F9FA"/>
            <w:noWrap/>
            <w:vAlign w:val="center"/>
            <w:hideMark/>
          </w:tcPr>
          <w:p w14:paraId="2352019B"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LB1</w:t>
            </w:r>
          </w:p>
        </w:tc>
        <w:tc>
          <w:tcPr>
            <w:tcW w:w="555" w:type="dxa"/>
            <w:tcBorders>
              <w:top w:val="single" w:sz="4" w:space="0" w:color="auto"/>
              <w:left w:val="nil"/>
              <w:right w:val="nil"/>
            </w:tcBorders>
            <w:shd w:val="clear" w:color="auto" w:fill="F3F9FA"/>
            <w:vAlign w:val="center"/>
            <w:hideMark/>
          </w:tcPr>
          <w:p w14:paraId="1C1460F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hideMark/>
          </w:tcPr>
          <w:p w14:paraId="54D8AC6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hideMark/>
          </w:tcPr>
          <w:p w14:paraId="175B195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F3F9FA"/>
            <w:vAlign w:val="center"/>
            <w:hideMark/>
          </w:tcPr>
          <w:p w14:paraId="1CE7758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F3F9FA"/>
            <w:vAlign w:val="center"/>
          </w:tcPr>
          <w:p w14:paraId="76954104" w14:textId="77777777" w:rsidR="003816AC" w:rsidRPr="00CB093C" w:rsidRDefault="003816AC" w:rsidP="003816AC">
            <w:pPr>
              <w:spacing w:before="0" w:after="0"/>
              <w:jc w:val="center"/>
              <w:rPr>
                <w:rFonts w:ascii="Arial" w:hAnsi="Arial" w:cs="Arial"/>
                <w:szCs w:val="22"/>
              </w:rPr>
            </w:pPr>
          </w:p>
        </w:tc>
        <w:tc>
          <w:tcPr>
            <w:tcW w:w="529" w:type="dxa"/>
            <w:tcBorders>
              <w:top w:val="single" w:sz="4" w:space="0" w:color="auto"/>
              <w:left w:val="nil"/>
              <w:right w:val="nil"/>
            </w:tcBorders>
            <w:shd w:val="clear" w:color="auto" w:fill="F3F9FA"/>
            <w:vAlign w:val="center"/>
            <w:hideMark/>
          </w:tcPr>
          <w:p w14:paraId="56EC296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tcPr>
          <w:p w14:paraId="3CFCD3BE"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hideMark/>
          </w:tcPr>
          <w:p w14:paraId="4A5407E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hideMark/>
          </w:tcPr>
          <w:p w14:paraId="14BEECC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hideMark/>
          </w:tcPr>
          <w:p w14:paraId="7B8E3DF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F3F9FA"/>
            <w:vAlign w:val="center"/>
          </w:tcPr>
          <w:p w14:paraId="1AEB5AD6"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hideMark/>
          </w:tcPr>
          <w:p w14:paraId="5208893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tcPr>
          <w:p w14:paraId="2C8451FB" w14:textId="77777777" w:rsidR="003816AC" w:rsidRPr="00CB093C" w:rsidRDefault="003816AC" w:rsidP="003816AC">
            <w:pPr>
              <w:spacing w:before="0" w:after="0"/>
              <w:jc w:val="center"/>
              <w:rPr>
                <w:rFonts w:ascii="Arial" w:hAnsi="Arial" w:cs="Arial"/>
                <w:szCs w:val="22"/>
              </w:rPr>
            </w:pPr>
          </w:p>
        </w:tc>
      </w:tr>
      <w:tr w:rsidR="003816AC" w:rsidRPr="00CB093C" w14:paraId="68C3C9F7" w14:textId="77777777" w:rsidTr="00035C35">
        <w:trPr>
          <w:gridAfter w:val="1"/>
          <w:wAfter w:w="10" w:type="dxa"/>
          <w:cantSplit/>
          <w:trHeight w:val="170"/>
          <w:jc w:val="center"/>
        </w:trPr>
        <w:tc>
          <w:tcPr>
            <w:tcW w:w="1148" w:type="dxa"/>
            <w:vMerge/>
            <w:tcBorders>
              <w:left w:val="nil"/>
              <w:right w:val="nil"/>
            </w:tcBorders>
            <w:vAlign w:val="center"/>
            <w:hideMark/>
          </w:tcPr>
          <w:p w14:paraId="082E805D"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7AFF13F9"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vAlign w:val="center"/>
            <w:hideMark/>
          </w:tcPr>
          <w:p w14:paraId="26AE2D65"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031051F0" w14:textId="77777777" w:rsidR="003816AC" w:rsidRPr="00CB093C" w:rsidRDefault="003816AC" w:rsidP="003816AC">
            <w:pPr>
              <w:spacing w:before="0" w:after="0"/>
              <w:rPr>
                <w:rFonts w:ascii="Arial" w:hAnsi="Arial" w:cs="Arial"/>
                <w:color w:val="000000"/>
                <w:szCs w:val="22"/>
              </w:rPr>
            </w:pPr>
          </w:p>
        </w:tc>
        <w:tc>
          <w:tcPr>
            <w:tcW w:w="840" w:type="dxa"/>
            <w:tcBorders>
              <w:left w:val="nil"/>
              <w:bottom w:val="nil"/>
            </w:tcBorders>
            <w:shd w:val="clear" w:color="auto" w:fill="F3F9FA"/>
            <w:noWrap/>
            <w:vAlign w:val="center"/>
            <w:hideMark/>
          </w:tcPr>
          <w:p w14:paraId="24241A4A"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LB2</w:t>
            </w:r>
          </w:p>
        </w:tc>
        <w:tc>
          <w:tcPr>
            <w:tcW w:w="555" w:type="dxa"/>
            <w:tcBorders>
              <w:bottom w:val="nil"/>
            </w:tcBorders>
            <w:shd w:val="clear" w:color="auto" w:fill="F3F9FA"/>
            <w:vAlign w:val="center"/>
            <w:hideMark/>
          </w:tcPr>
          <w:p w14:paraId="181141E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hideMark/>
          </w:tcPr>
          <w:p w14:paraId="691A348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tcPr>
          <w:p w14:paraId="2D5DF151" w14:textId="77777777" w:rsidR="003816AC" w:rsidRPr="00CB093C" w:rsidRDefault="003816AC" w:rsidP="003816AC">
            <w:pPr>
              <w:spacing w:before="0" w:after="0"/>
              <w:jc w:val="center"/>
              <w:rPr>
                <w:rFonts w:ascii="Arial" w:hAnsi="Arial" w:cs="Arial"/>
                <w:szCs w:val="22"/>
              </w:rPr>
            </w:pPr>
          </w:p>
        </w:tc>
        <w:tc>
          <w:tcPr>
            <w:tcW w:w="536" w:type="dxa"/>
            <w:tcBorders>
              <w:bottom w:val="nil"/>
            </w:tcBorders>
            <w:shd w:val="clear" w:color="auto" w:fill="F3F9FA"/>
            <w:vAlign w:val="center"/>
            <w:hideMark/>
          </w:tcPr>
          <w:p w14:paraId="07FF74D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F3F9FA"/>
            <w:vAlign w:val="center"/>
          </w:tcPr>
          <w:p w14:paraId="6E32095C" w14:textId="77777777" w:rsidR="003816AC" w:rsidRPr="00CB093C" w:rsidRDefault="003816AC" w:rsidP="003816AC">
            <w:pPr>
              <w:spacing w:before="0" w:after="0"/>
              <w:jc w:val="center"/>
              <w:rPr>
                <w:rFonts w:ascii="Arial" w:hAnsi="Arial" w:cs="Arial"/>
                <w:szCs w:val="22"/>
              </w:rPr>
            </w:pPr>
          </w:p>
        </w:tc>
        <w:tc>
          <w:tcPr>
            <w:tcW w:w="529" w:type="dxa"/>
            <w:tcBorders>
              <w:bottom w:val="nil"/>
            </w:tcBorders>
            <w:shd w:val="clear" w:color="auto" w:fill="F3F9FA"/>
            <w:vAlign w:val="center"/>
            <w:hideMark/>
          </w:tcPr>
          <w:p w14:paraId="109E038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F3F9FA"/>
            <w:vAlign w:val="center"/>
          </w:tcPr>
          <w:p w14:paraId="18FA7504" w14:textId="77777777" w:rsidR="003816AC" w:rsidRPr="00CB093C" w:rsidRDefault="003816AC" w:rsidP="003816AC">
            <w:pPr>
              <w:spacing w:before="0" w:after="0"/>
              <w:jc w:val="center"/>
              <w:rPr>
                <w:rFonts w:ascii="Arial" w:hAnsi="Arial" w:cs="Arial"/>
                <w:szCs w:val="22"/>
              </w:rPr>
            </w:pPr>
          </w:p>
        </w:tc>
        <w:tc>
          <w:tcPr>
            <w:tcW w:w="559" w:type="dxa"/>
            <w:tcBorders>
              <w:left w:val="single" w:sz="4" w:space="0" w:color="auto"/>
              <w:bottom w:val="nil"/>
            </w:tcBorders>
            <w:shd w:val="clear" w:color="auto" w:fill="F3F9FA"/>
            <w:vAlign w:val="center"/>
            <w:hideMark/>
          </w:tcPr>
          <w:p w14:paraId="5B67D08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F3F9FA"/>
            <w:vAlign w:val="center"/>
            <w:hideMark/>
          </w:tcPr>
          <w:p w14:paraId="38B8909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F3F9FA"/>
            <w:vAlign w:val="center"/>
            <w:hideMark/>
          </w:tcPr>
          <w:p w14:paraId="1B906CE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F3F9FA"/>
            <w:vAlign w:val="center"/>
          </w:tcPr>
          <w:p w14:paraId="0EAF2859"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hideMark/>
          </w:tcPr>
          <w:p w14:paraId="70ABA1E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F3F9FA"/>
            <w:vAlign w:val="center"/>
          </w:tcPr>
          <w:p w14:paraId="036F8812" w14:textId="77777777" w:rsidR="003816AC" w:rsidRPr="00CB093C" w:rsidRDefault="003816AC" w:rsidP="003816AC">
            <w:pPr>
              <w:spacing w:before="0" w:after="0"/>
              <w:jc w:val="center"/>
              <w:rPr>
                <w:rFonts w:ascii="Arial" w:hAnsi="Arial" w:cs="Arial"/>
                <w:szCs w:val="22"/>
              </w:rPr>
            </w:pPr>
          </w:p>
        </w:tc>
      </w:tr>
      <w:tr w:rsidR="003816AC" w:rsidRPr="00CB093C" w14:paraId="58A5D64A" w14:textId="77777777" w:rsidTr="00035C35">
        <w:trPr>
          <w:gridAfter w:val="1"/>
          <w:wAfter w:w="10" w:type="dxa"/>
          <w:cantSplit/>
          <w:trHeight w:val="170"/>
          <w:jc w:val="center"/>
        </w:trPr>
        <w:tc>
          <w:tcPr>
            <w:tcW w:w="1148" w:type="dxa"/>
            <w:vMerge/>
            <w:tcBorders>
              <w:left w:val="nil"/>
              <w:right w:val="nil"/>
            </w:tcBorders>
            <w:vAlign w:val="center"/>
            <w:hideMark/>
          </w:tcPr>
          <w:p w14:paraId="3A28081C"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2CCBEBEC"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vAlign w:val="center"/>
            <w:hideMark/>
          </w:tcPr>
          <w:p w14:paraId="262676BB" w14:textId="77777777" w:rsidR="003816AC" w:rsidRPr="00CB093C" w:rsidRDefault="003816AC" w:rsidP="003816AC">
            <w:pPr>
              <w:spacing w:before="0" w:after="0"/>
              <w:rPr>
                <w:rFonts w:ascii="Arial" w:hAnsi="Arial" w:cs="Arial"/>
                <w:color w:val="000000"/>
                <w:szCs w:val="22"/>
              </w:rPr>
            </w:pPr>
          </w:p>
        </w:tc>
        <w:tc>
          <w:tcPr>
            <w:tcW w:w="1307" w:type="dxa"/>
            <w:vMerge w:val="restart"/>
            <w:tcBorders>
              <w:top w:val="single" w:sz="4" w:space="0" w:color="auto"/>
              <w:left w:val="nil"/>
              <w:bottom w:val="nil"/>
              <w:right w:val="nil"/>
            </w:tcBorders>
            <w:shd w:val="clear" w:color="auto" w:fill="F3F9FA"/>
            <w:noWrap/>
            <w:vAlign w:val="center"/>
            <w:hideMark/>
          </w:tcPr>
          <w:p w14:paraId="2CA5AE0A"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Dunk Island</w:t>
            </w:r>
          </w:p>
        </w:tc>
        <w:tc>
          <w:tcPr>
            <w:tcW w:w="840" w:type="dxa"/>
            <w:tcBorders>
              <w:top w:val="single" w:sz="4" w:space="0" w:color="auto"/>
              <w:left w:val="nil"/>
              <w:right w:val="nil"/>
            </w:tcBorders>
            <w:shd w:val="clear" w:color="auto" w:fill="F3F9FA"/>
            <w:noWrap/>
            <w:vAlign w:val="center"/>
            <w:hideMark/>
          </w:tcPr>
          <w:p w14:paraId="6B1281C2"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DI1</w:t>
            </w:r>
          </w:p>
        </w:tc>
        <w:tc>
          <w:tcPr>
            <w:tcW w:w="555" w:type="dxa"/>
            <w:tcBorders>
              <w:top w:val="single" w:sz="4" w:space="0" w:color="auto"/>
              <w:left w:val="nil"/>
              <w:right w:val="nil"/>
            </w:tcBorders>
            <w:shd w:val="clear" w:color="auto" w:fill="F3F9FA"/>
            <w:vAlign w:val="center"/>
            <w:hideMark/>
          </w:tcPr>
          <w:p w14:paraId="4008DE4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hideMark/>
          </w:tcPr>
          <w:p w14:paraId="2F44D5F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hideMark/>
          </w:tcPr>
          <w:p w14:paraId="7ED11BB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F3F9FA"/>
            <w:vAlign w:val="center"/>
            <w:hideMark/>
          </w:tcPr>
          <w:p w14:paraId="372194D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F3F9FA"/>
            <w:vAlign w:val="center"/>
            <w:hideMark/>
          </w:tcPr>
          <w:p w14:paraId="1E58206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F3F9FA"/>
            <w:vAlign w:val="center"/>
            <w:hideMark/>
          </w:tcPr>
          <w:p w14:paraId="35E0B60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tcPr>
          <w:p w14:paraId="08B45934"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hideMark/>
          </w:tcPr>
          <w:p w14:paraId="09CEE2E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hideMark/>
          </w:tcPr>
          <w:p w14:paraId="60E2940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hideMark/>
          </w:tcPr>
          <w:p w14:paraId="6F56870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F3F9FA"/>
            <w:vAlign w:val="center"/>
          </w:tcPr>
          <w:p w14:paraId="6587A668" w14:textId="29C2D32A"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hideMark/>
          </w:tcPr>
          <w:p w14:paraId="2007D5E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tcPr>
          <w:p w14:paraId="67A5A488" w14:textId="77777777" w:rsidR="003816AC" w:rsidRPr="00CB093C" w:rsidRDefault="003816AC" w:rsidP="003816AC">
            <w:pPr>
              <w:spacing w:before="0" w:after="0"/>
              <w:jc w:val="center"/>
              <w:rPr>
                <w:rFonts w:ascii="Arial" w:hAnsi="Arial" w:cs="Arial"/>
                <w:szCs w:val="22"/>
              </w:rPr>
            </w:pPr>
          </w:p>
        </w:tc>
      </w:tr>
      <w:tr w:rsidR="003816AC" w:rsidRPr="00CB093C" w14:paraId="739DCE32" w14:textId="77777777" w:rsidTr="00035C35">
        <w:trPr>
          <w:gridAfter w:val="1"/>
          <w:wAfter w:w="10" w:type="dxa"/>
          <w:cantSplit/>
          <w:trHeight w:val="170"/>
          <w:jc w:val="center"/>
        </w:trPr>
        <w:tc>
          <w:tcPr>
            <w:tcW w:w="1148" w:type="dxa"/>
            <w:vMerge/>
            <w:tcBorders>
              <w:left w:val="nil"/>
              <w:right w:val="nil"/>
            </w:tcBorders>
            <w:vAlign w:val="center"/>
            <w:hideMark/>
          </w:tcPr>
          <w:p w14:paraId="6D1AA966"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32E1AA10"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vAlign w:val="center"/>
            <w:hideMark/>
          </w:tcPr>
          <w:p w14:paraId="1645F2F8"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1486CEB1" w14:textId="77777777" w:rsidR="003816AC" w:rsidRPr="00CB093C" w:rsidRDefault="003816AC" w:rsidP="003816AC">
            <w:pPr>
              <w:spacing w:before="0" w:after="0"/>
              <w:rPr>
                <w:rFonts w:ascii="Arial" w:hAnsi="Arial" w:cs="Arial"/>
                <w:color w:val="000000"/>
                <w:szCs w:val="22"/>
              </w:rPr>
            </w:pPr>
          </w:p>
        </w:tc>
        <w:tc>
          <w:tcPr>
            <w:tcW w:w="840" w:type="dxa"/>
            <w:tcBorders>
              <w:left w:val="nil"/>
              <w:bottom w:val="nil"/>
            </w:tcBorders>
            <w:shd w:val="clear" w:color="auto" w:fill="F3F9FA"/>
            <w:noWrap/>
            <w:vAlign w:val="center"/>
            <w:hideMark/>
          </w:tcPr>
          <w:p w14:paraId="12B4116E"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DI2</w:t>
            </w:r>
          </w:p>
        </w:tc>
        <w:tc>
          <w:tcPr>
            <w:tcW w:w="555" w:type="dxa"/>
            <w:tcBorders>
              <w:bottom w:val="nil"/>
            </w:tcBorders>
            <w:shd w:val="clear" w:color="auto" w:fill="F3F9FA"/>
            <w:vAlign w:val="center"/>
            <w:hideMark/>
          </w:tcPr>
          <w:p w14:paraId="210D541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hideMark/>
          </w:tcPr>
          <w:p w14:paraId="1760F4B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hideMark/>
          </w:tcPr>
          <w:p w14:paraId="7D98E6F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F3F9FA"/>
            <w:vAlign w:val="center"/>
            <w:hideMark/>
          </w:tcPr>
          <w:p w14:paraId="6DE0C34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F3F9FA"/>
            <w:vAlign w:val="center"/>
            <w:hideMark/>
          </w:tcPr>
          <w:p w14:paraId="62B0744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F3F9FA"/>
            <w:vAlign w:val="center"/>
            <w:hideMark/>
          </w:tcPr>
          <w:p w14:paraId="2668A60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F3F9FA"/>
            <w:vAlign w:val="center"/>
            <w:hideMark/>
          </w:tcPr>
          <w:p w14:paraId="17B607C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F3F9FA"/>
            <w:vAlign w:val="center"/>
            <w:hideMark/>
          </w:tcPr>
          <w:p w14:paraId="3D56123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F3F9FA"/>
            <w:vAlign w:val="center"/>
            <w:hideMark/>
          </w:tcPr>
          <w:p w14:paraId="2A05EAE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F3F9FA"/>
            <w:vAlign w:val="center"/>
            <w:hideMark/>
          </w:tcPr>
          <w:p w14:paraId="401068D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F3F9FA"/>
            <w:vAlign w:val="center"/>
          </w:tcPr>
          <w:p w14:paraId="5093F027" w14:textId="322BB552"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hideMark/>
          </w:tcPr>
          <w:p w14:paraId="5670EA6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F3F9FA"/>
            <w:vAlign w:val="center"/>
            <w:hideMark/>
          </w:tcPr>
          <w:p w14:paraId="44DD29E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06F1027C" w14:textId="77777777" w:rsidTr="00035C35">
        <w:trPr>
          <w:gridAfter w:val="1"/>
          <w:wAfter w:w="10" w:type="dxa"/>
          <w:cantSplit/>
          <w:trHeight w:val="170"/>
          <w:jc w:val="center"/>
        </w:trPr>
        <w:tc>
          <w:tcPr>
            <w:tcW w:w="1148" w:type="dxa"/>
            <w:vMerge/>
            <w:tcBorders>
              <w:left w:val="nil"/>
              <w:right w:val="nil"/>
            </w:tcBorders>
            <w:vAlign w:val="center"/>
            <w:hideMark/>
          </w:tcPr>
          <w:p w14:paraId="07FC4C5A"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hideMark/>
          </w:tcPr>
          <w:p w14:paraId="7509D9A8"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vAlign w:val="center"/>
            <w:hideMark/>
          </w:tcPr>
          <w:p w14:paraId="15EFEE61"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3098CBE4" w14:textId="77777777" w:rsidR="003816AC" w:rsidRPr="00CB093C" w:rsidRDefault="003816AC" w:rsidP="003816AC">
            <w:pPr>
              <w:spacing w:before="0" w:after="0"/>
              <w:rPr>
                <w:rFonts w:ascii="Arial" w:hAnsi="Arial" w:cs="Arial"/>
                <w:color w:val="000000"/>
                <w:szCs w:val="22"/>
              </w:rPr>
            </w:pPr>
          </w:p>
        </w:tc>
        <w:tc>
          <w:tcPr>
            <w:tcW w:w="840" w:type="dxa"/>
            <w:tcBorders>
              <w:left w:val="nil"/>
              <w:bottom w:val="nil"/>
            </w:tcBorders>
            <w:shd w:val="clear" w:color="auto" w:fill="F3F9FA"/>
            <w:noWrap/>
            <w:vAlign w:val="center"/>
            <w:hideMark/>
          </w:tcPr>
          <w:p w14:paraId="70D2BCB2"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DI3^</w:t>
            </w:r>
          </w:p>
        </w:tc>
        <w:tc>
          <w:tcPr>
            <w:tcW w:w="555" w:type="dxa"/>
            <w:tcBorders>
              <w:bottom w:val="nil"/>
            </w:tcBorders>
            <w:shd w:val="clear" w:color="auto" w:fill="F3F9FA"/>
            <w:vAlign w:val="center"/>
            <w:hideMark/>
          </w:tcPr>
          <w:p w14:paraId="5F9DF4D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hideMark/>
          </w:tcPr>
          <w:p w14:paraId="49C5F56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hideMark/>
          </w:tcPr>
          <w:p w14:paraId="4A6362F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F3F9FA"/>
            <w:vAlign w:val="center"/>
            <w:hideMark/>
          </w:tcPr>
          <w:p w14:paraId="61D806E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F3F9FA"/>
            <w:vAlign w:val="center"/>
            <w:hideMark/>
          </w:tcPr>
          <w:p w14:paraId="378CB03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F3F9FA"/>
            <w:vAlign w:val="center"/>
            <w:hideMark/>
          </w:tcPr>
          <w:p w14:paraId="2B511CF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F3F9FA"/>
            <w:vAlign w:val="center"/>
            <w:hideMark/>
          </w:tcPr>
          <w:p w14:paraId="61D0707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F3F9FA"/>
            <w:vAlign w:val="center"/>
            <w:hideMark/>
          </w:tcPr>
          <w:p w14:paraId="14785FE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F3F9FA"/>
            <w:vAlign w:val="center"/>
            <w:hideMark/>
          </w:tcPr>
          <w:p w14:paraId="6904CBE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F3F9FA"/>
            <w:vAlign w:val="center"/>
            <w:hideMark/>
          </w:tcPr>
          <w:p w14:paraId="780E6D3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F3F9FA"/>
            <w:vAlign w:val="center"/>
          </w:tcPr>
          <w:p w14:paraId="5C801E09" w14:textId="51D7D411"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hideMark/>
          </w:tcPr>
          <w:p w14:paraId="3A0D175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F3F9FA"/>
            <w:vAlign w:val="center"/>
            <w:hideMark/>
          </w:tcPr>
          <w:p w14:paraId="23441BF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67BED296" w14:textId="77777777" w:rsidTr="00035C35">
        <w:trPr>
          <w:gridAfter w:val="1"/>
          <w:wAfter w:w="10" w:type="dxa"/>
          <w:cantSplit/>
          <w:trHeight w:val="170"/>
          <w:jc w:val="center"/>
        </w:trPr>
        <w:tc>
          <w:tcPr>
            <w:tcW w:w="1148" w:type="dxa"/>
            <w:vMerge/>
            <w:tcBorders>
              <w:left w:val="nil"/>
              <w:right w:val="nil"/>
            </w:tcBorders>
            <w:vAlign w:val="center"/>
          </w:tcPr>
          <w:p w14:paraId="66F91447"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tcPr>
          <w:p w14:paraId="7C8BE1B3"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vAlign w:val="center"/>
          </w:tcPr>
          <w:p w14:paraId="1D5E7E2D" w14:textId="77777777" w:rsidR="003816AC" w:rsidRPr="00CB093C" w:rsidRDefault="003816AC" w:rsidP="003816AC">
            <w:pPr>
              <w:spacing w:before="0" w:after="0"/>
              <w:rPr>
                <w:rFonts w:ascii="Arial" w:hAnsi="Arial" w:cs="Arial"/>
                <w:color w:val="000000"/>
                <w:szCs w:val="22"/>
              </w:rPr>
            </w:pPr>
          </w:p>
        </w:tc>
        <w:tc>
          <w:tcPr>
            <w:tcW w:w="1307" w:type="dxa"/>
            <w:tcBorders>
              <w:top w:val="single" w:sz="4" w:space="0" w:color="auto"/>
              <w:left w:val="nil"/>
              <w:bottom w:val="nil"/>
              <w:right w:val="nil"/>
            </w:tcBorders>
            <w:shd w:val="clear" w:color="auto" w:fill="F3F9FA"/>
            <w:vAlign w:val="center"/>
          </w:tcPr>
          <w:p w14:paraId="4D1B386C" w14:textId="77777777" w:rsidR="003816AC" w:rsidRPr="00CB093C" w:rsidRDefault="003816AC" w:rsidP="003816AC">
            <w:pPr>
              <w:spacing w:before="0" w:after="0"/>
              <w:rPr>
                <w:rFonts w:ascii="Arial" w:hAnsi="Arial" w:cs="Arial"/>
                <w:color w:val="000000"/>
                <w:szCs w:val="22"/>
              </w:rPr>
            </w:pPr>
            <w:r w:rsidRPr="00CB093C">
              <w:rPr>
                <w:rFonts w:ascii="Arial" w:hAnsi="Arial" w:cs="Arial"/>
                <w:color w:val="000000"/>
                <w:szCs w:val="22"/>
              </w:rPr>
              <w:t>Rockingham Bay</w:t>
            </w:r>
          </w:p>
        </w:tc>
        <w:tc>
          <w:tcPr>
            <w:tcW w:w="840" w:type="dxa"/>
            <w:tcBorders>
              <w:top w:val="single" w:sz="4" w:space="0" w:color="auto"/>
              <w:left w:val="nil"/>
              <w:bottom w:val="nil"/>
              <w:right w:val="nil"/>
            </w:tcBorders>
            <w:shd w:val="clear" w:color="auto" w:fill="F3F9FA"/>
            <w:noWrap/>
            <w:vAlign w:val="center"/>
          </w:tcPr>
          <w:p w14:paraId="28506A4B"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GO1</w:t>
            </w:r>
          </w:p>
        </w:tc>
        <w:tc>
          <w:tcPr>
            <w:tcW w:w="555" w:type="dxa"/>
            <w:tcBorders>
              <w:top w:val="single" w:sz="4" w:space="0" w:color="auto"/>
              <w:left w:val="nil"/>
              <w:bottom w:val="nil"/>
              <w:right w:val="nil"/>
            </w:tcBorders>
            <w:shd w:val="clear" w:color="auto" w:fill="F3F9FA"/>
            <w:vAlign w:val="center"/>
          </w:tcPr>
          <w:p w14:paraId="300A77AB" w14:textId="5245DCC7" w:rsidR="003816AC" w:rsidRPr="00CB093C" w:rsidRDefault="003816AC" w:rsidP="003816AC">
            <w:pPr>
              <w:spacing w:before="0" w:after="0"/>
              <w:jc w:val="center"/>
              <w:rPr>
                <w:rFonts w:ascii="Arial" w:hAnsi="Arial" w:cs="Arial"/>
                <w:szCs w:val="22"/>
              </w:rPr>
            </w:pPr>
          </w:p>
        </w:tc>
        <w:tc>
          <w:tcPr>
            <w:tcW w:w="543" w:type="dxa"/>
            <w:tcBorders>
              <w:top w:val="single" w:sz="4" w:space="0" w:color="auto"/>
              <w:left w:val="nil"/>
              <w:bottom w:val="nil"/>
              <w:right w:val="nil"/>
            </w:tcBorders>
            <w:shd w:val="clear" w:color="auto" w:fill="F3F9FA"/>
            <w:noWrap/>
            <w:vAlign w:val="center"/>
          </w:tcPr>
          <w:p w14:paraId="1C9DAC59" w14:textId="77777777" w:rsidR="003816AC" w:rsidRPr="00CB093C" w:rsidRDefault="003816AC" w:rsidP="003816AC">
            <w:pPr>
              <w:spacing w:before="0" w:after="0"/>
              <w:jc w:val="center"/>
              <w:rPr>
                <w:rFonts w:ascii="Arial" w:hAnsi="Arial" w:cs="Arial"/>
                <w:szCs w:val="22"/>
              </w:rPr>
            </w:pPr>
          </w:p>
        </w:tc>
        <w:tc>
          <w:tcPr>
            <w:tcW w:w="540" w:type="dxa"/>
            <w:tcBorders>
              <w:top w:val="single" w:sz="4" w:space="0" w:color="auto"/>
              <w:left w:val="nil"/>
              <w:bottom w:val="nil"/>
              <w:right w:val="nil"/>
            </w:tcBorders>
            <w:shd w:val="clear" w:color="auto" w:fill="F3F9FA"/>
            <w:noWrap/>
            <w:vAlign w:val="center"/>
          </w:tcPr>
          <w:p w14:paraId="67E981E9" w14:textId="77777777" w:rsidR="003816AC" w:rsidRPr="00CB093C" w:rsidRDefault="003816AC" w:rsidP="003816AC">
            <w:pPr>
              <w:spacing w:before="0" w:after="0"/>
              <w:jc w:val="center"/>
              <w:rPr>
                <w:rFonts w:ascii="Arial" w:hAnsi="Arial" w:cs="Arial"/>
                <w:szCs w:val="22"/>
              </w:rPr>
            </w:pPr>
          </w:p>
        </w:tc>
        <w:tc>
          <w:tcPr>
            <w:tcW w:w="536" w:type="dxa"/>
            <w:tcBorders>
              <w:top w:val="single" w:sz="4" w:space="0" w:color="auto"/>
              <w:left w:val="nil"/>
              <w:bottom w:val="nil"/>
              <w:right w:val="nil"/>
            </w:tcBorders>
            <w:shd w:val="clear" w:color="auto" w:fill="F3F9FA"/>
            <w:vAlign w:val="center"/>
          </w:tcPr>
          <w:p w14:paraId="0429AE9A" w14:textId="77777777" w:rsidR="003816AC" w:rsidRPr="00CB093C" w:rsidRDefault="003816AC" w:rsidP="003816AC">
            <w:pPr>
              <w:spacing w:before="0" w:after="0"/>
              <w:jc w:val="center"/>
              <w:rPr>
                <w:rFonts w:ascii="Arial" w:hAnsi="Arial" w:cs="Arial"/>
                <w:szCs w:val="22"/>
              </w:rPr>
            </w:pPr>
          </w:p>
        </w:tc>
        <w:tc>
          <w:tcPr>
            <w:tcW w:w="540" w:type="dxa"/>
            <w:tcBorders>
              <w:top w:val="single" w:sz="4" w:space="0" w:color="auto"/>
              <w:left w:val="nil"/>
              <w:bottom w:val="nil"/>
              <w:right w:val="nil"/>
            </w:tcBorders>
            <w:shd w:val="clear" w:color="auto" w:fill="F3F9FA"/>
            <w:vAlign w:val="center"/>
          </w:tcPr>
          <w:p w14:paraId="4E1BED16" w14:textId="77777777" w:rsidR="003816AC" w:rsidRPr="00CB093C" w:rsidRDefault="003816AC" w:rsidP="003816AC">
            <w:pPr>
              <w:spacing w:before="0" w:after="0"/>
              <w:jc w:val="center"/>
              <w:rPr>
                <w:rFonts w:ascii="Arial" w:hAnsi="Arial" w:cs="Arial"/>
                <w:szCs w:val="22"/>
              </w:rPr>
            </w:pPr>
          </w:p>
        </w:tc>
        <w:tc>
          <w:tcPr>
            <w:tcW w:w="529" w:type="dxa"/>
            <w:tcBorders>
              <w:top w:val="single" w:sz="4" w:space="0" w:color="auto"/>
              <w:left w:val="nil"/>
              <w:bottom w:val="nil"/>
              <w:right w:val="nil"/>
            </w:tcBorders>
            <w:shd w:val="clear" w:color="auto" w:fill="F3F9FA"/>
            <w:vAlign w:val="center"/>
          </w:tcPr>
          <w:p w14:paraId="2063461A"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single" w:sz="4" w:space="0" w:color="auto"/>
            </w:tcBorders>
            <w:shd w:val="clear" w:color="auto" w:fill="F3F9FA"/>
            <w:vAlign w:val="center"/>
          </w:tcPr>
          <w:p w14:paraId="1B851682"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bottom w:val="nil"/>
              <w:right w:val="nil"/>
            </w:tcBorders>
            <w:shd w:val="clear" w:color="auto" w:fill="F3F9FA"/>
            <w:vAlign w:val="center"/>
          </w:tcPr>
          <w:p w14:paraId="5BBD4281"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F3F9FA"/>
            <w:vAlign w:val="center"/>
          </w:tcPr>
          <w:p w14:paraId="06AD416F"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F3F9FA"/>
            <w:vAlign w:val="center"/>
          </w:tcPr>
          <w:p w14:paraId="3FB3E863"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F3F9FA"/>
            <w:vAlign w:val="center"/>
          </w:tcPr>
          <w:p w14:paraId="73E6E61E"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F3F9FA"/>
            <w:vAlign w:val="center"/>
          </w:tcPr>
          <w:p w14:paraId="7C170A06" w14:textId="77777777" w:rsidR="003816AC" w:rsidRPr="00CB093C" w:rsidRDefault="003816AC" w:rsidP="003816AC">
            <w:pPr>
              <w:spacing w:before="0" w:after="0"/>
              <w:jc w:val="center"/>
              <w:rPr>
                <w:rFonts w:ascii="Arial" w:hAnsi="Arial" w:cs="Arial"/>
                <w:szCs w:val="22"/>
              </w:rPr>
            </w:pPr>
          </w:p>
        </w:tc>
        <w:tc>
          <w:tcPr>
            <w:tcW w:w="546" w:type="dxa"/>
            <w:tcBorders>
              <w:top w:val="single" w:sz="4" w:space="0" w:color="auto"/>
              <w:left w:val="nil"/>
              <w:bottom w:val="nil"/>
              <w:right w:val="nil"/>
            </w:tcBorders>
            <w:shd w:val="clear" w:color="auto" w:fill="F3F9FA"/>
            <w:vAlign w:val="center"/>
          </w:tcPr>
          <w:p w14:paraId="1AE89592" w14:textId="77777777" w:rsidR="003816AC" w:rsidRPr="00CB093C" w:rsidRDefault="003816AC" w:rsidP="003816AC">
            <w:pPr>
              <w:spacing w:before="0" w:after="0"/>
              <w:jc w:val="center"/>
              <w:rPr>
                <w:rFonts w:ascii="Arial" w:hAnsi="Arial" w:cs="Arial"/>
                <w:szCs w:val="22"/>
              </w:rPr>
            </w:pPr>
          </w:p>
        </w:tc>
      </w:tr>
      <w:tr w:rsidR="003816AC" w:rsidRPr="00CB093C" w14:paraId="1B770A11" w14:textId="77777777" w:rsidTr="00035C35">
        <w:trPr>
          <w:gridAfter w:val="1"/>
          <w:wAfter w:w="10" w:type="dxa"/>
          <w:cantSplit/>
          <w:trHeight w:val="170"/>
          <w:jc w:val="center"/>
        </w:trPr>
        <w:tc>
          <w:tcPr>
            <w:tcW w:w="1148" w:type="dxa"/>
            <w:vMerge/>
            <w:tcBorders>
              <w:left w:val="nil"/>
              <w:right w:val="nil"/>
            </w:tcBorders>
            <w:vAlign w:val="center"/>
          </w:tcPr>
          <w:p w14:paraId="1EA1A873" w14:textId="77777777" w:rsidR="003816AC" w:rsidRPr="00CB093C" w:rsidRDefault="003816AC" w:rsidP="003816AC">
            <w:pPr>
              <w:spacing w:before="0" w:after="0"/>
              <w:rPr>
                <w:rFonts w:ascii="Arial" w:hAnsi="Arial" w:cs="Arial"/>
                <w:color w:val="000000"/>
                <w:szCs w:val="22"/>
              </w:rPr>
            </w:pPr>
          </w:p>
        </w:tc>
        <w:tc>
          <w:tcPr>
            <w:tcW w:w="1294" w:type="dxa"/>
            <w:vMerge/>
            <w:tcBorders>
              <w:left w:val="nil"/>
              <w:right w:val="nil"/>
            </w:tcBorders>
            <w:vAlign w:val="center"/>
          </w:tcPr>
          <w:p w14:paraId="3AC80318" w14:textId="77777777" w:rsidR="003816AC" w:rsidRPr="00CB093C" w:rsidRDefault="003816AC" w:rsidP="003816AC">
            <w:pPr>
              <w:spacing w:before="0" w:after="0"/>
              <w:rPr>
                <w:rFonts w:ascii="Arial" w:hAnsi="Arial" w:cs="Arial"/>
                <w:color w:val="000000"/>
                <w:szCs w:val="22"/>
              </w:rPr>
            </w:pPr>
          </w:p>
        </w:tc>
        <w:tc>
          <w:tcPr>
            <w:tcW w:w="1299" w:type="dxa"/>
            <w:vMerge/>
            <w:tcBorders>
              <w:left w:val="nil"/>
              <w:right w:val="nil"/>
            </w:tcBorders>
            <w:vAlign w:val="center"/>
          </w:tcPr>
          <w:p w14:paraId="262B75DB" w14:textId="77777777" w:rsidR="003816AC" w:rsidRPr="00CB093C" w:rsidRDefault="003816AC" w:rsidP="003816AC">
            <w:pPr>
              <w:spacing w:before="0" w:after="0"/>
              <w:rPr>
                <w:rFonts w:ascii="Arial" w:hAnsi="Arial" w:cs="Arial"/>
                <w:color w:val="000000"/>
                <w:szCs w:val="22"/>
              </w:rPr>
            </w:pPr>
          </w:p>
        </w:tc>
        <w:tc>
          <w:tcPr>
            <w:tcW w:w="1307" w:type="dxa"/>
            <w:vMerge w:val="restart"/>
            <w:tcBorders>
              <w:top w:val="single" w:sz="4" w:space="0" w:color="auto"/>
              <w:left w:val="nil"/>
              <w:right w:val="nil"/>
            </w:tcBorders>
            <w:shd w:val="clear" w:color="auto" w:fill="F3F9FA"/>
            <w:vAlign w:val="center"/>
          </w:tcPr>
          <w:p w14:paraId="6C5506A2" w14:textId="77777777" w:rsidR="003816AC" w:rsidRPr="00CB093C" w:rsidRDefault="003816AC" w:rsidP="003816AC">
            <w:pPr>
              <w:spacing w:before="0" w:after="0"/>
              <w:rPr>
                <w:rFonts w:ascii="Arial" w:hAnsi="Arial" w:cs="Arial"/>
                <w:color w:val="000000"/>
                <w:szCs w:val="22"/>
              </w:rPr>
            </w:pPr>
            <w:r w:rsidRPr="00CB093C">
              <w:rPr>
                <w:rFonts w:ascii="Arial" w:hAnsi="Arial" w:cs="Arial"/>
                <w:color w:val="000000"/>
                <w:szCs w:val="22"/>
              </w:rPr>
              <w:t>Missionary Bay</w:t>
            </w:r>
          </w:p>
        </w:tc>
        <w:tc>
          <w:tcPr>
            <w:tcW w:w="840" w:type="dxa"/>
            <w:tcBorders>
              <w:top w:val="single" w:sz="4" w:space="0" w:color="auto"/>
              <w:left w:val="nil"/>
              <w:right w:val="nil"/>
            </w:tcBorders>
            <w:shd w:val="clear" w:color="auto" w:fill="F3F9FA"/>
            <w:noWrap/>
            <w:vAlign w:val="center"/>
          </w:tcPr>
          <w:p w14:paraId="14EC57E9"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MS1^</w:t>
            </w:r>
          </w:p>
        </w:tc>
        <w:tc>
          <w:tcPr>
            <w:tcW w:w="555" w:type="dxa"/>
            <w:tcBorders>
              <w:top w:val="single" w:sz="4" w:space="0" w:color="auto"/>
              <w:left w:val="nil"/>
              <w:right w:val="nil"/>
            </w:tcBorders>
            <w:shd w:val="clear" w:color="auto" w:fill="F3F9FA"/>
            <w:vAlign w:val="center"/>
          </w:tcPr>
          <w:p w14:paraId="49F53E37" w14:textId="7C0BD27C" w:rsidR="003816AC" w:rsidRPr="00CB093C" w:rsidRDefault="00557CEB" w:rsidP="00557CEB">
            <w:pPr>
              <w:spacing w:before="0" w:after="0"/>
              <w:jc w:val="center"/>
              <w:rPr>
                <w:rFonts w:ascii="Arial" w:hAnsi="Arial" w:cs="Arial"/>
                <w:szCs w:val="22"/>
              </w:rPr>
            </w:pPr>
            <w:r w:rsidRPr="00CB093C">
              <w:rPr>
                <w:rFonts w:ascii="Arial" w:hAnsi="Arial" w:cs="Arial"/>
                <w:szCs w:val="22"/>
              </w:rPr>
              <w:t>17</w:t>
            </w:r>
          </w:p>
        </w:tc>
        <w:tc>
          <w:tcPr>
            <w:tcW w:w="543" w:type="dxa"/>
            <w:tcBorders>
              <w:top w:val="single" w:sz="4" w:space="0" w:color="auto"/>
              <w:left w:val="nil"/>
              <w:right w:val="nil"/>
            </w:tcBorders>
            <w:shd w:val="clear" w:color="auto" w:fill="F3F9FA"/>
            <w:noWrap/>
            <w:vAlign w:val="center"/>
          </w:tcPr>
          <w:p w14:paraId="6060A323" w14:textId="77777777" w:rsidR="003816AC" w:rsidRPr="00CB093C" w:rsidRDefault="003816AC"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F3F9FA"/>
            <w:noWrap/>
            <w:vAlign w:val="center"/>
          </w:tcPr>
          <w:p w14:paraId="765F69C7" w14:textId="77777777" w:rsidR="003816AC" w:rsidRPr="00CB093C" w:rsidRDefault="003816AC" w:rsidP="003816AC">
            <w:pPr>
              <w:spacing w:before="0" w:after="0"/>
              <w:jc w:val="center"/>
              <w:rPr>
                <w:rFonts w:ascii="Arial" w:hAnsi="Arial" w:cs="Arial"/>
                <w:szCs w:val="22"/>
              </w:rPr>
            </w:pPr>
          </w:p>
        </w:tc>
        <w:tc>
          <w:tcPr>
            <w:tcW w:w="536" w:type="dxa"/>
            <w:tcBorders>
              <w:top w:val="single" w:sz="4" w:space="0" w:color="auto"/>
              <w:left w:val="nil"/>
              <w:right w:val="nil"/>
            </w:tcBorders>
            <w:shd w:val="clear" w:color="auto" w:fill="F3F9FA"/>
            <w:vAlign w:val="center"/>
          </w:tcPr>
          <w:p w14:paraId="4569DEFE" w14:textId="77777777" w:rsidR="003816AC" w:rsidRPr="00CB093C" w:rsidRDefault="003816AC"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F3F9FA"/>
            <w:vAlign w:val="center"/>
          </w:tcPr>
          <w:p w14:paraId="099C9F1A" w14:textId="77777777" w:rsidR="003816AC" w:rsidRPr="00CB093C" w:rsidRDefault="003816AC" w:rsidP="003816AC">
            <w:pPr>
              <w:spacing w:before="0" w:after="0"/>
              <w:jc w:val="center"/>
              <w:rPr>
                <w:rFonts w:ascii="Arial" w:hAnsi="Arial" w:cs="Arial"/>
                <w:szCs w:val="22"/>
              </w:rPr>
            </w:pPr>
          </w:p>
        </w:tc>
        <w:tc>
          <w:tcPr>
            <w:tcW w:w="529" w:type="dxa"/>
            <w:tcBorders>
              <w:top w:val="single" w:sz="4" w:space="0" w:color="auto"/>
              <w:left w:val="nil"/>
              <w:right w:val="nil"/>
            </w:tcBorders>
            <w:shd w:val="clear" w:color="auto" w:fill="F3F9FA"/>
            <w:vAlign w:val="center"/>
          </w:tcPr>
          <w:p w14:paraId="58906057"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single" w:sz="4" w:space="0" w:color="auto"/>
            </w:tcBorders>
            <w:shd w:val="clear" w:color="auto" w:fill="F3F9FA"/>
            <w:vAlign w:val="center"/>
          </w:tcPr>
          <w:p w14:paraId="35CCD6C7"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tcPr>
          <w:p w14:paraId="0E585CB9"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6EE9E32C"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1DBCF125"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747BCA1E"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4C05CB25" w14:textId="77777777" w:rsidR="003816AC" w:rsidRPr="00CB093C" w:rsidRDefault="003816AC" w:rsidP="003816AC">
            <w:pPr>
              <w:spacing w:before="0" w:after="0"/>
              <w:jc w:val="center"/>
              <w:rPr>
                <w:rFonts w:ascii="Arial" w:hAnsi="Arial" w:cs="Arial"/>
                <w:szCs w:val="22"/>
              </w:rPr>
            </w:pPr>
          </w:p>
        </w:tc>
        <w:tc>
          <w:tcPr>
            <w:tcW w:w="546" w:type="dxa"/>
            <w:tcBorders>
              <w:top w:val="single" w:sz="4" w:space="0" w:color="auto"/>
              <w:left w:val="nil"/>
              <w:right w:val="nil"/>
            </w:tcBorders>
            <w:shd w:val="clear" w:color="auto" w:fill="F3F9FA"/>
            <w:vAlign w:val="center"/>
          </w:tcPr>
          <w:p w14:paraId="154F3A2A" w14:textId="77777777" w:rsidR="003816AC" w:rsidRPr="00CB093C" w:rsidRDefault="003816AC" w:rsidP="003816AC">
            <w:pPr>
              <w:spacing w:before="0" w:after="0"/>
              <w:jc w:val="center"/>
              <w:rPr>
                <w:rFonts w:ascii="Arial" w:hAnsi="Arial" w:cs="Arial"/>
                <w:szCs w:val="22"/>
              </w:rPr>
            </w:pPr>
          </w:p>
        </w:tc>
      </w:tr>
      <w:tr w:rsidR="003816AC" w:rsidRPr="00CB093C" w14:paraId="10D259AD" w14:textId="77777777" w:rsidTr="00035C35">
        <w:trPr>
          <w:gridAfter w:val="1"/>
          <w:wAfter w:w="10" w:type="dxa"/>
          <w:cantSplit/>
          <w:trHeight w:val="170"/>
          <w:jc w:val="center"/>
        </w:trPr>
        <w:tc>
          <w:tcPr>
            <w:tcW w:w="1148" w:type="dxa"/>
            <w:vMerge/>
            <w:tcBorders>
              <w:left w:val="nil"/>
              <w:bottom w:val="nil"/>
              <w:right w:val="nil"/>
            </w:tcBorders>
            <w:vAlign w:val="center"/>
          </w:tcPr>
          <w:p w14:paraId="40C9F97B" w14:textId="77777777" w:rsidR="003816AC" w:rsidRPr="00CB093C" w:rsidRDefault="003816AC" w:rsidP="003816AC">
            <w:pPr>
              <w:spacing w:before="0" w:after="0"/>
              <w:rPr>
                <w:rFonts w:ascii="Arial" w:hAnsi="Arial" w:cs="Arial"/>
                <w:color w:val="000000"/>
                <w:szCs w:val="22"/>
              </w:rPr>
            </w:pPr>
          </w:p>
        </w:tc>
        <w:tc>
          <w:tcPr>
            <w:tcW w:w="1294" w:type="dxa"/>
            <w:vMerge/>
            <w:tcBorders>
              <w:left w:val="nil"/>
              <w:bottom w:val="nil"/>
              <w:right w:val="nil"/>
            </w:tcBorders>
            <w:vAlign w:val="center"/>
          </w:tcPr>
          <w:p w14:paraId="1F74AC37" w14:textId="77777777" w:rsidR="003816AC" w:rsidRPr="00CB093C" w:rsidRDefault="003816AC" w:rsidP="003816AC">
            <w:pPr>
              <w:spacing w:before="0" w:after="0"/>
              <w:rPr>
                <w:rFonts w:ascii="Arial" w:hAnsi="Arial" w:cs="Arial"/>
                <w:color w:val="000000"/>
                <w:szCs w:val="22"/>
              </w:rPr>
            </w:pPr>
          </w:p>
        </w:tc>
        <w:tc>
          <w:tcPr>
            <w:tcW w:w="1299" w:type="dxa"/>
            <w:vMerge/>
            <w:tcBorders>
              <w:left w:val="nil"/>
              <w:bottom w:val="nil"/>
              <w:right w:val="nil"/>
            </w:tcBorders>
            <w:vAlign w:val="center"/>
          </w:tcPr>
          <w:p w14:paraId="59FF8D39" w14:textId="77777777" w:rsidR="003816AC" w:rsidRPr="00CB093C" w:rsidRDefault="003816AC" w:rsidP="003816AC">
            <w:pPr>
              <w:spacing w:before="0" w:after="0"/>
              <w:rPr>
                <w:rFonts w:ascii="Arial" w:hAnsi="Arial" w:cs="Arial"/>
                <w:color w:val="000000"/>
                <w:szCs w:val="22"/>
              </w:rPr>
            </w:pPr>
          </w:p>
        </w:tc>
        <w:tc>
          <w:tcPr>
            <w:tcW w:w="1307" w:type="dxa"/>
            <w:vMerge/>
            <w:tcBorders>
              <w:left w:val="nil"/>
              <w:bottom w:val="nil"/>
              <w:right w:val="nil"/>
            </w:tcBorders>
            <w:shd w:val="clear" w:color="auto" w:fill="F3F9FA"/>
            <w:vAlign w:val="center"/>
          </w:tcPr>
          <w:p w14:paraId="3BD9BC58" w14:textId="77777777" w:rsidR="003816AC" w:rsidRPr="00CB093C" w:rsidRDefault="003816AC" w:rsidP="003816AC">
            <w:pPr>
              <w:spacing w:before="0" w:after="0"/>
              <w:rPr>
                <w:rFonts w:ascii="Arial" w:hAnsi="Arial" w:cs="Arial"/>
                <w:color w:val="000000"/>
                <w:szCs w:val="22"/>
              </w:rPr>
            </w:pPr>
          </w:p>
        </w:tc>
        <w:tc>
          <w:tcPr>
            <w:tcW w:w="840" w:type="dxa"/>
            <w:tcBorders>
              <w:left w:val="nil"/>
              <w:bottom w:val="nil"/>
            </w:tcBorders>
            <w:shd w:val="clear" w:color="auto" w:fill="F3F9FA"/>
            <w:noWrap/>
            <w:vAlign w:val="center"/>
          </w:tcPr>
          <w:p w14:paraId="2B1B4061"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MS2^</w:t>
            </w:r>
          </w:p>
        </w:tc>
        <w:tc>
          <w:tcPr>
            <w:tcW w:w="555" w:type="dxa"/>
            <w:tcBorders>
              <w:bottom w:val="nil"/>
            </w:tcBorders>
            <w:shd w:val="clear" w:color="auto" w:fill="F3F9FA"/>
            <w:vAlign w:val="center"/>
          </w:tcPr>
          <w:p w14:paraId="4F819CDC" w14:textId="691106EC" w:rsidR="003816AC" w:rsidRPr="00CB093C" w:rsidRDefault="00557CEB" w:rsidP="003816AC">
            <w:pPr>
              <w:spacing w:before="0" w:after="0"/>
              <w:jc w:val="center"/>
              <w:rPr>
                <w:rFonts w:ascii="Arial" w:hAnsi="Arial" w:cs="Arial"/>
                <w:szCs w:val="22"/>
              </w:rPr>
            </w:pPr>
            <w:r w:rsidRPr="00CB093C">
              <w:rPr>
                <w:rFonts w:ascii="Arial" w:hAnsi="Arial" w:cs="Arial"/>
                <w:szCs w:val="22"/>
              </w:rPr>
              <w:t>22</w:t>
            </w:r>
          </w:p>
        </w:tc>
        <w:tc>
          <w:tcPr>
            <w:tcW w:w="543" w:type="dxa"/>
            <w:tcBorders>
              <w:bottom w:val="nil"/>
            </w:tcBorders>
            <w:shd w:val="clear" w:color="auto" w:fill="F3F9FA"/>
            <w:noWrap/>
            <w:vAlign w:val="center"/>
          </w:tcPr>
          <w:p w14:paraId="3A6B72AC" w14:textId="77777777" w:rsidR="003816AC" w:rsidRPr="00CB093C" w:rsidRDefault="003816AC" w:rsidP="003816AC">
            <w:pPr>
              <w:spacing w:before="0" w:after="0"/>
              <w:jc w:val="center"/>
              <w:rPr>
                <w:rFonts w:ascii="Arial" w:hAnsi="Arial" w:cs="Arial"/>
                <w:szCs w:val="22"/>
              </w:rPr>
            </w:pPr>
          </w:p>
        </w:tc>
        <w:tc>
          <w:tcPr>
            <w:tcW w:w="540" w:type="dxa"/>
            <w:tcBorders>
              <w:bottom w:val="nil"/>
            </w:tcBorders>
            <w:shd w:val="clear" w:color="auto" w:fill="F3F9FA"/>
            <w:noWrap/>
            <w:vAlign w:val="center"/>
          </w:tcPr>
          <w:p w14:paraId="471B06A7" w14:textId="77777777" w:rsidR="003816AC" w:rsidRPr="00CB093C" w:rsidRDefault="003816AC" w:rsidP="003816AC">
            <w:pPr>
              <w:spacing w:before="0" w:after="0"/>
              <w:jc w:val="center"/>
              <w:rPr>
                <w:rFonts w:ascii="Arial" w:hAnsi="Arial" w:cs="Arial"/>
                <w:szCs w:val="22"/>
              </w:rPr>
            </w:pPr>
          </w:p>
        </w:tc>
        <w:tc>
          <w:tcPr>
            <w:tcW w:w="536" w:type="dxa"/>
            <w:tcBorders>
              <w:bottom w:val="nil"/>
            </w:tcBorders>
            <w:shd w:val="clear" w:color="auto" w:fill="F3F9FA"/>
            <w:vAlign w:val="center"/>
          </w:tcPr>
          <w:p w14:paraId="72DB0A29" w14:textId="77777777" w:rsidR="003816AC" w:rsidRPr="00CB093C" w:rsidRDefault="003816AC" w:rsidP="003816AC">
            <w:pPr>
              <w:spacing w:before="0" w:after="0"/>
              <w:jc w:val="center"/>
              <w:rPr>
                <w:rFonts w:ascii="Arial" w:hAnsi="Arial" w:cs="Arial"/>
                <w:szCs w:val="22"/>
              </w:rPr>
            </w:pPr>
          </w:p>
        </w:tc>
        <w:tc>
          <w:tcPr>
            <w:tcW w:w="540" w:type="dxa"/>
            <w:tcBorders>
              <w:bottom w:val="nil"/>
            </w:tcBorders>
            <w:shd w:val="clear" w:color="auto" w:fill="F3F9FA"/>
            <w:vAlign w:val="center"/>
          </w:tcPr>
          <w:p w14:paraId="5821AA66" w14:textId="77777777" w:rsidR="003816AC" w:rsidRPr="00CB093C" w:rsidRDefault="003816AC" w:rsidP="003816AC">
            <w:pPr>
              <w:spacing w:before="0" w:after="0"/>
              <w:jc w:val="center"/>
              <w:rPr>
                <w:rFonts w:ascii="Arial" w:hAnsi="Arial" w:cs="Arial"/>
                <w:szCs w:val="22"/>
              </w:rPr>
            </w:pPr>
          </w:p>
        </w:tc>
        <w:tc>
          <w:tcPr>
            <w:tcW w:w="529" w:type="dxa"/>
            <w:tcBorders>
              <w:bottom w:val="nil"/>
            </w:tcBorders>
            <w:shd w:val="clear" w:color="auto" w:fill="F3F9FA"/>
            <w:vAlign w:val="center"/>
          </w:tcPr>
          <w:p w14:paraId="1E92ED4A" w14:textId="77777777" w:rsidR="003816AC" w:rsidRPr="00CB093C" w:rsidRDefault="003816AC" w:rsidP="003816AC">
            <w:pPr>
              <w:spacing w:before="0" w:after="0"/>
              <w:jc w:val="center"/>
              <w:rPr>
                <w:rFonts w:ascii="Arial" w:hAnsi="Arial" w:cs="Arial"/>
                <w:szCs w:val="22"/>
              </w:rPr>
            </w:pPr>
          </w:p>
        </w:tc>
        <w:tc>
          <w:tcPr>
            <w:tcW w:w="559" w:type="dxa"/>
            <w:tcBorders>
              <w:bottom w:val="nil"/>
              <w:right w:val="single" w:sz="4" w:space="0" w:color="auto"/>
            </w:tcBorders>
            <w:shd w:val="clear" w:color="auto" w:fill="F3F9FA"/>
            <w:vAlign w:val="center"/>
          </w:tcPr>
          <w:p w14:paraId="05A5E862" w14:textId="77777777" w:rsidR="003816AC" w:rsidRPr="00CB093C" w:rsidRDefault="003816AC" w:rsidP="003816AC">
            <w:pPr>
              <w:spacing w:before="0" w:after="0"/>
              <w:jc w:val="center"/>
              <w:rPr>
                <w:rFonts w:ascii="Arial" w:hAnsi="Arial" w:cs="Arial"/>
                <w:szCs w:val="22"/>
              </w:rPr>
            </w:pPr>
          </w:p>
        </w:tc>
        <w:tc>
          <w:tcPr>
            <w:tcW w:w="559" w:type="dxa"/>
            <w:tcBorders>
              <w:left w:val="single" w:sz="4" w:space="0" w:color="auto"/>
              <w:bottom w:val="nil"/>
            </w:tcBorders>
            <w:shd w:val="clear" w:color="auto" w:fill="F3F9FA"/>
            <w:vAlign w:val="center"/>
          </w:tcPr>
          <w:p w14:paraId="48D0A96E"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0800B2C9"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1DD789FC"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70D54E87"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423283E9" w14:textId="77777777" w:rsidR="003816AC" w:rsidRPr="00CB093C" w:rsidRDefault="003816AC" w:rsidP="003816AC">
            <w:pPr>
              <w:spacing w:before="0" w:after="0"/>
              <w:jc w:val="center"/>
              <w:rPr>
                <w:rFonts w:ascii="Arial" w:hAnsi="Arial" w:cs="Arial"/>
                <w:szCs w:val="22"/>
              </w:rPr>
            </w:pPr>
          </w:p>
        </w:tc>
        <w:tc>
          <w:tcPr>
            <w:tcW w:w="546" w:type="dxa"/>
            <w:tcBorders>
              <w:bottom w:val="nil"/>
              <w:right w:val="nil"/>
            </w:tcBorders>
            <w:shd w:val="clear" w:color="auto" w:fill="F3F9FA"/>
            <w:vAlign w:val="center"/>
          </w:tcPr>
          <w:p w14:paraId="26FB46A8" w14:textId="77777777" w:rsidR="003816AC" w:rsidRPr="00CB093C" w:rsidRDefault="003816AC" w:rsidP="003816AC">
            <w:pPr>
              <w:spacing w:before="0" w:after="0"/>
              <w:jc w:val="center"/>
              <w:rPr>
                <w:rFonts w:ascii="Arial" w:hAnsi="Arial" w:cs="Arial"/>
                <w:szCs w:val="22"/>
              </w:rPr>
            </w:pPr>
          </w:p>
        </w:tc>
      </w:tr>
      <w:tr w:rsidR="00125698" w:rsidRPr="00CB093C" w14:paraId="7B3013BF" w14:textId="77777777" w:rsidTr="00F558BA">
        <w:trPr>
          <w:gridAfter w:val="1"/>
          <w:wAfter w:w="10" w:type="dxa"/>
          <w:cantSplit/>
          <w:trHeight w:val="170"/>
          <w:jc w:val="center"/>
        </w:trPr>
        <w:tc>
          <w:tcPr>
            <w:tcW w:w="1148" w:type="dxa"/>
            <w:vMerge w:val="restart"/>
            <w:tcBorders>
              <w:top w:val="single" w:sz="4" w:space="0" w:color="auto"/>
              <w:left w:val="nil"/>
              <w:right w:val="nil"/>
            </w:tcBorders>
            <w:noWrap/>
            <w:vAlign w:val="center"/>
            <w:hideMark/>
          </w:tcPr>
          <w:p w14:paraId="70C6EFA0"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Central</w:t>
            </w:r>
          </w:p>
        </w:tc>
        <w:tc>
          <w:tcPr>
            <w:tcW w:w="1294" w:type="dxa"/>
            <w:vMerge w:val="restart"/>
            <w:tcBorders>
              <w:top w:val="single" w:sz="4" w:space="0" w:color="auto"/>
              <w:left w:val="nil"/>
              <w:bottom w:val="single" w:sz="4" w:space="0" w:color="auto"/>
              <w:right w:val="nil"/>
            </w:tcBorders>
            <w:shd w:val="clear" w:color="auto" w:fill="E7F3F4"/>
            <w:noWrap/>
            <w:vAlign w:val="center"/>
            <w:hideMark/>
          </w:tcPr>
          <w:p w14:paraId="1AE3CCA8"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Burdekin</w:t>
            </w:r>
          </w:p>
        </w:tc>
        <w:tc>
          <w:tcPr>
            <w:tcW w:w="1299" w:type="dxa"/>
            <w:vMerge w:val="restart"/>
            <w:tcBorders>
              <w:top w:val="single" w:sz="4" w:space="0" w:color="auto"/>
              <w:left w:val="nil"/>
              <w:bottom w:val="nil"/>
              <w:right w:val="nil"/>
            </w:tcBorders>
            <w:shd w:val="clear" w:color="auto" w:fill="E7F3F4"/>
            <w:vAlign w:val="center"/>
            <w:hideMark/>
          </w:tcPr>
          <w:p w14:paraId="302F0281"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Ross / Burdekin</w:t>
            </w: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167FCE8E" w14:textId="77777777" w:rsidR="00125698" w:rsidRPr="00CB093C" w:rsidRDefault="00125698" w:rsidP="003816AC">
            <w:pPr>
              <w:spacing w:before="0" w:after="0"/>
              <w:jc w:val="center"/>
              <w:rPr>
                <w:rFonts w:ascii="Arial" w:hAnsi="Arial" w:cs="Arial"/>
                <w:i/>
                <w:iCs/>
                <w:color w:val="000000"/>
                <w:szCs w:val="22"/>
              </w:rPr>
            </w:pPr>
            <w:r w:rsidRPr="00CB093C">
              <w:rPr>
                <w:rFonts w:ascii="Arial" w:hAnsi="Arial" w:cs="Arial"/>
                <w:color w:val="000000"/>
                <w:szCs w:val="22"/>
              </w:rPr>
              <w:t>Magnetic Island</w:t>
            </w:r>
          </w:p>
        </w:tc>
        <w:tc>
          <w:tcPr>
            <w:tcW w:w="840" w:type="dxa"/>
            <w:tcBorders>
              <w:top w:val="single" w:sz="4" w:space="0" w:color="auto"/>
              <w:left w:val="nil"/>
              <w:right w:val="nil"/>
            </w:tcBorders>
            <w:shd w:val="clear" w:color="auto" w:fill="E7F3F4"/>
            <w:noWrap/>
            <w:vAlign w:val="center"/>
            <w:hideMark/>
          </w:tcPr>
          <w:p w14:paraId="4023E033"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MI1</w:t>
            </w:r>
          </w:p>
        </w:tc>
        <w:tc>
          <w:tcPr>
            <w:tcW w:w="555" w:type="dxa"/>
            <w:tcBorders>
              <w:top w:val="single" w:sz="4" w:space="0" w:color="auto"/>
              <w:left w:val="nil"/>
              <w:right w:val="nil"/>
            </w:tcBorders>
            <w:shd w:val="clear" w:color="auto" w:fill="E7F3F4"/>
            <w:vAlign w:val="center"/>
            <w:hideMark/>
          </w:tcPr>
          <w:p w14:paraId="3B5CCA5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E7F3F4"/>
            <w:noWrap/>
            <w:vAlign w:val="center"/>
            <w:hideMark/>
          </w:tcPr>
          <w:p w14:paraId="71CC1059"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E7F3F4"/>
            <w:noWrap/>
            <w:vAlign w:val="center"/>
            <w:hideMark/>
          </w:tcPr>
          <w:p w14:paraId="3C9C19D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E7F3F4"/>
            <w:vAlign w:val="center"/>
            <w:hideMark/>
          </w:tcPr>
          <w:p w14:paraId="4B995D7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E7F3F4"/>
            <w:vAlign w:val="center"/>
            <w:hideMark/>
          </w:tcPr>
          <w:p w14:paraId="55A2CBA9"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E7F3F4"/>
            <w:vAlign w:val="center"/>
            <w:hideMark/>
          </w:tcPr>
          <w:p w14:paraId="616BE5C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E7F3F4"/>
            <w:vAlign w:val="center"/>
          </w:tcPr>
          <w:p w14:paraId="035B5698"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E7F3F4"/>
            <w:vAlign w:val="center"/>
            <w:hideMark/>
          </w:tcPr>
          <w:p w14:paraId="6215C16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E7F3F4"/>
            <w:vAlign w:val="center"/>
            <w:hideMark/>
          </w:tcPr>
          <w:p w14:paraId="77A8C755"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E7F3F4"/>
            <w:vAlign w:val="center"/>
            <w:hideMark/>
          </w:tcPr>
          <w:p w14:paraId="20F3F5F3"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E7F3F4"/>
            <w:vAlign w:val="center"/>
            <w:hideMark/>
          </w:tcPr>
          <w:p w14:paraId="4A2F3EA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59" w:type="dxa"/>
            <w:tcBorders>
              <w:top w:val="single" w:sz="4" w:space="0" w:color="auto"/>
              <w:left w:val="nil"/>
              <w:right w:val="nil"/>
            </w:tcBorders>
            <w:shd w:val="clear" w:color="auto" w:fill="E7F3F4"/>
            <w:vAlign w:val="center"/>
            <w:hideMark/>
          </w:tcPr>
          <w:p w14:paraId="11842CB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E7F3F4"/>
            <w:vAlign w:val="center"/>
          </w:tcPr>
          <w:p w14:paraId="16B364D6" w14:textId="77777777" w:rsidR="00125698" w:rsidRPr="00CB093C" w:rsidRDefault="00125698" w:rsidP="003816AC">
            <w:pPr>
              <w:spacing w:before="0" w:after="0"/>
              <w:jc w:val="center"/>
              <w:rPr>
                <w:rFonts w:ascii="Arial" w:hAnsi="Arial" w:cs="Arial"/>
                <w:szCs w:val="22"/>
              </w:rPr>
            </w:pPr>
          </w:p>
        </w:tc>
      </w:tr>
      <w:tr w:rsidR="00125698" w:rsidRPr="00CB093C" w14:paraId="74F3D5EB" w14:textId="77777777" w:rsidTr="00F558BA">
        <w:trPr>
          <w:gridAfter w:val="1"/>
          <w:wAfter w:w="10" w:type="dxa"/>
          <w:cantSplit/>
          <w:trHeight w:val="170"/>
          <w:jc w:val="center"/>
        </w:trPr>
        <w:tc>
          <w:tcPr>
            <w:tcW w:w="1148" w:type="dxa"/>
            <w:vMerge/>
            <w:tcBorders>
              <w:left w:val="nil"/>
              <w:right w:val="nil"/>
            </w:tcBorders>
            <w:vAlign w:val="center"/>
            <w:hideMark/>
          </w:tcPr>
          <w:p w14:paraId="7E727474" w14:textId="77777777" w:rsidR="00125698" w:rsidRPr="00CB093C" w:rsidRDefault="00125698"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07EA7FE7" w14:textId="77777777" w:rsidR="00125698" w:rsidRPr="00CB093C" w:rsidRDefault="00125698"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4A397AD6" w14:textId="77777777" w:rsidR="00125698" w:rsidRPr="00CB093C" w:rsidRDefault="00125698"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1A2A4D3E" w14:textId="77777777" w:rsidR="00125698" w:rsidRPr="00CB093C" w:rsidRDefault="00125698" w:rsidP="003816AC">
            <w:pPr>
              <w:spacing w:before="0" w:after="0"/>
              <w:rPr>
                <w:rFonts w:ascii="Arial" w:hAnsi="Arial" w:cs="Arial"/>
                <w:i/>
                <w:iCs/>
                <w:color w:val="000000"/>
                <w:szCs w:val="22"/>
              </w:rPr>
            </w:pPr>
          </w:p>
        </w:tc>
        <w:tc>
          <w:tcPr>
            <w:tcW w:w="840" w:type="dxa"/>
            <w:tcBorders>
              <w:left w:val="nil"/>
            </w:tcBorders>
            <w:shd w:val="clear" w:color="auto" w:fill="E7F3F4"/>
            <w:noWrap/>
            <w:vAlign w:val="center"/>
            <w:hideMark/>
          </w:tcPr>
          <w:p w14:paraId="63E213C5"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MI2</w:t>
            </w:r>
          </w:p>
        </w:tc>
        <w:tc>
          <w:tcPr>
            <w:tcW w:w="555" w:type="dxa"/>
            <w:shd w:val="clear" w:color="auto" w:fill="E7F3F4"/>
            <w:vAlign w:val="center"/>
            <w:hideMark/>
          </w:tcPr>
          <w:p w14:paraId="731D5B0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shd w:val="clear" w:color="auto" w:fill="E7F3F4"/>
            <w:noWrap/>
            <w:vAlign w:val="center"/>
            <w:hideMark/>
          </w:tcPr>
          <w:p w14:paraId="483951E3"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shd w:val="clear" w:color="auto" w:fill="E7F3F4"/>
            <w:noWrap/>
            <w:vAlign w:val="center"/>
            <w:hideMark/>
          </w:tcPr>
          <w:p w14:paraId="5A075C89"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shd w:val="clear" w:color="auto" w:fill="E7F3F4"/>
            <w:vAlign w:val="center"/>
            <w:hideMark/>
          </w:tcPr>
          <w:p w14:paraId="6775E343"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shd w:val="clear" w:color="auto" w:fill="E7F3F4"/>
            <w:vAlign w:val="center"/>
            <w:hideMark/>
          </w:tcPr>
          <w:p w14:paraId="309C65F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shd w:val="clear" w:color="auto" w:fill="E7F3F4"/>
            <w:vAlign w:val="center"/>
            <w:hideMark/>
          </w:tcPr>
          <w:p w14:paraId="7B00B2C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right w:val="single" w:sz="4" w:space="0" w:color="auto"/>
            </w:tcBorders>
            <w:shd w:val="clear" w:color="auto" w:fill="E7F3F4"/>
            <w:vAlign w:val="center"/>
            <w:hideMark/>
          </w:tcPr>
          <w:p w14:paraId="64D6AA3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tcBorders>
            <w:shd w:val="clear" w:color="auto" w:fill="E7F3F4"/>
            <w:vAlign w:val="center"/>
            <w:hideMark/>
          </w:tcPr>
          <w:p w14:paraId="1A4E10C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shd w:val="clear" w:color="auto" w:fill="E7F3F4"/>
            <w:vAlign w:val="center"/>
            <w:hideMark/>
          </w:tcPr>
          <w:p w14:paraId="3FE6464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shd w:val="clear" w:color="auto" w:fill="E7F3F4"/>
            <w:vAlign w:val="center"/>
            <w:hideMark/>
          </w:tcPr>
          <w:p w14:paraId="00223303"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shd w:val="clear" w:color="auto" w:fill="E7F3F4"/>
            <w:vAlign w:val="center"/>
            <w:hideMark/>
          </w:tcPr>
          <w:p w14:paraId="3B0BB62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59" w:type="dxa"/>
            <w:shd w:val="clear" w:color="auto" w:fill="E7F3F4"/>
            <w:vAlign w:val="center"/>
            <w:hideMark/>
          </w:tcPr>
          <w:p w14:paraId="4B58F67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right w:val="nil"/>
            </w:tcBorders>
            <w:shd w:val="clear" w:color="auto" w:fill="E7F3F4"/>
            <w:vAlign w:val="center"/>
            <w:hideMark/>
          </w:tcPr>
          <w:p w14:paraId="2EF48089"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r>
      <w:tr w:rsidR="00125698" w:rsidRPr="00CB093C" w14:paraId="6541BE11" w14:textId="77777777" w:rsidTr="00F558BA">
        <w:trPr>
          <w:gridAfter w:val="1"/>
          <w:wAfter w:w="10" w:type="dxa"/>
          <w:cantSplit/>
          <w:trHeight w:val="170"/>
          <w:jc w:val="center"/>
        </w:trPr>
        <w:tc>
          <w:tcPr>
            <w:tcW w:w="1148" w:type="dxa"/>
            <w:vMerge/>
            <w:tcBorders>
              <w:left w:val="nil"/>
              <w:right w:val="nil"/>
            </w:tcBorders>
            <w:vAlign w:val="center"/>
            <w:hideMark/>
          </w:tcPr>
          <w:p w14:paraId="49628385" w14:textId="77777777" w:rsidR="00125698" w:rsidRPr="00CB093C" w:rsidRDefault="00125698"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635C5590" w14:textId="77777777" w:rsidR="00125698" w:rsidRPr="00CB093C" w:rsidRDefault="00125698"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684B63C1" w14:textId="77777777" w:rsidR="00125698" w:rsidRPr="00CB093C" w:rsidRDefault="00125698"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2F3ED947" w14:textId="77777777" w:rsidR="00125698" w:rsidRPr="00CB093C" w:rsidRDefault="00125698" w:rsidP="003816AC">
            <w:pPr>
              <w:spacing w:before="0" w:after="0"/>
              <w:rPr>
                <w:rFonts w:ascii="Arial" w:hAnsi="Arial" w:cs="Arial"/>
                <w:i/>
                <w:iCs/>
                <w:color w:val="000000"/>
                <w:szCs w:val="22"/>
              </w:rPr>
            </w:pPr>
          </w:p>
        </w:tc>
        <w:tc>
          <w:tcPr>
            <w:tcW w:w="840" w:type="dxa"/>
            <w:tcBorders>
              <w:left w:val="nil"/>
              <w:bottom w:val="nil"/>
            </w:tcBorders>
            <w:shd w:val="clear" w:color="auto" w:fill="E7F3F4"/>
            <w:noWrap/>
            <w:vAlign w:val="center"/>
            <w:hideMark/>
          </w:tcPr>
          <w:p w14:paraId="19223D6E"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MI3^</w:t>
            </w:r>
          </w:p>
        </w:tc>
        <w:tc>
          <w:tcPr>
            <w:tcW w:w="555" w:type="dxa"/>
            <w:tcBorders>
              <w:bottom w:val="nil"/>
            </w:tcBorders>
            <w:shd w:val="clear" w:color="auto" w:fill="E7F3F4"/>
            <w:vAlign w:val="center"/>
            <w:hideMark/>
          </w:tcPr>
          <w:p w14:paraId="519B671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E7F3F4"/>
            <w:noWrap/>
            <w:vAlign w:val="center"/>
            <w:hideMark/>
          </w:tcPr>
          <w:p w14:paraId="51CFF903"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E7F3F4"/>
            <w:noWrap/>
            <w:vAlign w:val="center"/>
            <w:hideMark/>
          </w:tcPr>
          <w:p w14:paraId="3290BF6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E7F3F4"/>
            <w:vAlign w:val="center"/>
            <w:hideMark/>
          </w:tcPr>
          <w:p w14:paraId="760ADD87"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E7F3F4"/>
            <w:vAlign w:val="center"/>
            <w:hideMark/>
          </w:tcPr>
          <w:p w14:paraId="19E1767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E7F3F4"/>
            <w:vAlign w:val="center"/>
            <w:hideMark/>
          </w:tcPr>
          <w:p w14:paraId="798A4E6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E7F3F4"/>
            <w:vAlign w:val="center"/>
            <w:hideMark/>
          </w:tcPr>
          <w:p w14:paraId="49EFA954"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E7F3F4"/>
            <w:vAlign w:val="center"/>
            <w:hideMark/>
          </w:tcPr>
          <w:p w14:paraId="0A3FCD91"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E7F3F4"/>
            <w:vAlign w:val="center"/>
            <w:hideMark/>
          </w:tcPr>
          <w:p w14:paraId="4CBDE32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E7F3F4"/>
            <w:vAlign w:val="center"/>
            <w:hideMark/>
          </w:tcPr>
          <w:p w14:paraId="2BC13BB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E7F3F4"/>
            <w:vAlign w:val="center"/>
            <w:hideMark/>
          </w:tcPr>
          <w:p w14:paraId="2F1BE94B"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59" w:type="dxa"/>
            <w:tcBorders>
              <w:bottom w:val="nil"/>
            </w:tcBorders>
            <w:shd w:val="clear" w:color="auto" w:fill="E7F3F4"/>
            <w:vAlign w:val="center"/>
            <w:hideMark/>
          </w:tcPr>
          <w:p w14:paraId="5CD19C9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E7F3F4"/>
            <w:vAlign w:val="center"/>
            <w:hideMark/>
          </w:tcPr>
          <w:p w14:paraId="70721FF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r>
      <w:tr w:rsidR="00125698" w:rsidRPr="00CB093C" w14:paraId="5AE115E0" w14:textId="77777777" w:rsidTr="00F558BA">
        <w:trPr>
          <w:gridAfter w:val="1"/>
          <w:wAfter w:w="10" w:type="dxa"/>
          <w:cantSplit/>
          <w:trHeight w:val="170"/>
          <w:jc w:val="center"/>
        </w:trPr>
        <w:tc>
          <w:tcPr>
            <w:tcW w:w="1148" w:type="dxa"/>
            <w:vMerge/>
            <w:tcBorders>
              <w:left w:val="nil"/>
              <w:right w:val="nil"/>
            </w:tcBorders>
            <w:vAlign w:val="center"/>
            <w:hideMark/>
          </w:tcPr>
          <w:p w14:paraId="262582F2" w14:textId="77777777" w:rsidR="00125698" w:rsidRPr="00CB093C" w:rsidRDefault="00125698"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081D3F8E" w14:textId="77777777" w:rsidR="00125698" w:rsidRPr="00CB093C" w:rsidRDefault="00125698"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651BE28E" w14:textId="77777777" w:rsidR="00125698" w:rsidRPr="00CB093C" w:rsidRDefault="00125698" w:rsidP="003816AC">
            <w:pPr>
              <w:spacing w:before="0" w:after="0"/>
              <w:rPr>
                <w:rFonts w:ascii="Arial" w:hAnsi="Arial" w:cs="Arial"/>
                <w:color w:val="000000"/>
                <w:szCs w:val="22"/>
              </w:rPr>
            </w:pP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79CF55B9"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Townsville</w:t>
            </w:r>
          </w:p>
        </w:tc>
        <w:tc>
          <w:tcPr>
            <w:tcW w:w="840" w:type="dxa"/>
            <w:tcBorders>
              <w:top w:val="single" w:sz="4" w:space="0" w:color="auto"/>
              <w:left w:val="nil"/>
              <w:right w:val="nil"/>
            </w:tcBorders>
            <w:shd w:val="clear" w:color="auto" w:fill="E7F3F4"/>
            <w:noWrap/>
            <w:vAlign w:val="center"/>
            <w:hideMark/>
          </w:tcPr>
          <w:p w14:paraId="221888E1"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SB1</w:t>
            </w:r>
          </w:p>
        </w:tc>
        <w:tc>
          <w:tcPr>
            <w:tcW w:w="555" w:type="dxa"/>
            <w:tcBorders>
              <w:top w:val="single" w:sz="4" w:space="0" w:color="auto"/>
              <w:left w:val="nil"/>
              <w:right w:val="nil"/>
            </w:tcBorders>
            <w:shd w:val="clear" w:color="auto" w:fill="E7F3F4"/>
            <w:vAlign w:val="center"/>
            <w:hideMark/>
          </w:tcPr>
          <w:p w14:paraId="2247DE2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E7F3F4"/>
            <w:noWrap/>
            <w:vAlign w:val="center"/>
            <w:hideMark/>
          </w:tcPr>
          <w:p w14:paraId="3A2263C5"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E7F3F4"/>
            <w:noWrap/>
            <w:vAlign w:val="center"/>
            <w:hideMark/>
          </w:tcPr>
          <w:p w14:paraId="545A621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E7F3F4"/>
            <w:vAlign w:val="center"/>
            <w:hideMark/>
          </w:tcPr>
          <w:p w14:paraId="2A72114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E7F3F4"/>
            <w:vAlign w:val="center"/>
            <w:hideMark/>
          </w:tcPr>
          <w:p w14:paraId="750DB37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E7F3F4"/>
            <w:vAlign w:val="center"/>
            <w:hideMark/>
          </w:tcPr>
          <w:p w14:paraId="29AB0B44"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E7F3F4"/>
            <w:vAlign w:val="center"/>
          </w:tcPr>
          <w:p w14:paraId="21DBEF2B"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right w:val="nil"/>
            </w:tcBorders>
            <w:shd w:val="clear" w:color="auto" w:fill="E7F3F4"/>
            <w:vAlign w:val="center"/>
            <w:hideMark/>
          </w:tcPr>
          <w:p w14:paraId="0D7318B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E7F3F4"/>
            <w:vAlign w:val="center"/>
            <w:hideMark/>
          </w:tcPr>
          <w:p w14:paraId="1387108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E7F3F4"/>
            <w:vAlign w:val="center"/>
            <w:hideMark/>
          </w:tcPr>
          <w:p w14:paraId="3F90BBF1"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E7F3F4"/>
            <w:vAlign w:val="center"/>
            <w:hideMark/>
          </w:tcPr>
          <w:p w14:paraId="2E86E44B" w14:textId="5FEF82BD"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07F0DFA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E7F3F4"/>
            <w:vAlign w:val="center"/>
          </w:tcPr>
          <w:p w14:paraId="3EBFB074"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r>
      <w:tr w:rsidR="00125698" w:rsidRPr="00CB093C" w14:paraId="73F6EF3C" w14:textId="77777777" w:rsidTr="00F558BA">
        <w:trPr>
          <w:gridAfter w:val="1"/>
          <w:wAfter w:w="10" w:type="dxa"/>
          <w:cantSplit/>
          <w:trHeight w:val="170"/>
          <w:jc w:val="center"/>
        </w:trPr>
        <w:tc>
          <w:tcPr>
            <w:tcW w:w="1148" w:type="dxa"/>
            <w:vMerge/>
            <w:tcBorders>
              <w:left w:val="nil"/>
              <w:right w:val="nil"/>
            </w:tcBorders>
            <w:vAlign w:val="center"/>
          </w:tcPr>
          <w:p w14:paraId="08111403" w14:textId="77777777" w:rsidR="00125698" w:rsidRPr="00CB093C" w:rsidRDefault="00125698"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tcPr>
          <w:p w14:paraId="12395E35" w14:textId="77777777" w:rsidR="00125698" w:rsidRPr="00CB093C" w:rsidRDefault="00125698"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tcPr>
          <w:p w14:paraId="3DDFC3B0" w14:textId="77777777" w:rsidR="00125698" w:rsidRPr="00CB093C" w:rsidRDefault="00125698"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shd w:val="clear" w:color="auto" w:fill="E7F3F4"/>
            <w:noWrap/>
            <w:vAlign w:val="center"/>
          </w:tcPr>
          <w:p w14:paraId="4C6305C3" w14:textId="77777777" w:rsidR="00125698" w:rsidRPr="00CB093C" w:rsidRDefault="00125698" w:rsidP="003816AC">
            <w:pPr>
              <w:spacing w:before="0" w:after="0"/>
              <w:jc w:val="center"/>
              <w:rPr>
                <w:rFonts w:ascii="Arial" w:hAnsi="Arial" w:cs="Arial"/>
                <w:color w:val="000000"/>
                <w:szCs w:val="22"/>
              </w:rPr>
            </w:pPr>
          </w:p>
        </w:tc>
        <w:tc>
          <w:tcPr>
            <w:tcW w:w="840" w:type="dxa"/>
            <w:tcBorders>
              <w:left w:val="nil"/>
              <w:bottom w:val="nil"/>
            </w:tcBorders>
            <w:shd w:val="clear" w:color="auto" w:fill="E7F3F4"/>
            <w:noWrap/>
            <w:vAlign w:val="center"/>
          </w:tcPr>
          <w:p w14:paraId="0DE0E6FB"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SB2</w:t>
            </w:r>
          </w:p>
        </w:tc>
        <w:tc>
          <w:tcPr>
            <w:tcW w:w="555" w:type="dxa"/>
            <w:tcBorders>
              <w:bottom w:val="nil"/>
            </w:tcBorders>
            <w:shd w:val="clear" w:color="auto" w:fill="E7F3F4"/>
            <w:vAlign w:val="center"/>
          </w:tcPr>
          <w:p w14:paraId="0809D63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E7F3F4"/>
            <w:noWrap/>
            <w:vAlign w:val="center"/>
          </w:tcPr>
          <w:p w14:paraId="7C6AF9A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E7F3F4"/>
            <w:noWrap/>
            <w:vAlign w:val="center"/>
          </w:tcPr>
          <w:p w14:paraId="2EF966EC" w14:textId="77777777" w:rsidR="00125698" w:rsidRPr="00CB093C" w:rsidRDefault="00125698" w:rsidP="003816AC">
            <w:pPr>
              <w:spacing w:before="0" w:after="0"/>
              <w:jc w:val="center"/>
              <w:rPr>
                <w:rFonts w:ascii="Arial" w:hAnsi="Arial" w:cs="Arial"/>
                <w:szCs w:val="22"/>
              </w:rPr>
            </w:pPr>
          </w:p>
        </w:tc>
        <w:tc>
          <w:tcPr>
            <w:tcW w:w="536" w:type="dxa"/>
            <w:tcBorders>
              <w:bottom w:val="nil"/>
            </w:tcBorders>
            <w:shd w:val="clear" w:color="auto" w:fill="E7F3F4"/>
            <w:vAlign w:val="center"/>
          </w:tcPr>
          <w:p w14:paraId="30EE35FD" w14:textId="77777777" w:rsidR="00125698" w:rsidRPr="00CB093C" w:rsidRDefault="00125698" w:rsidP="003816AC">
            <w:pPr>
              <w:spacing w:before="0" w:after="0"/>
              <w:jc w:val="center"/>
              <w:rPr>
                <w:rFonts w:ascii="Arial" w:hAnsi="Arial" w:cs="Arial"/>
                <w:szCs w:val="22"/>
              </w:rPr>
            </w:pPr>
          </w:p>
        </w:tc>
        <w:tc>
          <w:tcPr>
            <w:tcW w:w="540" w:type="dxa"/>
            <w:tcBorders>
              <w:bottom w:val="nil"/>
            </w:tcBorders>
            <w:shd w:val="clear" w:color="auto" w:fill="E7F3F4"/>
            <w:vAlign w:val="center"/>
          </w:tcPr>
          <w:p w14:paraId="3D9A04F9" w14:textId="77777777" w:rsidR="00125698" w:rsidRPr="00CB093C" w:rsidRDefault="00125698" w:rsidP="003816AC">
            <w:pPr>
              <w:spacing w:before="0" w:after="0"/>
              <w:jc w:val="center"/>
              <w:rPr>
                <w:rFonts w:ascii="Arial" w:hAnsi="Arial" w:cs="Arial"/>
                <w:szCs w:val="22"/>
              </w:rPr>
            </w:pPr>
          </w:p>
        </w:tc>
        <w:tc>
          <w:tcPr>
            <w:tcW w:w="529" w:type="dxa"/>
            <w:tcBorders>
              <w:bottom w:val="nil"/>
            </w:tcBorders>
            <w:shd w:val="clear" w:color="auto" w:fill="E7F3F4"/>
            <w:vAlign w:val="center"/>
          </w:tcPr>
          <w:p w14:paraId="58BDAB0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E7F3F4"/>
            <w:vAlign w:val="center"/>
          </w:tcPr>
          <w:p w14:paraId="7F57454B" w14:textId="77777777" w:rsidR="00125698" w:rsidRPr="00CB093C" w:rsidRDefault="00125698" w:rsidP="003816AC">
            <w:pPr>
              <w:spacing w:before="0" w:after="0"/>
              <w:jc w:val="center"/>
              <w:rPr>
                <w:rFonts w:ascii="Arial" w:hAnsi="Arial" w:cs="Arial"/>
                <w:szCs w:val="22"/>
              </w:rPr>
            </w:pPr>
          </w:p>
        </w:tc>
        <w:tc>
          <w:tcPr>
            <w:tcW w:w="559" w:type="dxa"/>
            <w:tcBorders>
              <w:left w:val="single" w:sz="4" w:space="0" w:color="auto"/>
              <w:bottom w:val="nil"/>
            </w:tcBorders>
            <w:shd w:val="clear" w:color="auto" w:fill="E7F3F4"/>
            <w:vAlign w:val="center"/>
          </w:tcPr>
          <w:p w14:paraId="520A43F5"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E7F3F4"/>
            <w:vAlign w:val="center"/>
          </w:tcPr>
          <w:p w14:paraId="6EDDF5A1"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E7F3F4"/>
            <w:vAlign w:val="center"/>
          </w:tcPr>
          <w:p w14:paraId="54250358" w14:textId="77777777" w:rsidR="00125698" w:rsidRPr="00CB093C" w:rsidRDefault="00125698"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2AFE2980" w14:textId="77777777" w:rsidR="00125698" w:rsidRPr="00CB093C" w:rsidRDefault="00125698" w:rsidP="003816AC">
            <w:pPr>
              <w:spacing w:before="0" w:after="0"/>
              <w:jc w:val="center"/>
              <w:rPr>
                <w:rFonts w:ascii="Arial" w:hAnsi="Arial" w:cs="Arial"/>
                <w:szCs w:val="22"/>
              </w:rPr>
            </w:pPr>
          </w:p>
        </w:tc>
        <w:tc>
          <w:tcPr>
            <w:tcW w:w="559" w:type="dxa"/>
            <w:tcBorders>
              <w:bottom w:val="nil"/>
            </w:tcBorders>
            <w:shd w:val="clear" w:color="auto" w:fill="E7F3F4"/>
            <w:vAlign w:val="center"/>
          </w:tcPr>
          <w:p w14:paraId="738AE7D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E7F3F4"/>
            <w:vAlign w:val="center"/>
          </w:tcPr>
          <w:p w14:paraId="32EE1DB8" w14:textId="77777777" w:rsidR="00125698" w:rsidRPr="00CB093C" w:rsidRDefault="00125698" w:rsidP="003816AC">
            <w:pPr>
              <w:spacing w:before="0" w:after="0"/>
              <w:jc w:val="center"/>
              <w:rPr>
                <w:rFonts w:ascii="Arial" w:hAnsi="Arial" w:cs="Arial"/>
                <w:szCs w:val="22"/>
              </w:rPr>
            </w:pPr>
          </w:p>
        </w:tc>
      </w:tr>
      <w:tr w:rsidR="00125698" w:rsidRPr="00CB093C" w14:paraId="68E6C111" w14:textId="77777777" w:rsidTr="00F558BA">
        <w:trPr>
          <w:gridAfter w:val="1"/>
          <w:wAfter w:w="10" w:type="dxa"/>
          <w:cantSplit/>
          <w:trHeight w:val="170"/>
          <w:jc w:val="center"/>
        </w:trPr>
        <w:tc>
          <w:tcPr>
            <w:tcW w:w="1148" w:type="dxa"/>
            <w:vMerge/>
            <w:tcBorders>
              <w:left w:val="nil"/>
              <w:right w:val="nil"/>
            </w:tcBorders>
            <w:vAlign w:val="center"/>
            <w:hideMark/>
          </w:tcPr>
          <w:p w14:paraId="6344D75E" w14:textId="77777777" w:rsidR="00125698" w:rsidRPr="00CB093C" w:rsidRDefault="00125698"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630713AD" w14:textId="77777777" w:rsidR="00125698" w:rsidRPr="00CB093C" w:rsidRDefault="00125698"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218ACE95" w14:textId="77777777" w:rsidR="00125698" w:rsidRPr="00CB093C" w:rsidRDefault="00125698"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6523F1D5" w14:textId="77777777" w:rsidR="00125698" w:rsidRPr="00CB093C" w:rsidRDefault="00125698" w:rsidP="003816AC">
            <w:pPr>
              <w:spacing w:before="0" w:after="0"/>
              <w:rPr>
                <w:rFonts w:ascii="Arial" w:hAnsi="Arial" w:cs="Arial"/>
                <w:color w:val="000000"/>
                <w:szCs w:val="22"/>
              </w:rPr>
            </w:pPr>
          </w:p>
        </w:tc>
        <w:tc>
          <w:tcPr>
            <w:tcW w:w="840" w:type="dxa"/>
            <w:tcBorders>
              <w:left w:val="nil"/>
              <w:bottom w:val="nil"/>
            </w:tcBorders>
            <w:shd w:val="clear" w:color="auto" w:fill="E7F3F4"/>
            <w:noWrap/>
            <w:vAlign w:val="center"/>
            <w:hideMark/>
          </w:tcPr>
          <w:p w14:paraId="2F017210"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BB1</w:t>
            </w:r>
          </w:p>
        </w:tc>
        <w:tc>
          <w:tcPr>
            <w:tcW w:w="555" w:type="dxa"/>
            <w:tcBorders>
              <w:bottom w:val="nil"/>
            </w:tcBorders>
            <w:shd w:val="clear" w:color="auto" w:fill="E7F3F4"/>
            <w:vAlign w:val="center"/>
            <w:hideMark/>
          </w:tcPr>
          <w:p w14:paraId="6581A90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E7F3F4"/>
            <w:noWrap/>
            <w:vAlign w:val="center"/>
            <w:hideMark/>
          </w:tcPr>
          <w:p w14:paraId="3A3F3E6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E7F3F4"/>
            <w:noWrap/>
            <w:vAlign w:val="center"/>
            <w:hideMark/>
          </w:tcPr>
          <w:p w14:paraId="2748BCD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E7F3F4"/>
            <w:vAlign w:val="center"/>
            <w:hideMark/>
          </w:tcPr>
          <w:p w14:paraId="2C82823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E7F3F4"/>
            <w:vAlign w:val="center"/>
            <w:hideMark/>
          </w:tcPr>
          <w:p w14:paraId="25CB461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E7F3F4"/>
            <w:vAlign w:val="center"/>
            <w:hideMark/>
          </w:tcPr>
          <w:p w14:paraId="024C915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E7F3F4"/>
            <w:vAlign w:val="center"/>
            <w:hideMark/>
          </w:tcPr>
          <w:p w14:paraId="4E714851"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E7F3F4"/>
            <w:vAlign w:val="center"/>
            <w:hideMark/>
          </w:tcPr>
          <w:p w14:paraId="6AF039B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E7F3F4"/>
            <w:vAlign w:val="center"/>
            <w:hideMark/>
          </w:tcPr>
          <w:p w14:paraId="1CE34713"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E7F3F4"/>
            <w:vAlign w:val="center"/>
            <w:hideMark/>
          </w:tcPr>
          <w:p w14:paraId="562A67D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E7F3F4"/>
            <w:vAlign w:val="center"/>
            <w:hideMark/>
          </w:tcPr>
          <w:p w14:paraId="33DF597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59" w:type="dxa"/>
            <w:tcBorders>
              <w:bottom w:val="nil"/>
            </w:tcBorders>
            <w:shd w:val="clear" w:color="auto" w:fill="E7F3F4"/>
            <w:vAlign w:val="center"/>
            <w:hideMark/>
          </w:tcPr>
          <w:p w14:paraId="1A77C4F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E7F3F4"/>
            <w:vAlign w:val="center"/>
            <w:hideMark/>
          </w:tcPr>
          <w:p w14:paraId="7FCCA51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r>
      <w:tr w:rsidR="00125698" w:rsidRPr="00CB093C" w14:paraId="17D4F7A7" w14:textId="77777777" w:rsidTr="00F558BA">
        <w:trPr>
          <w:gridAfter w:val="1"/>
          <w:wAfter w:w="10" w:type="dxa"/>
          <w:cantSplit/>
          <w:trHeight w:val="170"/>
          <w:jc w:val="center"/>
        </w:trPr>
        <w:tc>
          <w:tcPr>
            <w:tcW w:w="1148" w:type="dxa"/>
            <w:vMerge/>
            <w:tcBorders>
              <w:left w:val="nil"/>
              <w:right w:val="nil"/>
            </w:tcBorders>
            <w:vAlign w:val="center"/>
            <w:hideMark/>
          </w:tcPr>
          <w:p w14:paraId="7789954B" w14:textId="77777777" w:rsidR="00125698" w:rsidRPr="00CB093C" w:rsidRDefault="00125698"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74316291" w14:textId="77777777" w:rsidR="00125698" w:rsidRPr="00CB093C" w:rsidRDefault="00125698"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259F4C7D" w14:textId="77777777" w:rsidR="00125698" w:rsidRPr="00CB093C" w:rsidRDefault="00125698" w:rsidP="003816AC">
            <w:pPr>
              <w:spacing w:before="0" w:after="0"/>
              <w:rPr>
                <w:rFonts w:ascii="Arial" w:hAnsi="Arial" w:cs="Arial"/>
                <w:color w:val="000000"/>
                <w:szCs w:val="22"/>
              </w:rPr>
            </w:pPr>
          </w:p>
        </w:tc>
        <w:tc>
          <w:tcPr>
            <w:tcW w:w="1307" w:type="dxa"/>
            <w:vMerge w:val="restart"/>
            <w:tcBorders>
              <w:top w:val="single" w:sz="4" w:space="0" w:color="auto"/>
              <w:left w:val="nil"/>
              <w:bottom w:val="nil"/>
              <w:right w:val="nil"/>
            </w:tcBorders>
            <w:shd w:val="clear" w:color="auto" w:fill="E7F3F4"/>
            <w:noWrap/>
            <w:vAlign w:val="center"/>
            <w:hideMark/>
          </w:tcPr>
          <w:p w14:paraId="6B461BF8"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Bowling Green Bay</w:t>
            </w:r>
          </w:p>
        </w:tc>
        <w:tc>
          <w:tcPr>
            <w:tcW w:w="840" w:type="dxa"/>
            <w:tcBorders>
              <w:top w:val="single" w:sz="4" w:space="0" w:color="auto"/>
              <w:left w:val="nil"/>
              <w:right w:val="nil"/>
            </w:tcBorders>
            <w:shd w:val="clear" w:color="auto" w:fill="E7F3F4"/>
            <w:noWrap/>
            <w:vAlign w:val="center"/>
            <w:hideMark/>
          </w:tcPr>
          <w:p w14:paraId="7BABDAA6"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JR1</w:t>
            </w:r>
          </w:p>
        </w:tc>
        <w:tc>
          <w:tcPr>
            <w:tcW w:w="555" w:type="dxa"/>
            <w:tcBorders>
              <w:top w:val="single" w:sz="4" w:space="0" w:color="auto"/>
              <w:left w:val="nil"/>
              <w:right w:val="nil"/>
            </w:tcBorders>
            <w:shd w:val="clear" w:color="auto" w:fill="E7F3F4"/>
            <w:vAlign w:val="center"/>
            <w:hideMark/>
          </w:tcPr>
          <w:p w14:paraId="0AEFFF54"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E7F3F4"/>
            <w:noWrap/>
            <w:vAlign w:val="center"/>
            <w:hideMark/>
          </w:tcPr>
          <w:p w14:paraId="3422F815"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E7F3F4"/>
            <w:noWrap/>
            <w:vAlign w:val="center"/>
            <w:hideMark/>
          </w:tcPr>
          <w:p w14:paraId="3C940AC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E7F3F4"/>
            <w:vAlign w:val="center"/>
            <w:hideMark/>
          </w:tcPr>
          <w:p w14:paraId="166F5E2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E7F3F4"/>
            <w:vAlign w:val="center"/>
            <w:hideMark/>
          </w:tcPr>
          <w:p w14:paraId="497AAA9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E7F3F4"/>
            <w:vAlign w:val="center"/>
            <w:hideMark/>
          </w:tcPr>
          <w:p w14:paraId="01EE7EA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E7F3F4"/>
            <w:vAlign w:val="center"/>
            <w:hideMark/>
          </w:tcPr>
          <w:p w14:paraId="357E924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right w:val="nil"/>
            </w:tcBorders>
            <w:shd w:val="clear" w:color="auto" w:fill="E7F3F4"/>
            <w:vAlign w:val="center"/>
            <w:hideMark/>
          </w:tcPr>
          <w:p w14:paraId="53BFA3E9"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E7F3F4"/>
            <w:vAlign w:val="center"/>
            <w:hideMark/>
          </w:tcPr>
          <w:p w14:paraId="7A000FD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E7F3F4"/>
            <w:vAlign w:val="center"/>
            <w:hideMark/>
          </w:tcPr>
          <w:p w14:paraId="6F6D728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E7F3F4"/>
            <w:vAlign w:val="center"/>
          </w:tcPr>
          <w:p w14:paraId="54D00FA4" w14:textId="02778274"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E7F3F4"/>
            <w:vAlign w:val="center"/>
            <w:hideMark/>
          </w:tcPr>
          <w:p w14:paraId="4CF4FBF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E7F3F4"/>
            <w:vAlign w:val="center"/>
            <w:hideMark/>
          </w:tcPr>
          <w:p w14:paraId="6D740AF3"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r>
      <w:tr w:rsidR="00125698" w:rsidRPr="00CB093C" w14:paraId="7D9A322A" w14:textId="77777777" w:rsidTr="00F558BA">
        <w:trPr>
          <w:gridAfter w:val="1"/>
          <w:wAfter w:w="10" w:type="dxa"/>
          <w:cantSplit/>
          <w:trHeight w:val="170"/>
          <w:jc w:val="center"/>
        </w:trPr>
        <w:tc>
          <w:tcPr>
            <w:tcW w:w="1148" w:type="dxa"/>
            <w:vMerge/>
            <w:tcBorders>
              <w:left w:val="nil"/>
              <w:right w:val="nil"/>
            </w:tcBorders>
            <w:vAlign w:val="center"/>
            <w:hideMark/>
          </w:tcPr>
          <w:p w14:paraId="602D8062" w14:textId="77777777" w:rsidR="00125698" w:rsidRPr="00CB093C" w:rsidRDefault="00125698"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4CA30AB7" w14:textId="77777777" w:rsidR="00125698" w:rsidRPr="00CB093C" w:rsidRDefault="00125698" w:rsidP="003816AC">
            <w:pPr>
              <w:spacing w:before="0" w:after="0"/>
              <w:rPr>
                <w:rFonts w:ascii="Arial" w:hAnsi="Arial" w:cs="Arial"/>
                <w:color w:val="000000"/>
                <w:szCs w:val="22"/>
              </w:rPr>
            </w:pPr>
          </w:p>
        </w:tc>
        <w:tc>
          <w:tcPr>
            <w:tcW w:w="1299" w:type="dxa"/>
            <w:vMerge/>
            <w:tcBorders>
              <w:top w:val="single" w:sz="4" w:space="0" w:color="auto"/>
              <w:left w:val="nil"/>
              <w:bottom w:val="nil"/>
              <w:right w:val="nil"/>
            </w:tcBorders>
            <w:vAlign w:val="center"/>
            <w:hideMark/>
          </w:tcPr>
          <w:p w14:paraId="25DEE387" w14:textId="77777777" w:rsidR="00125698" w:rsidRPr="00CB093C" w:rsidRDefault="00125698"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72CB6BBC" w14:textId="77777777" w:rsidR="00125698" w:rsidRPr="00CB093C" w:rsidRDefault="00125698" w:rsidP="003816AC">
            <w:pPr>
              <w:spacing w:before="0" w:after="0"/>
              <w:rPr>
                <w:rFonts w:ascii="Arial" w:hAnsi="Arial" w:cs="Arial"/>
                <w:color w:val="000000"/>
                <w:szCs w:val="22"/>
              </w:rPr>
            </w:pPr>
          </w:p>
        </w:tc>
        <w:tc>
          <w:tcPr>
            <w:tcW w:w="840" w:type="dxa"/>
            <w:tcBorders>
              <w:left w:val="nil"/>
              <w:bottom w:val="nil"/>
            </w:tcBorders>
            <w:shd w:val="clear" w:color="auto" w:fill="E7F3F4"/>
            <w:noWrap/>
            <w:vAlign w:val="center"/>
            <w:hideMark/>
          </w:tcPr>
          <w:p w14:paraId="00F10642"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JR2</w:t>
            </w:r>
          </w:p>
        </w:tc>
        <w:tc>
          <w:tcPr>
            <w:tcW w:w="555" w:type="dxa"/>
            <w:tcBorders>
              <w:bottom w:val="nil"/>
            </w:tcBorders>
            <w:shd w:val="clear" w:color="auto" w:fill="E7F3F4"/>
            <w:vAlign w:val="center"/>
            <w:hideMark/>
          </w:tcPr>
          <w:p w14:paraId="3989C84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E7F3F4"/>
            <w:noWrap/>
            <w:vAlign w:val="center"/>
            <w:hideMark/>
          </w:tcPr>
          <w:p w14:paraId="75D5FFE5"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E7F3F4"/>
            <w:noWrap/>
            <w:vAlign w:val="center"/>
            <w:hideMark/>
          </w:tcPr>
          <w:p w14:paraId="2DC6FC43"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E7F3F4"/>
            <w:vAlign w:val="center"/>
            <w:hideMark/>
          </w:tcPr>
          <w:p w14:paraId="45C86AC9"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E7F3F4"/>
            <w:vAlign w:val="center"/>
            <w:hideMark/>
          </w:tcPr>
          <w:p w14:paraId="34B56FB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E7F3F4"/>
            <w:vAlign w:val="center"/>
            <w:hideMark/>
          </w:tcPr>
          <w:p w14:paraId="2F8ACED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E7F3F4"/>
            <w:vAlign w:val="center"/>
          </w:tcPr>
          <w:p w14:paraId="7B2ECDE5" w14:textId="77777777" w:rsidR="00125698" w:rsidRPr="00CB093C" w:rsidRDefault="00125698" w:rsidP="003816AC">
            <w:pPr>
              <w:spacing w:before="0" w:after="0"/>
              <w:jc w:val="center"/>
              <w:rPr>
                <w:rFonts w:ascii="Arial" w:hAnsi="Arial" w:cs="Arial"/>
                <w:szCs w:val="22"/>
              </w:rPr>
            </w:pPr>
          </w:p>
        </w:tc>
        <w:tc>
          <w:tcPr>
            <w:tcW w:w="559" w:type="dxa"/>
            <w:tcBorders>
              <w:left w:val="single" w:sz="4" w:space="0" w:color="auto"/>
              <w:bottom w:val="nil"/>
            </w:tcBorders>
            <w:shd w:val="clear" w:color="auto" w:fill="E7F3F4"/>
            <w:vAlign w:val="center"/>
            <w:hideMark/>
          </w:tcPr>
          <w:p w14:paraId="4D9DD3A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E7F3F4"/>
            <w:vAlign w:val="center"/>
            <w:hideMark/>
          </w:tcPr>
          <w:p w14:paraId="3ACEC667"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E7F3F4"/>
            <w:vAlign w:val="center"/>
            <w:hideMark/>
          </w:tcPr>
          <w:p w14:paraId="299E317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E7F3F4"/>
            <w:vAlign w:val="center"/>
          </w:tcPr>
          <w:p w14:paraId="34DD5A9C" w14:textId="3DD43DEF" w:rsidR="00125698" w:rsidRPr="00CB093C" w:rsidRDefault="00125698" w:rsidP="003816AC">
            <w:pPr>
              <w:spacing w:before="0" w:after="0"/>
              <w:jc w:val="center"/>
              <w:rPr>
                <w:rFonts w:ascii="Arial" w:hAnsi="Arial" w:cs="Arial"/>
                <w:szCs w:val="22"/>
              </w:rPr>
            </w:pPr>
          </w:p>
        </w:tc>
        <w:tc>
          <w:tcPr>
            <w:tcW w:w="559" w:type="dxa"/>
            <w:tcBorders>
              <w:bottom w:val="nil"/>
            </w:tcBorders>
            <w:shd w:val="clear" w:color="auto" w:fill="E7F3F4"/>
            <w:vAlign w:val="center"/>
            <w:hideMark/>
          </w:tcPr>
          <w:p w14:paraId="2AE9D01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E7F3F4"/>
            <w:vAlign w:val="center"/>
          </w:tcPr>
          <w:p w14:paraId="66E1C046" w14:textId="77777777" w:rsidR="00125698" w:rsidRPr="00CB093C" w:rsidRDefault="00125698" w:rsidP="003816AC">
            <w:pPr>
              <w:spacing w:before="0" w:after="0"/>
              <w:jc w:val="center"/>
              <w:rPr>
                <w:rFonts w:ascii="Arial" w:hAnsi="Arial" w:cs="Arial"/>
                <w:szCs w:val="22"/>
              </w:rPr>
            </w:pPr>
          </w:p>
        </w:tc>
      </w:tr>
      <w:tr w:rsidR="00125698" w:rsidRPr="00CB093C" w14:paraId="6CA2C75A" w14:textId="77777777" w:rsidTr="00F558BA">
        <w:trPr>
          <w:gridAfter w:val="1"/>
          <w:wAfter w:w="10" w:type="dxa"/>
          <w:cantSplit/>
          <w:trHeight w:val="170"/>
          <w:jc w:val="center"/>
        </w:trPr>
        <w:tc>
          <w:tcPr>
            <w:tcW w:w="1148" w:type="dxa"/>
            <w:vMerge/>
            <w:tcBorders>
              <w:left w:val="nil"/>
              <w:right w:val="nil"/>
            </w:tcBorders>
            <w:vAlign w:val="center"/>
          </w:tcPr>
          <w:p w14:paraId="1F837550" w14:textId="77777777" w:rsidR="00125698" w:rsidRPr="00CB093C" w:rsidRDefault="00125698" w:rsidP="003816AC">
            <w:pPr>
              <w:spacing w:before="0" w:after="0"/>
              <w:rPr>
                <w:rFonts w:ascii="Arial" w:hAnsi="Arial" w:cs="Arial"/>
                <w:color w:val="000000"/>
                <w:szCs w:val="22"/>
              </w:rPr>
            </w:pPr>
          </w:p>
        </w:tc>
        <w:tc>
          <w:tcPr>
            <w:tcW w:w="1294" w:type="dxa"/>
            <w:vMerge w:val="restart"/>
            <w:tcBorders>
              <w:top w:val="single" w:sz="4" w:space="0" w:color="auto"/>
              <w:left w:val="nil"/>
              <w:right w:val="nil"/>
            </w:tcBorders>
            <w:shd w:val="clear" w:color="auto" w:fill="F3F9FA"/>
            <w:noWrap/>
            <w:vAlign w:val="center"/>
          </w:tcPr>
          <w:p w14:paraId="113841E0"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Mackay</w:t>
            </w:r>
          </w:p>
          <w:p w14:paraId="3643F09D"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Whitsunday</w:t>
            </w:r>
          </w:p>
        </w:tc>
        <w:tc>
          <w:tcPr>
            <w:tcW w:w="1299" w:type="dxa"/>
            <w:vMerge w:val="restart"/>
            <w:tcBorders>
              <w:top w:val="single" w:sz="4" w:space="0" w:color="auto"/>
              <w:left w:val="nil"/>
              <w:right w:val="nil"/>
            </w:tcBorders>
            <w:shd w:val="clear" w:color="auto" w:fill="F3F9FA"/>
            <w:vAlign w:val="center"/>
          </w:tcPr>
          <w:p w14:paraId="67728063"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Don</w:t>
            </w:r>
          </w:p>
        </w:tc>
        <w:tc>
          <w:tcPr>
            <w:tcW w:w="1307" w:type="dxa"/>
            <w:vMerge w:val="restart"/>
            <w:tcBorders>
              <w:top w:val="single" w:sz="4" w:space="0" w:color="auto"/>
              <w:left w:val="nil"/>
              <w:right w:val="nil"/>
            </w:tcBorders>
            <w:shd w:val="clear" w:color="auto" w:fill="F3F9FA"/>
            <w:noWrap/>
            <w:vAlign w:val="center"/>
          </w:tcPr>
          <w:p w14:paraId="2EB44F80"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Shoal Bay</w:t>
            </w:r>
          </w:p>
        </w:tc>
        <w:tc>
          <w:tcPr>
            <w:tcW w:w="840" w:type="dxa"/>
            <w:tcBorders>
              <w:top w:val="single" w:sz="4" w:space="0" w:color="auto"/>
              <w:left w:val="nil"/>
              <w:right w:val="nil"/>
            </w:tcBorders>
            <w:shd w:val="clear" w:color="auto" w:fill="F3F9FA"/>
            <w:noWrap/>
            <w:vAlign w:val="center"/>
          </w:tcPr>
          <w:p w14:paraId="565AACCD"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HB1</w:t>
            </w:r>
          </w:p>
        </w:tc>
        <w:tc>
          <w:tcPr>
            <w:tcW w:w="555" w:type="dxa"/>
            <w:tcBorders>
              <w:top w:val="single" w:sz="4" w:space="0" w:color="auto"/>
              <w:left w:val="nil"/>
              <w:right w:val="nil"/>
            </w:tcBorders>
            <w:shd w:val="clear" w:color="auto" w:fill="F3F9FA"/>
            <w:vAlign w:val="center"/>
          </w:tcPr>
          <w:p w14:paraId="6FA4235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tcPr>
          <w:p w14:paraId="06EDA06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tcPr>
          <w:p w14:paraId="652F1509" w14:textId="77777777" w:rsidR="00125698" w:rsidRPr="00CB093C" w:rsidRDefault="00125698" w:rsidP="003816AC">
            <w:pPr>
              <w:spacing w:before="0" w:after="0"/>
              <w:jc w:val="center"/>
              <w:rPr>
                <w:rFonts w:ascii="Arial" w:hAnsi="Arial" w:cs="Arial"/>
                <w:szCs w:val="22"/>
              </w:rPr>
            </w:pPr>
          </w:p>
        </w:tc>
        <w:tc>
          <w:tcPr>
            <w:tcW w:w="536" w:type="dxa"/>
            <w:tcBorders>
              <w:top w:val="single" w:sz="4" w:space="0" w:color="auto"/>
              <w:left w:val="nil"/>
              <w:right w:val="nil"/>
            </w:tcBorders>
            <w:shd w:val="clear" w:color="auto" w:fill="F3F9FA"/>
            <w:vAlign w:val="center"/>
          </w:tcPr>
          <w:p w14:paraId="5A46EC02" w14:textId="77777777" w:rsidR="00125698" w:rsidRPr="00CB093C" w:rsidRDefault="00125698"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F3F9FA"/>
            <w:vAlign w:val="center"/>
          </w:tcPr>
          <w:p w14:paraId="6DD8FE96" w14:textId="77777777" w:rsidR="00125698" w:rsidRPr="00CB093C" w:rsidRDefault="00125698" w:rsidP="003816AC">
            <w:pPr>
              <w:spacing w:before="0" w:after="0"/>
              <w:jc w:val="center"/>
              <w:rPr>
                <w:rFonts w:ascii="Arial" w:hAnsi="Arial" w:cs="Arial"/>
                <w:szCs w:val="22"/>
              </w:rPr>
            </w:pPr>
          </w:p>
        </w:tc>
        <w:tc>
          <w:tcPr>
            <w:tcW w:w="529" w:type="dxa"/>
            <w:tcBorders>
              <w:top w:val="single" w:sz="4" w:space="0" w:color="auto"/>
              <w:left w:val="nil"/>
              <w:right w:val="nil"/>
            </w:tcBorders>
            <w:shd w:val="clear" w:color="auto" w:fill="F3F9FA"/>
            <w:vAlign w:val="center"/>
          </w:tcPr>
          <w:p w14:paraId="38ABB5FB"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tcPr>
          <w:p w14:paraId="2E7130D5"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tcPr>
          <w:p w14:paraId="476B1C44"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73284214"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6A7BF040"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2FBCB22D"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750C238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tcPr>
          <w:p w14:paraId="6DBC5200" w14:textId="77777777" w:rsidR="00125698" w:rsidRPr="00CB093C" w:rsidRDefault="00125698" w:rsidP="003816AC">
            <w:pPr>
              <w:spacing w:before="0" w:after="0"/>
              <w:jc w:val="center"/>
              <w:rPr>
                <w:rFonts w:ascii="Arial" w:hAnsi="Arial" w:cs="Arial"/>
                <w:szCs w:val="22"/>
              </w:rPr>
            </w:pPr>
          </w:p>
        </w:tc>
      </w:tr>
      <w:tr w:rsidR="00125698" w:rsidRPr="00CB093C" w14:paraId="19D1D855" w14:textId="77777777" w:rsidTr="00F558BA">
        <w:trPr>
          <w:gridAfter w:val="1"/>
          <w:wAfter w:w="10" w:type="dxa"/>
          <w:cantSplit/>
          <w:trHeight w:val="170"/>
          <w:jc w:val="center"/>
        </w:trPr>
        <w:tc>
          <w:tcPr>
            <w:tcW w:w="1148" w:type="dxa"/>
            <w:vMerge/>
            <w:tcBorders>
              <w:left w:val="nil"/>
              <w:right w:val="nil"/>
            </w:tcBorders>
            <w:vAlign w:val="center"/>
          </w:tcPr>
          <w:p w14:paraId="3BC6C38D"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shd w:val="clear" w:color="auto" w:fill="F3F9FA"/>
            <w:noWrap/>
            <w:vAlign w:val="center"/>
          </w:tcPr>
          <w:p w14:paraId="5348DBCD" w14:textId="77777777" w:rsidR="00125698" w:rsidRPr="00CB093C" w:rsidRDefault="00125698" w:rsidP="003816AC">
            <w:pPr>
              <w:spacing w:before="0" w:after="0"/>
              <w:jc w:val="center"/>
              <w:rPr>
                <w:rFonts w:ascii="Arial" w:hAnsi="Arial" w:cs="Arial"/>
                <w:color w:val="000000"/>
                <w:szCs w:val="22"/>
              </w:rPr>
            </w:pPr>
          </w:p>
        </w:tc>
        <w:tc>
          <w:tcPr>
            <w:tcW w:w="1299" w:type="dxa"/>
            <w:vMerge/>
            <w:tcBorders>
              <w:left w:val="nil"/>
              <w:bottom w:val="nil"/>
              <w:right w:val="nil"/>
            </w:tcBorders>
            <w:shd w:val="clear" w:color="auto" w:fill="F3F9FA"/>
            <w:vAlign w:val="center"/>
          </w:tcPr>
          <w:p w14:paraId="2D2530AC" w14:textId="77777777" w:rsidR="00125698" w:rsidRPr="00CB093C" w:rsidRDefault="00125698" w:rsidP="003816AC">
            <w:pPr>
              <w:spacing w:before="0" w:after="0"/>
              <w:jc w:val="center"/>
              <w:rPr>
                <w:rFonts w:ascii="Arial" w:hAnsi="Arial" w:cs="Arial"/>
                <w:color w:val="000000"/>
                <w:szCs w:val="22"/>
              </w:rPr>
            </w:pPr>
          </w:p>
        </w:tc>
        <w:tc>
          <w:tcPr>
            <w:tcW w:w="1307" w:type="dxa"/>
            <w:vMerge/>
            <w:tcBorders>
              <w:left w:val="nil"/>
              <w:bottom w:val="single" w:sz="4" w:space="0" w:color="auto"/>
              <w:right w:val="nil"/>
            </w:tcBorders>
            <w:shd w:val="clear" w:color="auto" w:fill="F3F9FA"/>
            <w:noWrap/>
            <w:vAlign w:val="center"/>
          </w:tcPr>
          <w:p w14:paraId="06C9113A" w14:textId="77777777" w:rsidR="00125698" w:rsidRPr="00CB093C" w:rsidRDefault="00125698" w:rsidP="003816AC">
            <w:pPr>
              <w:spacing w:before="0" w:after="0"/>
              <w:jc w:val="center"/>
              <w:rPr>
                <w:rFonts w:ascii="Arial" w:hAnsi="Arial" w:cs="Arial"/>
                <w:color w:val="000000"/>
                <w:szCs w:val="22"/>
              </w:rPr>
            </w:pPr>
          </w:p>
        </w:tc>
        <w:tc>
          <w:tcPr>
            <w:tcW w:w="840" w:type="dxa"/>
            <w:tcBorders>
              <w:left w:val="nil"/>
              <w:bottom w:val="single" w:sz="4" w:space="0" w:color="auto"/>
            </w:tcBorders>
            <w:shd w:val="clear" w:color="auto" w:fill="F3F9FA"/>
            <w:noWrap/>
            <w:vAlign w:val="center"/>
          </w:tcPr>
          <w:p w14:paraId="6AA69045"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HB2</w:t>
            </w:r>
          </w:p>
        </w:tc>
        <w:tc>
          <w:tcPr>
            <w:tcW w:w="555" w:type="dxa"/>
            <w:tcBorders>
              <w:bottom w:val="single" w:sz="4" w:space="0" w:color="auto"/>
            </w:tcBorders>
            <w:shd w:val="clear" w:color="auto" w:fill="F3F9FA"/>
            <w:vAlign w:val="center"/>
          </w:tcPr>
          <w:p w14:paraId="12F99BB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single" w:sz="4" w:space="0" w:color="auto"/>
            </w:tcBorders>
            <w:shd w:val="clear" w:color="auto" w:fill="F3F9FA"/>
            <w:noWrap/>
            <w:vAlign w:val="center"/>
          </w:tcPr>
          <w:p w14:paraId="0CD827A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single" w:sz="4" w:space="0" w:color="auto"/>
            </w:tcBorders>
            <w:shd w:val="clear" w:color="auto" w:fill="F3F9FA"/>
            <w:noWrap/>
            <w:vAlign w:val="center"/>
          </w:tcPr>
          <w:p w14:paraId="5B761FE3" w14:textId="77777777" w:rsidR="00125698" w:rsidRPr="00CB093C" w:rsidRDefault="00125698" w:rsidP="003816AC">
            <w:pPr>
              <w:spacing w:before="0" w:after="0"/>
              <w:jc w:val="center"/>
              <w:rPr>
                <w:rFonts w:ascii="Arial" w:hAnsi="Arial" w:cs="Arial"/>
                <w:szCs w:val="22"/>
              </w:rPr>
            </w:pPr>
          </w:p>
        </w:tc>
        <w:tc>
          <w:tcPr>
            <w:tcW w:w="536" w:type="dxa"/>
            <w:tcBorders>
              <w:bottom w:val="single" w:sz="4" w:space="0" w:color="auto"/>
            </w:tcBorders>
            <w:shd w:val="clear" w:color="auto" w:fill="F3F9FA"/>
            <w:vAlign w:val="center"/>
          </w:tcPr>
          <w:p w14:paraId="5DB228B8" w14:textId="77777777" w:rsidR="00125698" w:rsidRPr="00CB093C" w:rsidRDefault="00125698" w:rsidP="003816AC">
            <w:pPr>
              <w:spacing w:before="0" w:after="0"/>
              <w:jc w:val="center"/>
              <w:rPr>
                <w:rFonts w:ascii="Arial" w:hAnsi="Arial" w:cs="Arial"/>
                <w:szCs w:val="22"/>
              </w:rPr>
            </w:pPr>
          </w:p>
        </w:tc>
        <w:tc>
          <w:tcPr>
            <w:tcW w:w="540" w:type="dxa"/>
            <w:tcBorders>
              <w:bottom w:val="single" w:sz="4" w:space="0" w:color="auto"/>
            </w:tcBorders>
            <w:shd w:val="clear" w:color="auto" w:fill="F3F9FA"/>
            <w:vAlign w:val="center"/>
          </w:tcPr>
          <w:p w14:paraId="16D11235" w14:textId="77777777" w:rsidR="00125698" w:rsidRPr="00CB093C" w:rsidRDefault="00125698" w:rsidP="003816AC">
            <w:pPr>
              <w:spacing w:before="0" w:after="0"/>
              <w:jc w:val="center"/>
              <w:rPr>
                <w:rFonts w:ascii="Arial" w:hAnsi="Arial" w:cs="Arial"/>
                <w:szCs w:val="22"/>
              </w:rPr>
            </w:pPr>
          </w:p>
        </w:tc>
        <w:tc>
          <w:tcPr>
            <w:tcW w:w="529" w:type="dxa"/>
            <w:tcBorders>
              <w:bottom w:val="single" w:sz="4" w:space="0" w:color="auto"/>
            </w:tcBorders>
            <w:shd w:val="clear" w:color="auto" w:fill="F3F9FA"/>
            <w:vAlign w:val="center"/>
          </w:tcPr>
          <w:p w14:paraId="6DB43C4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single" w:sz="4" w:space="0" w:color="auto"/>
              <w:right w:val="single" w:sz="4" w:space="0" w:color="auto"/>
            </w:tcBorders>
            <w:shd w:val="clear" w:color="auto" w:fill="F3F9FA"/>
            <w:vAlign w:val="center"/>
          </w:tcPr>
          <w:p w14:paraId="3679D633" w14:textId="77777777" w:rsidR="00125698" w:rsidRPr="00CB093C" w:rsidRDefault="00125698" w:rsidP="003816AC">
            <w:pPr>
              <w:spacing w:before="0" w:after="0"/>
              <w:jc w:val="center"/>
              <w:rPr>
                <w:rFonts w:ascii="Arial" w:hAnsi="Arial" w:cs="Arial"/>
                <w:szCs w:val="22"/>
              </w:rPr>
            </w:pPr>
          </w:p>
        </w:tc>
        <w:tc>
          <w:tcPr>
            <w:tcW w:w="559" w:type="dxa"/>
            <w:tcBorders>
              <w:left w:val="single" w:sz="4" w:space="0" w:color="auto"/>
              <w:bottom w:val="single" w:sz="4" w:space="0" w:color="auto"/>
            </w:tcBorders>
            <w:shd w:val="clear" w:color="auto" w:fill="F3F9FA"/>
            <w:vAlign w:val="center"/>
          </w:tcPr>
          <w:p w14:paraId="7B1B2AFB"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5C4CD1D3"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0A1A6233"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3135EA23"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7C640F9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single" w:sz="4" w:space="0" w:color="auto"/>
              <w:right w:val="nil"/>
            </w:tcBorders>
            <w:shd w:val="clear" w:color="auto" w:fill="F3F9FA"/>
            <w:vAlign w:val="center"/>
          </w:tcPr>
          <w:p w14:paraId="25B7DE24" w14:textId="77777777" w:rsidR="00125698" w:rsidRPr="00CB093C" w:rsidRDefault="00125698" w:rsidP="003816AC">
            <w:pPr>
              <w:spacing w:before="0" w:after="0"/>
              <w:jc w:val="center"/>
              <w:rPr>
                <w:rFonts w:ascii="Arial" w:hAnsi="Arial" w:cs="Arial"/>
                <w:szCs w:val="22"/>
              </w:rPr>
            </w:pPr>
          </w:p>
        </w:tc>
      </w:tr>
      <w:tr w:rsidR="00125698" w:rsidRPr="00CB093C" w14:paraId="5B98ABEC" w14:textId="77777777" w:rsidTr="00F558BA">
        <w:trPr>
          <w:gridAfter w:val="1"/>
          <w:wAfter w:w="10" w:type="dxa"/>
          <w:cantSplit/>
          <w:trHeight w:val="170"/>
          <w:jc w:val="center"/>
        </w:trPr>
        <w:tc>
          <w:tcPr>
            <w:tcW w:w="1148" w:type="dxa"/>
            <w:vMerge/>
            <w:tcBorders>
              <w:left w:val="nil"/>
              <w:right w:val="nil"/>
            </w:tcBorders>
            <w:vAlign w:val="center"/>
          </w:tcPr>
          <w:p w14:paraId="2264F2C6"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shd w:val="clear" w:color="auto" w:fill="F3F9FA"/>
            <w:noWrap/>
            <w:vAlign w:val="center"/>
          </w:tcPr>
          <w:p w14:paraId="15C24AC2" w14:textId="77777777" w:rsidR="00125698" w:rsidRPr="00CB093C" w:rsidRDefault="00125698" w:rsidP="003816AC">
            <w:pPr>
              <w:spacing w:before="0" w:after="0"/>
              <w:jc w:val="center"/>
              <w:rPr>
                <w:rFonts w:ascii="Arial" w:hAnsi="Arial" w:cs="Arial"/>
                <w:color w:val="000000"/>
                <w:szCs w:val="22"/>
              </w:rPr>
            </w:pPr>
          </w:p>
        </w:tc>
        <w:tc>
          <w:tcPr>
            <w:tcW w:w="1299" w:type="dxa"/>
            <w:vMerge w:val="restart"/>
            <w:tcBorders>
              <w:top w:val="single" w:sz="4" w:space="0" w:color="auto"/>
              <w:left w:val="nil"/>
              <w:right w:val="nil"/>
            </w:tcBorders>
            <w:shd w:val="clear" w:color="auto" w:fill="F3F9FA"/>
            <w:vAlign w:val="center"/>
          </w:tcPr>
          <w:p w14:paraId="59BAAA20"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Proserpine</w:t>
            </w:r>
          </w:p>
        </w:tc>
        <w:tc>
          <w:tcPr>
            <w:tcW w:w="1307" w:type="dxa"/>
            <w:vMerge w:val="restart"/>
            <w:tcBorders>
              <w:top w:val="single" w:sz="4" w:space="0" w:color="auto"/>
              <w:left w:val="nil"/>
              <w:right w:val="nil"/>
            </w:tcBorders>
            <w:shd w:val="clear" w:color="auto" w:fill="F3F9FA"/>
            <w:noWrap/>
            <w:vAlign w:val="center"/>
          </w:tcPr>
          <w:p w14:paraId="691D698F"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Pioneer Bay</w:t>
            </w:r>
          </w:p>
        </w:tc>
        <w:tc>
          <w:tcPr>
            <w:tcW w:w="840" w:type="dxa"/>
            <w:tcBorders>
              <w:top w:val="single" w:sz="4" w:space="0" w:color="auto"/>
              <w:left w:val="nil"/>
              <w:right w:val="nil"/>
            </w:tcBorders>
            <w:shd w:val="clear" w:color="auto" w:fill="F3F9FA"/>
            <w:noWrap/>
            <w:vAlign w:val="center"/>
          </w:tcPr>
          <w:p w14:paraId="28678E48"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PI2</w:t>
            </w:r>
          </w:p>
        </w:tc>
        <w:tc>
          <w:tcPr>
            <w:tcW w:w="555" w:type="dxa"/>
            <w:tcBorders>
              <w:top w:val="single" w:sz="4" w:space="0" w:color="auto"/>
              <w:left w:val="nil"/>
              <w:right w:val="nil"/>
            </w:tcBorders>
            <w:shd w:val="clear" w:color="auto" w:fill="F3F9FA"/>
            <w:vAlign w:val="center"/>
          </w:tcPr>
          <w:p w14:paraId="27CA393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tcPr>
          <w:p w14:paraId="1402FE9B"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tcPr>
          <w:p w14:paraId="51EE362E" w14:textId="77777777" w:rsidR="00125698" w:rsidRPr="00CB093C" w:rsidRDefault="00125698" w:rsidP="003816AC">
            <w:pPr>
              <w:spacing w:before="0" w:after="0"/>
              <w:jc w:val="center"/>
              <w:rPr>
                <w:rFonts w:ascii="Arial" w:hAnsi="Arial" w:cs="Arial"/>
                <w:szCs w:val="22"/>
              </w:rPr>
            </w:pPr>
          </w:p>
        </w:tc>
        <w:tc>
          <w:tcPr>
            <w:tcW w:w="536" w:type="dxa"/>
            <w:tcBorders>
              <w:top w:val="single" w:sz="4" w:space="0" w:color="auto"/>
              <w:left w:val="nil"/>
              <w:right w:val="nil"/>
            </w:tcBorders>
            <w:shd w:val="clear" w:color="auto" w:fill="F3F9FA"/>
            <w:vAlign w:val="center"/>
          </w:tcPr>
          <w:p w14:paraId="3AA1738E" w14:textId="77777777" w:rsidR="00125698" w:rsidRPr="00CB093C" w:rsidRDefault="00125698"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F3F9FA"/>
            <w:vAlign w:val="center"/>
          </w:tcPr>
          <w:p w14:paraId="5EDAD731" w14:textId="77777777" w:rsidR="00125698" w:rsidRPr="00CB093C" w:rsidRDefault="00125698" w:rsidP="003816AC">
            <w:pPr>
              <w:spacing w:before="0" w:after="0"/>
              <w:jc w:val="center"/>
              <w:rPr>
                <w:rFonts w:ascii="Arial" w:hAnsi="Arial" w:cs="Arial"/>
                <w:szCs w:val="22"/>
              </w:rPr>
            </w:pPr>
          </w:p>
        </w:tc>
        <w:tc>
          <w:tcPr>
            <w:tcW w:w="529" w:type="dxa"/>
            <w:tcBorders>
              <w:top w:val="single" w:sz="4" w:space="0" w:color="auto"/>
              <w:left w:val="nil"/>
              <w:right w:val="nil"/>
            </w:tcBorders>
            <w:shd w:val="clear" w:color="auto" w:fill="F3F9FA"/>
            <w:vAlign w:val="center"/>
          </w:tcPr>
          <w:p w14:paraId="0C7E4D05"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tcPr>
          <w:p w14:paraId="645D609A"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tcPr>
          <w:p w14:paraId="6D4FDF17"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tcPr>
          <w:p w14:paraId="2C2E6BD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tcPr>
          <w:p w14:paraId="0BEB1183"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540B873C"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594FEEE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tcPr>
          <w:p w14:paraId="6A8DC3AD" w14:textId="77777777" w:rsidR="00125698" w:rsidRPr="00CB093C" w:rsidRDefault="00125698" w:rsidP="003816AC">
            <w:pPr>
              <w:spacing w:before="0" w:after="0"/>
              <w:jc w:val="center"/>
              <w:rPr>
                <w:rFonts w:ascii="Arial" w:hAnsi="Arial" w:cs="Arial"/>
                <w:szCs w:val="22"/>
              </w:rPr>
            </w:pPr>
          </w:p>
        </w:tc>
      </w:tr>
      <w:tr w:rsidR="00125698" w:rsidRPr="00CB093C" w14:paraId="6FA2D5E5" w14:textId="77777777" w:rsidTr="00F558BA">
        <w:trPr>
          <w:gridAfter w:val="1"/>
          <w:wAfter w:w="10" w:type="dxa"/>
          <w:cantSplit/>
          <w:trHeight w:val="170"/>
          <w:jc w:val="center"/>
        </w:trPr>
        <w:tc>
          <w:tcPr>
            <w:tcW w:w="1148" w:type="dxa"/>
            <w:vMerge/>
            <w:tcBorders>
              <w:left w:val="nil"/>
              <w:right w:val="nil"/>
            </w:tcBorders>
            <w:vAlign w:val="center"/>
          </w:tcPr>
          <w:p w14:paraId="0B08620A"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shd w:val="clear" w:color="auto" w:fill="F3F9FA"/>
            <w:noWrap/>
            <w:vAlign w:val="center"/>
          </w:tcPr>
          <w:p w14:paraId="5BA5E349" w14:textId="77777777" w:rsidR="00125698" w:rsidRPr="00CB093C" w:rsidRDefault="00125698" w:rsidP="003816AC">
            <w:pPr>
              <w:spacing w:before="0" w:after="0"/>
              <w:jc w:val="center"/>
              <w:rPr>
                <w:rFonts w:ascii="Arial" w:hAnsi="Arial" w:cs="Arial"/>
                <w:color w:val="000000"/>
                <w:szCs w:val="22"/>
              </w:rPr>
            </w:pPr>
          </w:p>
        </w:tc>
        <w:tc>
          <w:tcPr>
            <w:tcW w:w="1299" w:type="dxa"/>
            <w:vMerge/>
            <w:tcBorders>
              <w:left w:val="nil"/>
              <w:bottom w:val="nil"/>
              <w:right w:val="nil"/>
            </w:tcBorders>
            <w:shd w:val="clear" w:color="auto" w:fill="F3F9FA"/>
            <w:vAlign w:val="center"/>
          </w:tcPr>
          <w:p w14:paraId="060D5691" w14:textId="77777777" w:rsidR="00125698" w:rsidRPr="00CB093C" w:rsidRDefault="00125698" w:rsidP="003816AC">
            <w:pPr>
              <w:spacing w:before="0" w:after="0"/>
              <w:jc w:val="center"/>
              <w:rPr>
                <w:rFonts w:ascii="Arial" w:hAnsi="Arial" w:cs="Arial"/>
                <w:color w:val="000000"/>
                <w:szCs w:val="22"/>
              </w:rPr>
            </w:pPr>
          </w:p>
        </w:tc>
        <w:tc>
          <w:tcPr>
            <w:tcW w:w="1307" w:type="dxa"/>
            <w:vMerge/>
            <w:tcBorders>
              <w:left w:val="nil"/>
              <w:bottom w:val="single" w:sz="4" w:space="0" w:color="auto"/>
              <w:right w:val="nil"/>
            </w:tcBorders>
            <w:shd w:val="clear" w:color="auto" w:fill="F3F9FA"/>
            <w:noWrap/>
            <w:vAlign w:val="center"/>
          </w:tcPr>
          <w:p w14:paraId="48BEB37F" w14:textId="77777777" w:rsidR="00125698" w:rsidRPr="00CB093C" w:rsidRDefault="00125698" w:rsidP="003816AC">
            <w:pPr>
              <w:spacing w:before="0" w:after="0"/>
              <w:jc w:val="center"/>
              <w:rPr>
                <w:rFonts w:ascii="Arial" w:hAnsi="Arial" w:cs="Arial"/>
                <w:color w:val="000000"/>
                <w:szCs w:val="22"/>
              </w:rPr>
            </w:pPr>
          </w:p>
        </w:tc>
        <w:tc>
          <w:tcPr>
            <w:tcW w:w="840" w:type="dxa"/>
            <w:tcBorders>
              <w:left w:val="nil"/>
              <w:bottom w:val="single" w:sz="4" w:space="0" w:color="auto"/>
            </w:tcBorders>
            <w:shd w:val="clear" w:color="auto" w:fill="F3F9FA"/>
            <w:noWrap/>
            <w:vAlign w:val="center"/>
          </w:tcPr>
          <w:p w14:paraId="56F8D92A"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PI3</w:t>
            </w:r>
          </w:p>
        </w:tc>
        <w:tc>
          <w:tcPr>
            <w:tcW w:w="555" w:type="dxa"/>
            <w:tcBorders>
              <w:bottom w:val="single" w:sz="4" w:space="0" w:color="auto"/>
            </w:tcBorders>
            <w:shd w:val="clear" w:color="auto" w:fill="F3F9FA"/>
            <w:vAlign w:val="center"/>
          </w:tcPr>
          <w:p w14:paraId="23B00BC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single" w:sz="4" w:space="0" w:color="auto"/>
            </w:tcBorders>
            <w:shd w:val="clear" w:color="auto" w:fill="F3F9FA"/>
            <w:noWrap/>
            <w:vAlign w:val="center"/>
          </w:tcPr>
          <w:p w14:paraId="33C0C43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single" w:sz="4" w:space="0" w:color="auto"/>
            </w:tcBorders>
            <w:shd w:val="clear" w:color="auto" w:fill="F3F9FA"/>
            <w:noWrap/>
            <w:vAlign w:val="center"/>
          </w:tcPr>
          <w:p w14:paraId="0534FDB4" w14:textId="77777777" w:rsidR="00125698" w:rsidRPr="00CB093C" w:rsidRDefault="00125698" w:rsidP="003816AC">
            <w:pPr>
              <w:spacing w:before="0" w:after="0"/>
              <w:jc w:val="center"/>
              <w:rPr>
                <w:rFonts w:ascii="Arial" w:hAnsi="Arial" w:cs="Arial"/>
                <w:szCs w:val="22"/>
              </w:rPr>
            </w:pPr>
          </w:p>
        </w:tc>
        <w:tc>
          <w:tcPr>
            <w:tcW w:w="536" w:type="dxa"/>
            <w:tcBorders>
              <w:bottom w:val="single" w:sz="4" w:space="0" w:color="auto"/>
            </w:tcBorders>
            <w:shd w:val="clear" w:color="auto" w:fill="F3F9FA"/>
            <w:vAlign w:val="center"/>
          </w:tcPr>
          <w:p w14:paraId="5CF595F1" w14:textId="77777777" w:rsidR="00125698" w:rsidRPr="00CB093C" w:rsidRDefault="00125698" w:rsidP="003816AC">
            <w:pPr>
              <w:spacing w:before="0" w:after="0"/>
              <w:jc w:val="center"/>
              <w:rPr>
                <w:rFonts w:ascii="Arial" w:hAnsi="Arial" w:cs="Arial"/>
                <w:szCs w:val="22"/>
              </w:rPr>
            </w:pPr>
          </w:p>
        </w:tc>
        <w:tc>
          <w:tcPr>
            <w:tcW w:w="540" w:type="dxa"/>
            <w:tcBorders>
              <w:bottom w:val="single" w:sz="4" w:space="0" w:color="auto"/>
            </w:tcBorders>
            <w:shd w:val="clear" w:color="auto" w:fill="F3F9FA"/>
            <w:vAlign w:val="center"/>
          </w:tcPr>
          <w:p w14:paraId="54861731" w14:textId="77777777" w:rsidR="00125698" w:rsidRPr="00CB093C" w:rsidRDefault="00125698" w:rsidP="003816AC">
            <w:pPr>
              <w:spacing w:before="0" w:after="0"/>
              <w:jc w:val="center"/>
              <w:rPr>
                <w:rFonts w:ascii="Arial" w:hAnsi="Arial" w:cs="Arial"/>
                <w:szCs w:val="22"/>
              </w:rPr>
            </w:pPr>
          </w:p>
        </w:tc>
        <w:tc>
          <w:tcPr>
            <w:tcW w:w="529" w:type="dxa"/>
            <w:tcBorders>
              <w:bottom w:val="single" w:sz="4" w:space="0" w:color="auto"/>
            </w:tcBorders>
            <w:shd w:val="clear" w:color="auto" w:fill="F3F9FA"/>
            <w:vAlign w:val="center"/>
          </w:tcPr>
          <w:p w14:paraId="3734881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single" w:sz="4" w:space="0" w:color="auto"/>
              <w:right w:val="single" w:sz="4" w:space="0" w:color="auto"/>
            </w:tcBorders>
            <w:shd w:val="clear" w:color="auto" w:fill="F3F9FA"/>
            <w:vAlign w:val="center"/>
          </w:tcPr>
          <w:p w14:paraId="7554E923" w14:textId="77777777" w:rsidR="00125698" w:rsidRPr="00CB093C" w:rsidRDefault="00125698" w:rsidP="003816AC">
            <w:pPr>
              <w:spacing w:before="0" w:after="0"/>
              <w:jc w:val="center"/>
              <w:rPr>
                <w:rFonts w:ascii="Arial" w:hAnsi="Arial" w:cs="Arial"/>
                <w:szCs w:val="22"/>
              </w:rPr>
            </w:pPr>
          </w:p>
        </w:tc>
        <w:tc>
          <w:tcPr>
            <w:tcW w:w="559" w:type="dxa"/>
            <w:tcBorders>
              <w:left w:val="single" w:sz="4" w:space="0" w:color="auto"/>
              <w:bottom w:val="single" w:sz="4" w:space="0" w:color="auto"/>
            </w:tcBorders>
            <w:shd w:val="clear" w:color="auto" w:fill="F3F9FA"/>
            <w:vAlign w:val="center"/>
          </w:tcPr>
          <w:p w14:paraId="5580D24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single" w:sz="4" w:space="0" w:color="auto"/>
            </w:tcBorders>
            <w:shd w:val="clear" w:color="auto" w:fill="F3F9FA"/>
            <w:vAlign w:val="center"/>
          </w:tcPr>
          <w:p w14:paraId="4A10FE6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single" w:sz="4" w:space="0" w:color="auto"/>
            </w:tcBorders>
            <w:shd w:val="clear" w:color="auto" w:fill="F3F9FA"/>
            <w:vAlign w:val="center"/>
          </w:tcPr>
          <w:p w14:paraId="08FDCB15"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0B64A78B"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2F7C3AD7"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single" w:sz="4" w:space="0" w:color="auto"/>
              <w:right w:val="nil"/>
            </w:tcBorders>
            <w:shd w:val="clear" w:color="auto" w:fill="F3F9FA"/>
            <w:vAlign w:val="center"/>
          </w:tcPr>
          <w:p w14:paraId="4BEA1E8D" w14:textId="77777777" w:rsidR="00125698" w:rsidRPr="00CB093C" w:rsidRDefault="00125698" w:rsidP="003816AC">
            <w:pPr>
              <w:spacing w:before="0" w:after="0"/>
              <w:jc w:val="center"/>
              <w:rPr>
                <w:rFonts w:ascii="Arial" w:hAnsi="Arial" w:cs="Arial"/>
                <w:szCs w:val="22"/>
              </w:rPr>
            </w:pPr>
          </w:p>
        </w:tc>
      </w:tr>
      <w:tr w:rsidR="00125698" w:rsidRPr="00CB093C" w14:paraId="38617546" w14:textId="77777777" w:rsidTr="00F558BA">
        <w:trPr>
          <w:gridAfter w:val="1"/>
          <w:wAfter w:w="10" w:type="dxa"/>
          <w:cantSplit/>
          <w:trHeight w:val="170"/>
          <w:jc w:val="center"/>
        </w:trPr>
        <w:tc>
          <w:tcPr>
            <w:tcW w:w="1148" w:type="dxa"/>
            <w:vMerge/>
            <w:tcBorders>
              <w:left w:val="nil"/>
              <w:right w:val="nil"/>
            </w:tcBorders>
            <w:vAlign w:val="center"/>
          </w:tcPr>
          <w:p w14:paraId="2B7BF4FA" w14:textId="77777777" w:rsidR="00125698" w:rsidRPr="00CB093C" w:rsidRDefault="00125698" w:rsidP="00035C35">
            <w:pPr>
              <w:spacing w:before="0" w:after="0"/>
              <w:rPr>
                <w:rFonts w:ascii="Arial" w:hAnsi="Arial" w:cs="Arial"/>
                <w:color w:val="000000"/>
                <w:szCs w:val="22"/>
              </w:rPr>
            </w:pPr>
          </w:p>
        </w:tc>
        <w:tc>
          <w:tcPr>
            <w:tcW w:w="1294" w:type="dxa"/>
            <w:vMerge/>
            <w:tcBorders>
              <w:left w:val="nil"/>
              <w:right w:val="nil"/>
            </w:tcBorders>
            <w:shd w:val="clear" w:color="auto" w:fill="F3F9FA"/>
            <w:noWrap/>
            <w:vAlign w:val="center"/>
          </w:tcPr>
          <w:p w14:paraId="4D71EFCA" w14:textId="77777777" w:rsidR="00125698" w:rsidRPr="00CB093C" w:rsidRDefault="00125698" w:rsidP="00035C35">
            <w:pPr>
              <w:spacing w:before="0" w:after="0"/>
              <w:jc w:val="center"/>
              <w:rPr>
                <w:rFonts w:ascii="Arial" w:hAnsi="Arial" w:cs="Arial"/>
                <w:color w:val="000000"/>
                <w:szCs w:val="22"/>
              </w:rPr>
            </w:pPr>
          </w:p>
        </w:tc>
        <w:tc>
          <w:tcPr>
            <w:tcW w:w="1299" w:type="dxa"/>
            <w:vMerge w:val="restart"/>
            <w:tcBorders>
              <w:top w:val="single" w:sz="4" w:space="0" w:color="auto"/>
              <w:left w:val="nil"/>
              <w:right w:val="nil"/>
            </w:tcBorders>
            <w:shd w:val="clear" w:color="auto" w:fill="F3F9FA"/>
            <w:vAlign w:val="center"/>
          </w:tcPr>
          <w:p w14:paraId="2708F179" w14:textId="37874D23" w:rsidR="00125698" w:rsidRPr="00CB093C" w:rsidRDefault="00125698" w:rsidP="00035C35">
            <w:pPr>
              <w:spacing w:before="0" w:after="0"/>
              <w:jc w:val="center"/>
              <w:rPr>
                <w:rFonts w:ascii="Arial" w:hAnsi="Arial" w:cs="Arial"/>
                <w:color w:val="000000"/>
                <w:szCs w:val="22"/>
              </w:rPr>
            </w:pPr>
            <w:r w:rsidRPr="00CB093C">
              <w:rPr>
                <w:rFonts w:ascii="Arial" w:hAnsi="Arial" w:cs="Arial"/>
                <w:color w:val="000000"/>
                <w:szCs w:val="22"/>
              </w:rPr>
              <w:t>Proserpine / O’Connell</w:t>
            </w:r>
          </w:p>
        </w:tc>
        <w:tc>
          <w:tcPr>
            <w:tcW w:w="1307" w:type="dxa"/>
            <w:vMerge w:val="restart"/>
            <w:tcBorders>
              <w:top w:val="single" w:sz="4" w:space="0" w:color="auto"/>
              <w:left w:val="nil"/>
            </w:tcBorders>
            <w:shd w:val="clear" w:color="auto" w:fill="F3F9FA"/>
            <w:noWrap/>
            <w:vAlign w:val="center"/>
          </w:tcPr>
          <w:p w14:paraId="1D2487AD" w14:textId="10594643" w:rsidR="00125698" w:rsidRPr="00CB093C" w:rsidRDefault="00125698" w:rsidP="00035C35">
            <w:pPr>
              <w:spacing w:before="0" w:after="0"/>
              <w:jc w:val="center"/>
              <w:rPr>
                <w:rFonts w:ascii="Arial" w:hAnsi="Arial" w:cs="Arial"/>
                <w:color w:val="000000"/>
                <w:szCs w:val="22"/>
              </w:rPr>
            </w:pPr>
            <w:r w:rsidRPr="00CB093C">
              <w:rPr>
                <w:rFonts w:ascii="Arial" w:hAnsi="Arial" w:cs="Arial"/>
                <w:color w:val="000000"/>
                <w:szCs w:val="22"/>
              </w:rPr>
              <w:t>Lindeman Island</w:t>
            </w:r>
          </w:p>
        </w:tc>
        <w:tc>
          <w:tcPr>
            <w:tcW w:w="840" w:type="dxa"/>
            <w:tcBorders>
              <w:top w:val="single" w:sz="4" w:space="0" w:color="auto"/>
            </w:tcBorders>
            <w:shd w:val="clear" w:color="auto" w:fill="F3F9FA"/>
            <w:noWrap/>
            <w:vAlign w:val="center"/>
          </w:tcPr>
          <w:p w14:paraId="1D75ADB9" w14:textId="3D2D1F1D" w:rsidR="00125698" w:rsidRPr="00CB093C" w:rsidRDefault="00125698" w:rsidP="00035C35">
            <w:pPr>
              <w:spacing w:before="0" w:after="0"/>
              <w:jc w:val="center"/>
              <w:rPr>
                <w:rFonts w:ascii="Arial" w:hAnsi="Arial" w:cs="Arial"/>
                <w:b/>
                <w:color w:val="000000"/>
                <w:szCs w:val="22"/>
              </w:rPr>
            </w:pPr>
            <w:r w:rsidRPr="00CB093C">
              <w:rPr>
                <w:rFonts w:ascii="Arial" w:hAnsi="Arial" w:cs="Arial"/>
                <w:b/>
                <w:color w:val="000000"/>
                <w:szCs w:val="22"/>
              </w:rPr>
              <w:t>LN1^</w:t>
            </w:r>
          </w:p>
        </w:tc>
        <w:tc>
          <w:tcPr>
            <w:tcW w:w="555" w:type="dxa"/>
            <w:tcBorders>
              <w:top w:val="single" w:sz="4" w:space="0" w:color="auto"/>
            </w:tcBorders>
            <w:shd w:val="clear" w:color="auto" w:fill="F3F9FA"/>
            <w:vAlign w:val="center"/>
          </w:tcPr>
          <w:p w14:paraId="46965CB0" w14:textId="070247BD" w:rsidR="00125698" w:rsidRPr="00CB093C" w:rsidRDefault="00125698" w:rsidP="00035C35">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tcBorders>
            <w:shd w:val="clear" w:color="auto" w:fill="F3F9FA"/>
            <w:noWrap/>
            <w:vAlign w:val="center"/>
          </w:tcPr>
          <w:p w14:paraId="116E948C" w14:textId="7D86CE0F" w:rsidR="00125698" w:rsidRPr="00CB093C" w:rsidRDefault="00125698" w:rsidP="00035C35">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tcBorders>
            <w:shd w:val="clear" w:color="auto" w:fill="F3F9FA"/>
            <w:noWrap/>
            <w:vAlign w:val="center"/>
          </w:tcPr>
          <w:p w14:paraId="5A4572B5" w14:textId="379C22B1" w:rsidR="00125698" w:rsidRPr="00CB093C" w:rsidRDefault="00125698" w:rsidP="00035C35">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tcBorders>
            <w:shd w:val="clear" w:color="auto" w:fill="F3F9FA"/>
            <w:vAlign w:val="center"/>
          </w:tcPr>
          <w:p w14:paraId="354E7E45" w14:textId="7BEBA2E9"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tcBorders>
            <w:shd w:val="clear" w:color="auto" w:fill="F3F9FA"/>
            <w:vAlign w:val="center"/>
          </w:tcPr>
          <w:p w14:paraId="1F4EE1DA" w14:textId="19D5B0D8" w:rsidR="00125698" w:rsidRPr="00CB093C" w:rsidRDefault="00125698" w:rsidP="00035C35">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tcBorders>
            <w:shd w:val="clear" w:color="auto" w:fill="F3F9FA"/>
            <w:vAlign w:val="center"/>
          </w:tcPr>
          <w:p w14:paraId="303B384C" w14:textId="35EE0D09"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right w:val="single" w:sz="4" w:space="0" w:color="auto"/>
            </w:tcBorders>
            <w:shd w:val="clear" w:color="auto" w:fill="F3F9FA"/>
            <w:vAlign w:val="center"/>
          </w:tcPr>
          <w:p w14:paraId="6AEB75C0" w14:textId="0876DF73"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tcBorders>
            <w:shd w:val="clear" w:color="auto" w:fill="F3F9FA"/>
            <w:vAlign w:val="center"/>
          </w:tcPr>
          <w:p w14:paraId="66114527" w14:textId="5366F5B3" w:rsidR="00125698" w:rsidRPr="00CB093C" w:rsidRDefault="00125698" w:rsidP="00035C35">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tcBorders>
            <w:shd w:val="clear" w:color="auto" w:fill="F3F9FA"/>
            <w:vAlign w:val="center"/>
          </w:tcPr>
          <w:p w14:paraId="3F96D37E" w14:textId="2FECB356" w:rsidR="00125698" w:rsidRPr="00CB093C" w:rsidRDefault="00125698" w:rsidP="00035C35">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tcBorders>
            <w:shd w:val="clear" w:color="auto" w:fill="F3F9FA"/>
            <w:vAlign w:val="center"/>
          </w:tcPr>
          <w:p w14:paraId="183C58F3" w14:textId="26A8C5E2"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tcBorders>
            <w:shd w:val="clear" w:color="auto" w:fill="F3F9FA"/>
            <w:vAlign w:val="center"/>
          </w:tcPr>
          <w:p w14:paraId="5E2D2363" w14:textId="33BC2833" w:rsidR="00125698" w:rsidRPr="00CB093C" w:rsidRDefault="00125698" w:rsidP="00035C35">
            <w:pPr>
              <w:spacing w:before="0" w:after="0"/>
              <w:jc w:val="center"/>
              <w:rPr>
                <w:rFonts w:ascii="Arial" w:hAnsi="Arial" w:cs="Arial"/>
                <w:szCs w:val="22"/>
              </w:rPr>
            </w:pPr>
            <w:r w:rsidRPr="00CB093C">
              <w:rPr>
                <w:rFonts w:ascii="Arial" w:hAnsi="Arial" w:cs="Arial"/>
                <w:szCs w:val="22"/>
              </w:rPr>
              <w:t>15</w:t>
            </w:r>
          </w:p>
        </w:tc>
        <w:tc>
          <w:tcPr>
            <w:tcW w:w="559" w:type="dxa"/>
            <w:tcBorders>
              <w:top w:val="single" w:sz="4" w:space="0" w:color="auto"/>
            </w:tcBorders>
            <w:shd w:val="clear" w:color="auto" w:fill="F3F9FA"/>
            <w:vAlign w:val="center"/>
          </w:tcPr>
          <w:p w14:paraId="04B38740" w14:textId="545EEFBD"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right w:val="nil"/>
            </w:tcBorders>
            <w:shd w:val="clear" w:color="auto" w:fill="F3F9FA"/>
            <w:vAlign w:val="center"/>
          </w:tcPr>
          <w:p w14:paraId="76586682" w14:textId="591FFCE0"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r>
      <w:tr w:rsidR="00125698" w:rsidRPr="00CB093C" w14:paraId="7F5F7080" w14:textId="77777777" w:rsidTr="00F558BA">
        <w:trPr>
          <w:gridAfter w:val="1"/>
          <w:wAfter w:w="10" w:type="dxa"/>
          <w:cantSplit/>
          <w:trHeight w:val="170"/>
          <w:jc w:val="center"/>
        </w:trPr>
        <w:tc>
          <w:tcPr>
            <w:tcW w:w="1148" w:type="dxa"/>
            <w:vMerge/>
            <w:tcBorders>
              <w:left w:val="nil"/>
              <w:right w:val="nil"/>
            </w:tcBorders>
            <w:vAlign w:val="center"/>
          </w:tcPr>
          <w:p w14:paraId="0DDCD593" w14:textId="77777777" w:rsidR="00125698" w:rsidRPr="00CB093C" w:rsidRDefault="00125698" w:rsidP="00035C35">
            <w:pPr>
              <w:spacing w:before="0" w:after="0"/>
              <w:rPr>
                <w:rFonts w:ascii="Arial" w:hAnsi="Arial" w:cs="Arial"/>
                <w:color w:val="000000"/>
                <w:szCs w:val="22"/>
              </w:rPr>
            </w:pPr>
          </w:p>
        </w:tc>
        <w:tc>
          <w:tcPr>
            <w:tcW w:w="1294" w:type="dxa"/>
            <w:vMerge/>
            <w:tcBorders>
              <w:left w:val="nil"/>
              <w:right w:val="nil"/>
            </w:tcBorders>
            <w:shd w:val="clear" w:color="auto" w:fill="F3F9FA"/>
            <w:noWrap/>
            <w:vAlign w:val="center"/>
          </w:tcPr>
          <w:p w14:paraId="6BFA2564" w14:textId="77777777" w:rsidR="00125698" w:rsidRPr="00CB093C" w:rsidRDefault="00125698" w:rsidP="00035C35">
            <w:pPr>
              <w:spacing w:before="0" w:after="0"/>
              <w:jc w:val="center"/>
              <w:rPr>
                <w:rFonts w:ascii="Arial" w:hAnsi="Arial" w:cs="Arial"/>
                <w:color w:val="000000"/>
                <w:szCs w:val="22"/>
              </w:rPr>
            </w:pPr>
          </w:p>
        </w:tc>
        <w:tc>
          <w:tcPr>
            <w:tcW w:w="1299" w:type="dxa"/>
            <w:vMerge/>
            <w:tcBorders>
              <w:left w:val="nil"/>
              <w:right w:val="nil"/>
            </w:tcBorders>
            <w:shd w:val="clear" w:color="auto" w:fill="F3F9FA"/>
            <w:vAlign w:val="center"/>
          </w:tcPr>
          <w:p w14:paraId="767967FC" w14:textId="698F3F96" w:rsidR="00125698" w:rsidRPr="00CB093C" w:rsidRDefault="00125698" w:rsidP="00035C35">
            <w:pPr>
              <w:spacing w:before="0" w:after="0"/>
              <w:jc w:val="center"/>
              <w:rPr>
                <w:rFonts w:ascii="Arial" w:hAnsi="Arial" w:cs="Arial"/>
                <w:color w:val="000000"/>
                <w:szCs w:val="22"/>
              </w:rPr>
            </w:pPr>
          </w:p>
        </w:tc>
        <w:tc>
          <w:tcPr>
            <w:tcW w:w="1307" w:type="dxa"/>
            <w:vMerge/>
            <w:tcBorders>
              <w:left w:val="nil"/>
              <w:bottom w:val="nil"/>
            </w:tcBorders>
            <w:shd w:val="clear" w:color="auto" w:fill="F3F9FA"/>
            <w:noWrap/>
            <w:vAlign w:val="center"/>
          </w:tcPr>
          <w:p w14:paraId="2A9715BA" w14:textId="77777777" w:rsidR="00125698" w:rsidRPr="00CB093C" w:rsidRDefault="00125698" w:rsidP="00035C35">
            <w:pPr>
              <w:spacing w:before="0" w:after="0"/>
              <w:jc w:val="center"/>
              <w:rPr>
                <w:rFonts w:ascii="Arial" w:hAnsi="Arial" w:cs="Arial"/>
                <w:color w:val="000000"/>
                <w:szCs w:val="22"/>
              </w:rPr>
            </w:pPr>
          </w:p>
        </w:tc>
        <w:tc>
          <w:tcPr>
            <w:tcW w:w="840" w:type="dxa"/>
            <w:shd w:val="clear" w:color="auto" w:fill="F3F9FA"/>
            <w:noWrap/>
            <w:vAlign w:val="center"/>
          </w:tcPr>
          <w:p w14:paraId="012938B2" w14:textId="27B83703" w:rsidR="00125698" w:rsidRPr="00CB093C" w:rsidRDefault="00125698" w:rsidP="00035C35">
            <w:pPr>
              <w:spacing w:before="0" w:after="0"/>
              <w:jc w:val="center"/>
              <w:rPr>
                <w:rFonts w:ascii="Arial" w:hAnsi="Arial" w:cs="Arial"/>
                <w:b/>
                <w:color w:val="000000"/>
                <w:szCs w:val="22"/>
              </w:rPr>
            </w:pPr>
            <w:r w:rsidRPr="00CB093C">
              <w:rPr>
                <w:rFonts w:ascii="Arial" w:hAnsi="Arial" w:cs="Arial"/>
                <w:b/>
                <w:color w:val="000000"/>
                <w:szCs w:val="22"/>
              </w:rPr>
              <w:t>LN2^</w:t>
            </w:r>
          </w:p>
        </w:tc>
        <w:tc>
          <w:tcPr>
            <w:tcW w:w="555" w:type="dxa"/>
            <w:shd w:val="clear" w:color="auto" w:fill="F3F9FA"/>
            <w:vAlign w:val="center"/>
          </w:tcPr>
          <w:p w14:paraId="2570BA04" w14:textId="22A538A7" w:rsidR="00125698" w:rsidRPr="00CB093C" w:rsidRDefault="00125698" w:rsidP="00035C35">
            <w:pPr>
              <w:spacing w:before="0" w:after="0"/>
              <w:jc w:val="center"/>
              <w:rPr>
                <w:rFonts w:ascii="Arial" w:hAnsi="Arial" w:cs="Arial"/>
                <w:szCs w:val="22"/>
              </w:rPr>
            </w:pPr>
            <w:r w:rsidRPr="00CB093C">
              <w:rPr>
                <w:rFonts w:ascii="Arial" w:hAnsi="Arial" w:cs="Arial"/>
                <w:szCs w:val="22"/>
              </w:rPr>
              <w:t>33</w:t>
            </w:r>
          </w:p>
        </w:tc>
        <w:tc>
          <w:tcPr>
            <w:tcW w:w="543" w:type="dxa"/>
            <w:shd w:val="clear" w:color="auto" w:fill="F3F9FA"/>
            <w:noWrap/>
            <w:vAlign w:val="center"/>
          </w:tcPr>
          <w:p w14:paraId="709CEB84" w14:textId="377B203B" w:rsidR="00125698" w:rsidRPr="00CB093C" w:rsidRDefault="00125698" w:rsidP="00035C35">
            <w:pPr>
              <w:spacing w:before="0" w:after="0"/>
              <w:jc w:val="center"/>
              <w:rPr>
                <w:rFonts w:ascii="Arial" w:hAnsi="Arial" w:cs="Arial"/>
                <w:szCs w:val="22"/>
              </w:rPr>
            </w:pPr>
            <w:r w:rsidRPr="00CB093C">
              <w:rPr>
                <w:rFonts w:ascii="Arial" w:hAnsi="Arial" w:cs="Arial"/>
                <w:szCs w:val="22"/>
              </w:rPr>
              <w:t>30</w:t>
            </w:r>
          </w:p>
        </w:tc>
        <w:tc>
          <w:tcPr>
            <w:tcW w:w="540" w:type="dxa"/>
            <w:shd w:val="clear" w:color="auto" w:fill="F3F9FA"/>
            <w:noWrap/>
            <w:vAlign w:val="center"/>
          </w:tcPr>
          <w:p w14:paraId="4F0417E8" w14:textId="09904ECE" w:rsidR="00125698" w:rsidRPr="00CB093C" w:rsidRDefault="00125698" w:rsidP="00035C35">
            <w:pPr>
              <w:spacing w:before="0" w:after="0"/>
              <w:jc w:val="center"/>
              <w:rPr>
                <w:rFonts w:ascii="Arial" w:hAnsi="Arial" w:cs="Arial"/>
                <w:szCs w:val="22"/>
              </w:rPr>
            </w:pPr>
            <w:r w:rsidRPr="00CB093C">
              <w:rPr>
                <w:rFonts w:ascii="Arial" w:hAnsi="Arial" w:cs="Arial"/>
                <w:szCs w:val="22"/>
              </w:rPr>
              <w:t>3</w:t>
            </w:r>
          </w:p>
        </w:tc>
        <w:tc>
          <w:tcPr>
            <w:tcW w:w="536" w:type="dxa"/>
            <w:shd w:val="clear" w:color="auto" w:fill="F3F9FA"/>
            <w:vAlign w:val="center"/>
          </w:tcPr>
          <w:p w14:paraId="6B16058E" w14:textId="002BE060"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c>
          <w:tcPr>
            <w:tcW w:w="540" w:type="dxa"/>
            <w:shd w:val="clear" w:color="auto" w:fill="F3F9FA"/>
            <w:vAlign w:val="center"/>
          </w:tcPr>
          <w:p w14:paraId="46E01677" w14:textId="2E4B6472" w:rsidR="00125698" w:rsidRPr="00CB093C" w:rsidRDefault="00125698" w:rsidP="00035C35">
            <w:pPr>
              <w:spacing w:before="0" w:after="0"/>
              <w:jc w:val="center"/>
              <w:rPr>
                <w:rFonts w:ascii="Arial" w:hAnsi="Arial" w:cs="Arial"/>
                <w:szCs w:val="22"/>
              </w:rPr>
            </w:pPr>
            <w:r w:rsidRPr="00CB093C">
              <w:rPr>
                <w:rFonts w:ascii="Arial" w:hAnsi="Arial" w:cs="Arial"/>
                <w:szCs w:val="22"/>
              </w:rPr>
              <w:t>15</w:t>
            </w:r>
          </w:p>
        </w:tc>
        <w:tc>
          <w:tcPr>
            <w:tcW w:w="529" w:type="dxa"/>
            <w:shd w:val="clear" w:color="auto" w:fill="F3F9FA"/>
            <w:vAlign w:val="center"/>
          </w:tcPr>
          <w:p w14:paraId="1DCAB311" w14:textId="1D592B48"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right w:val="single" w:sz="4" w:space="0" w:color="auto"/>
            </w:tcBorders>
            <w:shd w:val="clear" w:color="auto" w:fill="F3F9FA"/>
            <w:vAlign w:val="center"/>
          </w:tcPr>
          <w:p w14:paraId="044452DE" w14:textId="00DE1E0F"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single" w:sz="4" w:space="0" w:color="auto"/>
            </w:tcBorders>
            <w:shd w:val="clear" w:color="auto" w:fill="F3F9FA"/>
            <w:vAlign w:val="center"/>
          </w:tcPr>
          <w:p w14:paraId="4C2BD142" w14:textId="2048C3A3" w:rsidR="00125698" w:rsidRPr="00CB093C" w:rsidRDefault="00125698" w:rsidP="00035C35">
            <w:pPr>
              <w:spacing w:before="0" w:after="0"/>
              <w:jc w:val="center"/>
              <w:rPr>
                <w:rFonts w:ascii="Arial" w:hAnsi="Arial" w:cs="Arial"/>
                <w:szCs w:val="22"/>
              </w:rPr>
            </w:pPr>
          </w:p>
        </w:tc>
        <w:tc>
          <w:tcPr>
            <w:tcW w:w="559" w:type="dxa"/>
            <w:shd w:val="clear" w:color="auto" w:fill="F3F9FA"/>
            <w:vAlign w:val="center"/>
          </w:tcPr>
          <w:p w14:paraId="4807BD2C" w14:textId="7ABF8470" w:rsidR="00125698" w:rsidRPr="00CB093C" w:rsidRDefault="00125698" w:rsidP="00035C35">
            <w:pPr>
              <w:spacing w:before="0" w:after="0"/>
              <w:jc w:val="center"/>
              <w:rPr>
                <w:rFonts w:ascii="Arial" w:hAnsi="Arial" w:cs="Arial"/>
                <w:szCs w:val="22"/>
              </w:rPr>
            </w:pPr>
          </w:p>
        </w:tc>
        <w:tc>
          <w:tcPr>
            <w:tcW w:w="559" w:type="dxa"/>
            <w:shd w:val="clear" w:color="auto" w:fill="F3F9FA"/>
            <w:vAlign w:val="center"/>
          </w:tcPr>
          <w:p w14:paraId="6BF125E9" w14:textId="08388128" w:rsidR="00125698" w:rsidRPr="00CB093C" w:rsidRDefault="00125698" w:rsidP="00035C35">
            <w:pPr>
              <w:spacing w:before="0" w:after="0"/>
              <w:jc w:val="center"/>
              <w:rPr>
                <w:rFonts w:ascii="Arial" w:hAnsi="Arial" w:cs="Arial"/>
                <w:szCs w:val="22"/>
              </w:rPr>
            </w:pPr>
          </w:p>
        </w:tc>
        <w:tc>
          <w:tcPr>
            <w:tcW w:w="559" w:type="dxa"/>
            <w:shd w:val="clear" w:color="auto" w:fill="F3F9FA"/>
            <w:vAlign w:val="center"/>
          </w:tcPr>
          <w:p w14:paraId="1D484F30" w14:textId="424911B1" w:rsidR="00125698" w:rsidRPr="00CB093C" w:rsidRDefault="00125698" w:rsidP="00035C35">
            <w:pPr>
              <w:spacing w:before="0" w:after="0"/>
              <w:jc w:val="center"/>
              <w:rPr>
                <w:rFonts w:ascii="Arial" w:hAnsi="Arial" w:cs="Arial"/>
                <w:szCs w:val="22"/>
              </w:rPr>
            </w:pPr>
          </w:p>
        </w:tc>
        <w:tc>
          <w:tcPr>
            <w:tcW w:w="559" w:type="dxa"/>
            <w:shd w:val="clear" w:color="auto" w:fill="F3F9FA"/>
            <w:vAlign w:val="center"/>
          </w:tcPr>
          <w:p w14:paraId="7A129B82" w14:textId="27CBAF7A" w:rsidR="00125698" w:rsidRPr="00CB093C" w:rsidRDefault="00125698" w:rsidP="00035C35">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right w:val="nil"/>
            </w:tcBorders>
            <w:shd w:val="clear" w:color="auto" w:fill="F3F9FA"/>
            <w:vAlign w:val="center"/>
          </w:tcPr>
          <w:p w14:paraId="36E4B779" w14:textId="2285FCF0" w:rsidR="00125698" w:rsidRPr="00CB093C" w:rsidRDefault="00125698" w:rsidP="00035C35">
            <w:pPr>
              <w:spacing w:before="0" w:after="0"/>
              <w:jc w:val="center"/>
              <w:rPr>
                <w:rFonts w:ascii="Arial" w:hAnsi="Arial" w:cs="Arial"/>
                <w:szCs w:val="22"/>
              </w:rPr>
            </w:pPr>
          </w:p>
        </w:tc>
      </w:tr>
      <w:tr w:rsidR="00125698" w:rsidRPr="00CB093C" w14:paraId="52FC6BDD" w14:textId="77777777" w:rsidTr="00F558BA">
        <w:trPr>
          <w:gridAfter w:val="1"/>
          <w:wAfter w:w="10" w:type="dxa"/>
          <w:cantSplit/>
          <w:trHeight w:val="170"/>
          <w:jc w:val="center"/>
        </w:trPr>
        <w:tc>
          <w:tcPr>
            <w:tcW w:w="1148" w:type="dxa"/>
            <w:vMerge/>
            <w:tcBorders>
              <w:left w:val="nil"/>
              <w:right w:val="nil"/>
            </w:tcBorders>
            <w:vAlign w:val="center"/>
            <w:hideMark/>
          </w:tcPr>
          <w:p w14:paraId="54F4A7C1"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shd w:val="clear" w:color="auto" w:fill="F3F9FA"/>
            <w:noWrap/>
            <w:vAlign w:val="center"/>
            <w:hideMark/>
          </w:tcPr>
          <w:p w14:paraId="48D470CD" w14:textId="77777777" w:rsidR="00125698" w:rsidRPr="00CB093C" w:rsidRDefault="00125698" w:rsidP="003816AC">
            <w:pPr>
              <w:spacing w:before="0" w:after="0"/>
              <w:jc w:val="center"/>
              <w:rPr>
                <w:rFonts w:ascii="Arial" w:hAnsi="Arial" w:cs="Arial"/>
                <w:color w:val="000000"/>
                <w:szCs w:val="22"/>
              </w:rPr>
            </w:pPr>
          </w:p>
        </w:tc>
        <w:tc>
          <w:tcPr>
            <w:tcW w:w="1299" w:type="dxa"/>
            <w:vMerge/>
            <w:tcBorders>
              <w:left w:val="nil"/>
              <w:right w:val="nil"/>
            </w:tcBorders>
            <w:shd w:val="clear" w:color="auto" w:fill="F3F9FA"/>
            <w:vAlign w:val="center"/>
            <w:hideMark/>
          </w:tcPr>
          <w:p w14:paraId="18F85293" w14:textId="1F1A03EF" w:rsidR="00125698" w:rsidRPr="00CB093C" w:rsidRDefault="00125698" w:rsidP="003816AC">
            <w:pPr>
              <w:spacing w:before="0" w:after="0"/>
              <w:jc w:val="center"/>
              <w:rPr>
                <w:rFonts w:ascii="Arial" w:hAnsi="Arial" w:cs="Arial"/>
                <w:color w:val="000000"/>
                <w:szCs w:val="22"/>
              </w:rPr>
            </w:pPr>
          </w:p>
        </w:tc>
        <w:tc>
          <w:tcPr>
            <w:tcW w:w="1307" w:type="dxa"/>
            <w:vMerge w:val="restart"/>
            <w:tcBorders>
              <w:top w:val="single" w:sz="4" w:space="0" w:color="auto"/>
              <w:left w:val="nil"/>
              <w:bottom w:val="nil"/>
              <w:right w:val="nil"/>
            </w:tcBorders>
            <w:shd w:val="clear" w:color="auto" w:fill="F3F9FA"/>
            <w:noWrap/>
            <w:vAlign w:val="center"/>
            <w:hideMark/>
          </w:tcPr>
          <w:p w14:paraId="09848CAD"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Repulse Bay</w:t>
            </w:r>
          </w:p>
        </w:tc>
        <w:tc>
          <w:tcPr>
            <w:tcW w:w="840" w:type="dxa"/>
            <w:tcBorders>
              <w:top w:val="single" w:sz="4" w:space="0" w:color="auto"/>
              <w:left w:val="nil"/>
              <w:right w:val="nil"/>
            </w:tcBorders>
            <w:shd w:val="clear" w:color="auto" w:fill="F3F9FA"/>
            <w:noWrap/>
            <w:vAlign w:val="center"/>
          </w:tcPr>
          <w:p w14:paraId="3D156FF6"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MP2</w:t>
            </w:r>
          </w:p>
        </w:tc>
        <w:tc>
          <w:tcPr>
            <w:tcW w:w="555" w:type="dxa"/>
            <w:tcBorders>
              <w:top w:val="single" w:sz="4" w:space="0" w:color="auto"/>
              <w:left w:val="nil"/>
              <w:right w:val="nil"/>
            </w:tcBorders>
            <w:shd w:val="clear" w:color="auto" w:fill="F3F9FA"/>
            <w:vAlign w:val="center"/>
          </w:tcPr>
          <w:p w14:paraId="7A750329"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tcPr>
          <w:p w14:paraId="76073114"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tcPr>
          <w:p w14:paraId="0CF2CFC5"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F3F9FA"/>
            <w:vAlign w:val="center"/>
          </w:tcPr>
          <w:p w14:paraId="5A1963A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F3F9FA"/>
            <w:vAlign w:val="center"/>
          </w:tcPr>
          <w:p w14:paraId="1B10C22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F3F9FA"/>
            <w:vAlign w:val="center"/>
          </w:tcPr>
          <w:p w14:paraId="6CF52CC1"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tcPr>
          <w:p w14:paraId="14C2D91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right w:val="nil"/>
            </w:tcBorders>
            <w:shd w:val="clear" w:color="auto" w:fill="F3F9FA"/>
            <w:vAlign w:val="center"/>
          </w:tcPr>
          <w:p w14:paraId="120FB75B"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tcPr>
          <w:p w14:paraId="7FF9C9A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tcPr>
          <w:p w14:paraId="2CBA740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F3F9FA"/>
            <w:vAlign w:val="center"/>
          </w:tcPr>
          <w:p w14:paraId="0801C80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59" w:type="dxa"/>
            <w:tcBorders>
              <w:top w:val="single" w:sz="4" w:space="0" w:color="auto"/>
              <w:left w:val="nil"/>
              <w:right w:val="nil"/>
            </w:tcBorders>
            <w:shd w:val="clear" w:color="auto" w:fill="F3F9FA"/>
            <w:vAlign w:val="center"/>
          </w:tcPr>
          <w:p w14:paraId="476255DB"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tcPr>
          <w:p w14:paraId="228492B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r>
      <w:tr w:rsidR="00125698" w:rsidRPr="00CB093C" w14:paraId="6E177F5F" w14:textId="77777777" w:rsidTr="00F558BA">
        <w:trPr>
          <w:gridAfter w:val="1"/>
          <w:wAfter w:w="10" w:type="dxa"/>
          <w:cantSplit/>
          <w:trHeight w:val="170"/>
          <w:jc w:val="center"/>
        </w:trPr>
        <w:tc>
          <w:tcPr>
            <w:tcW w:w="1148" w:type="dxa"/>
            <w:vMerge/>
            <w:tcBorders>
              <w:left w:val="nil"/>
              <w:right w:val="nil"/>
            </w:tcBorders>
            <w:vAlign w:val="center"/>
            <w:hideMark/>
          </w:tcPr>
          <w:p w14:paraId="38C2D5C7"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vAlign w:val="center"/>
            <w:hideMark/>
          </w:tcPr>
          <w:p w14:paraId="258FFAA0" w14:textId="77777777" w:rsidR="00125698" w:rsidRPr="00CB093C" w:rsidRDefault="00125698" w:rsidP="003816AC">
            <w:pPr>
              <w:spacing w:before="0" w:after="0"/>
              <w:rPr>
                <w:rFonts w:ascii="Arial" w:hAnsi="Arial" w:cs="Arial"/>
                <w:color w:val="000000"/>
                <w:szCs w:val="22"/>
              </w:rPr>
            </w:pPr>
          </w:p>
        </w:tc>
        <w:tc>
          <w:tcPr>
            <w:tcW w:w="1299" w:type="dxa"/>
            <w:vMerge/>
            <w:tcBorders>
              <w:left w:val="nil"/>
              <w:right w:val="nil"/>
            </w:tcBorders>
            <w:vAlign w:val="center"/>
            <w:hideMark/>
          </w:tcPr>
          <w:p w14:paraId="1F8EA2F8" w14:textId="77777777" w:rsidR="00125698" w:rsidRPr="00CB093C" w:rsidRDefault="00125698"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3E0ECB93" w14:textId="77777777" w:rsidR="00125698" w:rsidRPr="00CB093C" w:rsidRDefault="00125698" w:rsidP="003816AC">
            <w:pPr>
              <w:spacing w:before="0" w:after="0"/>
              <w:rPr>
                <w:rFonts w:ascii="Arial" w:hAnsi="Arial" w:cs="Arial"/>
                <w:color w:val="000000"/>
                <w:szCs w:val="22"/>
              </w:rPr>
            </w:pPr>
          </w:p>
        </w:tc>
        <w:tc>
          <w:tcPr>
            <w:tcW w:w="840" w:type="dxa"/>
            <w:tcBorders>
              <w:left w:val="nil"/>
              <w:bottom w:val="single" w:sz="4" w:space="0" w:color="auto"/>
            </w:tcBorders>
            <w:shd w:val="clear" w:color="auto" w:fill="F3F9FA"/>
            <w:noWrap/>
            <w:vAlign w:val="center"/>
          </w:tcPr>
          <w:p w14:paraId="58A4AB2E"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MP3</w:t>
            </w:r>
          </w:p>
        </w:tc>
        <w:tc>
          <w:tcPr>
            <w:tcW w:w="555" w:type="dxa"/>
            <w:tcBorders>
              <w:bottom w:val="single" w:sz="4" w:space="0" w:color="auto"/>
            </w:tcBorders>
            <w:shd w:val="clear" w:color="auto" w:fill="F3F9FA"/>
            <w:vAlign w:val="center"/>
          </w:tcPr>
          <w:p w14:paraId="4047E95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single" w:sz="4" w:space="0" w:color="auto"/>
            </w:tcBorders>
            <w:shd w:val="clear" w:color="auto" w:fill="F3F9FA"/>
            <w:noWrap/>
            <w:vAlign w:val="center"/>
          </w:tcPr>
          <w:p w14:paraId="21CE879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single" w:sz="4" w:space="0" w:color="auto"/>
            </w:tcBorders>
            <w:shd w:val="clear" w:color="auto" w:fill="F3F9FA"/>
            <w:noWrap/>
            <w:vAlign w:val="center"/>
          </w:tcPr>
          <w:p w14:paraId="0B348A6B"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single" w:sz="4" w:space="0" w:color="auto"/>
            </w:tcBorders>
            <w:shd w:val="clear" w:color="auto" w:fill="F3F9FA"/>
            <w:vAlign w:val="center"/>
          </w:tcPr>
          <w:p w14:paraId="79AEE72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single" w:sz="4" w:space="0" w:color="auto"/>
            </w:tcBorders>
            <w:shd w:val="clear" w:color="auto" w:fill="F3F9FA"/>
            <w:vAlign w:val="center"/>
          </w:tcPr>
          <w:p w14:paraId="45E7FEB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single" w:sz="4" w:space="0" w:color="auto"/>
            </w:tcBorders>
            <w:shd w:val="clear" w:color="auto" w:fill="F3F9FA"/>
            <w:vAlign w:val="center"/>
          </w:tcPr>
          <w:p w14:paraId="7024A4D9"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single" w:sz="4" w:space="0" w:color="auto"/>
              <w:right w:val="single" w:sz="4" w:space="0" w:color="auto"/>
            </w:tcBorders>
            <w:shd w:val="clear" w:color="auto" w:fill="F3F9FA"/>
            <w:vAlign w:val="center"/>
          </w:tcPr>
          <w:p w14:paraId="48D51344" w14:textId="77777777" w:rsidR="00125698" w:rsidRPr="00CB093C" w:rsidRDefault="00125698" w:rsidP="003816AC">
            <w:pPr>
              <w:spacing w:before="0" w:after="0"/>
              <w:jc w:val="center"/>
              <w:rPr>
                <w:rFonts w:ascii="Arial" w:hAnsi="Arial" w:cs="Arial"/>
                <w:szCs w:val="22"/>
              </w:rPr>
            </w:pPr>
          </w:p>
        </w:tc>
        <w:tc>
          <w:tcPr>
            <w:tcW w:w="559" w:type="dxa"/>
            <w:tcBorders>
              <w:left w:val="single" w:sz="4" w:space="0" w:color="auto"/>
              <w:bottom w:val="single" w:sz="4" w:space="0" w:color="auto"/>
            </w:tcBorders>
            <w:shd w:val="clear" w:color="auto" w:fill="F3F9FA"/>
            <w:vAlign w:val="center"/>
          </w:tcPr>
          <w:p w14:paraId="3150EA0D"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single" w:sz="4" w:space="0" w:color="auto"/>
            </w:tcBorders>
            <w:shd w:val="clear" w:color="auto" w:fill="F3F9FA"/>
            <w:vAlign w:val="center"/>
          </w:tcPr>
          <w:p w14:paraId="082FC01B"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single" w:sz="4" w:space="0" w:color="auto"/>
            </w:tcBorders>
            <w:shd w:val="clear" w:color="auto" w:fill="F3F9FA"/>
            <w:vAlign w:val="center"/>
          </w:tcPr>
          <w:p w14:paraId="2AE974F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single" w:sz="4" w:space="0" w:color="auto"/>
            </w:tcBorders>
            <w:shd w:val="clear" w:color="auto" w:fill="F3F9FA"/>
            <w:vAlign w:val="center"/>
          </w:tcPr>
          <w:p w14:paraId="5938370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59" w:type="dxa"/>
            <w:tcBorders>
              <w:bottom w:val="single" w:sz="4" w:space="0" w:color="auto"/>
            </w:tcBorders>
            <w:shd w:val="clear" w:color="auto" w:fill="F3F9FA"/>
            <w:vAlign w:val="center"/>
          </w:tcPr>
          <w:p w14:paraId="5CA44D47"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single" w:sz="4" w:space="0" w:color="auto"/>
              <w:right w:val="nil"/>
            </w:tcBorders>
            <w:shd w:val="clear" w:color="auto" w:fill="F3F9FA"/>
            <w:vAlign w:val="center"/>
          </w:tcPr>
          <w:p w14:paraId="2635840C" w14:textId="77777777" w:rsidR="00125698" w:rsidRPr="00CB093C" w:rsidRDefault="00125698" w:rsidP="003816AC">
            <w:pPr>
              <w:spacing w:before="0" w:after="0"/>
              <w:jc w:val="center"/>
              <w:rPr>
                <w:rFonts w:ascii="Arial" w:hAnsi="Arial" w:cs="Arial"/>
                <w:szCs w:val="22"/>
              </w:rPr>
            </w:pPr>
          </w:p>
        </w:tc>
      </w:tr>
      <w:tr w:rsidR="00125698" w:rsidRPr="00CB093C" w14:paraId="7B630A11" w14:textId="77777777" w:rsidTr="00F558BA">
        <w:trPr>
          <w:gridAfter w:val="1"/>
          <w:wAfter w:w="10" w:type="dxa"/>
          <w:cantSplit/>
          <w:trHeight w:val="170"/>
          <w:jc w:val="center"/>
        </w:trPr>
        <w:tc>
          <w:tcPr>
            <w:tcW w:w="1148" w:type="dxa"/>
            <w:vMerge/>
            <w:tcBorders>
              <w:left w:val="nil"/>
              <w:right w:val="nil"/>
            </w:tcBorders>
            <w:vAlign w:val="center"/>
            <w:hideMark/>
          </w:tcPr>
          <w:p w14:paraId="167E5680"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vAlign w:val="center"/>
            <w:hideMark/>
          </w:tcPr>
          <w:p w14:paraId="07C93110" w14:textId="77777777" w:rsidR="00125698" w:rsidRPr="00CB093C" w:rsidRDefault="00125698" w:rsidP="003816AC">
            <w:pPr>
              <w:spacing w:before="0" w:after="0"/>
              <w:rPr>
                <w:rFonts w:ascii="Arial" w:hAnsi="Arial" w:cs="Arial"/>
                <w:color w:val="000000"/>
                <w:szCs w:val="22"/>
              </w:rPr>
            </w:pPr>
          </w:p>
        </w:tc>
        <w:tc>
          <w:tcPr>
            <w:tcW w:w="1299" w:type="dxa"/>
            <w:vMerge/>
            <w:tcBorders>
              <w:left w:val="nil"/>
              <w:right w:val="nil"/>
            </w:tcBorders>
            <w:vAlign w:val="center"/>
            <w:hideMark/>
          </w:tcPr>
          <w:p w14:paraId="4C6BEE01" w14:textId="77777777" w:rsidR="00125698" w:rsidRPr="00CB093C" w:rsidRDefault="00125698" w:rsidP="003816AC">
            <w:pPr>
              <w:spacing w:before="0" w:after="0"/>
              <w:rPr>
                <w:rFonts w:ascii="Arial" w:hAnsi="Arial" w:cs="Arial"/>
                <w:color w:val="000000"/>
                <w:szCs w:val="22"/>
              </w:rPr>
            </w:pPr>
          </w:p>
        </w:tc>
        <w:tc>
          <w:tcPr>
            <w:tcW w:w="1307" w:type="dxa"/>
            <w:vMerge w:val="restart"/>
            <w:tcBorders>
              <w:top w:val="single" w:sz="4" w:space="0" w:color="auto"/>
              <w:left w:val="nil"/>
              <w:bottom w:val="nil"/>
              <w:right w:val="nil"/>
            </w:tcBorders>
            <w:shd w:val="clear" w:color="auto" w:fill="F3F9FA"/>
            <w:noWrap/>
            <w:vAlign w:val="center"/>
            <w:hideMark/>
          </w:tcPr>
          <w:p w14:paraId="6396893B"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Hamilton Is.</w:t>
            </w:r>
          </w:p>
        </w:tc>
        <w:tc>
          <w:tcPr>
            <w:tcW w:w="840" w:type="dxa"/>
            <w:tcBorders>
              <w:top w:val="single" w:sz="4" w:space="0" w:color="auto"/>
              <w:left w:val="nil"/>
              <w:right w:val="nil"/>
            </w:tcBorders>
            <w:shd w:val="clear" w:color="auto" w:fill="F3F9FA"/>
            <w:noWrap/>
            <w:vAlign w:val="center"/>
            <w:hideMark/>
          </w:tcPr>
          <w:p w14:paraId="211B99B7"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HM1</w:t>
            </w:r>
          </w:p>
        </w:tc>
        <w:tc>
          <w:tcPr>
            <w:tcW w:w="555" w:type="dxa"/>
            <w:tcBorders>
              <w:top w:val="single" w:sz="4" w:space="0" w:color="auto"/>
              <w:left w:val="nil"/>
              <w:right w:val="nil"/>
            </w:tcBorders>
            <w:shd w:val="clear" w:color="auto" w:fill="F3F9FA"/>
            <w:vAlign w:val="center"/>
            <w:hideMark/>
          </w:tcPr>
          <w:p w14:paraId="3AE4CFE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hideMark/>
          </w:tcPr>
          <w:p w14:paraId="7709BE1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hideMark/>
          </w:tcPr>
          <w:p w14:paraId="4BCF6AE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F3F9FA"/>
            <w:vAlign w:val="center"/>
            <w:hideMark/>
          </w:tcPr>
          <w:p w14:paraId="6F43F574"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F3F9FA"/>
            <w:vAlign w:val="center"/>
            <w:hideMark/>
          </w:tcPr>
          <w:p w14:paraId="1D2C5A6E"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F3F9FA"/>
            <w:vAlign w:val="center"/>
            <w:hideMark/>
          </w:tcPr>
          <w:p w14:paraId="4995E80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tcPr>
          <w:p w14:paraId="16F34BFB"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hideMark/>
          </w:tcPr>
          <w:p w14:paraId="0EB6A431"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hideMark/>
          </w:tcPr>
          <w:p w14:paraId="0FC5B4A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hideMark/>
          </w:tcPr>
          <w:p w14:paraId="2EAF739C"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F3F9FA"/>
            <w:vAlign w:val="center"/>
            <w:hideMark/>
          </w:tcPr>
          <w:p w14:paraId="1BF2E97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59" w:type="dxa"/>
            <w:tcBorders>
              <w:top w:val="single" w:sz="4" w:space="0" w:color="auto"/>
              <w:left w:val="nil"/>
              <w:right w:val="nil"/>
            </w:tcBorders>
            <w:shd w:val="clear" w:color="auto" w:fill="F3F9FA"/>
            <w:vAlign w:val="center"/>
            <w:hideMark/>
          </w:tcPr>
          <w:p w14:paraId="50F319C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tcPr>
          <w:p w14:paraId="1930ACD4" w14:textId="77777777" w:rsidR="00125698" w:rsidRPr="00CB093C" w:rsidRDefault="00125698" w:rsidP="003816AC">
            <w:pPr>
              <w:spacing w:before="0" w:after="0"/>
              <w:jc w:val="center"/>
              <w:rPr>
                <w:rFonts w:ascii="Arial" w:hAnsi="Arial" w:cs="Arial"/>
                <w:szCs w:val="22"/>
              </w:rPr>
            </w:pPr>
          </w:p>
        </w:tc>
      </w:tr>
      <w:tr w:rsidR="00125698" w:rsidRPr="00CB093C" w14:paraId="2ACAF6FB" w14:textId="77777777" w:rsidTr="00F558BA">
        <w:trPr>
          <w:gridAfter w:val="1"/>
          <w:wAfter w:w="10" w:type="dxa"/>
          <w:cantSplit/>
          <w:trHeight w:val="170"/>
          <w:jc w:val="center"/>
        </w:trPr>
        <w:tc>
          <w:tcPr>
            <w:tcW w:w="1148" w:type="dxa"/>
            <w:vMerge/>
            <w:tcBorders>
              <w:left w:val="nil"/>
              <w:right w:val="nil"/>
            </w:tcBorders>
            <w:vAlign w:val="center"/>
            <w:hideMark/>
          </w:tcPr>
          <w:p w14:paraId="21863234"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vAlign w:val="center"/>
            <w:hideMark/>
          </w:tcPr>
          <w:p w14:paraId="3440AA77" w14:textId="77777777" w:rsidR="00125698" w:rsidRPr="00CB093C" w:rsidRDefault="00125698" w:rsidP="003816AC">
            <w:pPr>
              <w:spacing w:before="0" w:after="0"/>
              <w:rPr>
                <w:rFonts w:ascii="Arial" w:hAnsi="Arial" w:cs="Arial"/>
                <w:color w:val="000000"/>
                <w:szCs w:val="22"/>
              </w:rPr>
            </w:pPr>
          </w:p>
        </w:tc>
        <w:tc>
          <w:tcPr>
            <w:tcW w:w="1299" w:type="dxa"/>
            <w:vMerge/>
            <w:tcBorders>
              <w:left w:val="nil"/>
              <w:right w:val="nil"/>
            </w:tcBorders>
            <w:vAlign w:val="center"/>
            <w:hideMark/>
          </w:tcPr>
          <w:p w14:paraId="2FD86C33" w14:textId="77777777" w:rsidR="00125698" w:rsidRPr="00CB093C" w:rsidRDefault="00125698" w:rsidP="003816AC">
            <w:pPr>
              <w:spacing w:before="0" w:after="0"/>
              <w:rPr>
                <w:rFonts w:ascii="Arial" w:hAnsi="Arial" w:cs="Arial"/>
                <w:color w:val="000000"/>
                <w:szCs w:val="22"/>
              </w:rPr>
            </w:pPr>
          </w:p>
        </w:tc>
        <w:tc>
          <w:tcPr>
            <w:tcW w:w="1307" w:type="dxa"/>
            <w:vMerge/>
            <w:tcBorders>
              <w:top w:val="single" w:sz="4" w:space="0" w:color="auto"/>
              <w:left w:val="nil"/>
              <w:bottom w:val="nil"/>
              <w:right w:val="nil"/>
            </w:tcBorders>
            <w:vAlign w:val="center"/>
            <w:hideMark/>
          </w:tcPr>
          <w:p w14:paraId="1CBBB99F" w14:textId="77777777" w:rsidR="00125698" w:rsidRPr="00CB093C" w:rsidRDefault="00125698" w:rsidP="003816AC">
            <w:pPr>
              <w:spacing w:before="0" w:after="0"/>
              <w:rPr>
                <w:rFonts w:ascii="Arial" w:hAnsi="Arial" w:cs="Arial"/>
                <w:color w:val="000000"/>
                <w:szCs w:val="22"/>
              </w:rPr>
            </w:pPr>
          </w:p>
        </w:tc>
        <w:tc>
          <w:tcPr>
            <w:tcW w:w="840" w:type="dxa"/>
            <w:tcBorders>
              <w:left w:val="nil"/>
              <w:bottom w:val="nil"/>
            </w:tcBorders>
            <w:shd w:val="clear" w:color="auto" w:fill="F3F9FA"/>
            <w:noWrap/>
            <w:vAlign w:val="center"/>
            <w:hideMark/>
          </w:tcPr>
          <w:p w14:paraId="68CCBB1D"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HM2</w:t>
            </w:r>
          </w:p>
        </w:tc>
        <w:tc>
          <w:tcPr>
            <w:tcW w:w="555" w:type="dxa"/>
            <w:tcBorders>
              <w:bottom w:val="nil"/>
            </w:tcBorders>
            <w:shd w:val="clear" w:color="auto" w:fill="F3F9FA"/>
            <w:vAlign w:val="center"/>
            <w:hideMark/>
          </w:tcPr>
          <w:p w14:paraId="113323C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hideMark/>
          </w:tcPr>
          <w:p w14:paraId="71F02D6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hideMark/>
          </w:tcPr>
          <w:p w14:paraId="260ADDC1"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F3F9FA"/>
            <w:vAlign w:val="center"/>
            <w:hideMark/>
          </w:tcPr>
          <w:p w14:paraId="09E9E90B"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nil"/>
            </w:tcBorders>
            <w:shd w:val="clear" w:color="auto" w:fill="F3F9FA"/>
            <w:vAlign w:val="center"/>
            <w:hideMark/>
          </w:tcPr>
          <w:p w14:paraId="6D9DF9C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F3F9FA"/>
            <w:vAlign w:val="center"/>
            <w:hideMark/>
          </w:tcPr>
          <w:p w14:paraId="608321C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F3F9FA"/>
            <w:vAlign w:val="center"/>
            <w:hideMark/>
          </w:tcPr>
          <w:p w14:paraId="21B39FD8"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left w:val="single" w:sz="4" w:space="0" w:color="auto"/>
              <w:bottom w:val="nil"/>
            </w:tcBorders>
            <w:shd w:val="clear" w:color="auto" w:fill="F3F9FA"/>
            <w:vAlign w:val="center"/>
            <w:hideMark/>
          </w:tcPr>
          <w:p w14:paraId="0307DF1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F3F9FA"/>
            <w:vAlign w:val="center"/>
            <w:hideMark/>
          </w:tcPr>
          <w:p w14:paraId="6005282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F3F9FA"/>
            <w:vAlign w:val="center"/>
            <w:hideMark/>
          </w:tcPr>
          <w:p w14:paraId="40E1402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tcBorders>
            <w:shd w:val="clear" w:color="auto" w:fill="F3F9FA"/>
            <w:vAlign w:val="center"/>
            <w:hideMark/>
          </w:tcPr>
          <w:p w14:paraId="1C65D6B5" w14:textId="4C8C8B51" w:rsidR="00125698" w:rsidRPr="00CB093C" w:rsidRDefault="00125698" w:rsidP="003816AC">
            <w:pPr>
              <w:spacing w:before="0" w:after="0"/>
              <w:jc w:val="center"/>
              <w:rPr>
                <w:rFonts w:ascii="Arial" w:hAnsi="Arial" w:cs="Arial"/>
                <w:szCs w:val="22"/>
              </w:rPr>
            </w:pPr>
          </w:p>
        </w:tc>
        <w:tc>
          <w:tcPr>
            <w:tcW w:w="559" w:type="dxa"/>
            <w:tcBorders>
              <w:bottom w:val="nil"/>
            </w:tcBorders>
            <w:shd w:val="clear" w:color="auto" w:fill="F3F9FA"/>
            <w:vAlign w:val="center"/>
            <w:hideMark/>
          </w:tcPr>
          <w:p w14:paraId="09EA9162"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F3F9FA"/>
            <w:vAlign w:val="center"/>
            <w:hideMark/>
          </w:tcPr>
          <w:p w14:paraId="06D815DA"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sym w:font="Wingdings" w:char="F0FC"/>
            </w:r>
          </w:p>
        </w:tc>
      </w:tr>
      <w:tr w:rsidR="00125698" w:rsidRPr="00CB093C" w14:paraId="76A509AE" w14:textId="77777777" w:rsidTr="00F558BA">
        <w:trPr>
          <w:gridAfter w:val="1"/>
          <w:wAfter w:w="10" w:type="dxa"/>
          <w:cantSplit/>
          <w:trHeight w:val="170"/>
          <w:jc w:val="center"/>
        </w:trPr>
        <w:tc>
          <w:tcPr>
            <w:tcW w:w="1148" w:type="dxa"/>
            <w:vMerge/>
            <w:tcBorders>
              <w:left w:val="nil"/>
              <w:right w:val="nil"/>
            </w:tcBorders>
            <w:vAlign w:val="center"/>
          </w:tcPr>
          <w:p w14:paraId="4771CA28"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vAlign w:val="center"/>
          </w:tcPr>
          <w:p w14:paraId="73654B9A" w14:textId="77777777" w:rsidR="00125698" w:rsidRPr="00CB093C" w:rsidRDefault="00125698" w:rsidP="003816AC">
            <w:pPr>
              <w:spacing w:before="0" w:after="0"/>
              <w:rPr>
                <w:rFonts w:ascii="Arial" w:hAnsi="Arial" w:cs="Arial"/>
                <w:color w:val="000000"/>
                <w:szCs w:val="22"/>
              </w:rPr>
            </w:pPr>
          </w:p>
        </w:tc>
        <w:tc>
          <w:tcPr>
            <w:tcW w:w="1299" w:type="dxa"/>
            <w:vMerge/>
            <w:tcBorders>
              <w:left w:val="nil"/>
              <w:right w:val="nil"/>
            </w:tcBorders>
            <w:vAlign w:val="center"/>
          </w:tcPr>
          <w:p w14:paraId="10124271" w14:textId="77777777" w:rsidR="00125698" w:rsidRPr="00CB093C" w:rsidRDefault="00125698" w:rsidP="003816AC">
            <w:pPr>
              <w:spacing w:before="0" w:after="0"/>
              <w:rPr>
                <w:rFonts w:ascii="Arial" w:hAnsi="Arial" w:cs="Arial"/>
                <w:color w:val="000000"/>
                <w:szCs w:val="22"/>
              </w:rPr>
            </w:pPr>
          </w:p>
        </w:tc>
        <w:tc>
          <w:tcPr>
            <w:tcW w:w="1307" w:type="dxa"/>
            <w:vMerge w:val="restart"/>
            <w:tcBorders>
              <w:top w:val="single" w:sz="4" w:space="0" w:color="auto"/>
              <w:left w:val="nil"/>
              <w:right w:val="nil"/>
            </w:tcBorders>
            <w:shd w:val="clear" w:color="auto" w:fill="F3F9FA"/>
            <w:vAlign w:val="center"/>
          </w:tcPr>
          <w:p w14:paraId="278BA751"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Whitsunday Island</w:t>
            </w:r>
          </w:p>
        </w:tc>
        <w:tc>
          <w:tcPr>
            <w:tcW w:w="840" w:type="dxa"/>
            <w:tcBorders>
              <w:top w:val="single" w:sz="4" w:space="0" w:color="auto"/>
              <w:left w:val="nil"/>
              <w:right w:val="nil"/>
            </w:tcBorders>
            <w:shd w:val="clear" w:color="auto" w:fill="F3F9FA"/>
            <w:noWrap/>
            <w:vAlign w:val="center"/>
          </w:tcPr>
          <w:p w14:paraId="339EA618"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TO1^</w:t>
            </w:r>
          </w:p>
        </w:tc>
        <w:tc>
          <w:tcPr>
            <w:tcW w:w="555" w:type="dxa"/>
            <w:tcBorders>
              <w:top w:val="single" w:sz="4" w:space="0" w:color="auto"/>
              <w:left w:val="nil"/>
              <w:right w:val="nil"/>
            </w:tcBorders>
            <w:shd w:val="clear" w:color="auto" w:fill="F3F9FA"/>
            <w:vAlign w:val="center"/>
          </w:tcPr>
          <w:p w14:paraId="6856AE20"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22</w:t>
            </w:r>
          </w:p>
        </w:tc>
        <w:tc>
          <w:tcPr>
            <w:tcW w:w="543" w:type="dxa"/>
            <w:tcBorders>
              <w:top w:val="single" w:sz="4" w:space="0" w:color="auto"/>
              <w:left w:val="nil"/>
              <w:right w:val="nil"/>
            </w:tcBorders>
            <w:shd w:val="clear" w:color="auto" w:fill="F3F9FA"/>
            <w:noWrap/>
            <w:vAlign w:val="center"/>
          </w:tcPr>
          <w:p w14:paraId="6062DF6F" w14:textId="77777777" w:rsidR="00125698" w:rsidRPr="00CB093C" w:rsidRDefault="00125698"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F3F9FA"/>
            <w:noWrap/>
            <w:vAlign w:val="center"/>
          </w:tcPr>
          <w:p w14:paraId="4C228F0C" w14:textId="77777777" w:rsidR="00125698" w:rsidRPr="00CB093C" w:rsidRDefault="00125698" w:rsidP="003816AC">
            <w:pPr>
              <w:spacing w:before="0" w:after="0"/>
              <w:jc w:val="center"/>
              <w:rPr>
                <w:rFonts w:ascii="Arial" w:hAnsi="Arial" w:cs="Arial"/>
                <w:szCs w:val="22"/>
              </w:rPr>
            </w:pPr>
          </w:p>
        </w:tc>
        <w:tc>
          <w:tcPr>
            <w:tcW w:w="536" w:type="dxa"/>
            <w:tcBorders>
              <w:top w:val="single" w:sz="4" w:space="0" w:color="auto"/>
              <w:left w:val="nil"/>
              <w:right w:val="nil"/>
            </w:tcBorders>
            <w:shd w:val="clear" w:color="auto" w:fill="F3F9FA"/>
            <w:vAlign w:val="center"/>
          </w:tcPr>
          <w:p w14:paraId="64D6A483" w14:textId="77777777" w:rsidR="00125698" w:rsidRPr="00CB093C" w:rsidRDefault="00125698"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F3F9FA"/>
            <w:vAlign w:val="center"/>
          </w:tcPr>
          <w:p w14:paraId="197217AC" w14:textId="77777777" w:rsidR="00125698" w:rsidRPr="00CB093C" w:rsidRDefault="00125698" w:rsidP="003816AC">
            <w:pPr>
              <w:spacing w:before="0" w:after="0"/>
              <w:jc w:val="center"/>
              <w:rPr>
                <w:rFonts w:ascii="Arial" w:hAnsi="Arial" w:cs="Arial"/>
                <w:szCs w:val="22"/>
              </w:rPr>
            </w:pPr>
          </w:p>
        </w:tc>
        <w:tc>
          <w:tcPr>
            <w:tcW w:w="529" w:type="dxa"/>
            <w:tcBorders>
              <w:top w:val="single" w:sz="4" w:space="0" w:color="auto"/>
              <w:left w:val="nil"/>
              <w:right w:val="nil"/>
            </w:tcBorders>
            <w:shd w:val="clear" w:color="auto" w:fill="F3F9FA"/>
            <w:vAlign w:val="center"/>
          </w:tcPr>
          <w:p w14:paraId="4902F268"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single" w:sz="4" w:space="0" w:color="auto"/>
            </w:tcBorders>
            <w:shd w:val="clear" w:color="auto" w:fill="F3F9FA"/>
            <w:vAlign w:val="center"/>
          </w:tcPr>
          <w:p w14:paraId="111A6038"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tcPr>
          <w:p w14:paraId="3BE9EF0E"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1884B418"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35FDC58D"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63907AFA"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38CAB0F9" w14:textId="77777777" w:rsidR="00125698" w:rsidRPr="00CB093C" w:rsidRDefault="00125698" w:rsidP="003816AC">
            <w:pPr>
              <w:spacing w:before="0" w:after="0"/>
              <w:jc w:val="center"/>
              <w:rPr>
                <w:rFonts w:ascii="Arial" w:hAnsi="Arial" w:cs="Arial"/>
                <w:szCs w:val="22"/>
              </w:rPr>
            </w:pPr>
          </w:p>
        </w:tc>
        <w:tc>
          <w:tcPr>
            <w:tcW w:w="546" w:type="dxa"/>
            <w:tcBorders>
              <w:top w:val="single" w:sz="4" w:space="0" w:color="auto"/>
              <w:left w:val="nil"/>
              <w:right w:val="nil"/>
            </w:tcBorders>
            <w:shd w:val="clear" w:color="auto" w:fill="F3F9FA"/>
            <w:vAlign w:val="center"/>
          </w:tcPr>
          <w:p w14:paraId="52F4065D" w14:textId="77777777" w:rsidR="00125698" w:rsidRPr="00CB093C" w:rsidRDefault="00125698" w:rsidP="003816AC">
            <w:pPr>
              <w:spacing w:before="0" w:after="0"/>
              <w:jc w:val="center"/>
              <w:rPr>
                <w:rFonts w:ascii="Arial" w:hAnsi="Arial" w:cs="Arial"/>
                <w:szCs w:val="22"/>
              </w:rPr>
            </w:pPr>
          </w:p>
        </w:tc>
      </w:tr>
      <w:tr w:rsidR="00125698" w:rsidRPr="00CB093C" w14:paraId="2A7EEB92" w14:textId="77777777" w:rsidTr="00F558BA">
        <w:trPr>
          <w:gridAfter w:val="1"/>
          <w:wAfter w:w="10" w:type="dxa"/>
          <w:cantSplit/>
          <w:trHeight w:val="170"/>
          <w:jc w:val="center"/>
        </w:trPr>
        <w:tc>
          <w:tcPr>
            <w:tcW w:w="1148" w:type="dxa"/>
            <w:vMerge/>
            <w:tcBorders>
              <w:left w:val="nil"/>
              <w:right w:val="nil"/>
            </w:tcBorders>
            <w:vAlign w:val="center"/>
          </w:tcPr>
          <w:p w14:paraId="347147A1"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vAlign w:val="center"/>
          </w:tcPr>
          <w:p w14:paraId="78D5C938" w14:textId="77777777" w:rsidR="00125698" w:rsidRPr="00CB093C" w:rsidRDefault="00125698" w:rsidP="003816AC">
            <w:pPr>
              <w:spacing w:before="0" w:after="0"/>
              <w:rPr>
                <w:rFonts w:ascii="Arial" w:hAnsi="Arial" w:cs="Arial"/>
                <w:color w:val="000000"/>
                <w:szCs w:val="22"/>
              </w:rPr>
            </w:pPr>
          </w:p>
        </w:tc>
        <w:tc>
          <w:tcPr>
            <w:tcW w:w="1299" w:type="dxa"/>
            <w:vMerge/>
            <w:tcBorders>
              <w:left w:val="nil"/>
              <w:bottom w:val="nil"/>
              <w:right w:val="nil"/>
            </w:tcBorders>
            <w:vAlign w:val="center"/>
          </w:tcPr>
          <w:p w14:paraId="3C957277" w14:textId="77777777" w:rsidR="00125698" w:rsidRPr="00CB093C" w:rsidRDefault="00125698" w:rsidP="003816AC">
            <w:pPr>
              <w:spacing w:before="0" w:after="0"/>
              <w:rPr>
                <w:rFonts w:ascii="Arial" w:hAnsi="Arial" w:cs="Arial"/>
                <w:color w:val="000000"/>
                <w:szCs w:val="22"/>
              </w:rPr>
            </w:pPr>
          </w:p>
        </w:tc>
        <w:tc>
          <w:tcPr>
            <w:tcW w:w="1307" w:type="dxa"/>
            <w:vMerge/>
            <w:tcBorders>
              <w:left w:val="nil"/>
              <w:bottom w:val="nil"/>
              <w:right w:val="nil"/>
            </w:tcBorders>
            <w:shd w:val="clear" w:color="auto" w:fill="F3F9FA"/>
            <w:vAlign w:val="center"/>
          </w:tcPr>
          <w:p w14:paraId="4C55024A" w14:textId="77777777" w:rsidR="00125698" w:rsidRPr="00CB093C" w:rsidRDefault="00125698" w:rsidP="003816AC">
            <w:pPr>
              <w:spacing w:before="0" w:after="0"/>
              <w:rPr>
                <w:rFonts w:ascii="Arial" w:hAnsi="Arial" w:cs="Arial"/>
                <w:color w:val="000000"/>
                <w:szCs w:val="22"/>
              </w:rPr>
            </w:pPr>
          </w:p>
        </w:tc>
        <w:tc>
          <w:tcPr>
            <w:tcW w:w="840" w:type="dxa"/>
            <w:tcBorders>
              <w:left w:val="nil"/>
              <w:bottom w:val="nil"/>
            </w:tcBorders>
            <w:shd w:val="clear" w:color="auto" w:fill="F3F9FA"/>
            <w:noWrap/>
            <w:vAlign w:val="center"/>
          </w:tcPr>
          <w:p w14:paraId="7445C086"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TO2^</w:t>
            </w:r>
          </w:p>
        </w:tc>
        <w:tc>
          <w:tcPr>
            <w:tcW w:w="555" w:type="dxa"/>
            <w:tcBorders>
              <w:bottom w:val="nil"/>
            </w:tcBorders>
            <w:shd w:val="clear" w:color="auto" w:fill="F3F9FA"/>
            <w:vAlign w:val="center"/>
          </w:tcPr>
          <w:p w14:paraId="32F7C73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20</w:t>
            </w:r>
          </w:p>
        </w:tc>
        <w:tc>
          <w:tcPr>
            <w:tcW w:w="543" w:type="dxa"/>
            <w:tcBorders>
              <w:bottom w:val="nil"/>
            </w:tcBorders>
            <w:shd w:val="clear" w:color="auto" w:fill="F3F9FA"/>
            <w:noWrap/>
            <w:vAlign w:val="center"/>
          </w:tcPr>
          <w:p w14:paraId="66A38B62" w14:textId="77777777" w:rsidR="00125698" w:rsidRPr="00CB093C" w:rsidRDefault="00125698" w:rsidP="003816AC">
            <w:pPr>
              <w:spacing w:before="0" w:after="0"/>
              <w:jc w:val="center"/>
              <w:rPr>
                <w:rFonts w:ascii="Arial" w:hAnsi="Arial" w:cs="Arial"/>
                <w:szCs w:val="22"/>
              </w:rPr>
            </w:pPr>
          </w:p>
        </w:tc>
        <w:tc>
          <w:tcPr>
            <w:tcW w:w="540" w:type="dxa"/>
            <w:tcBorders>
              <w:bottom w:val="nil"/>
            </w:tcBorders>
            <w:shd w:val="clear" w:color="auto" w:fill="F3F9FA"/>
            <w:noWrap/>
            <w:vAlign w:val="center"/>
          </w:tcPr>
          <w:p w14:paraId="2B272417" w14:textId="77777777" w:rsidR="00125698" w:rsidRPr="00CB093C" w:rsidRDefault="00125698" w:rsidP="003816AC">
            <w:pPr>
              <w:spacing w:before="0" w:after="0"/>
              <w:jc w:val="center"/>
              <w:rPr>
                <w:rFonts w:ascii="Arial" w:hAnsi="Arial" w:cs="Arial"/>
                <w:szCs w:val="22"/>
              </w:rPr>
            </w:pPr>
          </w:p>
        </w:tc>
        <w:tc>
          <w:tcPr>
            <w:tcW w:w="536" w:type="dxa"/>
            <w:tcBorders>
              <w:bottom w:val="nil"/>
            </w:tcBorders>
            <w:shd w:val="clear" w:color="auto" w:fill="F3F9FA"/>
            <w:vAlign w:val="center"/>
          </w:tcPr>
          <w:p w14:paraId="17A05901" w14:textId="77777777" w:rsidR="00125698" w:rsidRPr="00CB093C" w:rsidRDefault="00125698" w:rsidP="003816AC">
            <w:pPr>
              <w:spacing w:before="0" w:after="0"/>
              <w:jc w:val="center"/>
              <w:rPr>
                <w:rFonts w:ascii="Arial" w:hAnsi="Arial" w:cs="Arial"/>
                <w:szCs w:val="22"/>
              </w:rPr>
            </w:pPr>
          </w:p>
        </w:tc>
        <w:tc>
          <w:tcPr>
            <w:tcW w:w="540" w:type="dxa"/>
            <w:tcBorders>
              <w:bottom w:val="nil"/>
            </w:tcBorders>
            <w:shd w:val="clear" w:color="auto" w:fill="F3F9FA"/>
            <w:vAlign w:val="center"/>
          </w:tcPr>
          <w:p w14:paraId="7D833C3F" w14:textId="77777777" w:rsidR="00125698" w:rsidRPr="00CB093C" w:rsidRDefault="00125698" w:rsidP="003816AC">
            <w:pPr>
              <w:spacing w:before="0" w:after="0"/>
              <w:jc w:val="center"/>
              <w:rPr>
                <w:rFonts w:ascii="Arial" w:hAnsi="Arial" w:cs="Arial"/>
                <w:szCs w:val="22"/>
              </w:rPr>
            </w:pPr>
          </w:p>
        </w:tc>
        <w:tc>
          <w:tcPr>
            <w:tcW w:w="529" w:type="dxa"/>
            <w:tcBorders>
              <w:bottom w:val="nil"/>
            </w:tcBorders>
            <w:shd w:val="clear" w:color="auto" w:fill="F3F9FA"/>
            <w:vAlign w:val="center"/>
          </w:tcPr>
          <w:p w14:paraId="2EAB48A1" w14:textId="77777777" w:rsidR="00125698" w:rsidRPr="00CB093C" w:rsidRDefault="00125698" w:rsidP="003816AC">
            <w:pPr>
              <w:spacing w:before="0" w:after="0"/>
              <w:jc w:val="center"/>
              <w:rPr>
                <w:rFonts w:ascii="Arial" w:hAnsi="Arial" w:cs="Arial"/>
                <w:szCs w:val="22"/>
              </w:rPr>
            </w:pPr>
          </w:p>
        </w:tc>
        <w:tc>
          <w:tcPr>
            <w:tcW w:w="559" w:type="dxa"/>
            <w:tcBorders>
              <w:bottom w:val="nil"/>
              <w:right w:val="single" w:sz="4" w:space="0" w:color="auto"/>
            </w:tcBorders>
            <w:shd w:val="clear" w:color="auto" w:fill="F3F9FA"/>
            <w:vAlign w:val="center"/>
          </w:tcPr>
          <w:p w14:paraId="7C0E192F" w14:textId="77777777" w:rsidR="00125698" w:rsidRPr="00CB093C" w:rsidRDefault="00125698" w:rsidP="003816AC">
            <w:pPr>
              <w:spacing w:before="0" w:after="0"/>
              <w:jc w:val="center"/>
              <w:rPr>
                <w:rFonts w:ascii="Arial" w:hAnsi="Arial" w:cs="Arial"/>
                <w:szCs w:val="22"/>
              </w:rPr>
            </w:pPr>
          </w:p>
        </w:tc>
        <w:tc>
          <w:tcPr>
            <w:tcW w:w="559" w:type="dxa"/>
            <w:tcBorders>
              <w:left w:val="single" w:sz="4" w:space="0" w:color="auto"/>
              <w:bottom w:val="nil"/>
            </w:tcBorders>
            <w:shd w:val="clear" w:color="auto" w:fill="F3F9FA"/>
            <w:vAlign w:val="center"/>
          </w:tcPr>
          <w:p w14:paraId="43E911F7" w14:textId="77777777" w:rsidR="00125698" w:rsidRPr="00CB093C" w:rsidRDefault="00125698"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5F630E2A" w14:textId="77777777" w:rsidR="00125698" w:rsidRPr="00CB093C" w:rsidRDefault="00125698"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76234E80" w14:textId="77777777" w:rsidR="00125698" w:rsidRPr="00CB093C" w:rsidRDefault="00125698"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43877E42" w14:textId="77777777" w:rsidR="00125698" w:rsidRPr="00CB093C" w:rsidRDefault="00125698"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40038A42" w14:textId="77777777" w:rsidR="00125698" w:rsidRPr="00CB093C" w:rsidRDefault="00125698" w:rsidP="003816AC">
            <w:pPr>
              <w:spacing w:before="0" w:after="0"/>
              <w:jc w:val="center"/>
              <w:rPr>
                <w:rFonts w:ascii="Arial" w:hAnsi="Arial" w:cs="Arial"/>
                <w:szCs w:val="22"/>
              </w:rPr>
            </w:pPr>
          </w:p>
        </w:tc>
        <w:tc>
          <w:tcPr>
            <w:tcW w:w="546" w:type="dxa"/>
            <w:tcBorders>
              <w:bottom w:val="nil"/>
              <w:right w:val="nil"/>
            </w:tcBorders>
            <w:shd w:val="clear" w:color="auto" w:fill="F3F9FA"/>
            <w:vAlign w:val="center"/>
          </w:tcPr>
          <w:p w14:paraId="62DBEF79" w14:textId="77777777" w:rsidR="00125698" w:rsidRPr="00CB093C" w:rsidRDefault="00125698" w:rsidP="003816AC">
            <w:pPr>
              <w:spacing w:before="0" w:after="0"/>
              <w:jc w:val="center"/>
              <w:rPr>
                <w:rFonts w:ascii="Arial" w:hAnsi="Arial" w:cs="Arial"/>
                <w:szCs w:val="22"/>
              </w:rPr>
            </w:pPr>
          </w:p>
        </w:tc>
      </w:tr>
      <w:tr w:rsidR="00125698" w:rsidRPr="00CB093C" w14:paraId="74A54615" w14:textId="77777777" w:rsidTr="00F558BA">
        <w:trPr>
          <w:gridAfter w:val="1"/>
          <w:wAfter w:w="10" w:type="dxa"/>
          <w:cantSplit/>
          <w:trHeight w:val="170"/>
          <w:jc w:val="center"/>
        </w:trPr>
        <w:tc>
          <w:tcPr>
            <w:tcW w:w="1148" w:type="dxa"/>
            <w:vMerge/>
            <w:tcBorders>
              <w:left w:val="nil"/>
              <w:right w:val="nil"/>
            </w:tcBorders>
            <w:vAlign w:val="center"/>
          </w:tcPr>
          <w:p w14:paraId="6220081E"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vAlign w:val="center"/>
          </w:tcPr>
          <w:p w14:paraId="01E45D11" w14:textId="77777777" w:rsidR="00125698" w:rsidRPr="00CB093C" w:rsidRDefault="00125698" w:rsidP="003816AC">
            <w:pPr>
              <w:spacing w:before="0" w:after="0"/>
              <w:rPr>
                <w:rFonts w:ascii="Arial" w:hAnsi="Arial" w:cs="Arial"/>
                <w:color w:val="000000"/>
                <w:szCs w:val="22"/>
              </w:rPr>
            </w:pPr>
          </w:p>
        </w:tc>
        <w:tc>
          <w:tcPr>
            <w:tcW w:w="1299" w:type="dxa"/>
            <w:vMerge w:val="restart"/>
            <w:tcBorders>
              <w:left w:val="nil"/>
              <w:right w:val="nil"/>
            </w:tcBorders>
            <w:shd w:val="clear" w:color="auto" w:fill="F3F9FA"/>
            <w:vAlign w:val="center"/>
          </w:tcPr>
          <w:p w14:paraId="30D2F373"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O’Connell</w:t>
            </w:r>
          </w:p>
        </w:tc>
        <w:tc>
          <w:tcPr>
            <w:tcW w:w="1307" w:type="dxa"/>
            <w:vMerge w:val="restart"/>
            <w:tcBorders>
              <w:left w:val="nil"/>
              <w:right w:val="nil"/>
            </w:tcBorders>
            <w:shd w:val="clear" w:color="auto" w:fill="F3F9FA"/>
            <w:vAlign w:val="center"/>
          </w:tcPr>
          <w:p w14:paraId="27D244F1" w14:textId="77777777" w:rsidR="00125698" w:rsidRPr="00CB093C" w:rsidRDefault="00125698" w:rsidP="003816AC">
            <w:pPr>
              <w:spacing w:before="0" w:after="0"/>
              <w:jc w:val="center"/>
              <w:rPr>
                <w:rFonts w:ascii="Arial" w:hAnsi="Arial" w:cs="Arial"/>
                <w:color w:val="000000"/>
                <w:szCs w:val="22"/>
              </w:rPr>
            </w:pPr>
            <w:r w:rsidRPr="00CB093C">
              <w:rPr>
                <w:rFonts w:ascii="Arial" w:hAnsi="Arial" w:cs="Arial"/>
                <w:color w:val="000000"/>
                <w:szCs w:val="22"/>
              </w:rPr>
              <w:t>Newry Islands</w:t>
            </w:r>
          </w:p>
        </w:tc>
        <w:tc>
          <w:tcPr>
            <w:tcW w:w="840" w:type="dxa"/>
            <w:tcBorders>
              <w:top w:val="single" w:sz="4" w:space="0" w:color="auto"/>
              <w:left w:val="nil"/>
              <w:right w:val="nil"/>
            </w:tcBorders>
            <w:shd w:val="clear" w:color="auto" w:fill="F3F9FA"/>
            <w:noWrap/>
            <w:vAlign w:val="center"/>
          </w:tcPr>
          <w:p w14:paraId="48ABAAF1"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NB1^</w:t>
            </w:r>
          </w:p>
        </w:tc>
        <w:tc>
          <w:tcPr>
            <w:tcW w:w="555" w:type="dxa"/>
            <w:tcBorders>
              <w:top w:val="single" w:sz="4" w:space="0" w:color="auto"/>
              <w:left w:val="nil"/>
              <w:right w:val="nil"/>
            </w:tcBorders>
            <w:shd w:val="clear" w:color="auto" w:fill="F3F9FA"/>
            <w:vAlign w:val="center"/>
          </w:tcPr>
          <w:p w14:paraId="7CC9ADC6"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22</w:t>
            </w:r>
          </w:p>
        </w:tc>
        <w:tc>
          <w:tcPr>
            <w:tcW w:w="543" w:type="dxa"/>
            <w:tcBorders>
              <w:top w:val="single" w:sz="4" w:space="0" w:color="auto"/>
              <w:left w:val="nil"/>
              <w:right w:val="nil"/>
            </w:tcBorders>
            <w:shd w:val="clear" w:color="auto" w:fill="F3F9FA"/>
            <w:noWrap/>
            <w:vAlign w:val="center"/>
          </w:tcPr>
          <w:p w14:paraId="601C770B" w14:textId="77777777" w:rsidR="00125698" w:rsidRPr="00CB093C" w:rsidRDefault="00125698"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F3F9FA"/>
            <w:noWrap/>
            <w:vAlign w:val="center"/>
          </w:tcPr>
          <w:p w14:paraId="3F0FD369" w14:textId="77777777" w:rsidR="00125698" w:rsidRPr="00CB093C" w:rsidRDefault="00125698" w:rsidP="003816AC">
            <w:pPr>
              <w:spacing w:before="0" w:after="0"/>
              <w:jc w:val="center"/>
              <w:rPr>
                <w:rFonts w:ascii="Arial" w:hAnsi="Arial" w:cs="Arial"/>
                <w:szCs w:val="22"/>
              </w:rPr>
            </w:pPr>
          </w:p>
        </w:tc>
        <w:tc>
          <w:tcPr>
            <w:tcW w:w="536" w:type="dxa"/>
            <w:tcBorders>
              <w:top w:val="single" w:sz="4" w:space="0" w:color="auto"/>
              <w:left w:val="nil"/>
              <w:right w:val="nil"/>
            </w:tcBorders>
            <w:shd w:val="clear" w:color="auto" w:fill="F3F9FA"/>
            <w:vAlign w:val="center"/>
          </w:tcPr>
          <w:p w14:paraId="5D2E4AFE" w14:textId="77777777" w:rsidR="00125698" w:rsidRPr="00CB093C" w:rsidRDefault="00125698"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F3F9FA"/>
            <w:vAlign w:val="center"/>
          </w:tcPr>
          <w:p w14:paraId="53FFE909" w14:textId="77777777" w:rsidR="00125698" w:rsidRPr="00CB093C" w:rsidRDefault="00125698" w:rsidP="003816AC">
            <w:pPr>
              <w:spacing w:before="0" w:after="0"/>
              <w:jc w:val="center"/>
              <w:rPr>
                <w:rFonts w:ascii="Arial" w:hAnsi="Arial" w:cs="Arial"/>
                <w:szCs w:val="22"/>
              </w:rPr>
            </w:pPr>
          </w:p>
        </w:tc>
        <w:tc>
          <w:tcPr>
            <w:tcW w:w="529" w:type="dxa"/>
            <w:tcBorders>
              <w:top w:val="single" w:sz="4" w:space="0" w:color="auto"/>
              <w:left w:val="nil"/>
              <w:right w:val="nil"/>
            </w:tcBorders>
            <w:shd w:val="clear" w:color="auto" w:fill="F3F9FA"/>
            <w:vAlign w:val="center"/>
          </w:tcPr>
          <w:p w14:paraId="1B9BD44A"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single" w:sz="4" w:space="0" w:color="auto"/>
            </w:tcBorders>
            <w:shd w:val="clear" w:color="auto" w:fill="F3F9FA"/>
            <w:vAlign w:val="center"/>
          </w:tcPr>
          <w:p w14:paraId="442BE270"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tcPr>
          <w:p w14:paraId="629ACE6F"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67EE59CE"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3DF819BD"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720042B2" w14:textId="77777777" w:rsidR="00125698" w:rsidRPr="00CB093C" w:rsidRDefault="00125698"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0F0B9B1B" w14:textId="77777777" w:rsidR="00125698" w:rsidRPr="00CB093C" w:rsidRDefault="00125698" w:rsidP="003816AC">
            <w:pPr>
              <w:spacing w:before="0" w:after="0"/>
              <w:jc w:val="center"/>
              <w:rPr>
                <w:rFonts w:ascii="Arial" w:hAnsi="Arial" w:cs="Arial"/>
                <w:szCs w:val="22"/>
              </w:rPr>
            </w:pPr>
          </w:p>
        </w:tc>
        <w:tc>
          <w:tcPr>
            <w:tcW w:w="546" w:type="dxa"/>
            <w:tcBorders>
              <w:top w:val="single" w:sz="4" w:space="0" w:color="auto"/>
              <w:left w:val="nil"/>
              <w:right w:val="nil"/>
            </w:tcBorders>
            <w:shd w:val="clear" w:color="auto" w:fill="F3F9FA"/>
            <w:vAlign w:val="center"/>
          </w:tcPr>
          <w:p w14:paraId="4B4A18C6" w14:textId="77777777" w:rsidR="00125698" w:rsidRPr="00CB093C" w:rsidRDefault="00125698" w:rsidP="003816AC">
            <w:pPr>
              <w:spacing w:before="0" w:after="0"/>
              <w:jc w:val="center"/>
              <w:rPr>
                <w:rFonts w:ascii="Arial" w:hAnsi="Arial" w:cs="Arial"/>
                <w:szCs w:val="22"/>
              </w:rPr>
            </w:pPr>
          </w:p>
        </w:tc>
      </w:tr>
      <w:tr w:rsidR="00125698" w:rsidRPr="00CB093C" w14:paraId="25A480C8" w14:textId="77777777" w:rsidTr="00125698">
        <w:trPr>
          <w:gridAfter w:val="1"/>
          <w:wAfter w:w="10" w:type="dxa"/>
          <w:cantSplit/>
          <w:trHeight w:val="170"/>
          <w:jc w:val="center"/>
        </w:trPr>
        <w:tc>
          <w:tcPr>
            <w:tcW w:w="1148" w:type="dxa"/>
            <w:vMerge/>
            <w:tcBorders>
              <w:left w:val="nil"/>
              <w:right w:val="nil"/>
            </w:tcBorders>
            <w:vAlign w:val="center"/>
          </w:tcPr>
          <w:p w14:paraId="037E91E3" w14:textId="77777777" w:rsidR="00125698" w:rsidRPr="00CB093C" w:rsidRDefault="00125698" w:rsidP="003816AC">
            <w:pPr>
              <w:spacing w:before="0" w:after="0"/>
              <w:rPr>
                <w:rFonts w:ascii="Arial" w:hAnsi="Arial" w:cs="Arial"/>
                <w:color w:val="000000"/>
                <w:szCs w:val="22"/>
              </w:rPr>
            </w:pPr>
          </w:p>
        </w:tc>
        <w:tc>
          <w:tcPr>
            <w:tcW w:w="1294" w:type="dxa"/>
            <w:vMerge/>
            <w:tcBorders>
              <w:left w:val="nil"/>
              <w:right w:val="nil"/>
            </w:tcBorders>
            <w:vAlign w:val="center"/>
          </w:tcPr>
          <w:p w14:paraId="29AF677D" w14:textId="77777777" w:rsidR="00125698" w:rsidRPr="00CB093C" w:rsidRDefault="00125698" w:rsidP="003816AC">
            <w:pPr>
              <w:spacing w:before="0" w:after="0"/>
              <w:rPr>
                <w:rFonts w:ascii="Arial" w:hAnsi="Arial" w:cs="Arial"/>
                <w:color w:val="000000"/>
                <w:szCs w:val="22"/>
              </w:rPr>
            </w:pPr>
          </w:p>
        </w:tc>
        <w:tc>
          <w:tcPr>
            <w:tcW w:w="1299" w:type="dxa"/>
            <w:vMerge/>
            <w:tcBorders>
              <w:left w:val="nil"/>
              <w:bottom w:val="nil"/>
              <w:right w:val="nil"/>
            </w:tcBorders>
            <w:shd w:val="clear" w:color="auto" w:fill="F3F9FA"/>
            <w:vAlign w:val="center"/>
          </w:tcPr>
          <w:p w14:paraId="4921FED3" w14:textId="77777777" w:rsidR="00125698" w:rsidRPr="00CB093C" w:rsidRDefault="00125698" w:rsidP="003816AC">
            <w:pPr>
              <w:spacing w:before="0" w:after="0"/>
              <w:rPr>
                <w:rFonts w:ascii="Arial" w:hAnsi="Arial" w:cs="Arial"/>
                <w:color w:val="000000"/>
                <w:szCs w:val="22"/>
              </w:rPr>
            </w:pPr>
          </w:p>
        </w:tc>
        <w:tc>
          <w:tcPr>
            <w:tcW w:w="1307" w:type="dxa"/>
            <w:vMerge/>
            <w:tcBorders>
              <w:left w:val="nil"/>
              <w:bottom w:val="single" w:sz="4" w:space="0" w:color="auto"/>
              <w:right w:val="nil"/>
            </w:tcBorders>
            <w:shd w:val="clear" w:color="auto" w:fill="F3F9FA"/>
            <w:vAlign w:val="center"/>
          </w:tcPr>
          <w:p w14:paraId="3839CB61" w14:textId="77777777" w:rsidR="00125698" w:rsidRPr="00CB093C" w:rsidRDefault="00125698" w:rsidP="003816AC">
            <w:pPr>
              <w:spacing w:before="0" w:after="0"/>
              <w:jc w:val="center"/>
              <w:rPr>
                <w:rFonts w:ascii="Arial" w:hAnsi="Arial" w:cs="Arial"/>
                <w:color w:val="000000"/>
                <w:szCs w:val="22"/>
              </w:rPr>
            </w:pPr>
          </w:p>
        </w:tc>
        <w:tc>
          <w:tcPr>
            <w:tcW w:w="840" w:type="dxa"/>
            <w:tcBorders>
              <w:left w:val="nil"/>
              <w:bottom w:val="single" w:sz="4" w:space="0" w:color="auto"/>
            </w:tcBorders>
            <w:shd w:val="clear" w:color="auto" w:fill="F3F9FA"/>
            <w:noWrap/>
            <w:vAlign w:val="center"/>
          </w:tcPr>
          <w:p w14:paraId="1C3C2334" w14:textId="77777777" w:rsidR="00125698" w:rsidRPr="00CB093C" w:rsidRDefault="00125698" w:rsidP="003816AC">
            <w:pPr>
              <w:spacing w:before="0" w:after="0"/>
              <w:jc w:val="center"/>
              <w:rPr>
                <w:rFonts w:ascii="Arial" w:hAnsi="Arial" w:cs="Arial"/>
                <w:b/>
                <w:color w:val="000000"/>
                <w:szCs w:val="22"/>
              </w:rPr>
            </w:pPr>
            <w:r w:rsidRPr="00CB093C">
              <w:rPr>
                <w:rFonts w:ascii="Arial" w:hAnsi="Arial" w:cs="Arial"/>
                <w:b/>
                <w:color w:val="000000"/>
                <w:szCs w:val="22"/>
              </w:rPr>
              <w:t>NB2^</w:t>
            </w:r>
          </w:p>
        </w:tc>
        <w:tc>
          <w:tcPr>
            <w:tcW w:w="555" w:type="dxa"/>
            <w:tcBorders>
              <w:bottom w:val="single" w:sz="4" w:space="0" w:color="auto"/>
            </w:tcBorders>
            <w:shd w:val="clear" w:color="auto" w:fill="F3F9FA"/>
            <w:vAlign w:val="center"/>
          </w:tcPr>
          <w:p w14:paraId="4A1F48FF" w14:textId="77777777" w:rsidR="00125698" w:rsidRPr="00CB093C" w:rsidRDefault="00125698" w:rsidP="003816AC">
            <w:pPr>
              <w:spacing w:before="0" w:after="0"/>
              <w:jc w:val="center"/>
              <w:rPr>
                <w:rFonts w:ascii="Arial" w:hAnsi="Arial" w:cs="Arial"/>
                <w:szCs w:val="22"/>
              </w:rPr>
            </w:pPr>
            <w:r w:rsidRPr="00CB093C">
              <w:rPr>
                <w:rFonts w:ascii="Arial" w:hAnsi="Arial" w:cs="Arial"/>
                <w:szCs w:val="22"/>
              </w:rPr>
              <w:t>21</w:t>
            </w:r>
          </w:p>
        </w:tc>
        <w:tc>
          <w:tcPr>
            <w:tcW w:w="543" w:type="dxa"/>
            <w:tcBorders>
              <w:bottom w:val="single" w:sz="4" w:space="0" w:color="auto"/>
            </w:tcBorders>
            <w:shd w:val="clear" w:color="auto" w:fill="F3F9FA"/>
            <w:noWrap/>
            <w:vAlign w:val="center"/>
          </w:tcPr>
          <w:p w14:paraId="2D4046F0" w14:textId="77777777" w:rsidR="00125698" w:rsidRPr="00CB093C" w:rsidRDefault="00125698" w:rsidP="003816AC">
            <w:pPr>
              <w:spacing w:before="0" w:after="0"/>
              <w:jc w:val="center"/>
              <w:rPr>
                <w:rFonts w:ascii="Arial" w:hAnsi="Arial" w:cs="Arial"/>
                <w:szCs w:val="22"/>
              </w:rPr>
            </w:pPr>
          </w:p>
        </w:tc>
        <w:tc>
          <w:tcPr>
            <w:tcW w:w="540" w:type="dxa"/>
            <w:tcBorders>
              <w:bottom w:val="single" w:sz="4" w:space="0" w:color="auto"/>
            </w:tcBorders>
            <w:shd w:val="clear" w:color="auto" w:fill="F3F9FA"/>
            <w:noWrap/>
            <w:vAlign w:val="center"/>
          </w:tcPr>
          <w:p w14:paraId="15EE3909" w14:textId="77777777" w:rsidR="00125698" w:rsidRPr="00CB093C" w:rsidRDefault="00125698" w:rsidP="003816AC">
            <w:pPr>
              <w:spacing w:before="0" w:after="0"/>
              <w:jc w:val="center"/>
              <w:rPr>
                <w:rFonts w:ascii="Arial" w:hAnsi="Arial" w:cs="Arial"/>
                <w:szCs w:val="22"/>
              </w:rPr>
            </w:pPr>
          </w:p>
        </w:tc>
        <w:tc>
          <w:tcPr>
            <w:tcW w:w="536" w:type="dxa"/>
            <w:tcBorders>
              <w:bottom w:val="single" w:sz="4" w:space="0" w:color="auto"/>
            </w:tcBorders>
            <w:shd w:val="clear" w:color="auto" w:fill="F3F9FA"/>
            <w:vAlign w:val="center"/>
          </w:tcPr>
          <w:p w14:paraId="6F0ECB8F" w14:textId="77777777" w:rsidR="00125698" w:rsidRPr="00CB093C" w:rsidRDefault="00125698" w:rsidP="003816AC">
            <w:pPr>
              <w:spacing w:before="0" w:after="0"/>
              <w:jc w:val="center"/>
              <w:rPr>
                <w:rFonts w:ascii="Arial" w:hAnsi="Arial" w:cs="Arial"/>
                <w:szCs w:val="22"/>
              </w:rPr>
            </w:pPr>
          </w:p>
        </w:tc>
        <w:tc>
          <w:tcPr>
            <w:tcW w:w="540" w:type="dxa"/>
            <w:tcBorders>
              <w:bottom w:val="single" w:sz="4" w:space="0" w:color="auto"/>
            </w:tcBorders>
            <w:shd w:val="clear" w:color="auto" w:fill="F3F9FA"/>
            <w:vAlign w:val="center"/>
          </w:tcPr>
          <w:p w14:paraId="25A41D1E" w14:textId="77777777" w:rsidR="00125698" w:rsidRPr="00CB093C" w:rsidRDefault="00125698" w:rsidP="003816AC">
            <w:pPr>
              <w:spacing w:before="0" w:after="0"/>
              <w:jc w:val="center"/>
              <w:rPr>
                <w:rFonts w:ascii="Arial" w:hAnsi="Arial" w:cs="Arial"/>
                <w:szCs w:val="22"/>
              </w:rPr>
            </w:pPr>
          </w:p>
        </w:tc>
        <w:tc>
          <w:tcPr>
            <w:tcW w:w="529" w:type="dxa"/>
            <w:tcBorders>
              <w:bottom w:val="single" w:sz="4" w:space="0" w:color="auto"/>
            </w:tcBorders>
            <w:shd w:val="clear" w:color="auto" w:fill="F3F9FA"/>
            <w:vAlign w:val="center"/>
          </w:tcPr>
          <w:p w14:paraId="23FDDE98"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right w:val="single" w:sz="4" w:space="0" w:color="auto"/>
            </w:tcBorders>
            <w:shd w:val="clear" w:color="auto" w:fill="F3F9FA"/>
            <w:vAlign w:val="center"/>
          </w:tcPr>
          <w:p w14:paraId="5D5126C3" w14:textId="77777777" w:rsidR="00125698" w:rsidRPr="00CB093C" w:rsidRDefault="00125698" w:rsidP="003816AC">
            <w:pPr>
              <w:spacing w:before="0" w:after="0"/>
              <w:jc w:val="center"/>
              <w:rPr>
                <w:rFonts w:ascii="Arial" w:hAnsi="Arial" w:cs="Arial"/>
                <w:szCs w:val="22"/>
              </w:rPr>
            </w:pPr>
          </w:p>
        </w:tc>
        <w:tc>
          <w:tcPr>
            <w:tcW w:w="559" w:type="dxa"/>
            <w:tcBorders>
              <w:left w:val="single" w:sz="4" w:space="0" w:color="auto"/>
              <w:bottom w:val="single" w:sz="4" w:space="0" w:color="auto"/>
            </w:tcBorders>
            <w:shd w:val="clear" w:color="auto" w:fill="F3F9FA"/>
            <w:vAlign w:val="center"/>
          </w:tcPr>
          <w:p w14:paraId="0D48F3DD"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42C023C7"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60294F80"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2BDBC2E9" w14:textId="77777777" w:rsidR="00125698" w:rsidRPr="00CB093C" w:rsidRDefault="00125698" w:rsidP="003816AC">
            <w:pPr>
              <w:spacing w:before="0" w:after="0"/>
              <w:jc w:val="center"/>
              <w:rPr>
                <w:rFonts w:ascii="Arial" w:hAnsi="Arial" w:cs="Arial"/>
                <w:szCs w:val="22"/>
              </w:rPr>
            </w:pPr>
          </w:p>
        </w:tc>
        <w:tc>
          <w:tcPr>
            <w:tcW w:w="559" w:type="dxa"/>
            <w:tcBorders>
              <w:bottom w:val="single" w:sz="4" w:space="0" w:color="auto"/>
            </w:tcBorders>
            <w:shd w:val="clear" w:color="auto" w:fill="F3F9FA"/>
            <w:vAlign w:val="center"/>
          </w:tcPr>
          <w:p w14:paraId="28D11D38" w14:textId="77777777" w:rsidR="00125698" w:rsidRPr="00CB093C" w:rsidRDefault="00125698" w:rsidP="003816AC">
            <w:pPr>
              <w:spacing w:before="0" w:after="0"/>
              <w:jc w:val="center"/>
              <w:rPr>
                <w:rFonts w:ascii="Arial" w:hAnsi="Arial" w:cs="Arial"/>
                <w:szCs w:val="22"/>
              </w:rPr>
            </w:pPr>
          </w:p>
        </w:tc>
        <w:tc>
          <w:tcPr>
            <w:tcW w:w="546" w:type="dxa"/>
            <w:tcBorders>
              <w:bottom w:val="single" w:sz="4" w:space="0" w:color="auto"/>
              <w:right w:val="nil"/>
            </w:tcBorders>
            <w:shd w:val="clear" w:color="auto" w:fill="F3F9FA"/>
            <w:vAlign w:val="center"/>
          </w:tcPr>
          <w:p w14:paraId="795AA623" w14:textId="77777777" w:rsidR="00125698" w:rsidRPr="00CB093C" w:rsidRDefault="00125698" w:rsidP="003816AC">
            <w:pPr>
              <w:spacing w:before="0" w:after="0"/>
              <w:jc w:val="center"/>
              <w:rPr>
                <w:rFonts w:ascii="Arial" w:hAnsi="Arial" w:cs="Arial"/>
                <w:szCs w:val="22"/>
              </w:rPr>
            </w:pPr>
          </w:p>
        </w:tc>
      </w:tr>
      <w:tr w:rsidR="009B215C" w:rsidRPr="00CB093C" w14:paraId="45C104A1" w14:textId="77777777" w:rsidTr="00F558BA">
        <w:trPr>
          <w:gridAfter w:val="1"/>
          <w:wAfter w:w="10" w:type="dxa"/>
          <w:cantSplit/>
          <w:trHeight w:val="170"/>
          <w:jc w:val="center"/>
        </w:trPr>
        <w:tc>
          <w:tcPr>
            <w:tcW w:w="1148" w:type="dxa"/>
            <w:vMerge/>
            <w:tcBorders>
              <w:left w:val="nil"/>
              <w:right w:val="nil"/>
            </w:tcBorders>
            <w:vAlign w:val="center"/>
            <w:hideMark/>
          </w:tcPr>
          <w:p w14:paraId="32ED3A12" w14:textId="77777777" w:rsidR="009B215C" w:rsidRPr="00CB093C" w:rsidRDefault="009B215C" w:rsidP="003816AC">
            <w:pPr>
              <w:spacing w:before="0" w:after="0"/>
              <w:rPr>
                <w:rFonts w:ascii="Arial" w:hAnsi="Arial" w:cs="Arial"/>
                <w:color w:val="000000"/>
                <w:szCs w:val="22"/>
              </w:rPr>
            </w:pPr>
          </w:p>
        </w:tc>
        <w:tc>
          <w:tcPr>
            <w:tcW w:w="1294" w:type="dxa"/>
            <w:vMerge/>
            <w:tcBorders>
              <w:left w:val="nil"/>
              <w:right w:val="nil"/>
            </w:tcBorders>
            <w:vAlign w:val="center"/>
            <w:hideMark/>
          </w:tcPr>
          <w:p w14:paraId="51D98DF8" w14:textId="77777777" w:rsidR="009B215C" w:rsidRPr="00CB093C" w:rsidRDefault="009B215C" w:rsidP="003816AC">
            <w:pPr>
              <w:spacing w:before="0" w:after="0"/>
              <w:rPr>
                <w:rFonts w:ascii="Arial" w:hAnsi="Arial" w:cs="Arial"/>
                <w:color w:val="000000"/>
                <w:szCs w:val="22"/>
              </w:rPr>
            </w:pPr>
          </w:p>
        </w:tc>
        <w:tc>
          <w:tcPr>
            <w:tcW w:w="1299" w:type="dxa"/>
            <w:vMerge w:val="restart"/>
            <w:tcBorders>
              <w:top w:val="single" w:sz="4" w:space="0" w:color="auto"/>
              <w:left w:val="nil"/>
              <w:right w:val="nil"/>
            </w:tcBorders>
            <w:shd w:val="clear" w:color="auto" w:fill="F3F9FA"/>
            <w:vAlign w:val="center"/>
            <w:hideMark/>
          </w:tcPr>
          <w:p w14:paraId="22283D3C" w14:textId="77777777" w:rsidR="009B215C" w:rsidRPr="00CB093C" w:rsidRDefault="009B215C" w:rsidP="003816AC">
            <w:pPr>
              <w:spacing w:before="0" w:after="0"/>
              <w:jc w:val="center"/>
              <w:rPr>
                <w:rFonts w:ascii="Arial" w:hAnsi="Arial" w:cs="Arial"/>
                <w:color w:val="000000"/>
                <w:szCs w:val="22"/>
              </w:rPr>
            </w:pPr>
            <w:r w:rsidRPr="00CB093C">
              <w:rPr>
                <w:rFonts w:ascii="Arial" w:hAnsi="Arial" w:cs="Arial"/>
                <w:color w:val="000000"/>
                <w:szCs w:val="22"/>
              </w:rPr>
              <w:t>Plane</w:t>
            </w:r>
          </w:p>
        </w:tc>
        <w:tc>
          <w:tcPr>
            <w:tcW w:w="1307" w:type="dxa"/>
            <w:vMerge w:val="restart"/>
            <w:tcBorders>
              <w:top w:val="single" w:sz="4" w:space="0" w:color="auto"/>
              <w:left w:val="nil"/>
              <w:bottom w:val="nil"/>
              <w:right w:val="nil"/>
            </w:tcBorders>
            <w:shd w:val="clear" w:color="auto" w:fill="F3F9FA"/>
            <w:noWrap/>
            <w:vAlign w:val="center"/>
            <w:hideMark/>
          </w:tcPr>
          <w:p w14:paraId="7CC1EDFA" w14:textId="77777777" w:rsidR="009B215C" w:rsidRPr="00CB093C" w:rsidRDefault="009B215C" w:rsidP="003816AC">
            <w:pPr>
              <w:spacing w:before="0" w:after="0"/>
              <w:jc w:val="center"/>
              <w:rPr>
                <w:rFonts w:ascii="Arial" w:hAnsi="Arial" w:cs="Arial"/>
                <w:color w:val="000000"/>
                <w:szCs w:val="22"/>
              </w:rPr>
            </w:pPr>
            <w:r w:rsidRPr="00CB093C">
              <w:rPr>
                <w:rFonts w:ascii="Arial" w:hAnsi="Arial" w:cs="Arial"/>
                <w:color w:val="000000"/>
                <w:szCs w:val="22"/>
              </w:rPr>
              <w:t>Sarina Inlet</w:t>
            </w:r>
          </w:p>
        </w:tc>
        <w:tc>
          <w:tcPr>
            <w:tcW w:w="840" w:type="dxa"/>
            <w:tcBorders>
              <w:top w:val="single" w:sz="4" w:space="0" w:color="auto"/>
              <w:left w:val="nil"/>
              <w:right w:val="nil"/>
            </w:tcBorders>
            <w:shd w:val="clear" w:color="auto" w:fill="F3F9FA"/>
            <w:noWrap/>
            <w:vAlign w:val="center"/>
            <w:hideMark/>
          </w:tcPr>
          <w:p w14:paraId="36D37F17" w14:textId="77777777" w:rsidR="009B215C" w:rsidRPr="00CB093C" w:rsidRDefault="009B215C" w:rsidP="003816AC">
            <w:pPr>
              <w:spacing w:before="0" w:after="0"/>
              <w:jc w:val="center"/>
              <w:rPr>
                <w:rFonts w:ascii="Arial" w:hAnsi="Arial" w:cs="Arial"/>
                <w:b/>
                <w:color w:val="000000"/>
                <w:szCs w:val="22"/>
              </w:rPr>
            </w:pPr>
            <w:r w:rsidRPr="00CB093C">
              <w:rPr>
                <w:rFonts w:ascii="Arial" w:hAnsi="Arial" w:cs="Arial"/>
                <w:b/>
                <w:color w:val="000000"/>
                <w:szCs w:val="22"/>
              </w:rPr>
              <w:t>SI1</w:t>
            </w:r>
          </w:p>
        </w:tc>
        <w:tc>
          <w:tcPr>
            <w:tcW w:w="555" w:type="dxa"/>
            <w:tcBorders>
              <w:top w:val="single" w:sz="4" w:space="0" w:color="auto"/>
              <w:left w:val="nil"/>
              <w:right w:val="nil"/>
            </w:tcBorders>
            <w:shd w:val="clear" w:color="auto" w:fill="F3F9FA"/>
            <w:vAlign w:val="center"/>
            <w:hideMark/>
          </w:tcPr>
          <w:p w14:paraId="6ABF6527"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hideMark/>
          </w:tcPr>
          <w:p w14:paraId="4B98742A"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hideMark/>
          </w:tcPr>
          <w:p w14:paraId="32AD57C9"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F3F9FA"/>
            <w:vAlign w:val="center"/>
            <w:hideMark/>
          </w:tcPr>
          <w:p w14:paraId="3F0D7C68"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right w:val="nil"/>
            </w:tcBorders>
            <w:shd w:val="clear" w:color="auto" w:fill="F3F9FA"/>
            <w:vAlign w:val="center"/>
            <w:hideMark/>
          </w:tcPr>
          <w:p w14:paraId="036A7914"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F3F9FA"/>
            <w:vAlign w:val="center"/>
            <w:hideMark/>
          </w:tcPr>
          <w:p w14:paraId="26B398D5"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hideMark/>
          </w:tcPr>
          <w:p w14:paraId="52FAEF6E"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right w:val="nil"/>
            </w:tcBorders>
            <w:shd w:val="clear" w:color="auto" w:fill="F3F9FA"/>
            <w:vAlign w:val="center"/>
            <w:hideMark/>
          </w:tcPr>
          <w:p w14:paraId="7FC036CF"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hideMark/>
          </w:tcPr>
          <w:p w14:paraId="0C0399F7"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hideMark/>
          </w:tcPr>
          <w:p w14:paraId="01364877"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nil"/>
            </w:tcBorders>
            <w:shd w:val="clear" w:color="auto" w:fill="F3F9FA"/>
            <w:vAlign w:val="center"/>
            <w:hideMark/>
          </w:tcPr>
          <w:p w14:paraId="1A86A565"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15</w:t>
            </w:r>
          </w:p>
        </w:tc>
        <w:tc>
          <w:tcPr>
            <w:tcW w:w="559" w:type="dxa"/>
            <w:tcBorders>
              <w:top w:val="single" w:sz="4" w:space="0" w:color="auto"/>
              <w:left w:val="nil"/>
              <w:right w:val="nil"/>
            </w:tcBorders>
            <w:shd w:val="clear" w:color="auto" w:fill="F3F9FA"/>
            <w:vAlign w:val="center"/>
            <w:hideMark/>
          </w:tcPr>
          <w:p w14:paraId="3A83D4F5"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hideMark/>
          </w:tcPr>
          <w:p w14:paraId="6E8D81FF"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r>
      <w:tr w:rsidR="009B215C" w:rsidRPr="00CB093C" w14:paraId="623E0814" w14:textId="77777777" w:rsidTr="00F558BA">
        <w:trPr>
          <w:gridAfter w:val="1"/>
          <w:wAfter w:w="10" w:type="dxa"/>
          <w:cantSplit/>
          <w:trHeight w:val="170"/>
          <w:jc w:val="center"/>
        </w:trPr>
        <w:tc>
          <w:tcPr>
            <w:tcW w:w="1148" w:type="dxa"/>
            <w:vMerge/>
            <w:tcBorders>
              <w:left w:val="nil"/>
              <w:right w:val="nil"/>
            </w:tcBorders>
            <w:vAlign w:val="center"/>
            <w:hideMark/>
          </w:tcPr>
          <w:p w14:paraId="18DB6B08" w14:textId="77777777" w:rsidR="009B215C" w:rsidRPr="00CB093C" w:rsidRDefault="009B215C" w:rsidP="003816AC">
            <w:pPr>
              <w:spacing w:before="0" w:after="0"/>
              <w:rPr>
                <w:rFonts w:ascii="Arial" w:hAnsi="Arial" w:cs="Arial"/>
                <w:color w:val="000000"/>
                <w:szCs w:val="22"/>
              </w:rPr>
            </w:pPr>
          </w:p>
        </w:tc>
        <w:tc>
          <w:tcPr>
            <w:tcW w:w="1294" w:type="dxa"/>
            <w:vMerge/>
            <w:tcBorders>
              <w:left w:val="nil"/>
              <w:right w:val="nil"/>
            </w:tcBorders>
            <w:vAlign w:val="center"/>
            <w:hideMark/>
          </w:tcPr>
          <w:p w14:paraId="34A5E3E1" w14:textId="77777777" w:rsidR="009B215C" w:rsidRPr="00CB093C" w:rsidRDefault="009B215C" w:rsidP="003816AC">
            <w:pPr>
              <w:spacing w:before="0" w:after="0"/>
              <w:rPr>
                <w:rFonts w:ascii="Arial" w:hAnsi="Arial" w:cs="Arial"/>
                <w:color w:val="000000"/>
                <w:szCs w:val="22"/>
              </w:rPr>
            </w:pPr>
          </w:p>
        </w:tc>
        <w:tc>
          <w:tcPr>
            <w:tcW w:w="1299" w:type="dxa"/>
            <w:vMerge/>
            <w:tcBorders>
              <w:left w:val="nil"/>
              <w:right w:val="nil"/>
            </w:tcBorders>
            <w:vAlign w:val="center"/>
            <w:hideMark/>
          </w:tcPr>
          <w:p w14:paraId="5B23FDA3" w14:textId="77777777" w:rsidR="009B215C" w:rsidRPr="00CB093C" w:rsidRDefault="009B215C"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0EC63A53" w14:textId="77777777" w:rsidR="009B215C" w:rsidRPr="00CB093C" w:rsidRDefault="009B215C" w:rsidP="003816AC">
            <w:pPr>
              <w:spacing w:before="0" w:after="0"/>
              <w:rPr>
                <w:rFonts w:ascii="Arial" w:hAnsi="Arial" w:cs="Arial"/>
                <w:color w:val="000000"/>
                <w:szCs w:val="22"/>
              </w:rPr>
            </w:pPr>
          </w:p>
        </w:tc>
        <w:tc>
          <w:tcPr>
            <w:tcW w:w="840" w:type="dxa"/>
            <w:tcBorders>
              <w:left w:val="nil"/>
              <w:bottom w:val="single" w:sz="4" w:space="0" w:color="auto"/>
            </w:tcBorders>
            <w:shd w:val="clear" w:color="auto" w:fill="F3F9FA"/>
            <w:noWrap/>
            <w:vAlign w:val="center"/>
            <w:hideMark/>
          </w:tcPr>
          <w:p w14:paraId="65B8290A" w14:textId="77777777" w:rsidR="009B215C" w:rsidRPr="00CB093C" w:rsidRDefault="009B215C" w:rsidP="003816AC">
            <w:pPr>
              <w:spacing w:before="0" w:after="0"/>
              <w:jc w:val="center"/>
              <w:rPr>
                <w:rFonts w:ascii="Arial" w:hAnsi="Arial" w:cs="Arial"/>
                <w:b/>
                <w:color w:val="000000"/>
                <w:szCs w:val="22"/>
              </w:rPr>
            </w:pPr>
            <w:r w:rsidRPr="00CB093C">
              <w:rPr>
                <w:rFonts w:ascii="Arial" w:hAnsi="Arial" w:cs="Arial"/>
                <w:b/>
                <w:color w:val="000000"/>
                <w:szCs w:val="22"/>
              </w:rPr>
              <w:t>SI2</w:t>
            </w:r>
          </w:p>
        </w:tc>
        <w:tc>
          <w:tcPr>
            <w:tcW w:w="555" w:type="dxa"/>
            <w:tcBorders>
              <w:bottom w:val="single" w:sz="4" w:space="0" w:color="auto"/>
            </w:tcBorders>
            <w:shd w:val="clear" w:color="auto" w:fill="F3F9FA"/>
            <w:vAlign w:val="center"/>
            <w:hideMark/>
          </w:tcPr>
          <w:p w14:paraId="650B48E3"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single" w:sz="4" w:space="0" w:color="auto"/>
            </w:tcBorders>
            <w:shd w:val="clear" w:color="auto" w:fill="F3F9FA"/>
            <w:noWrap/>
            <w:vAlign w:val="center"/>
            <w:hideMark/>
          </w:tcPr>
          <w:p w14:paraId="7CF807A6"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single" w:sz="4" w:space="0" w:color="auto"/>
            </w:tcBorders>
            <w:shd w:val="clear" w:color="auto" w:fill="F3F9FA"/>
            <w:noWrap/>
            <w:vAlign w:val="center"/>
            <w:hideMark/>
          </w:tcPr>
          <w:p w14:paraId="524A6DAE"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single" w:sz="4" w:space="0" w:color="auto"/>
            </w:tcBorders>
            <w:shd w:val="clear" w:color="auto" w:fill="F3F9FA"/>
            <w:vAlign w:val="center"/>
            <w:hideMark/>
          </w:tcPr>
          <w:p w14:paraId="0C5E8827"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bottom w:val="single" w:sz="4" w:space="0" w:color="auto"/>
            </w:tcBorders>
            <w:shd w:val="clear" w:color="auto" w:fill="F3F9FA"/>
            <w:vAlign w:val="center"/>
            <w:hideMark/>
          </w:tcPr>
          <w:p w14:paraId="2199EEC7"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single" w:sz="4" w:space="0" w:color="auto"/>
            </w:tcBorders>
            <w:shd w:val="clear" w:color="auto" w:fill="F3F9FA"/>
            <w:vAlign w:val="center"/>
            <w:hideMark/>
          </w:tcPr>
          <w:p w14:paraId="2969FB05"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single" w:sz="4" w:space="0" w:color="auto"/>
              <w:right w:val="single" w:sz="4" w:space="0" w:color="auto"/>
            </w:tcBorders>
            <w:shd w:val="clear" w:color="auto" w:fill="F3F9FA"/>
            <w:vAlign w:val="center"/>
          </w:tcPr>
          <w:p w14:paraId="61CFC788" w14:textId="77777777" w:rsidR="009B215C" w:rsidRPr="00CB093C" w:rsidRDefault="009B215C" w:rsidP="003816AC">
            <w:pPr>
              <w:spacing w:before="0" w:after="0"/>
              <w:jc w:val="center"/>
              <w:rPr>
                <w:rFonts w:ascii="Arial" w:hAnsi="Arial" w:cs="Arial"/>
                <w:szCs w:val="22"/>
              </w:rPr>
            </w:pPr>
          </w:p>
        </w:tc>
        <w:tc>
          <w:tcPr>
            <w:tcW w:w="559" w:type="dxa"/>
            <w:tcBorders>
              <w:left w:val="single" w:sz="4" w:space="0" w:color="auto"/>
              <w:bottom w:val="single" w:sz="4" w:space="0" w:color="auto"/>
            </w:tcBorders>
            <w:shd w:val="clear" w:color="auto" w:fill="F3F9FA"/>
            <w:vAlign w:val="center"/>
            <w:hideMark/>
          </w:tcPr>
          <w:p w14:paraId="7B2688A4"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single" w:sz="4" w:space="0" w:color="auto"/>
            </w:tcBorders>
            <w:shd w:val="clear" w:color="auto" w:fill="F3F9FA"/>
            <w:vAlign w:val="center"/>
            <w:hideMark/>
          </w:tcPr>
          <w:p w14:paraId="1054EC6C"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single" w:sz="4" w:space="0" w:color="auto"/>
            </w:tcBorders>
            <w:shd w:val="clear" w:color="auto" w:fill="F3F9FA"/>
            <w:vAlign w:val="center"/>
            <w:hideMark/>
          </w:tcPr>
          <w:p w14:paraId="24FEB3FE"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single" w:sz="4" w:space="0" w:color="auto"/>
            </w:tcBorders>
            <w:shd w:val="clear" w:color="auto" w:fill="F3F9FA"/>
            <w:vAlign w:val="center"/>
            <w:hideMark/>
          </w:tcPr>
          <w:p w14:paraId="5A4BD90F"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t>15</w:t>
            </w:r>
          </w:p>
        </w:tc>
        <w:tc>
          <w:tcPr>
            <w:tcW w:w="559" w:type="dxa"/>
            <w:tcBorders>
              <w:bottom w:val="single" w:sz="4" w:space="0" w:color="auto"/>
            </w:tcBorders>
            <w:shd w:val="clear" w:color="auto" w:fill="F3F9FA"/>
            <w:vAlign w:val="center"/>
            <w:hideMark/>
          </w:tcPr>
          <w:p w14:paraId="2AD300B9" w14:textId="77777777" w:rsidR="009B215C" w:rsidRPr="00CB093C" w:rsidRDefault="009B215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single" w:sz="4" w:space="0" w:color="auto"/>
              <w:right w:val="nil"/>
            </w:tcBorders>
            <w:shd w:val="clear" w:color="auto" w:fill="F3F9FA"/>
            <w:vAlign w:val="center"/>
          </w:tcPr>
          <w:p w14:paraId="7BCF7EBD" w14:textId="77777777" w:rsidR="009B215C" w:rsidRPr="00CB093C" w:rsidRDefault="009B215C" w:rsidP="003816AC">
            <w:pPr>
              <w:spacing w:before="0" w:after="0"/>
              <w:jc w:val="center"/>
              <w:rPr>
                <w:rFonts w:ascii="Arial" w:hAnsi="Arial" w:cs="Arial"/>
                <w:szCs w:val="22"/>
              </w:rPr>
            </w:pPr>
          </w:p>
        </w:tc>
      </w:tr>
      <w:tr w:rsidR="009B215C" w:rsidRPr="00CB093C" w14:paraId="2A558406" w14:textId="77777777" w:rsidTr="00F558BA">
        <w:trPr>
          <w:gridAfter w:val="1"/>
          <w:wAfter w:w="10" w:type="dxa"/>
          <w:cantSplit/>
          <w:trHeight w:val="170"/>
          <w:jc w:val="center"/>
        </w:trPr>
        <w:tc>
          <w:tcPr>
            <w:tcW w:w="1148" w:type="dxa"/>
            <w:vMerge/>
            <w:tcBorders>
              <w:left w:val="nil"/>
              <w:right w:val="nil"/>
            </w:tcBorders>
            <w:vAlign w:val="center"/>
          </w:tcPr>
          <w:p w14:paraId="6904CC8F" w14:textId="77777777" w:rsidR="009B215C" w:rsidRPr="00CB093C" w:rsidRDefault="009B215C" w:rsidP="003816AC">
            <w:pPr>
              <w:spacing w:before="0" w:after="0"/>
              <w:rPr>
                <w:rFonts w:ascii="Arial" w:hAnsi="Arial" w:cs="Arial"/>
                <w:color w:val="000000"/>
                <w:szCs w:val="22"/>
              </w:rPr>
            </w:pPr>
          </w:p>
        </w:tc>
        <w:tc>
          <w:tcPr>
            <w:tcW w:w="1294" w:type="dxa"/>
            <w:vMerge/>
            <w:tcBorders>
              <w:left w:val="nil"/>
              <w:right w:val="nil"/>
            </w:tcBorders>
            <w:vAlign w:val="center"/>
          </w:tcPr>
          <w:p w14:paraId="782874A5" w14:textId="77777777" w:rsidR="009B215C" w:rsidRPr="00CB093C" w:rsidRDefault="009B215C" w:rsidP="003816AC">
            <w:pPr>
              <w:spacing w:before="0" w:after="0"/>
              <w:rPr>
                <w:rFonts w:ascii="Arial" w:hAnsi="Arial" w:cs="Arial"/>
                <w:color w:val="000000"/>
                <w:szCs w:val="22"/>
              </w:rPr>
            </w:pPr>
          </w:p>
        </w:tc>
        <w:tc>
          <w:tcPr>
            <w:tcW w:w="1299" w:type="dxa"/>
            <w:vMerge/>
            <w:tcBorders>
              <w:left w:val="nil"/>
              <w:right w:val="nil"/>
            </w:tcBorders>
            <w:shd w:val="clear" w:color="auto" w:fill="F3F9FA"/>
            <w:vAlign w:val="center"/>
          </w:tcPr>
          <w:p w14:paraId="430FD0F5" w14:textId="77777777" w:rsidR="009B215C" w:rsidRPr="00CB093C" w:rsidRDefault="009B215C" w:rsidP="00125698">
            <w:pPr>
              <w:spacing w:before="0" w:after="0"/>
              <w:jc w:val="center"/>
              <w:rPr>
                <w:rFonts w:ascii="Arial" w:hAnsi="Arial" w:cs="Arial"/>
                <w:color w:val="000000"/>
                <w:szCs w:val="22"/>
              </w:rPr>
            </w:pPr>
          </w:p>
        </w:tc>
        <w:tc>
          <w:tcPr>
            <w:tcW w:w="1307" w:type="dxa"/>
            <w:vMerge w:val="restart"/>
            <w:tcBorders>
              <w:top w:val="single" w:sz="4" w:space="0" w:color="auto"/>
              <w:left w:val="nil"/>
              <w:right w:val="nil"/>
            </w:tcBorders>
            <w:shd w:val="clear" w:color="auto" w:fill="F3F9FA"/>
            <w:vAlign w:val="center"/>
          </w:tcPr>
          <w:p w14:paraId="50D019F3" w14:textId="68BBAE8E" w:rsidR="009B215C" w:rsidRPr="00CB093C" w:rsidRDefault="009B215C" w:rsidP="00125698">
            <w:pPr>
              <w:spacing w:before="0" w:after="0"/>
              <w:jc w:val="center"/>
              <w:rPr>
                <w:rFonts w:ascii="Arial" w:hAnsi="Arial" w:cs="Arial"/>
                <w:color w:val="000000"/>
                <w:szCs w:val="22"/>
              </w:rPr>
            </w:pPr>
            <w:r w:rsidRPr="00CB093C">
              <w:rPr>
                <w:rFonts w:ascii="Arial" w:hAnsi="Arial" w:cs="Arial"/>
                <w:color w:val="000000"/>
                <w:szCs w:val="22"/>
              </w:rPr>
              <w:t>Clairview</w:t>
            </w:r>
          </w:p>
        </w:tc>
        <w:tc>
          <w:tcPr>
            <w:tcW w:w="840" w:type="dxa"/>
            <w:tcBorders>
              <w:top w:val="single" w:sz="4" w:space="0" w:color="auto"/>
              <w:left w:val="nil"/>
              <w:bottom w:val="nil"/>
            </w:tcBorders>
            <w:shd w:val="clear" w:color="auto" w:fill="F3F9FA"/>
            <w:noWrap/>
            <w:vAlign w:val="center"/>
          </w:tcPr>
          <w:p w14:paraId="5A805C0A" w14:textId="24885EC8" w:rsidR="009B215C" w:rsidRPr="00CB093C" w:rsidRDefault="009B215C" w:rsidP="003816AC">
            <w:pPr>
              <w:spacing w:before="0" w:after="0"/>
              <w:jc w:val="center"/>
              <w:rPr>
                <w:rFonts w:ascii="Arial" w:hAnsi="Arial" w:cs="Arial"/>
                <w:b/>
                <w:color w:val="000000"/>
                <w:szCs w:val="22"/>
              </w:rPr>
            </w:pPr>
            <w:r w:rsidRPr="00CB093C">
              <w:rPr>
                <w:rFonts w:ascii="Arial" w:hAnsi="Arial" w:cs="Arial"/>
                <w:b/>
                <w:color w:val="000000"/>
                <w:szCs w:val="22"/>
              </w:rPr>
              <w:t>CV1</w:t>
            </w:r>
          </w:p>
        </w:tc>
        <w:tc>
          <w:tcPr>
            <w:tcW w:w="555" w:type="dxa"/>
            <w:tcBorders>
              <w:top w:val="single" w:sz="4" w:space="0" w:color="auto"/>
              <w:bottom w:val="nil"/>
            </w:tcBorders>
            <w:shd w:val="clear" w:color="auto" w:fill="F3F9FA"/>
            <w:vAlign w:val="center"/>
          </w:tcPr>
          <w:p w14:paraId="0957C088" w14:textId="4E13A535" w:rsidR="009B215C" w:rsidRPr="00CB093C" w:rsidRDefault="009B215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bottom w:val="nil"/>
            </w:tcBorders>
            <w:shd w:val="clear" w:color="auto" w:fill="F3F9FA"/>
            <w:noWrap/>
            <w:vAlign w:val="center"/>
          </w:tcPr>
          <w:p w14:paraId="0681CD2B" w14:textId="764A2E15" w:rsidR="009B215C" w:rsidRPr="00CB093C" w:rsidRDefault="00C00EC6"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bottom w:val="nil"/>
            </w:tcBorders>
            <w:shd w:val="clear" w:color="auto" w:fill="F3F9FA"/>
            <w:noWrap/>
            <w:vAlign w:val="center"/>
          </w:tcPr>
          <w:p w14:paraId="3CA8A118" w14:textId="77777777" w:rsidR="009B215C" w:rsidRPr="00CB093C" w:rsidRDefault="009B215C" w:rsidP="003816AC">
            <w:pPr>
              <w:spacing w:before="0" w:after="0"/>
              <w:jc w:val="center"/>
              <w:rPr>
                <w:rFonts w:ascii="Arial" w:hAnsi="Arial" w:cs="Arial"/>
                <w:szCs w:val="22"/>
              </w:rPr>
            </w:pPr>
          </w:p>
        </w:tc>
        <w:tc>
          <w:tcPr>
            <w:tcW w:w="536" w:type="dxa"/>
            <w:tcBorders>
              <w:top w:val="single" w:sz="4" w:space="0" w:color="auto"/>
              <w:bottom w:val="nil"/>
            </w:tcBorders>
            <w:shd w:val="clear" w:color="auto" w:fill="F3F9FA"/>
            <w:vAlign w:val="center"/>
          </w:tcPr>
          <w:p w14:paraId="2C38F195" w14:textId="77777777" w:rsidR="009B215C" w:rsidRPr="00CB093C" w:rsidRDefault="009B215C" w:rsidP="003816AC">
            <w:pPr>
              <w:spacing w:before="0" w:after="0"/>
              <w:jc w:val="center"/>
              <w:rPr>
                <w:rFonts w:ascii="Arial" w:hAnsi="Arial" w:cs="Arial"/>
                <w:szCs w:val="22"/>
              </w:rPr>
            </w:pPr>
          </w:p>
        </w:tc>
        <w:tc>
          <w:tcPr>
            <w:tcW w:w="540" w:type="dxa"/>
            <w:tcBorders>
              <w:top w:val="single" w:sz="4" w:space="0" w:color="auto"/>
              <w:bottom w:val="nil"/>
            </w:tcBorders>
            <w:shd w:val="clear" w:color="auto" w:fill="F3F9FA"/>
            <w:vAlign w:val="center"/>
          </w:tcPr>
          <w:p w14:paraId="1F98AF22" w14:textId="77777777" w:rsidR="009B215C" w:rsidRPr="00CB093C" w:rsidRDefault="009B215C" w:rsidP="003816AC">
            <w:pPr>
              <w:spacing w:before="0" w:after="0"/>
              <w:jc w:val="center"/>
              <w:rPr>
                <w:rFonts w:ascii="Arial" w:hAnsi="Arial" w:cs="Arial"/>
                <w:szCs w:val="22"/>
              </w:rPr>
            </w:pPr>
          </w:p>
        </w:tc>
        <w:tc>
          <w:tcPr>
            <w:tcW w:w="529" w:type="dxa"/>
            <w:tcBorders>
              <w:top w:val="single" w:sz="4" w:space="0" w:color="auto"/>
              <w:bottom w:val="nil"/>
            </w:tcBorders>
            <w:shd w:val="clear" w:color="auto" w:fill="F3F9FA"/>
            <w:vAlign w:val="center"/>
          </w:tcPr>
          <w:p w14:paraId="3F836233" w14:textId="77777777" w:rsidR="009B215C" w:rsidRPr="00CB093C" w:rsidRDefault="009B215C" w:rsidP="003816AC">
            <w:pPr>
              <w:spacing w:before="0" w:after="0"/>
              <w:jc w:val="center"/>
              <w:rPr>
                <w:rFonts w:ascii="Arial" w:hAnsi="Arial" w:cs="Arial"/>
                <w:szCs w:val="22"/>
              </w:rPr>
            </w:pPr>
          </w:p>
        </w:tc>
        <w:tc>
          <w:tcPr>
            <w:tcW w:w="559" w:type="dxa"/>
            <w:tcBorders>
              <w:top w:val="single" w:sz="4" w:space="0" w:color="auto"/>
              <w:bottom w:val="nil"/>
              <w:right w:val="single" w:sz="4" w:space="0" w:color="auto"/>
            </w:tcBorders>
            <w:shd w:val="clear" w:color="auto" w:fill="F3F9FA"/>
            <w:vAlign w:val="center"/>
          </w:tcPr>
          <w:p w14:paraId="2E5B16DF" w14:textId="77777777" w:rsidR="009B215C" w:rsidRPr="00CB093C" w:rsidRDefault="009B215C" w:rsidP="003816AC">
            <w:pPr>
              <w:spacing w:before="0" w:after="0"/>
              <w:jc w:val="center"/>
              <w:rPr>
                <w:rFonts w:ascii="Arial" w:hAnsi="Arial" w:cs="Arial"/>
                <w:szCs w:val="22"/>
              </w:rPr>
            </w:pPr>
          </w:p>
        </w:tc>
        <w:tc>
          <w:tcPr>
            <w:tcW w:w="559" w:type="dxa"/>
            <w:tcBorders>
              <w:top w:val="single" w:sz="4" w:space="0" w:color="auto"/>
              <w:left w:val="single" w:sz="4" w:space="0" w:color="auto"/>
              <w:bottom w:val="nil"/>
            </w:tcBorders>
            <w:shd w:val="clear" w:color="auto" w:fill="F3F9FA"/>
            <w:vAlign w:val="center"/>
          </w:tcPr>
          <w:p w14:paraId="77892267" w14:textId="77777777" w:rsidR="009B215C" w:rsidRPr="00CB093C" w:rsidRDefault="009B215C" w:rsidP="003816AC">
            <w:pPr>
              <w:spacing w:before="0" w:after="0"/>
              <w:jc w:val="center"/>
              <w:rPr>
                <w:rFonts w:ascii="Arial" w:hAnsi="Arial" w:cs="Arial"/>
                <w:szCs w:val="22"/>
              </w:rPr>
            </w:pPr>
          </w:p>
        </w:tc>
        <w:tc>
          <w:tcPr>
            <w:tcW w:w="559" w:type="dxa"/>
            <w:tcBorders>
              <w:top w:val="single" w:sz="4" w:space="0" w:color="auto"/>
              <w:bottom w:val="nil"/>
            </w:tcBorders>
            <w:shd w:val="clear" w:color="auto" w:fill="F3F9FA"/>
            <w:vAlign w:val="center"/>
          </w:tcPr>
          <w:p w14:paraId="62F9CEDD" w14:textId="77777777" w:rsidR="009B215C" w:rsidRPr="00CB093C" w:rsidRDefault="009B215C" w:rsidP="003816AC">
            <w:pPr>
              <w:spacing w:before="0" w:after="0"/>
              <w:jc w:val="center"/>
              <w:rPr>
                <w:rFonts w:ascii="Arial" w:hAnsi="Arial" w:cs="Arial"/>
                <w:szCs w:val="22"/>
              </w:rPr>
            </w:pPr>
          </w:p>
        </w:tc>
        <w:tc>
          <w:tcPr>
            <w:tcW w:w="559" w:type="dxa"/>
            <w:tcBorders>
              <w:top w:val="single" w:sz="4" w:space="0" w:color="auto"/>
              <w:bottom w:val="nil"/>
            </w:tcBorders>
            <w:shd w:val="clear" w:color="auto" w:fill="F3F9FA"/>
            <w:vAlign w:val="center"/>
          </w:tcPr>
          <w:p w14:paraId="2481E175" w14:textId="77777777" w:rsidR="009B215C" w:rsidRPr="00CB093C" w:rsidRDefault="009B215C" w:rsidP="003816AC">
            <w:pPr>
              <w:spacing w:before="0" w:after="0"/>
              <w:jc w:val="center"/>
              <w:rPr>
                <w:rFonts w:ascii="Arial" w:hAnsi="Arial" w:cs="Arial"/>
                <w:szCs w:val="22"/>
              </w:rPr>
            </w:pPr>
          </w:p>
        </w:tc>
        <w:tc>
          <w:tcPr>
            <w:tcW w:w="559" w:type="dxa"/>
            <w:tcBorders>
              <w:top w:val="single" w:sz="4" w:space="0" w:color="auto"/>
              <w:bottom w:val="nil"/>
            </w:tcBorders>
            <w:shd w:val="clear" w:color="auto" w:fill="F3F9FA"/>
            <w:vAlign w:val="center"/>
          </w:tcPr>
          <w:p w14:paraId="25B311EF" w14:textId="77777777" w:rsidR="009B215C" w:rsidRPr="00CB093C" w:rsidRDefault="009B215C" w:rsidP="003816AC">
            <w:pPr>
              <w:spacing w:before="0" w:after="0"/>
              <w:jc w:val="center"/>
              <w:rPr>
                <w:rFonts w:ascii="Arial" w:hAnsi="Arial" w:cs="Arial"/>
                <w:szCs w:val="22"/>
              </w:rPr>
            </w:pPr>
          </w:p>
        </w:tc>
        <w:tc>
          <w:tcPr>
            <w:tcW w:w="559" w:type="dxa"/>
            <w:tcBorders>
              <w:top w:val="single" w:sz="4" w:space="0" w:color="auto"/>
              <w:bottom w:val="nil"/>
            </w:tcBorders>
            <w:shd w:val="clear" w:color="auto" w:fill="F3F9FA"/>
            <w:vAlign w:val="center"/>
          </w:tcPr>
          <w:p w14:paraId="61C3BBCA" w14:textId="77777777" w:rsidR="009B215C" w:rsidRPr="00CB093C" w:rsidRDefault="009B215C" w:rsidP="003816AC">
            <w:pPr>
              <w:spacing w:before="0" w:after="0"/>
              <w:jc w:val="center"/>
              <w:rPr>
                <w:rFonts w:ascii="Arial" w:hAnsi="Arial" w:cs="Arial"/>
                <w:szCs w:val="22"/>
              </w:rPr>
            </w:pPr>
          </w:p>
        </w:tc>
        <w:tc>
          <w:tcPr>
            <w:tcW w:w="546" w:type="dxa"/>
            <w:tcBorders>
              <w:top w:val="single" w:sz="4" w:space="0" w:color="auto"/>
              <w:bottom w:val="nil"/>
              <w:right w:val="nil"/>
            </w:tcBorders>
            <w:shd w:val="clear" w:color="auto" w:fill="F3F9FA"/>
            <w:vAlign w:val="center"/>
          </w:tcPr>
          <w:p w14:paraId="2D08168A" w14:textId="77777777" w:rsidR="009B215C" w:rsidRPr="00CB093C" w:rsidRDefault="009B215C" w:rsidP="003816AC">
            <w:pPr>
              <w:spacing w:before="0" w:after="0"/>
              <w:jc w:val="center"/>
              <w:rPr>
                <w:rFonts w:ascii="Arial" w:hAnsi="Arial" w:cs="Arial"/>
                <w:szCs w:val="22"/>
              </w:rPr>
            </w:pPr>
          </w:p>
        </w:tc>
      </w:tr>
      <w:tr w:rsidR="009B215C" w:rsidRPr="00CB093C" w14:paraId="3E128D18" w14:textId="77777777" w:rsidTr="00125698">
        <w:trPr>
          <w:gridAfter w:val="1"/>
          <w:wAfter w:w="10" w:type="dxa"/>
          <w:cantSplit/>
          <w:trHeight w:val="170"/>
          <w:jc w:val="center"/>
        </w:trPr>
        <w:tc>
          <w:tcPr>
            <w:tcW w:w="1148" w:type="dxa"/>
            <w:vMerge/>
            <w:tcBorders>
              <w:left w:val="nil"/>
              <w:bottom w:val="nil"/>
              <w:right w:val="nil"/>
            </w:tcBorders>
            <w:vAlign w:val="center"/>
          </w:tcPr>
          <w:p w14:paraId="2DB6B67E" w14:textId="77777777" w:rsidR="009B215C" w:rsidRPr="00CB093C" w:rsidRDefault="009B215C" w:rsidP="003816AC">
            <w:pPr>
              <w:spacing w:before="0" w:after="0"/>
              <w:rPr>
                <w:rFonts w:ascii="Arial" w:hAnsi="Arial" w:cs="Arial"/>
                <w:color w:val="000000"/>
                <w:szCs w:val="22"/>
              </w:rPr>
            </w:pPr>
          </w:p>
        </w:tc>
        <w:tc>
          <w:tcPr>
            <w:tcW w:w="1294" w:type="dxa"/>
            <w:vMerge/>
            <w:tcBorders>
              <w:left w:val="nil"/>
              <w:bottom w:val="single" w:sz="4" w:space="0" w:color="auto"/>
              <w:right w:val="nil"/>
            </w:tcBorders>
            <w:vAlign w:val="center"/>
          </w:tcPr>
          <w:p w14:paraId="5583D138" w14:textId="77777777" w:rsidR="009B215C" w:rsidRPr="00CB093C" w:rsidRDefault="009B215C" w:rsidP="003816AC">
            <w:pPr>
              <w:spacing w:before="0" w:after="0"/>
              <w:rPr>
                <w:rFonts w:ascii="Arial" w:hAnsi="Arial" w:cs="Arial"/>
                <w:color w:val="000000"/>
                <w:szCs w:val="22"/>
              </w:rPr>
            </w:pPr>
          </w:p>
        </w:tc>
        <w:tc>
          <w:tcPr>
            <w:tcW w:w="1299" w:type="dxa"/>
            <w:vMerge/>
            <w:tcBorders>
              <w:left w:val="nil"/>
              <w:bottom w:val="nil"/>
              <w:right w:val="nil"/>
            </w:tcBorders>
            <w:shd w:val="clear" w:color="auto" w:fill="F3F9FA"/>
            <w:vAlign w:val="center"/>
          </w:tcPr>
          <w:p w14:paraId="3CFE3C31" w14:textId="77777777" w:rsidR="009B215C" w:rsidRPr="00CB093C" w:rsidRDefault="009B215C" w:rsidP="003816AC">
            <w:pPr>
              <w:spacing w:before="0" w:after="0"/>
              <w:rPr>
                <w:rFonts w:ascii="Arial" w:hAnsi="Arial" w:cs="Arial"/>
                <w:color w:val="000000"/>
                <w:szCs w:val="22"/>
              </w:rPr>
            </w:pPr>
          </w:p>
        </w:tc>
        <w:tc>
          <w:tcPr>
            <w:tcW w:w="1307" w:type="dxa"/>
            <w:vMerge/>
            <w:tcBorders>
              <w:left w:val="nil"/>
              <w:bottom w:val="nil"/>
              <w:right w:val="nil"/>
            </w:tcBorders>
            <w:shd w:val="clear" w:color="auto" w:fill="F3F9FA"/>
            <w:vAlign w:val="center"/>
          </w:tcPr>
          <w:p w14:paraId="0057FE65" w14:textId="5C6060C7" w:rsidR="009B215C" w:rsidRPr="00CB093C" w:rsidRDefault="009B215C" w:rsidP="003816AC">
            <w:pPr>
              <w:spacing w:before="0" w:after="0"/>
              <w:rPr>
                <w:rFonts w:ascii="Arial" w:hAnsi="Arial" w:cs="Arial"/>
                <w:color w:val="000000"/>
                <w:szCs w:val="22"/>
              </w:rPr>
            </w:pPr>
          </w:p>
        </w:tc>
        <w:tc>
          <w:tcPr>
            <w:tcW w:w="840" w:type="dxa"/>
            <w:tcBorders>
              <w:left w:val="nil"/>
              <w:bottom w:val="nil"/>
            </w:tcBorders>
            <w:shd w:val="clear" w:color="auto" w:fill="F3F9FA"/>
            <w:noWrap/>
            <w:vAlign w:val="center"/>
          </w:tcPr>
          <w:p w14:paraId="4AC70CF5" w14:textId="1EA8D582" w:rsidR="009B215C" w:rsidRPr="00CB093C" w:rsidRDefault="009B215C" w:rsidP="003816AC">
            <w:pPr>
              <w:spacing w:before="0" w:after="0"/>
              <w:jc w:val="center"/>
              <w:rPr>
                <w:rFonts w:ascii="Arial" w:hAnsi="Arial" w:cs="Arial"/>
                <w:b/>
                <w:color w:val="000000"/>
                <w:szCs w:val="22"/>
              </w:rPr>
            </w:pPr>
            <w:r w:rsidRPr="00CB093C">
              <w:rPr>
                <w:rFonts w:ascii="Arial" w:hAnsi="Arial" w:cs="Arial"/>
                <w:b/>
                <w:color w:val="000000"/>
                <w:szCs w:val="22"/>
              </w:rPr>
              <w:t>CV2</w:t>
            </w:r>
          </w:p>
        </w:tc>
        <w:tc>
          <w:tcPr>
            <w:tcW w:w="555" w:type="dxa"/>
            <w:tcBorders>
              <w:bottom w:val="nil"/>
            </w:tcBorders>
            <w:shd w:val="clear" w:color="auto" w:fill="F3F9FA"/>
            <w:vAlign w:val="center"/>
          </w:tcPr>
          <w:p w14:paraId="5148E98C" w14:textId="62B5B8F2" w:rsidR="009B215C" w:rsidRPr="00CB093C" w:rsidRDefault="009B215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tcPr>
          <w:p w14:paraId="75348037" w14:textId="16D6D41E" w:rsidR="009B215C" w:rsidRPr="00CB093C" w:rsidRDefault="00C00EC6"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tcPr>
          <w:p w14:paraId="7A27AE72" w14:textId="77777777" w:rsidR="009B215C" w:rsidRPr="00CB093C" w:rsidRDefault="009B215C" w:rsidP="003816AC">
            <w:pPr>
              <w:spacing w:before="0" w:after="0"/>
              <w:jc w:val="center"/>
              <w:rPr>
                <w:rFonts w:ascii="Arial" w:hAnsi="Arial" w:cs="Arial"/>
                <w:szCs w:val="22"/>
              </w:rPr>
            </w:pPr>
          </w:p>
        </w:tc>
        <w:tc>
          <w:tcPr>
            <w:tcW w:w="536" w:type="dxa"/>
            <w:tcBorders>
              <w:bottom w:val="nil"/>
            </w:tcBorders>
            <w:shd w:val="clear" w:color="auto" w:fill="F3F9FA"/>
            <w:vAlign w:val="center"/>
          </w:tcPr>
          <w:p w14:paraId="5F5C3DFA" w14:textId="77777777" w:rsidR="009B215C" w:rsidRPr="00CB093C" w:rsidRDefault="009B215C" w:rsidP="003816AC">
            <w:pPr>
              <w:spacing w:before="0" w:after="0"/>
              <w:jc w:val="center"/>
              <w:rPr>
                <w:rFonts w:ascii="Arial" w:hAnsi="Arial" w:cs="Arial"/>
                <w:szCs w:val="22"/>
              </w:rPr>
            </w:pPr>
          </w:p>
        </w:tc>
        <w:tc>
          <w:tcPr>
            <w:tcW w:w="540" w:type="dxa"/>
            <w:tcBorders>
              <w:bottom w:val="nil"/>
            </w:tcBorders>
            <w:shd w:val="clear" w:color="auto" w:fill="F3F9FA"/>
            <w:vAlign w:val="center"/>
          </w:tcPr>
          <w:p w14:paraId="70C295AE" w14:textId="77777777" w:rsidR="009B215C" w:rsidRPr="00CB093C" w:rsidRDefault="009B215C" w:rsidP="003816AC">
            <w:pPr>
              <w:spacing w:before="0" w:after="0"/>
              <w:jc w:val="center"/>
              <w:rPr>
                <w:rFonts w:ascii="Arial" w:hAnsi="Arial" w:cs="Arial"/>
                <w:szCs w:val="22"/>
              </w:rPr>
            </w:pPr>
          </w:p>
        </w:tc>
        <w:tc>
          <w:tcPr>
            <w:tcW w:w="529" w:type="dxa"/>
            <w:tcBorders>
              <w:bottom w:val="nil"/>
            </w:tcBorders>
            <w:shd w:val="clear" w:color="auto" w:fill="F3F9FA"/>
            <w:vAlign w:val="center"/>
          </w:tcPr>
          <w:p w14:paraId="73F529B2" w14:textId="77777777" w:rsidR="009B215C" w:rsidRPr="00CB093C" w:rsidRDefault="009B215C" w:rsidP="003816AC">
            <w:pPr>
              <w:spacing w:before="0" w:after="0"/>
              <w:jc w:val="center"/>
              <w:rPr>
                <w:rFonts w:ascii="Arial" w:hAnsi="Arial" w:cs="Arial"/>
                <w:szCs w:val="22"/>
              </w:rPr>
            </w:pPr>
          </w:p>
        </w:tc>
        <w:tc>
          <w:tcPr>
            <w:tcW w:w="559" w:type="dxa"/>
            <w:tcBorders>
              <w:bottom w:val="nil"/>
              <w:right w:val="single" w:sz="4" w:space="0" w:color="auto"/>
            </w:tcBorders>
            <w:shd w:val="clear" w:color="auto" w:fill="F3F9FA"/>
            <w:vAlign w:val="center"/>
          </w:tcPr>
          <w:p w14:paraId="1F4D8AAD" w14:textId="77777777" w:rsidR="009B215C" w:rsidRPr="00CB093C" w:rsidRDefault="009B215C" w:rsidP="003816AC">
            <w:pPr>
              <w:spacing w:before="0" w:after="0"/>
              <w:jc w:val="center"/>
              <w:rPr>
                <w:rFonts w:ascii="Arial" w:hAnsi="Arial" w:cs="Arial"/>
                <w:szCs w:val="22"/>
              </w:rPr>
            </w:pPr>
          </w:p>
        </w:tc>
        <w:tc>
          <w:tcPr>
            <w:tcW w:w="559" w:type="dxa"/>
            <w:tcBorders>
              <w:left w:val="single" w:sz="4" w:space="0" w:color="auto"/>
              <w:bottom w:val="nil"/>
            </w:tcBorders>
            <w:shd w:val="clear" w:color="auto" w:fill="F3F9FA"/>
            <w:vAlign w:val="center"/>
          </w:tcPr>
          <w:p w14:paraId="7CCDCFCF" w14:textId="77777777" w:rsidR="009B215C" w:rsidRPr="00CB093C" w:rsidRDefault="009B215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7EAA248B" w14:textId="77777777" w:rsidR="009B215C" w:rsidRPr="00CB093C" w:rsidRDefault="009B215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6048DB82" w14:textId="77777777" w:rsidR="009B215C" w:rsidRPr="00CB093C" w:rsidRDefault="009B215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661A0389" w14:textId="77777777" w:rsidR="009B215C" w:rsidRPr="00CB093C" w:rsidRDefault="009B215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0F067B89" w14:textId="77777777" w:rsidR="009B215C" w:rsidRPr="00CB093C" w:rsidRDefault="009B215C" w:rsidP="003816AC">
            <w:pPr>
              <w:spacing w:before="0" w:after="0"/>
              <w:jc w:val="center"/>
              <w:rPr>
                <w:rFonts w:ascii="Arial" w:hAnsi="Arial" w:cs="Arial"/>
                <w:szCs w:val="22"/>
              </w:rPr>
            </w:pPr>
          </w:p>
        </w:tc>
        <w:tc>
          <w:tcPr>
            <w:tcW w:w="546" w:type="dxa"/>
            <w:tcBorders>
              <w:bottom w:val="nil"/>
              <w:right w:val="nil"/>
            </w:tcBorders>
            <w:shd w:val="clear" w:color="auto" w:fill="F3F9FA"/>
            <w:vAlign w:val="center"/>
          </w:tcPr>
          <w:p w14:paraId="06BDE54E" w14:textId="77777777" w:rsidR="009B215C" w:rsidRPr="00CB093C" w:rsidRDefault="009B215C" w:rsidP="003816AC">
            <w:pPr>
              <w:spacing w:before="0" w:after="0"/>
              <w:jc w:val="center"/>
              <w:rPr>
                <w:rFonts w:ascii="Arial" w:hAnsi="Arial" w:cs="Arial"/>
                <w:szCs w:val="22"/>
              </w:rPr>
            </w:pPr>
          </w:p>
        </w:tc>
      </w:tr>
      <w:tr w:rsidR="003816AC" w:rsidRPr="00CB093C" w14:paraId="3F71460F" w14:textId="77777777" w:rsidTr="00035C35">
        <w:trPr>
          <w:gridAfter w:val="1"/>
          <w:wAfter w:w="10" w:type="dxa"/>
          <w:cantSplit/>
          <w:trHeight w:val="170"/>
          <w:jc w:val="center"/>
        </w:trPr>
        <w:tc>
          <w:tcPr>
            <w:tcW w:w="1148" w:type="dxa"/>
            <w:vMerge w:val="restart"/>
            <w:tcBorders>
              <w:top w:val="single" w:sz="4" w:space="0" w:color="auto"/>
              <w:left w:val="nil"/>
              <w:bottom w:val="single" w:sz="4" w:space="0" w:color="auto"/>
              <w:right w:val="nil"/>
            </w:tcBorders>
            <w:noWrap/>
            <w:vAlign w:val="center"/>
            <w:hideMark/>
          </w:tcPr>
          <w:p w14:paraId="00C8C501"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Southern</w:t>
            </w:r>
          </w:p>
        </w:tc>
        <w:tc>
          <w:tcPr>
            <w:tcW w:w="1294" w:type="dxa"/>
            <w:vMerge w:val="restart"/>
            <w:tcBorders>
              <w:top w:val="single" w:sz="4" w:space="0" w:color="auto"/>
              <w:left w:val="nil"/>
              <w:bottom w:val="single" w:sz="4" w:space="0" w:color="auto"/>
              <w:right w:val="nil"/>
            </w:tcBorders>
            <w:shd w:val="clear" w:color="auto" w:fill="E7F3F4"/>
            <w:noWrap/>
            <w:vAlign w:val="center"/>
            <w:hideMark/>
          </w:tcPr>
          <w:p w14:paraId="313A73C2"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 xml:space="preserve">Fitzroy </w:t>
            </w:r>
          </w:p>
        </w:tc>
        <w:tc>
          <w:tcPr>
            <w:tcW w:w="1299" w:type="dxa"/>
            <w:vMerge w:val="restart"/>
            <w:tcBorders>
              <w:top w:val="single" w:sz="4" w:space="0" w:color="auto"/>
              <w:left w:val="nil"/>
              <w:bottom w:val="single" w:sz="4" w:space="0" w:color="auto"/>
              <w:right w:val="nil"/>
            </w:tcBorders>
            <w:shd w:val="clear" w:color="auto" w:fill="E7F3F4"/>
            <w:vAlign w:val="center"/>
            <w:hideMark/>
          </w:tcPr>
          <w:p w14:paraId="2A779C64"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Fitzroy</w:t>
            </w: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49B76F2C"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Shoalwater Bay</w:t>
            </w:r>
          </w:p>
        </w:tc>
        <w:tc>
          <w:tcPr>
            <w:tcW w:w="840" w:type="dxa"/>
            <w:tcBorders>
              <w:top w:val="single" w:sz="4" w:space="0" w:color="auto"/>
              <w:left w:val="nil"/>
              <w:bottom w:val="nil"/>
              <w:right w:val="nil"/>
            </w:tcBorders>
            <w:shd w:val="clear" w:color="auto" w:fill="E7F3F4"/>
            <w:noWrap/>
            <w:vAlign w:val="center"/>
            <w:hideMark/>
          </w:tcPr>
          <w:p w14:paraId="1D30CE14"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RC1</w:t>
            </w:r>
          </w:p>
        </w:tc>
        <w:tc>
          <w:tcPr>
            <w:tcW w:w="555" w:type="dxa"/>
            <w:tcBorders>
              <w:top w:val="single" w:sz="4" w:space="0" w:color="auto"/>
              <w:left w:val="nil"/>
              <w:bottom w:val="nil"/>
              <w:right w:val="nil"/>
            </w:tcBorders>
            <w:shd w:val="clear" w:color="auto" w:fill="E7F3F4"/>
            <w:vAlign w:val="center"/>
            <w:hideMark/>
          </w:tcPr>
          <w:p w14:paraId="745EA46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bottom w:val="nil"/>
              <w:right w:val="nil"/>
            </w:tcBorders>
            <w:shd w:val="clear" w:color="auto" w:fill="E7F3F4"/>
            <w:noWrap/>
            <w:vAlign w:val="center"/>
            <w:hideMark/>
          </w:tcPr>
          <w:p w14:paraId="6DD562F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bottom w:val="nil"/>
              <w:right w:val="nil"/>
            </w:tcBorders>
            <w:shd w:val="clear" w:color="auto" w:fill="E7F3F4"/>
            <w:noWrap/>
            <w:vAlign w:val="center"/>
            <w:hideMark/>
          </w:tcPr>
          <w:p w14:paraId="2E42D1C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bottom w:val="nil"/>
              <w:right w:val="nil"/>
            </w:tcBorders>
            <w:shd w:val="clear" w:color="auto" w:fill="E7F3F4"/>
            <w:vAlign w:val="center"/>
            <w:hideMark/>
          </w:tcPr>
          <w:p w14:paraId="5476D21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bottom w:val="nil"/>
              <w:right w:val="nil"/>
            </w:tcBorders>
            <w:shd w:val="clear" w:color="auto" w:fill="E7F3F4"/>
            <w:vAlign w:val="center"/>
            <w:hideMark/>
          </w:tcPr>
          <w:p w14:paraId="6D661CB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bottom w:val="nil"/>
              <w:right w:val="nil"/>
            </w:tcBorders>
            <w:shd w:val="clear" w:color="auto" w:fill="E7F3F4"/>
            <w:vAlign w:val="center"/>
            <w:hideMark/>
          </w:tcPr>
          <w:p w14:paraId="01693F7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bottom w:val="nil"/>
              <w:right w:val="single" w:sz="4" w:space="0" w:color="auto"/>
            </w:tcBorders>
            <w:shd w:val="clear" w:color="auto" w:fill="E7F3F4"/>
            <w:vAlign w:val="center"/>
          </w:tcPr>
          <w:p w14:paraId="3DB4E371"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bottom w:val="nil"/>
              <w:right w:val="nil"/>
            </w:tcBorders>
            <w:shd w:val="clear" w:color="auto" w:fill="E7F3F4"/>
            <w:vAlign w:val="center"/>
          </w:tcPr>
          <w:p w14:paraId="5F8641C3"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tcPr>
          <w:p w14:paraId="3C95C7BB"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tcPr>
          <w:p w14:paraId="591C2E5E"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tcPr>
          <w:p w14:paraId="292BB965"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hideMark/>
          </w:tcPr>
          <w:p w14:paraId="0D742B1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bottom w:val="nil"/>
              <w:right w:val="nil"/>
            </w:tcBorders>
            <w:shd w:val="clear" w:color="auto" w:fill="E7F3F4"/>
            <w:vAlign w:val="center"/>
          </w:tcPr>
          <w:p w14:paraId="3CA5CB33" w14:textId="77777777" w:rsidR="003816AC" w:rsidRPr="00CB093C" w:rsidRDefault="003816AC" w:rsidP="003816AC">
            <w:pPr>
              <w:spacing w:before="0" w:after="0"/>
              <w:jc w:val="center"/>
              <w:rPr>
                <w:rFonts w:ascii="Arial" w:hAnsi="Arial" w:cs="Arial"/>
                <w:szCs w:val="22"/>
              </w:rPr>
            </w:pPr>
          </w:p>
        </w:tc>
      </w:tr>
      <w:tr w:rsidR="003816AC" w:rsidRPr="00CB093C" w14:paraId="0D4E9309"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779981D1"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57161CFF"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single" w:sz="4" w:space="0" w:color="auto"/>
              <w:right w:val="nil"/>
            </w:tcBorders>
            <w:vAlign w:val="center"/>
            <w:hideMark/>
          </w:tcPr>
          <w:p w14:paraId="06633609"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271CB11E" w14:textId="77777777" w:rsidR="003816AC" w:rsidRPr="00CB093C" w:rsidRDefault="003816AC" w:rsidP="003816AC">
            <w:pPr>
              <w:spacing w:before="0" w:after="0"/>
              <w:rPr>
                <w:rFonts w:ascii="Arial" w:hAnsi="Arial" w:cs="Arial"/>
                <w:color w:val="000000"/>
                <w:szCs w:val="22"/>
              </w:rPr>
            </w:pPr>
          </w:p>
        </w:tc>
        <w:tc>
          <w:tcPr>
            <w:tcW w:w="840" w:type="dxa"/>
            <w:tcBorders>
              <w:top w:val="nil"/>
              <w:left w:val="nil"/>
              <w:bottom w:val="single" w:sz="4" w:space="0" w:color="auto"/>
              <w:right w:val="nil"/>
            </w:tcBorders>
            <w:shd w:val="clear" w:color="auto" w:fill="E7F3F4"/>
            <w:noWrap/>
            <w:vAlign w:val="center"/>
            <w:hideMark/>
          </w:tcPr>
          <w:p w14:paraId="12C38812"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WH1</w:t>
            </w:r>
          </w:p>
        </w:tc>
        <w:tc>
          <w:tcPr>
            <w:tcW w:w="555" w:type="dxa"/>
            <w:tcBorders>
              <w:top w:val="nil"/>
              <w:left w:val="nil"/>
              <w:bottom w:val="single" w:sz="4" w:space="0" w:color="auto"/>
              <w:right w:val="nil"/>
            </w:tcBorders>
            <w:shd w:val="clear" w:color="auto" w:fill="E7F3F4"/>
            <w:vAlign w:val="center"/>
            <w:hideMark/>
          </w:tcPr>
          <w:p w14:paraId="7247C88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nil"/>
              <w:left w:val="nil"/>
              <w:bottom w:val="single" w:sz="4" w:space="0" w:color="auto"/>
              <w:right w:val="nil"/>
            </w:tcBorders>
            <w:shd w:val="clear" w:color="auto" w:fill="E7F3F4"/>
            <w:noWrap/>
            <w:vAlign w:val="center"/>
            <w:hideMark/>
          </w:tcPr>
          <w:p w14:paraId="46E56A9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nil"/>
              <w:left w:val="nil"/>
              <w:bottom w:val="single" w:sz="4" w:space="0" w:color="auto"/>
              <w:right w:val="nil"/>
            </w:tcBorders>
            <w:shd w:val="clear" w:color="auto" w:fill="E7F3F4"/>
            <w:noWrap/>
            <w:vAlign w:val="center"/>
            <w:hideMark/>
          </w:tcPr>
          <w:p w14:paraId="6A36101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nil"/>
              <w:left w:val="nil"/>
              <w:bottom w:val="single" w:sz="4" w:space="0" w:color="auto"/>
              <w:right w:val="nil"/>
            </w:tcBorders>
            <w:shd w:val="clear" w:color="auto" w:fill="E7F3F4"/>
            <w:vAlign w:val="center"/>
            <w:hideMark/>
          </w:tcPr>
          <w:p w14:paraId="371362B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nil"/>
              <w:left w:val="nil"/>
              <w:bottom w:val="single" w:sz="4" w:space="0" w:color="auto"/>
              <w:right w:val="nil"/>
            </w:tcBorders>
            <w:shd w:val="clear" w:color="auto" w:fill="E7F3F4"/>
            <w:vAlign w:val="center"/>
            <w:hideMark/>
          </w:tcPr>
          <w:p w14:paraId="7DC01BE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nil"/>
              <w:left w:val="nil"/>
              <w:bottom w:val="single" w:sz="4" w:space="0" w:color="auto"/>
              <w:right w:val="nil"/>
            </w:tcBorders>
            <w:shd w:val="clear" w:color="auto" w:fill="E7F3F4"/>
            <w:vAlign w:val="center"/>
            <w:hideMark/>
          </w:tcPr>
          <w:p w14:paraId="4DFBDAB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left w:val="nil"/>
              <w:bottom w:val="single" w:sz="4" w:space="0" w:color="auto"/>
              <w:right w:val="single" w:sz="4" w:space="0" w:color="auto"/>
            </w:tcBorders>
            <w:shd w:val="clear" w:color="auto" w:fill="E7F3F4"/>
            <w:vAlign w:val="center"/>
            <w:hideMark/>
          </w:tcPr>
          <w:p w14:paraId="520372E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left w:val="single" w:sz="4" w:space="0" w:color="auto"/>
              <w:bottom w:val="single" w:sz="4" w:space="0" w:color="auto"/>
              <w:right w:val="nil"/>
            </w:tcBorders>
            <w:shd w:val="clear" w:color="auto" w:fill="E7F3F4"/>
            <w:vAlign w:val="center"/>
          </w:tcPr>
          <w:p w14:paraId="695B02FE"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638EC1A2"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76A74B40"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0AFEC991"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hideMark/>
          </w:tcPr>
          <w:p w14:paraId="6B87882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nil"/>
              <w:left w:val="nil"/>
              <w:bottom w:val="single" w:sz="4" w:space="0" w:color="auto"/>
              <w:right w:val="nil"/>
            </w:tcBorders>
            <w:shd w:val="clear" w:color="auto" w:fill="E7F3F4"/>
            <w:vAlign w:val="center"/>
            <w:hideMark/>
          </w:tcPr>
          <w:p w14:paraId="497E4CA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6A3BF6D2"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1A6B6BE1"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261665A4"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single" w:sz="4" w:space="0" w:color="auto"/>
              <w:right w:val="nil"/>
            </w:tcBorders>
            <w:vAlign w:val="center"/>
            <w:hideMark/>
          </w:tcPr>
          <w:p w14:paraId="44460252" w14:textId="77777777" w:rsidR="003816AC" w:rsidRPr="00CB093C" w:rsidRDefault="003816AC" w:rsidP="003816AC">
            <w:pPr>
              <w:spacing w:before="0" w:after="0"/>
              <w:rPr>
                <w:rFonts w:ascii="Arial" w:hAnsi="Arial" w:cs="Arial"/>
                <w:color w:val="000000"/>
                <w:szCs w:val="22"/>
              </w:rPr>
            </w:pP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4CD3D10A"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Great Keppel Island</w:t>
            </w:r>
          </w:p>
        </w:tc>
        <w:tc>
          <w:tcPr>
            <w:tcW w:w="840" w:type="dxa"/>
            <w:tcBorders>
              <w:top w:val="single" w:sz="4" w:space="0" w:color="auto"/>
              <w:left w:val="nil"/>
              <w:bottom w:val="nil"/>
              <w:right w:val="nil"/>
            </w:tcBorders>
            <w:shd w:val="clear" w:color="auto" w:fill="E7F3F4"/>
            <w:noWrap/>
            <w:vAlign w:val="center"/>
            <w:hideMark/>
          </w:tcPr>
          <w:p w14:paraId="750750E2"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GK1</w:t>
            </w:r>
          </w:p>
        </w:tc>
        <w:tc>
          <w:tcPr>
            <w:tcW w:w="555" w:type="dxa"/>
            <w:tcBorders>
              <w:top w:val="single" w:sz="4" w:space="0" w:color="auto"/>
              <w:left w:val="nil"/>
              <w:bottom w:val="nil"/>
              <w:right w:val="nil"/>
            </w:tcBorders>
            <w:shd w:val="clear" w:color="auto" w:fill="E7F3F4"/>
            <w:vAlign w:val="center"/>
            <w:hideMark/>
          </w:tcPr>
          <w:p w14:paraId="34B6EFA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shd w:val="clear" w:color="auto" w:fill="E7F3F4"/>
            <w:noWrap/>
            <w:vAlign w:val="center"/>
            <w:hideMark/>
          </w:tcPr>
          <w:p w14:paraId="6914B5C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shd w:val="clear" w:color="auto" w:fill="E7F3F4"/>
            <w:noWrap/>
            <w:vAlign w:val="center"/>
            <w:hideMark/>
          </w:tcPr>
          <w:p w14:paraId="5A8D900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bottom w:val="nil"/>
              <w:right w:val="nil"/>
            </w:tcBorders>
            <w:shd w:val="clear" w:color="auto" w:fill="E7F3F4"/>
            <w:vAlign w:val="center"/>
            <w:hideMark/>
          </w:tcPr>
          <w:p w14:paraId="03DAE0A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bottom w:val="nil"/>
              <w:right w:val="nil"/>
            </w:tcBorders>
            <w:shd w:val="clear" w:color="auto" w:fill="E7F3F4"/>
            <w:vAlign w:val="center"/>
            <w:hideMark/>
          </w:tcPr>
          <w:p w14:paraId="7EE9B33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bottom w:val="nil"/>
              <w:right w:val="nil"/>
            </w:tcBorders>
            <w:shd w:val="clear" w:color="auto" w:fill="E7F3F4"/>
            <w:vAlign w:val="center"/>
            <w:hideMark/>
          </w:tcPr>
          <w:p w14:paraId="668D66E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bottom w:val="nil"/>
              <w:right w:val="single" w:sz="4" w:space="0" w:color="auto"/>
            </w:tcBorders>
            <w:shd w:val="clear" w:color="auto" w:fill="E7F3F4"/>
            <w:vAlign w:val="center"/>
          </w:tcPr>
          <w:p w14:paraId="59B173A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bottom w:val="nil"/>
              <w:right w:val="nil"/>
            </w:tcBorders>
            <w:shd w:val="clear" w:color="auto" w:fill="E7F3F4"/>
            <w:vAlign w:val="center"/>
          </w:tcPr>
          <w:p w14:paraId="07AD9473"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tcPr>
          <w:p w14:paraId="2924B2A8"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tcPr>
          <w:p w14:paraId="7FE69751"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tcPr>
          <w:p w14:paraId="4C47F8C9"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hideMark/>
          </w:tcPr>
          <w:p w14:paraId="0020025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bottom w:val="nil"/>
              <w:right w:val="nil"/>
            </w:tcBorders>
            <w:shd w:val="clear" w:color="auto" w:fill="E7F3F4"/>
            <w:vAlign w:val="center"/>
          </w:tcPr>
          <w:p w14:paraId="6705F2A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51E8F07C"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1978B6F3"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470F47E4"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single" w:sz="4" w:space="0" w:color="auto"/>
              <w:right w:val="nil"/>
            </w:tcBorders>
            <w:vAlign w:val="center"/>
            <w:hideMark/>
          </w:tcPr>
          <w:p w14:paraId="3045D7D6"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0275F6B3" w14:textId="77777777" w:rsidR="003816AC" w:rsidRPr="00CB093C" w:rsidRDefault="003816AC" w:rsidP="003816AC">
            <w:pPr>
              <w:spacing w:before="0" w:after="0"/>
              <w:rPr>
                <w:rFonts w:ascii="Arial" w:hAnsi="Arial" w:cs="Arial"/>
                <w:color w:val="000000"/>
                <w:szCs w:val="22"/>
              </w:rPr>
            </w:pPr>
          </w:p>
        </w:tc>
        <w:tc>
          <w:tcPr>
            <w:tcW w:w="840" w:type="dxa"/>
            <w:tcBorders>
              <w:top w:val="nil"/>
              <w:left w:val="nil"/>
              <w:bottom w:val="single" w:sz="4" w:space="0" w:color="auto"/>
              <w:right w:val="nil"/>
            </w:tcBorders>
            <w:shd w:val="clear" w:color="auto" w:fill="E7F3F4"/>
            <w:noWrap/>
            <w:vAlign w:val="center"/>
            <w:hideMark/>
          </w:tcPr>
          <w:p w14:paraId="0285EF39"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GK2</w:t>
            </w:r>
          </w:p>
        </w:tc>
        <w:tc>
          <w:tcPr>
            <w:tcW w:w="555" w:type="dxa"/>
            <w:tcBorders>
              <w:top w:val="nil"/>
              <w:left w:val="nil"/>
              <w:bottom w:val="single" w:sz="4" w:space="0" w:color="auto"/>
              <w:right w:val="nil"/>
            </w:tcBorders>
            <w:shd w:val="clear" w:color="auto" w:fill="E7F3F4"/>
            <w:vAlign w:val="center"/>
            <w:hideMark/>
          </w:tcPr>
          <w:p w14:paraId="6737080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nil"/>
              <w:left w:val="nil"/>
              <w:bottom w:val="single" w:sz="4" w:space="0" w:color="auto"/>
              <w:right w:val="nil"/>
            </w:tcBorders>
            <w:shd w:val="clear" w:color="auto" w:fill="E7F3F4"/>
            <w:noWrap/>
            <w:vAlign w:val="center"/>
            <w:hideMark/>
          </w:tcPr>
          <w:p w14:paraId="453C708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nil"/>
              <w:left w:val="nil"/>
              <w:bottom w:val="single" w:sz="4" w:space="0" w:color="auto"/>
              <w:right w:val="nil"/>
            </w:tcBorders>
            <w:shd w:val="clear" w:color="auto" w:fill="E7F3F4"/>
            <w:noWrap/>
            <w:vAlign w:val="center"/>
          </w:tcPr>
          <w:p w14:paraId="3AB5916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nil"/>
              <w:left w:val="nil"/>
              <w:bottom w:val="single" w:sz="4" w:space="0" w:color="auto"/>
              <w:right w:val="nil"/>
            </w:tcBorders>
            <w:shd w:val="clear" w:color="auto" w:fill="E7F3F4"/>
            <w:vAlign w:val="center"/>
            <w:hideMark/>
          </w:tcPr>
          <w:p w14:paraId="62981C9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nil"/>
              <w:left w:val="nil"/>
              <w:bottom w:val="single" w:sz="4" w:space="0" w:color="auto"/>
              <w:right w:val="nil"/>
            </w:tcBorders>
            <w:shd w:val="clear" w:color="auto" w:fill="E7F3F4"/>
            <w:vAlign w:val="center"/>
            <w:hideMark/>
          </w:tcPr>
          <w:p w14:paraId="008ED17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nil"/>
              <w:left w:val="nil"/>
              <w:bottom w:val="single" w:sz="4" w:space="0" w:color="auto"/>
              <w:right w:val="nil"/>
            </w:tcBorders>
            <w:shd w:val="clear" w:color="auto" w:fill="E7F3F4"/>
            <w:vAlign w:val="center"/>
            <w:hideMark/>
          </w:tcPr>
          <w:p w14:paraId="020568B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left w:val="nil"/>
              <w:bottom w:val="single" w:sz="4" w:space="0" w:color="auto"/>
              <w:right w:val="single" w:sz="4" w:space="0" w:color="auto"/>
            </w:tcBorders>
            <w:shd w:val="clear" w:color="auto" w:fill="E7F3F4"/>
            <w:vAlign w:val="center"/>
          </w:tcPr>
          <w:p w14:paraId="248F02B5" w14:textId="77777777" w:rsidR="003816AC" w:rsidRPr="00CB093C" w:rsidRDefault="003816AC" w:rsidP="003816AC">
            <w:pPr>
              <w:spacing w:before="0" w:after="0"/>
              <w:jc w:val="center"/>
              <w:rPr>
                <w:rFonts w:ascii="Arial" w:hAnsi="Arial" w:cs="Arial"/>
                <w:szCs w:val="22"/>
              </w:rPr>
            </w:pPr>
          </w:p>
        </w:tc>
        <w:tc>
          <w:tcPr>
            <w:tcW w:w="559" w:type="dxa"/>
            <w:tcBorders>
              <w:top w:val="nil"/>
              <w:left w:val="single" w:sz="4" w:space="0" w:color="auto"/>
              <w:bottom w:val="single" w:sz="4" w:space="0" w:color="auto"/>
              <w:right w:val="nil"/>
            </w:tcBorders>
            <w:shd w:val="clear" w:color="auto" w:fill="E7F3F4"/>
            <w:vAlign w:val="center"/>
          </w:tcPr>
          <w:p w14:paraId="1D67B102"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2DFE5D5A"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125009B2"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2390B224"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hideMark/>
          </w:tcPr>
          <w:p w14:paraId="010EE15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nil"/>
              <w:left w:val="nil"/>
              <w:bottom w:val="single" w:sz="4" w:space="0" w:color="auto"/>
              <w:right w:val="nil"/>
            </w:tcBorders>
            <w:shd w:val="clear" w:color="auto" w:fill="E7F3F4"/>
            <w:vAlign w:val="center"/>
          </w:tcPr>
          <w:p w14:paraId="32E68E2C" w14:textId="77777777" w:rsidR="003816AC" w:rsidRPr="00CB093C" w:rsidRDefault="003816AC" w:rsidP="003816AC">
            <w:pPr>
              <w:spacing w:before="0" w:after="0"/>
              <w:jc w:val="center"/>
              <w:rPr>
                <w:rFonts w:ascii="Arial" w:hAnsi="Arial" w:cs="Arial"/>
                <w:szCs w:val="22"/>
              </w:rPr>
            </w:pPr>
          </w:p>
        </w:tc>
      </w:tr>
      <w:tr w:rsidR="003816AC" w:rsidRPr="00CB093C" w14:paraId="472EF5A3"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705E9F1C"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790ADBBF" w14:textId="77777777" w:rsidR="003816AC" w:rsidRPr="00CB093C" w:rsidRDefault="003816AC" w:rsidP="003816AC">
            <w:pPr>
              <w:spacing w:before="0" w:after="0"/>
              <w:rPr>
                <w:rFonts w:ascii="Arial" w:hAnsi="Arial" w:cs="Arial"/>
                <w:color w:val="000000"/>
                <w:szCs w:val="22"/>
              </w:rPr>
            </w:pPr>
          </w:p>
        </w:tc>
        <w:tc>
          <w:tcPr>
            <w:tcW w:w="1299" w:type="dxa"/>
            <w:vMerge w:val="restart"/>
            <w:tcBorders>
              <w:top w:val="single" w:sz="4" w:space="0" w:color="auto"/>
              <w:left w:val="nil"/>
              <w:bottom w:val="single" w:sz="4" w:space="0" w:color="auto"/>
              <w:right w:val="nil"/>
            </w:tcBorders>
            <w:shd w:val="clear" w:color="auto" w:fill="E7F3F4"/>
            <w:vAlign w:val="center"/>
            <w:hideMark/>
          </w:tcPr>
          <w:p w14:paraId="309D21DA"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Boyne</w:t>
            </w: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17287E97"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Gladstone Harbour</w:t>
            </w:r>
          </w:p>
        </w:tc>
        <w:tc>
          <w:tcPr>
            <w:tcW w:w="840" w:type="dxa"/>
            <w:tcBorders>
              <w:top w:val="single" w:sz="4" w:space="0" w:color="auto"/>
              <w:left w:val="nil"/>
              <w:bottom w:val="nil"/>
              <w:right w:val="nil"/>
            </w:tcBorders>
            <w:shd w:val="clear" w:color="auto" w:fill="E7F3F4"/>
            <w:noWrap/>
            <w:vAlign w:val="center"/>
            <w:hideMark/>
          </w:tcPr>
          <w:p w14:paraId="078D2AE5"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GH1</w:t>
            </w:r>
          </w:p>
        </w:tc>
        <w:tc>
          <w:tcPr>
            <w:tcW w:w="555" w:type="dxa"/>
            <w:tcBorders>
              <w:top w:val="single" w:sz="4" w:space="0" w:color="auto"/>
              <w:left w:val="nil"/>
              <w:bottom w:val="nil"/>
              <w:right w:val="nil"/>
            </w:tcBorders>
            <w:shd w:val="clear" w:color="auto" w:fill="E7F3F4"/>
            <w:vAlign w:val="center"/>
            <w:hideMark/>
          </w:tcPr>
          <w:p w14:paraId="4DB343F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bottom w:val="nil"/>
              <w:right w:val="nil"/>
            </w:tcBorders>
            <w:shd w:val="clear" w:color="auto" w:fill="E7F3F4"/>
            <w:noWrap/>
            <w:vAlign w:val="center"/>
            <w:hideMark/>
          </w:tcPr>
          <w:p w14:paraId="7143647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bottom w:val="nil"/>
              <w:right w:val="nil"/>
            </w:tcBorders>
            <w:shd w:val="clear" w:color="auto" w:fill="E7F3F4"/>
            <w:noWrap/>
            <w:vAlign w:val="center"/>
            <w:hideMark/>
          </w:tcPr>
          <w:p w14:paraId="4171641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bottom w:val="nil"/>
              <w:right w:val="nil"/>
            </w:tcBorders>
            <w:shd w:val="clear" w:color="auto" w:fill="E7F3F4"/>
            <w:vAlign w:val="center"/>
            <w:hideMark/>
          </w:tcPr>
          <w:p w14:paraId="3618EDB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bottom w:val="nil"/>
              <w:right w:val="nil"/>
            </w:tcBorders>
            <w:shd w:val="clear" w:color="auto" w:fill="E7F3F4"/>
            <w:vAlign w:val="center"/>
            <w:hideMark/>
          </w:tcPr>
          <w:p w14:paraId="756463E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bottom w:val="nil"/>
              <w:right w:val="nil"/>
            </w:tcBorders>
            <w:shd w:val="clear" w:color="auto" w:fill="E7F3F4"/>
            <w:vAlign w:val="center"/>
            <w:hideMark/>
          </w:tcPr>
          <w:p w14:paraId="2758F69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bottom w:val="nil"/>
              <w:right w:val="single" w:sz="4" w:space="0" w:color="auto"/>
            </w:tcBorders>
            <w:shd w:val="clear" w:color="auto" w:fill="E7F3F4"/>
            <w:vAlign w:val="center"/>
          </w:tcPr>
          <w:p w14:paraId="1AF829A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bottom w:val="nil"/>
              <w:right w:val="nil"/>
            </w:tcBorders>
            <w:shd w:val="clear" w:color="auto" w:fill="E7F3F4"/>
            <w:vAlign w:val="center"/>
          </w:tcPr>
          <w:p w14:paraId="3D632471"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tcPr>
          <w:p w14:paraId="1F79DA0B"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tcPr>
          <w:p w14:paraId="20AEAD6B"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tcPr>
          <w:p w14:paraId="683F980B"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E7F3F4"/>
            <w:vAlign w:val="center"/>
            <w:hideMark/>
          </w:tcPr>
          <w:p w14:paraId="6AB8C45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bottom w:val="nil"/>
              <w:right w:val="nil"/>
            </w:tcBorders>
            <w:shd w:val="clear" w:color="auto" w:fill="E7F3F4"/>
            <w:vAlign w:val="center"/>
          </w:tcPr>
          <w:p w14:paraId="4D5168D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793374B1"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6F9254A4"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5BC5FD08"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single" w:sz="4" w:space="0" w:color="auto"/>
              <w:right w:val="nil"/>
            </w:tcBorders>
            <w:vAlign w:val="center"/>
            <w:hideMark/>
          </w:tcPr>
          <w:p w14:paraId="5588F3A5"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01F7F5AF" w14:textId="77777777" w:rsidR="003816AC" w:rsidRPr="00CB093C" w:rsidRDefault="003816AC" w:rsidP="003816AC">
            <w:pPr>
              <w:spacing w:before="0" w:after="0"/>
              <w:rPr>
                <w:rFonts w:ascii="Arial" w:hAnsi="Arial" w:cs="Arial"/>
                <w:color w:val="000000"/>
                <w:szCs w:val="22"/>
              </w:rPr>
            </w:pPr>
          </w:p>
        </w:tc>
        <w:tc>
          <w:tcPr>
            <w:tcW w:w="840" w:type="dxa"/>
            <w:tcBorders>
              <w:top w:val="nil"/>
              <w:left w:val="nil"/>
              <w:bottom w:val="single" w:sz="4" w:space="0" w:color="auto"/>
              <w:right w:val="nil"/>
            </w:tcBorders>
            <w:shd w:val="clear" w:color="auto" w:fill="E7F3F4"/>
            <w:noWrap/>
            <w:vAlign w:val="center"/>
            <w:hideMark/>
          </w:tcPr>
          <w:p w14:paraId="2098EDE7"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GH2</w:t>
            </w:r>
          </w:p>
        </w:tc>
        <w:tc>
          <w:tcPr>
            <w:tcW w:w="555" w:type="dxa"/>
            <w:tcBorders>
              <w:top w:val="nil"/>
              <w:left w:val="nil"/>
              <w:bottom w:val="single" w:sz="4" w:space="0" w:color="auto"/>
              <w:right w:val="nil"/>
            </w:tcBorders>
            <w:shd w:val="clear" w:color="auto" w:fill="E7F3F4"/>
            <w:vAlign w:val="center"/>
            <w:hideMark/>
          </w:tcPr>
          <w:p w14:paraId="25EB7AA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nil"/>
              <w:left w:val="nil"/>
              <w:bottom w:val="single" w:sz="4" w:space="0" w:color="auto"/>
              <w:right w:val="nil"/>
            </w:tcBorders>
            <w:shd w:val="clear" w:color="auto" w:fill="E7F3F4"/>
            <w:noWrap/>
            <w:vAlign w:val="center"/>
            <w:hideMark/>
          </w:tcPr>
          <w:p w14:paraId="55CD514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nil"/>
              <w:left w:val="nil"/>
              <w:bottom w:val="single" w:sz="4" w:space="0" w:color="auto"/>
              <w:right w:val="nil"/>
            </w:tcBorders>
            <w:shd w:val="clear" w:color="auto" w:fill="E7F3F4"/>
            <w:noWrap/>
            <w:vAlign w:val="center"/>
            <w:hideMark/>
          </w:tcPr>
          <w:p w14:paraId="40B4E1B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nil"/>
              <w:left w:val="nil"/>
              <w:bottom w:val="single" w:sz="4" w:space="0" w:color="auto"/>
              <w:right w:val="nil"/>
            </w:tcBorders>
            <w:shd w:val="clear" w:color="auto" w:fill="E7F3F4"/>
            <w:vAlign w:val="center"/>
            <w:hideMark/>
          </w:tcPr>
          <w:p w14:paraId="7645300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nil"/>
              <w:left w:val="nil"/>
              <w:bottom w:val="single" w:sz="4" w:space="0" w:color="auto"/>
              <w:right w:val="nil"/>
            </w:tcBorders>
            <w:shd w:val="clear" w:color="auto" w:fill="E7F3F4"/>
            <w:vAlign w:val="center"/>
            <w:hideMark/>
          </w:tcPr>
          <w:p w14:paraId="574F8B7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nil"/>
              <w:left w:val="nil"/>
              <w:bottom w:val="single" w:sz="4" w:space="0" w:color="auto"/>
              <w:right w:val="nil"/>
            </w:tcBorders>
            <w:shd w:val="clear" w:color="auto" w:fill="E7F3F4"/>
            <w:vAlign w:val="center"/>
            <w:hideMark/>
          </w:tcPr>
          <w:p w14:paraId="21A69D9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left w:val="nil"/>
              <w:bottom w:val="single" w:sz="4" w:space="0" w:color="auto"/>
              <w:right w:val="single" w:sz="4" w:space="0" w:color="auto"/>
            </w:tcBorders>
            <w:shd w:val="clear" w:color="auto" w:fill="E7F3F4"/>
            <w:vAlign w:val="center"/>
          </w:tcPr>
          <w:p w14:paraId="0FF779C7" w14:textId="77777777" w:rsidR="003816AC" w:rsidRPr="00CB093C" w:rsidRDefault="003816AC" w:rsidP="003816AC">
            <w:pPr>
              <w:spacing w:before="0" w:after="0"/>
              <w:jc w:val="center"/>
              <w:rPr>
                <w:rFonts w:ascii="Arial" w:hAnsi="Arial" w:cs="Arial"/>
                <w:szCs w:val="22"/>
              </w:rPr>
            </w:pPr>
          </w:p>
        </w:tc>
        <w:tc>
          <w:tcPr>
            <w:tcW w:w="559" w:type="dxa"/>
            <w:tcBorders>
              <w:top w:val="nil"/>
              <w:left w:val="single" w:sz="4" w:space="0" w:color="auto"/>
              <w:bottom w:val="single" w:sz="4" w:space="0" w:color="auto"/>
              <w:right w:val="nil"/>
            </w:tcBorders>
            <w:shd w:val="clear" w:color="auto" w:fill="E7F3F4"/>
            <w:vAlign w:val="center"/>
          </w:tcPr>
          <w:p w14:paraId="24078051"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4ED25FAB"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77ACFE75"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42AAB874"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E7F3F4"/>
            <w:vAlign w:val="center"/>
          </w:tcPr>
          <w:p w14:paraId="2A730DF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nil"/>
              <w:left w:val="nil"/>
              <w:bottom w:val="single" w:sz="4" w:space="0" w:color="auto"/>
              <w:right w:val="nil"/>
            </w:tcBorders>
            <w:shd w:val="clear" w:color="auto" w:fill="E7F3F4"/>
            <w:vAlign w:val="center"/>
          </w:tcPr>
          <w:p w14:paraId="1AEC6034" w14:textId="77777777" w:rsidR="003816AC" w:rsidRPr="00CB093C" w:rsidRDefault="003816AC" w:rsidP="003816AC">
            <w:pPr>
              <w:spacing w:before="0" w:after="0"/>
              <w:jc w:val="center"/>
              <w:rPr>
                <w:rFonts w:ascii="Arial" w:hAnsi="Arial" w:cs="Arial"/>
                <w:szCs w:val="22"/>
              </w:rPr>
            </w:pPr>
          </w:p>
        </w:tc>
      </w:tr>
      <w:tr w:rsidR="003816AC" w:rsidRPr="00CB093C" w14:paraId="4D18BEA8"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4610A748" w14:textId="77777777" w:rsidR="003816AC" w:rsidRPr="00CB093C" w:rsidRDefault="003816AC" w:rsidP="003816AC">
            <w:pPr>
              <w:spacing w:before="0" w:after="0"/>
              <w:rPr>
                <w:rFonts w:ascii="Arial" w:hAnsi="Arial" w:cs="Arial"/>
                <w:color w:val="000000"/>
                <w:szCs w:val="22"/>
              </w:rPr>
            </w:pPr>
          </w:p>
        </w:tc>
        <w:tc>
          <w:tcPr>
            <w:tcW w:w="1294" w:type="dxa"/>
            <w:vMerge w:val="restart"/>
            <w:tcBorders>
              <w:top w:val="single" w:sz="4" w:space="0" w:color="auto"/>
              <w:left w:val="nil"/>
              <w:bottom w:val="single" w:sz="4" w:space="0" w:color="auto"/>
              <w:right w:val="nil"/>
            </w:tcBorders>
            <w:shd w:val="clear" w:color="auto" w:fill="F3F9FA"/>
            <w:noWrap/>
            <w:vAlign w:val="center"/>
            <w:hideMark/>
          </w:tcPr>
          <w:p w14:paraId="07EE4E1A"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Burnett Mary</w:t>
            </w:r>
          </w:p>
        </w:tc>
        <w:tc>
          <w:tcPr>
            <w:tcW w:w="1299" w:type="dxa"/>
            <w:vMerge w:val="restart"/>
            <w:tcBorders>
              <w:top w:val="single" w:sz="4" w:space="0" w:color="auto"/>
              <w:left w:val="nil"/>
              <w:bottom w:val="single" w:sz="4" w:space="0" w:color="auto"/>
              <w:right w:val="nil"/>
            </w:tcBorders>
            <w:shd w:val="clear" w:color="auto" w:fill="F3F9FA"/>
            <w:vAlign w:val="center"/>
            <w:hideMark/>
          </w:tcPr>
          <w:p w14:paraId="5C36DFDC"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Burnett</w:t>
            </w:r>
          </w:p>
        </w:tc>
        <w:tc>
          <w:tcPr>
            <w:tcW w:w="1307" w:type="dxa"/>
            <w:vMerge w:val="restart"/>
            <w:tcBorders>
              <w:top w:val="single" w:sz="4" w:space="0" w:color="auto"/>
              <w:left w:val="nil"/>
              <w:bottom w:val="single" w:sz="4" w:space="0" w:color="auto"/>
              <w:right w:val="nil"/>
            </w:tcBorders>
            <w:shd w:val="clear" w:color="auto" w:fill="F3F9FA"/>
            <w:noWrap/>
            <w:vAlign w:val="center"/>
            <w:hideMark/>
          </w:tcPr>
          <w:p w14:paraId="4036DF67"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Rodds Bay</w:t>
            </w:r>
          </w:p>
        </w:tc>
        <w:tc>
          <w:tcPr>
            <w:tcW w:w="840" w:type="dxa"/>
            <w:tcBorders>
              <w:top w:val="single" w:sz="4" w:space="0" w:color="auto"/>
              <w:left w:val="nil"/>
              <w:bottom w:val="nil"/>
              <w:right w:val="nil"/>
            </w:tcBorders>
            <w:shd w:val="clear" w:color="auto" w:fill="F3F9FA"/>
            <w:noWrap/>
            <w:vAlign w:val="center"/>
            <w:hideMark/>
          </w:tcPr>
          <w:p w14:paraId="14253C27"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RD1</w:t>
            </w:r>
          </w:p>
        </w:tc>
        <w:tc>
          <w:tcPr>
            <w:tcW w:w="555" w:type="dxa"/>
            <w:tcBorders>
              <w:top w:val="single" w:sz="4" w:space="0" w:color="auto"/>
              <w:left w:val="nil"/>
              <w:bottom w:val="nil"/>
              <w:right w:val="nil"/>
            </w:tcBorders>
            <w:shd w:val="clear" w:color="auto" w:fill="F3F9FA"/>
            <w:vAlign w:val="center"/>
            <w:hideMark/>
          </w:tcPr>
          <w:p w14:paraId="73814D7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bottom w:val="nil"/>
              <w:right w:val="nil"/>
            </w:tcBorders>
            <w:shd w:val="clear" w:color="auto" w:fill="F3F9FA"/>
            <w:noWrap/>
            <w:vAlign w:val="center"/>
            <w:hideMark/>
          </w:tcPr>
          <w:p w14:paraId="4285383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bottom w:val="nil"/>
              <w:right w:val="nil"/>
            </w:tcBorders>
            <w:shd w:val="clear" w:color="auto" w:fill="F3F9FA"/>
            <w:noWrap/>
            <w:vAlign w:val="center"/>
          </w:tcPr>
          <w:p w14:paraId="0BC9ED7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bottom w:val="nil"/>
              <w:right w:val="nil"/>
            </w:tcBorders>
            <w:shd w:val="clear" w:color="auto" w:fill="F3F9FA"/>
            <w:vAlign w:val="center"/>
            <w:hideMark/>
          </w:tcPr>
          <w:p w14:paraId="5CA6FDF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bottom w:val="nil"/>
              <w:right w:val="nil"/>
            </w:tcBorders>
            <w:shd w:val="clear" w:color="auto" w:fill="F3F9FA"/>
            <w:vAlign w:val="center"/>
            <w:hideMark/>
          </w:tcPr>
          <w:p w14:paraId="0D6AA90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bottom w:val="nil"/>
              <w:right w:val="nil"/>
            </w:tcBorders>
            <w:shd w:val="clear" w:color="auto" w:fill="F3F9FA"/>
            <w:vAlign w:val="center"/>
            <w:hideMark/>
          </w:tcPr>
          <w:p w14:paraId="4FE259E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bottom w:val="nil"/>
              <w:right w:val="single" w:sz="4" w:space="0" w:color="auto"/>
            </w:tcBorders>
            <w:shd w:val="clear" w:color="auto" w:fill="F3F9FA"/>
            <w:vAlign w:val="center"/>
          </w:tcPr>
          <w:p w14:paraId="399F411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single" w:sz="4" w:space="0" w:color="auto"/>
              <w:bottom w:val="nil"/>
              <w:right w:val="nil"/>
            </w:tcBorders>
            <w:shd w:val="clear" w:color="auto" w:fill="F3F9FA"/>
            <w:vAlign w:val="center"/>
          </w:tcPr>
          <w:p w14:paraId="2D90F137"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F3F9FA"/>
            <w:vAlign w:val="center"/>
          </w:tcPr>
          <w:p w14:paraId="2C828700"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F3F9FA"/>
            <w:vAlign w:val="center"/>
          </w:tcPr>
          <w:p w14:paraId="2681D16F"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F3F9FA"/>
            <w:vAlign w:val="center"/>
          </w:tcPr>
          <w:p w14:paraId="5D4C5F45"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F3F9FA"/>
            <w:vAlign w:val="center"/>
            <w:hideMark/>
          </w:tcPr>
          <w:p w14:paraId="55EFD30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bottom w:val="nil"/>
              <w:right w:val="nil"/>
            </w:tcBorders>
            <w:shd w:val="clear" w:color="auto" w:fill="F3F9FA"/>
            <w:vAlign w:val="center"/>
          </w:tcPr>
          <w:p w14:paraId="6C7E874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r w:rsidR="003816AC" w:rsidRPr="00CB093C" w14:paraId="45B4EC06"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49570347"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2A25A93D"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single" w:sz="4" w:space="0" w:color="auto"/>
              <w:right w:val="nil"/>
            </w:tcBorders>
            <w:vAlign w:val="center"/>
            <w:hideMark/>
          </w:tcPr>
          <w:p w14:paraId="01DA58F7"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30939A01" w14:textId="77777777" w:rsidR="003816AC" w:rsidRPr="00CB093C" w:rsidRDefault="003816AC" w:rsidP="003816AC">
            <w:pPr>
              <w:spacing w:before="0" w:after="0"/>
              <w:rPr>
                <w:rFonts w:ascii="Arial" w:hAnsi="Arial" w:cs="Arial"/>
                <w:color w:val="000000"/>
                <w:szCs w:val="22"/>
              </w:rPr>
            </w:pPr>
          </w:p>
        </w:tc>
        <w:tc>
          <w:tcPr>
            <w:tcW w:w="840" w:type="dxa"/>
            <w:tcBorders>
              <w:top w:val="nil"/>
              <w:left w:val="nil"/>
              <w:bottom w:val="single" w:sz="4" w:space="0" w:color="auto"/>
              <w:right w:val="nil"/>
            </w:tcBorders>
            <w:shd w:val="clear" w:color="auto" w:fill="F3F9FA"/>
            <w:noWrap/>
            <w:vAlign w:val="center"/>
            <w:hideMark/>
          </w:tcPr>
          <w:p w14:paraId="2987DA87"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RD2</w:t>
            </w:r>
          </w:p>
        </w:tc>
        <w:tc>
          <w:tcPr>
            <w:tcW w:w="555" w:type="dxa"/>
            <w:tcBorders>
              <w:top w:val="nil"/>
              <w:left w:val="nil"/>
              <w:bottom w:val="single" w:sz="4" w:space="0" w:color="auto"/>
              <w:right w:val="nil"/>
            </w:tcBorders>
            <w:shd w:val="clear" w:color="auto" w:fill="F3F9FA"/>
            <w:vAlign w:val="center"/>
            <w:hideMark/>
          </w:tcPr>
          <w:p w14:paraId="5BD7466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nil"/>
              <w:left w:val="nil"/>
              <w:bottom w:val="single" w:sz="4" w:space="0" w:color="auto"/>
              <w:right w:val="nil"/>
            </w:tcBorders>
            <w:shd w:val="clear" w:color="auto" w:fill="F3F9FA"/>
            <w:noWrap/>
            <w:vAlign w:val="center"/>
            <w:hideMark/>
          </w:tcPr>
          <w:p w14:paraId="6CB5DE8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nil"/>
              <w:left w:val="nil"/>
              <w:bottom w:val="single" w:sz="4" w:space="0" w:color="auto"/>
              <w:right w:val="nil"/>
            </w:tcBorders>
            <w:shd w:val="clear" w:color="auto" w:fill="F3F9FA"/>
            <w:noWrap/>
            <w:vAlign w:val="center"/>
          </w:tcPr>
          <w:p w14:paraId="182792FA" w14:textId="77777777" w:rsidR="003816AC" w:rsidRPr="00CB093C" w:rsidRDefault="003816AC" w:rsidP="003816AC">
            <w:pPr>
              <w:spacing w:before="0" w:after="0"/>
              <w:jc w:val="center"/>
              <w:rPr>
                <w:rFonts w:ascii="Arial" w:hAnsi="Arial" w:cs="Arial"/>
                <w:szCs w:val="22"/>
              </w:rPr>
            </w:pPr>
          </w:p>
        </w:tc>
        <w:tc>
          <w:tcPr>
            <w:tcW w:w="536" w:type="dxa"/>
            <w:tcBorders>
              <w:top w:val="nil"/>
              <w:left w:val="nil"/>
              <w:bottom w:val="single" w:sz="4" w:space="0" w:color="auto"/>
              <w:right w:val="nil"/>
            </w:tcBorders>
            <w:shd w:val="clear" w:color="auto" w:fill="F3F9FA"/>
            <w:vAlign w:val="center"/>
            <w:hideMark/>
          </w:tcPr>
          <w:p w14:paraId="413E4CD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nil"/>
              <w:left w:val="nil"/>
              <w:bottom w:val="single" w:sz="4" w:space="0" w:color="auto"/>
              <w:right w:val="nil"/>
            </w:tcBorders>
            <w:shd w:val="clear" w:color="auto" w:fill="F3F9FA"/>
            <w:vAlign w:val="center"/>
            <w:hideMark/>
          </w:tcPr>
          <w:p w14:paraId="0E17EED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nil"/>
              <w:left w:val="nil"/>
              <w:bottom w:val="single" w:sz="4" w:space="0" w:color="auto"/>
              <w:right w:val="nil"/>
            </w:tcBorders>
            <w:shd w:val="clear" w:color="auto" w:fill="F3F9FA"/>
            <w:vAlign w:val="center"/>
            <w:hideMark/>
          </w:tcPr>
          <w:p w14:paraId="473364A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left w:val="nil"/>
              <w:bottom w:val="single" w:sz="4" w:space="0" w:color="auto"/>
              <w:right w:val="single" w:sz="4" w:space="0" w:color="auto"/>
            </w:tcBorders>
            <w:shd w:val="clear" w:color="auto" w:fill="F3F9FA"/>
            <w:vAlign w:val="center"/>
          </w:tcPr>
          <w:p w14:paraId="19AA6398" w14:textId="77777777" w:rsidR="003816AC" w:rsidRPr="00CB093C" w:rsidRDefault="003816AC" w:rsidP="003816AC">
            <w:pPr>
              <w:spacing w:before="0" w:after="0"/>
              <w:jc w:val="center"/>
              <w:rPr>
                <w:rFonts w:ascii="Arial" w:hAnsi="Arial" w:cs="Arial"/>
                <w:szCs w:val="22"/>
              </w:rPr>
            </w:pPr>
          </w:p>
        </w:tc>
        <w:tc>
          <w:tcPr>
            <w:tcW w:w="559" w:type="dxa"/>
            <w:tcBorders>
              <w:top w:val="nil"/>
              <w:left w:val="single" w:sz="4" w:space="0" w:color="auto"/>
              <w:bottom w:val="single" w:sz="4" w:space="0" w:color="auto"/>
              <w:right w:val="nil"/>
            </w:tcBorders>
            <w:shd w:val="clear" w:color="auto" w:fill="F3F9FA"/>
            <w:vAlign w:val="center"/>
          </w:tcPr>
          <w:p w14:paraId="38BB85C7"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F3F9FA"/>
            <w:vAlign w:val="center"/>
          </w:tcPr>
          <w:p w14:paraId="0D07E8AE"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F3F9FA"/>
            <w:vAlign w:val="center"/>
          </w:tcPr>
          <w:p w14:paraId="03761655"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F3F9FA"/>
            <w:vAlign w:val="center"/>
          </w:tcPr>
          <w:p w14:paraId="64437A6B" w14:textId="77777777"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F3F9FA"/>
            <w:vAlign w:val="center"/>
            <w:hideMark/>
          </w:tcPr>
          <w:p w14:paraId="0BBC35E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nil"/>
              <w:left w:val="nil"/>
              <w:bottom w:val="single" w:sz="4" w:space="0" w:color="auto"/>
              <w:right w:val="nil"/>
            </w:tcBorders>
            <w:shd w:val="clear" w:color="auto" w:fill="F3F9FA"/>
            <w:vAlign w:val="center"/>
          </w:tcPr>
          <w:p w14:paraId="4E6CF9B8" w14:textId="77777777" w:rsidR="003816AC" w:rsidRPr="00CB093C" w:rsidRDefault="003816AC" w:rsidP="003816AC">
            <w:pPr>
              <w:spacing w:before="0" w:after="0"/>
              <w:jc w:val="center"/>
              <w:rPr>
                <w:rFonts w:ascii="Arial" w:hAnsi="Arial" w:cs="Arial"/>
                <w:szCs w:val="22"/>
              </w:rPr>
            </w:pPr>
          </w:p>
        </w:tc>
      </w:tr>
      <w:tr w:rsidR="003816AC" w:rsidRPr="00CB093C" w14:paraId="2D606FE2"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tcPr>
          <w:p w14:paraId="48CF7666"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tcPr>
          <w:p w14:paraId="59FE0730" w14:textId="77777777" w:rsidR="003816AC" w:rsidRPr="00CB093C" w:rsidRDefault="003816AC" w:rsidP="003816AC">
            <w:pPr>
              <w:spacing w:before="0" w:after="0"/>
              <w:rPr>
                <w:rFonts w:ascii="Arial" w:hAnsi="Arial" w:cs="Arial"/>
                <w:color w:val="000000"/>
                <w:szCs w:val="22"/>
              </w:rPr>
            </w:pPr>
          </w:p>
        </w:tc>
        <w:tc>
          <w:tcPr>
            <w:tcW w:w="1299" w:type="dxa"/>
            <w:vMerge w:val="restart"/>
            <w:tcBorders>
              <w:top w:val="single" w:sz="4" w:space="0" w:color="auto"/>
              <w:left w:val="nil"/>
              <w:right w:val="nil"/>
            </w:tcBorders>
            <w:shd w:val="clear" w:color="auto" w:fill="F3F9FA"/>
            <w:vAlign w:val="center"/>
          </w:tcPr>
          <w:p w14:paraId="01669801"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Burrum</w:t>
            </w:r>
          </w:p>
        </w:tc>
        <w:tc>
          <w:tcPr>
            <w:tcW w:w="1307" w:type="dxa"/>
            <w:vMerge w:val="restart"/>
            <w:tcBorders>
              <w:top w:val="single" w:sz="4" w:space="0" w:color="auto"/>
              <w:left w:val="nil"/>
              <w:right w:val="nil"/>
            </w:tcBorders>
            <w:shd w:val="clear" w:color="auto" w:fill="F3F9FA"/>
            <w:noWrap/>
            <w:vAlign w:val="center"/>
          </w:tcPr>
          <w:p w14:paraId="57E2107D"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Burrum Heads</w:t>
            </w:r>
          </w:p>
        </w:tc>
        <w:tc>
          <w:tcPr>
            <w:tcW w:w="840" w:type="dxa"/>
            <w:tcBorders>
              <w:top w:val="single" w:sz="4" w:space="0" w:color="auto"/>
              <w:left w:val="nil"/>
              <w:right w:val="nil"/>
            </w:tcBorders>
            <w:shd w:val="clear" w:color="auto" w:fill="F3F9FA"/>
            <w:noWrap/>
            <w:vAlign w:val="center"/>
          </w:tcPr>
          <w:p w14:paraId="169F791C"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BH1</w:t>
            </w:r>
          </w:p>
        </w:tc>
        <w:tc>
          <w:tcPr>
            <w:tcW w:w="555" w:type="dxa"/>
            <w:tcBorders>
              <w:top w:val="single" w:sz="4" w:space="0" w:color="auto"/>
              <w:left w:val="nil"/>
              <w:right w:val="nil"/>
            </w:tcBorders>
            <w:shd w:val="clear" w:color="auto" w:fill="F3F9FA"/>
            <w:vAlign w:val="center"/>
          </w:tcPr>
          <w:p w14:paraId="7EF5E31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right w:val="nil"/>
            </w:tcBorders>
            <w:shd w:val="clear" w:color="auto" w:fill="F3F9FA"/>
            <w:noWrap/>
            <w:vAlign w:val="center"/>
          </w:tcPr>
          <w:p w14:paraId="3A16B55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right w:val="nil"/>
            </w:tcBorders>
            <w:shd w:val="clear" w:color="auto" w:fill="F3F9FA"/>
            <w:noWrap/>
            <w:vAlign w:val="center"/>
          </w:tcPr>
          <w:p w14:paraId="143884E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right w:val="nil"/>
            </w:tcBorders>
            <w:shd w:val="clear" w:color="auto" w:fill="F3F9FA"/>
            <w:vAlign w:val="center"/>
          </w:tcPr>
          <w:p w14:paraId="575077A0" w14:textId="77777777" w:rsidR="003816AC" w:rsidRPr="00CB093C" w:rsidRDefault="003816AC" w:rsidP="003816AC">
            <w:pPr>
              <w:spacing w:before="0" w:after="0"/>
              <w:jc w:val="center"/>
              <w:rPr>
                <w:rFonts w:ascii="Arial" w:hAnsi="Arial" w:cs="Arial"/>
                <w:szCs w:val="22"/>
              </w:rPr>
            </w:pPr>
          </w:p>
        </w:tc>
        <w:tc>
          <w:tcPr>
            <w:tcW w:w="540" w:type="dxa"/>
            <w:tcBorders>
              <w:top w:val="single" w:sz="4" w:space="0" w:color="auto"/>
              <w:left w:val="nil"/>
              <w:right w:val="nil"/>
            </w:tcBorders>
            <w:shd w:val="clear" w:color="auto" w:fill="F3F9FA"/>
            <w:vAlign w:val="center"/>
          </w:tcPr>
          <w:p w14:paraId="450A14C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right w:val="nil"/>
            </w:tcBorders>
            <w:shd w:val="clear" w:color="auto" w:fill="F3F9FA"/>
            <w:vAlign w:val="center"/>
          </w:tcPr>
          <w:p w14:paraId="2ECD215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right w:val="single" w:sz="4" w:space="0" w:color="auto"/>
            </w:tcBorders>
            <w:shd w:val="clear" w:color="auto" w:fill="F3F9FA"/>
            <w:vAlign w:val="center"/>
          </w:tcPr>
          <w:p w14:paraId="0E83EB48"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right w:val="nil"/>
            </w:tcBorders>
            <w:shd w:val="clear" w:color="auto" w:fill="F3F9FA"/>
            <w:vAlign w:val="center"/>
          </w:tcPr>
          <w:p w14:paraId="75E5EE3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right w:val="nil"/>
            </w:tcBorders>
            <w:shd w:val="clear" w:color="auto" w:fill="F3F9FA"/>
            <w:vAlign w:val="center"/>
          </w:tcPr>
          <w:p w14:paraId="10F1862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right w:val="nil"/>
            </w:tcBorders>
            <w:shd w:val="clear" w:color="auto" w:fill="F3F9FA"/>
            <w:vAlign w:val="center"/>
          </w:tcPr>
          <w:p w14:paraId="1CB39674"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309F9A49"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right w:val="nil"/>
            </w:tcBorders>
            <w:shd w:val="clear" w:color="auto" w:fill="F3F9FA"/>
            <w:vAlign w:val="center"/>
          </w:tcPr>
          <w:p w14:paraId="75EEBA8F"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right w:val="nil"/>
            </w:tcBorders>
            <w:shd w:val="clear" w:color="auto" w:fill="F3F9FA"/>
            <w:vAlign w:val="center"/>
          </w:tcPr>
          <w:p w14:paraId="6277EA32" w14:textId="77777777" w:rsidR="003816AC" w:rsidRPr="00CB093C" w:rsidRDefault="003816AC" w:rsidP="003816AC">
            <w:pPr>
              <w:spacing w:before="0" w:after="0"/>
              <w:jc w:val="center"/>
              <w:rPr>
                <w:rFonts w:ascii="Arial" w:hAnsi="Arial" w:cs="Arial"/>
                <w:szCs w:val="22"/>
              </w:rPr>
            </w:pPr>
          </w:p>
        </w:tc>
      </w:tr>
      <w:tr w:rsidR="003816AC" w:rsidRPr="00CB093C" w14:paraId="3E638C25"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tcPr>
          <w:p w14:paraId="67B10445"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tcPr>
          <w:p w14:paraId="0CFDBCBC" w14:textId="77777777" w:rsidR="003816AC" w:rsidRPr="00CB093C" w:rsidRDefault="003816AC" w:rsidP="003816AC">
            <w:pPr>
              <w:spacing w:before="0" w:after="0"/>
              <w:rPr>
                <w:rFonts w:ascii="Arial" w:hAnsi="Arial" w:cs="Arial"/>
                <w:color w:val="000000"/>
                <w:szCs w:val="22"/>
              </w:rPr>
            </w:pPr>
          </w:p>
        </w:tc>
        <w:tc>
          <w:tcPr>
            <w:tcW w:w="1299" w:type="dxa"/>
            <w:vMerge/>
            <w:tcBorders>
              <w:left w:val="nil"/>
              <w:bottom w:val="single" w:sz="4" w:space="0" w:color="auto"/>
              <w:right w:val="nil"/>
            </w:tcBorders>
            <w:shd w:val="clear" w:color="auto" w:fill="F3F9FA"/>
            <w:vAlign w:val="center"/>
          </w:tcPr>
          <w:p w14:paraId="7D3E40D3" w14:textId="77777777" w:rsidR="003816AC" w:rsidRPr="00CB093C" w:rsidRDefault="003816AC" w:rsidP="003816AC">
            <w:pPr>
              <w:spacing w:before="0" w:after="0"/>
              <w:jc w:val="center"/>
              <w:rPr>
                <w:rFonts w:ascii="Arial" w:hAnsi="Arial" w:cs="Arial"/>
                <w:color w:val="000000"/>
                <w:szCs w:val="22"/>
              </w:rPr>
            </w:pPr>
          </w:p>
        </w:tc>
        <w:tc>
          <w:tcPr>
            <w:tcW w:w="1307" w:type="dxa"/>
            <w:vMerge/>
            <w:tcBorders>
              <w:left w:val="nil"/>
              <w:bottom w:val="single" w:sz="4" w:space="0" w:color="auto"/>
              <w:right w:val="nil"/>
            </w:tcBorders>
            <w:shd w:val="clear" w:color="auto" w:fill="F3F9FA"/>
            <w:noWrap/>
            <w:vAlign w:val="center"/>
          </w:tcPr>
          <w:p w14:paraId="5849D843" w14:textId="77777777" w:rsidR="003816AC" w:rsidRPr="00CB093C" w:rsidRDefault="003816AC" w:rsidP="003816AC">
            <w:pPr>
              <w:spacing w:before="0" w:after="0"/>
              <w:jc w:val="center"/>
              <w:rPr>
                <w:rFonts w:ascii="Arial" w:hAnsi="Arial" w:cs="Arial"/>
                <w:color w:val="000000"/>
                <w:szCs w:val="22"/>
              </w:rPr>
            </w:pPr>
          </w:p>
        </w:tc>
        <w:tc>
          <w:tcPr>
            <w:tcW w:w="840" w:type="dxa"/>
            <w:tcBorders>
              <w:left w:val="nil"/>
              <w:bottom w:val="nil"/>
            </w:tcBorders>
            <w:shd w:val="clear" w:color="auto" w:fill="F3F9FA"/>
            <w:noWrap/>
            <w:vAlign w:val="center"/>
          </w:tcPr>
          <w:p w14:paraId="23FA54B0"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BH3</w:t>
            </w:r>
          </w:p>
        </w:tc>
        <w:tc>
          <w:tcPr>
            <w:tcW w:w="555" w:type="dxa"/>
            <w:tcBorders>
              <w:bottom w:val="nil"/>
            </w:tcBorders>
            <w:shd w:val="clear" w:color="auto" w:fill="F3F9FA"/>
            <w:vAlign w:val="center"/>
          </w:tcPr>
          <w:p w14:paraId="558FAF5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bottom w:val="nil"/>
            </w:tcBorders>
            <w:shd w:val="clear" w:color="auto" w:fill="F3F9FA"/>
            <w:noWrap/>
            <w:vAlign w:val="center"/>
          </w:tcPr>
          <w:p w14:paraId="044585E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bottom w:val="nil"/>
            </w:tcBorders>
            <w:shd w:val="clear" w:color="auto" w:fill="F3F9FA"/>
            <w:noWrap/>
            <w:vAlign w:val="center"/>
          </w:tcPr>
          <w:p w14:paraId="7A2FA438"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bottom w:val="nil"/>
            </w:tcBorders>
            <w:shd w:val="clear" w:color="auto" w:fill="F3F9FA"/>
            <w:vAlign w:val="center"/>
          </w:tcPr>
          <w:p w14:paraId="10BBF15B" w14:textId="77777777" w:rsidR="003816AC" w:rsidRPr="00CB093C" w:rsidRDefault="003816AC" w:rsidP="003816AC">
            <w:pPr>
              <w:spacing w:before="0" w:after="0"/>
              <w:jc w:val="center"/>
              <w:rPr>
                <w:rFonts w:ascii="Arial" w:hAnsi="Arial" w:cs="Arial"/>
                <w:szCs w:val="22"/>
              </w:rPr>
            </w:pPr>
          </w:p>
        </w:tc>
        <w:tc>
          <w:tcPr>
            <w:tcW w:w="540" w:type="dxa"/>
            <w:tcBorders>
              <w:bottom w:val="nil"/>
            </w:tcBorders>
            <w:shd w:val="clear" w:color="auto" w:fill="F3F9FA"/>
            <w:vAlign w:val="center"/>
          </w:tcPr>
          <w:p w14:paraId="1526F10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bottom w:val="nil"/>
            </w:tcBorders>
            <w:shd w:val="clear" w:color="auto" w:fill="F3F9FA"/>
            <w:vAlign w:val="center"/>
          </w:tcPr>
          <w:p w14:paraId="11F9392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bottom w:val="nil"/>
              <w:right w:val="single" w:sz="4" w:space="0" w:color="auto"/>
            </w:tcBorders>
            <w:shd w:val="clear" w:color="auto" w:fill="F3F9FA"/>
            <w:vAlign w:val="center"/>
          </w:tcPr>
          <w:p w14:paraId="2112CCC3" w14:textId="77777777" w:rsidR="003816AC" w:rsidRPr="00CB093C" w:rsidRDefault="003816AC" w:rsidP="003816AC">
            <w:pPr>
              <w:spacing w:before="0" w:after="0"/>
              <w:jc w:val="center"/>
              <w:rPr>
                <w:rFonts w:ascii="Arial" w:hAnsi="Arial" w:cs="Arial"/>
                <w:szCs w:val="22"/>
              </w:rPr>
            </w:pPr>
          </w:p>
        </w:tc>
        <w:tc>
          <w:tcPr>
            <w:tcW w:w="559" w:type="dxa"/>
            <w:tcBorders>
              <w:left w:val="single" w:sz="4" w:space="0" w:color="auto"/>
              <w:bottom w:val="nil"/>
            </w:tcBorders>
            <w:shd w:val="clear" w:color="auto" w:fill="F3F9FA"/>
            <w:vAlign w:val="center"/>
          </w:tcPr>
          <w:p w14:paraId="694619C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bottom w:val="nil"/>
            </w:tcBorders>
            <w:shd w:val="clear" w:color="auto" w:fill="F3F9FA"/>
            <w:vAlign w:val="center"/>
          </w:tcPr>
          <w:p w14:paraId="41579EF7"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bottom w:val="nil"/>
            </w:tcBorders>
            <w:shd w:val="clear" w:color="auto" w:fill="F3F9FA"/>
            <w:vAlign w:val="center"/>
          </w:tcPr>
          <w:p w14:paraId="597A41FF"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4242AC6D" w14:textId="77777777" w:rsidR="003816AC" w:rsidRPr="00CB093C" w:rsidRDefault="003816AC" w:rsidP="003816AC">
            <w:pPr>
              <w:spacing w:before="0" w:after="0"/>
              <w:jc w:val="center"/>
              <w:rPr>
                <w:rFonts w:ascii="Arial" w:hAnsi="Arial" w:cs="Arial"/>
                <w:szCs w:val="22"/>
              </w:rPr>
            </w:pPr>
          </w:p>
        </w:tc>
        <w:tc>
          <w:tcPr>
            <w:tcW w:w="559" w:type="dxa"/>
            <w:tcBorders>
              <w:bottom w:val="nil"/>
            </w:tcBorders>
            <w:shd w:val="clear" w:color="auto" w:fill="F3F9FA"/>
            <w:vAlign w:val="center"/>
          </w:tcPr>
          <w:p w14:paraId="12DDB4C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bottom w:val="nil"/>
              <w:right w:val="nil"/>
            </w:tcBorders>
            <w:shd w:val="clear" w:color="auto" w:fill="F3F9FA"/>
            <w:vAlign w:val="center"/>
          </w:tcPr>
          <w:p w14:paraId="5E6E0931" w14:textId="77777777" w:rsidR="003816AC" w:rsidRPr="00CB093C" w:rsidRDefault="003816AC" w:rsidP="003816AC">
            <w:pPr>
              <w:spacing w:before="0" w:after="0"/>
              <w:jc w:val="center"/>
              <w:rPr>
                <w:rFonts w:ascii="Arial" w:hAnsi="Arial" w:cs="Arial"/>
                <w:szCs w:val="22"/>
              </w:rPr>
            </w:pPr>
          </w:p>
        </w:tc>
      </w:tr>
      <w:tr w:rsidR="003816AC" w:rsidRPr="00CB093C" w14:paraId="41E6B884"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0C043E23"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19D07E43" w14:textId="77777777" w:rsidR="003816AC" w:rsidRPr="00CB093C" w:rsidRDefault="003816AC" w:rsidP="003816AC">
            <w:pPr>
              <w:spacing w:before="0" w:after="0"/>
              <w:rPr>
                <w:rFonts w:ascii="Arial" w:hAnsi="Arial" w:cs="Arial"/>
                <w:color w:val="000000"/>
                <w:szCs w:val="22"/>
              </w:rPr>
            </w:pPr>
          </w:p>
        </w:tc>
        <w:tc>
          <w:tcPr>
            <w:tcW w:w="1299" w:type="dxa"/>
            <w:vMerge w:val="restart"/>
            <w:tcBorders>
              <w:top w:val="single" w:sz="4" w:space="0" w:color="auto"/>
              <w:left w:val="nil"/>
              <w:bottom w:val="single" w:sz="4" w:space="0" w:color="auto"/>
              <w:right w:val="nil"/>
            </w:tcBorders>
            <w:shd w:val="clear" w:color="auto" w:fill="F3F9FA"/>
            <w:vAlign w:val="center"/>
            <w:hideMark/>
          </w:tcPr>
          <w:p w14:paraId="6E8896FF"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Mary</w:t>
            </w:r>
          </w:p>
        </w:tc>
        <w:tc>
          <w:tcPr>
            <w:tcW w:w="1307" w:type="dxa"/>
            <w:vMerge w:val="restart"/>
            <w:tcBorders>
              <w:top w:val="single" w:sz="4" w:space="0" w:color="auto"/>
              <w:left w:val="nil"/>
              <w:bottom w:val="single" w:sz="4" w:space="0" w:color="auto"/>
              <w:right w:val="nil"/>
            </w:tcBorders>
            <w:shd w:val="clear" w:color="auto" w:fill="F3F9FA"/>
            <w:noWrap/>
            <w:vAlign w:val="center"/>
            <w:hideMark/>
          </w:tcPr>
          <w:p w14:paraId="0915997E" w14:textId="77777777" w:rsidR="003816AC" w:rsidRPr="00CB093C" w:rsidRDefault="003816AC" w:rsidP="003816AC">
            <w:pPr>
              <w:spacing w:before="0" w:after="0"/>
              <w:jc w:val="center"/>
              <w:rPr>
                <w:rFonts w:ascii="Arial" w:hAnsi="Arial" w:cs="Arial"/>
                <w:color w:val="000000"/>
                <w:szCs w:val="22"/>
              </w:rPr>
            </w:pPr>
            <w:r w:rsidRPr="00CB093C">
              <w:rPr>
                <w:rFonts w:ascii="Arial" w:hAnsi="Arial" w:cs="Arial"/>
                <w:color w:val="000000"/>
                <w:szCs w:val="22"/>
              </w:rPr>
              <w:t>Hervey Bay</w:t>
            </w:r>
          </w:p>
        </w:tc>
        <w:tc>
          <w:tcPr>
            <w:tcW w:w="840" w:type="dxa"/>
            <w:tcBorders>
              <w:top w:val="single" w:sz="4" w:space="0" w:color="auto"/>
              <w:left w:val="nil"/>
              <w:bottom w:val="nil"/>
              <w:right w:val="nil"/>
            </w:tcBorders>
            <w:shd w:val="clear" w:color="auto" w:fill="F3F9FA"/>
            <w:noWrap/>
            <w:vAlign w:val="center"/>
            <w:hideMark/>
          </w:tcPr>
          <w:p w14:paraId="1CAE3D22"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UG1</w:t>
            </w:r>
          </w:p>
        </w:tc>
        <w:tc>
          <w:tcPr>
            <w:tcW w:w="555" w:type="dxa"/>
            <w:tcBorders>
              <w:top w:val="single" w:sz="4" w:space="0" w:color="auto"/>
              <w:left w:val="nil"/>
              <w:bottom w:val="nil"/>
              <w:right w:val="nil"/>
            </w:tcBorders>
            <w:shd w:val="clear" w:color="auto" w:fill="F3F9FA"/>
            <w:vAlign w:val="center"/>
            <w:hideMark/>
          </w:tcPr>
          <w:p w14:paraId="636C0A5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single" w:sz="4" w:space="0" w:color="auto"/>
              <w:left w:val="nil"/>
              <w:bottom w:val="nil"/>
              <w:right w:val="nil"/>
            </w:tcBorders>
            <w:shd w:val="clear" w:color="auto" w:fill="F3F9FA"/>
            <w:noWrap/>
            <w:vAlign w:val="center"/>
            <w:hideMark/>
          </w:tcPr>
          <w:p w14:paraId="42D5359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single" w:sz="4" w:space="0" w:color="auto"/>
              <w:left w:val="nil"/>
              <w:bottom w:val="nil"/>
              <w:right w:val="nil"/>
            </w:tcBorders>
            <w:shd w:val="clear" w:color="auto" w:fill="F3F9FA"/>
            <w:noWrap/>
            <w:vAlign w:val="center"/>
            <w:hideMark/>
          </w:tcPr>
          <w:p w14:paraId="087501F3"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single" w:sz="4" w:space="0" w:color="auto"/>
              <w:left w:val="nil"/>
              <w:bottom w:val="nil"/>
              <w:right w:val="nil"/>
            </w:tcBorders>
            <w:shd w:val="clear" w:color="auto" w:fill="F3F9FA"/>
            <w:vAlign w:val="center"/>
            <w:hideMark/>
          </w:tcPr>
          <w:p w14:paraId="0BD88DF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single" w:sz="4" w:space="0" w:color="auto"/>
              <w:left w:val="nil"/>
              <w:bottom w:val="nil"/>
              <w:right w:val="nil"/>
            </w:tcBorders>
            <w:shd w:val="clear" w:color="auto" w:fill="F3F9FA"/>
            <w:vAlign w:val="center"/>
            <w:hideMark/>
          </w:tcPr>
          <w:p w14:paraId="0DC9EEA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single" w:sz="4" w:space="0" w:color="auto"/>
              <w:left w:val="nil"/>
              <w:bottom w:val="nil"/>
              <w:right w:val="nil"/>
            </w:tcBorders>
            <w:shd w:val="clear" w:color="auto" w:fill="F3F9FA"/>
            <w:vAlign w:val="center"/>
            <w:hideMark/>
          </w:tcPr>
          <w:p w14:paraId="16D64F6C"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bottom w:val="nil"/>
              <w:right w:val="single" w:sz="4" w:space="0" w:color="auto"/>
            </w:tcBorders>
            <w:shd w:val="clear" w:color="auto" w:fill="F3F9FA"/>
            <w:vAlign w:val="center"/>
          </w:tcPr>
          <w:p w14:paraId="36B19D47" w14:textId="77777777"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single" w:sz="4" w:space="0" w:color="auto"/>
              <w:bottom w:val="nil"/>
              <w:right w:val="nil"/>
            </w:tcBorders>
            <w:shd w:val="clear" w:color="auto" w:fill="F3F9FA"/>
            <w:vAlign w:val="center"/>
            <w:hideMark/>
          </w:tcPr>
          <w:p w14:paraId="56EB8BB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single" w:sz="4" w:space="0" w:color="auto"/>
              <w:left w:val="nil"/>
              <w:bottom w:val="nil"/>
              <w:right w:val="nil"/>
            </w:tcBorders>
            <w:shd w:val="clear" w:color="auto" w:fill="F3F9FA"/>
            <w:vAlign w:val="center"/>
            <w:hideMark/>
          </w:tcPr>
          <w:p w14:paraId="255C3DB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single" w:sz="4" w:space="0" w:color="auto"/>
              <w:left w:val="nil"/>
              <w:bottom w:val="nil"/>
              <w:right w:val="nil"/>
            </w:tcBorders>
            <w:shd w:val="clear" w:color="auto" w:fill="F3F9FA"/>
            <w:vAlign w:val="center"/>
            <w:hideMark/>
          </w:tcPr>
          <w:p w14:paraId="5EB8FCA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single" w:sz="4" w:space="0" w:color="auto"/>
              <w:left w:val="nil"/>
              <w:bottom w:val="nil"/>
              <w:right w:val="nil"/>
            </w:tcBorders>
            <w:shd w:val="clear" w:color="auto" w:fill="F3F9FA"/>
            <w:vAlign w:val="center"/>
          </w:tcPr>
          <w:p w14:paraId="79C0BA8D" w14:textId="46C99358" w:rsidR="003816AC" w:rsidRPr="00CB093C" w:rsidRDefault="003816AC" w:rsidP="003816AC">
            <w:pPr>
              <w:spacing w:before="0" w:after="0"/>
              <w:jc w:val="center"/>
              <w:rPr>
                <w:rFonts w:ascii="Arial" w:hAnsi="Arial" w:cs="Arial"/>
                <w:szCs w:val="22"/>
              </w:rPr>
            </w:pPr>
          </w:p>
        </w:tc>
        <w:tc>
          <w:tcPr>
            <w:tcW w:w="559" w:type="dxa"/>
            <w:tcBorders>
              <w:top w:val="single" w:sz="4" w:space="0" w:color="auto"/>
              <w:left w:val="nil"/>
              <w:bottom w:val="nil"/>
              <w:right w:val="nil"/>
            </w:tcBorders>
            <w:shd w:val="clear" w:color="auto" w:fill="F3F9FA"/>
            <w:vAlign w:val="center"/>
            <w:hideMark/>
          </w:tcPr>
          <w:p w14:paraId="71C19C0B"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single" w:sz="4" w:space="0" w:color="auto"/>
              <w:left w:val="nil"/>
              <w:bottom w:val="nil"/>
              <w:right w:val="nil"/>
            </w:tcBorders>
            <w:shd w:val="clear" w:color="auto" w:fill="F3F9FA"/>
            <w:vAlign w:val="center"/>
          </w:tcPr>
          <w:p w14:paraId="2B8C56B2" w14:textId="77777777" w:rsidR="003816AC" w:rsidRPr="00CB093C" w:rsidRDefault="003816AC" w:rsidP="003816AC">
            <w:pPr>
              <w:spacing w:before="0" w:after="0"/>
              <w:jc w:val="center"/>
              <w:rPr>
                <w:rFonts w:ascii="Arial" w:hAnsi="Arial" w:cs="Arial"/>
                <w:szCs w:val="22"/>
              </w:rPr>
            </w:pPr>
          </w:p>
        </w:tc>
      </w:tr>
      <w:tr w:rsidR="003816AC" w:rsidRPr="00CB093C" w14:paraId="01E15E25" w14:textId="77777777" w:rsidTr="00035C3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4B416F3A" w14:textId="77777777" w:rsidR="003816AC" w:rsidRPr="00CB093C" w:rsidRDefault="003816AC" w:rsidP="003816AC">
            <w:pPr>
              <w:spacing w:before="0" w:after="0"/>
              <w:rPr>
                <w:rFonts w:ascii="Arial" w:hAnsi="Arial" w:cs="Arial"/>
                <w:color w:val="000000"/>
                <w:szCs w:val="22"/>
              </w:rPr>
            </w:pPr>
          </w:p>
        </w:tc>
        <w:tc>
          <w:tcPr>
            <w:tcW w:w="1294" w:type="dxa"/>
            <w:vMerge/>
            <w:tcBorders>
              <w:top w:val="single" w:sz="4" w:space="0" w:color="auto"/>
              <w:left w:val="nil"/>
              <w:bottom w:val="single" w:sz="4" w:space="0" w:color="auto"/>
              <w:right w:val="nil"/>
            </w:tcBorders>
            <w:vAlign w:val="center"/>
            <w:hideMark/>
          </w:tcPr>
          <w:p w14:paraId="2854E4A8" w14:textId="77777777" w:rsidR="003816AC" w:rsidRPr="00CB093C" w:rsidRDefault="003816AC" w:rsidP="003816AC">
            <w:pPr>
              <w:spacing w:before="0" w:after="0"/>
              <w:rPr>
                <w:rFonts w:ascii="Arial" w:hAnsi="Arial" w:cs="Arial"/>
                <w:color w:val="000000"/>
                <w:szCs w:val="22"/>
              </w:rPr>
            </w:pPr>
          </w:p>
        </w:tc>
        <w:tc>
          <w:tcPr>
            <w:tcW w:w="1299" w:type="dxa"/>
            <w:vMerge/>
            <w:tcBorders>
              <w:top w:val="single" w:sz="4" w:space="0" w:color="auto"/>
              <w:left w:val="nil"/>
              <w:bottom w:val="single" w:sz="4" w:space="0" w:color="auto"/>
              <w:right w:val="nil"/>
            </w:tcBorders>
            <w:vAlign w:val="center"/>
            <w:hideMark/>
          </w:tcPr>
          <w:p w14:paraId="5BD4B9AD" w14:textId="77777777" w:rsidR="003816AC" w:rsidRPr="00CB093C" w:rsidRDefault="003816AC" w:rsidP="003816AC">
            <w:pPr>
              <w:spacing w:before="0" w:after="0"/>
              <w:rPr>
                <w:rFonts w:ascii="Arial" w:hAnsi="Arial" w:cs="Arial"/>
                <w:color w:val="000000"/>
                <w:szCs w:val="22"/>
              </w:rPr>
            </w:pPr>
          </w:p>
        </w:tc>
        <w:tc>
          <w:tcPr>
            <w:tcW w:w="1307" w:type="dxa"/>
            <w:vMerge/>
            <w:tcBorders>
              <w:top w:val="single" w:sz="4" w:space="0" w:color="auto"/>
              <w:left w:val="nil"/>
              <w:bottom w:val="single" w:sz="4" w:space="0" w:color="auto"/>
              <w:right w:val="nil"/>
            </w:tcBorders>
            <w:vAlign w:val="center"/>
            <w:hideMark/>
          </w:tcPr>
          <w:p w14:paraId="0AE407FA" w14:textId="77777777" w:rsidR="003816AC" w:rsidRPr="00CB093C" w:rsidRDefault="003816AC" w:rsidP="003816AC">
            <w:pPr>
              <w:spacing w:before="0" w:after="0"/>
              <w:rPr>
                <w:rFonts w:ascii="Arial" w:hAnsi="Arial" w:cs="Arial"/>
                <w:color w:val="000000"/>
                <w:szCs w:val="22"/>
              </w:rPr>
            </w:pPr>
          </w:p>
        </w:tc>
        <w:tc>
          <w:tcPr>
            <w:tcW w:w="840" w:type="dxa"/>
            <w:tcBorders>
              <w:top w:val="nil"/>
              <w:left w:val="nil"/>
              <w:bottom w:val="single" w:sz="4" w:space="0" w:color="auto"/>
              <w:right w:val="nil"/>
            </w:tcBorders>
            <w:shd w:val="clear" w:color="auto" w:fill="F3F9FA"/>
            <w:noWrap/>
            <w:vAlign w:val="center"/>
            <w:hideMark/>
          </w:tcPr>
          <w:p w14:paraId="6912CB66" w14:textId="77777777" w:rsidR="003816AC" w:rsidRPr="00CB093C" w:rsidRDefault="003816AC" w:rsidP="003816AC">
            <w:pPr>
              <w:spacing w:before="0" w:after="0"/>
              <w:jc w:val="center"/>
              <w:rPr>
                <w:rFonts w:ascii="Arial" w:hAnsi="Arial" w:cs="Arial"/>
                <w:b/>
                <w:color w:val="000000"/>
                <w:szCs w:val="22"/>
              </w:rPr>
            </w:pPr>
            <w:r w:rsidRPr="00CB093C">
              <w:rPr>
                <w:rFonts w:ascii="Arial" w:hAnsi="Arial" w:cs="Arial"/>
                <w:b/>
                <w:color w:val="000000"/>
                <w:szCs w:val="22"/>
              </w:rPr>
              <w:t>UG2</w:t>
            </w:r>
          </w:p>
        </w:tc>
        <w:tc>
          <w:tcPr>
            <w:tcW w:w="555" w:type="dxa"/>
            <w:tcBorders>
              <w:top w:val="nil"/>
              <w:left w:val="nil"/>
              <w:bottom w:val="single" w:sz="4" w:space="0" w:color="auto"/>
              <w:right w:val="nil"/>
            </w:tcBorders>
            <w:shd w:val="clear" w:color="auto" w:fill="F3F9FA"/>
            <w:vAlign w:val="center"/>
            <w:hideMark/>
          </w:tcPr>
          <w:p w14:paraId="1111F02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43" w:type="dxa"/>
            <w:tcBorders>
              <w:top w:val="nil"/>
              <w:left w:val="nil"/>
              <w:bottom w:val="single" w:sz="4" w:space="0" w:color="auto"/>
              <w:right w:val="nil"/>
            </w:tcBorders>
            <w:shd w:val="clear" w:color="auto" w:fill="F3F9FA"/>
            <w:noWrap/>
            <w:vAlign w:val="center"/>
            <w:hideMark/>
          </w:tcPr>
          <w:p w14:paraId="7836074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40" w:type="dxa"/>
            <w:tcBorders>
              <w:top w:val="nil"/>
              <w:left w:val="nil"/>
              <w:bottom w:val="single" w:sz="4" w:space="0" w:color="auto"/>
              <w:right w:val="nil"/>
            </w:tcBorders>
            <w:shd w:val="clear" w:color="auto" w:fill="F3F9FA"/>
            <w:noWrap/>
            <w:vAlign w:val="center"/>
            <w:hideMark/>
          </w:tcPr>
          <w:p w14:paraId="4BC291E6"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w:t>
            </w:r>
          </w:p>
        </w:tc>
        <w:tc>
          <w:tcPr>
            <w:tcW w:w="536" w:type="dxa"/>
            <w:tcBorders>
              <w:top w:val="nil"/>
              <w:left w:val="nil"/>
              <w:bottom w:val="single" w:sz="4" w:space="0" w:color="auto"/>
              <w:right w:val="nil"/>
            </w:tcBorders>
            <w:shd w:val="clear" w:color="auto" w:fill="F3F9FA"/>
            <w:vAlign w:val="center"/>
            <w:hideMark/>
          </w:tcPr>
          <w:p w14:paraId="026413AD"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0" w:type="dxa"/>
            <w:tcBorders>
              <w:top w:val="nil"/>
              <w:left w:val="nil"/>
              <w:bottom w:val="single" w:sz="4" w:space="0" w:color="auto"/>
              <w:right w:val="nil"/>
            </w:tcBorders>
            <w:shd w:val="clear" w:color="auto" w:fill="F3F9FA"/>
            <w:vAlign w:val="center"/>
            <w:hideMark/>
          </w:tcPr>
          <w:p w14:paraId="545395A2"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15</w:t>
            </w:r>
          </w:p>
        </w:tc>
        <w:tc>
          <w:tcPr>
            <w:tcW w:w="529" w:type="dxa"/>
            <w:tcBorders>
              <w:top w:val="nil"/>
              <w:left w:val="nil"/>
              <w:bottom w:val="single" w:sz="4" w:space="0" w:color="auto"/>
              <w:right w:val="nil"/>
            </w:tcBorders>
            <w:shd w:val="clear" w:color="auto" w:fill="F3F9FA"/>
            <w:vAlign w:val="center"/>
            <w:hideMark/>
          </w:tcPr>
          <w:p w14:paraId="25A05421"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left w:val="nil"/>
              <w:bottom w:val="single" w:sz="4" w:space="0" w:color="auto"/>
              <w:right w:val="single" w:sz="4" w:space="0" w:color="auto"/>
            </w:tcBorders>
            <w:shd w:val="clear" w:color="auto" w:fill="F3F9FA"/>
            <w:vAlign w:val="center"/>
          </w:tcPr>
          <w:p w14:paraId="12C82C2A"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left w:val="single" w:sz="4" w:space="0" w:color="auto"/>
              <w:bottom w:val="single" w:sz="4" w:space="0" w:color="auto"/>
              <w:right w:val="nil"/>
            </w:tcBorders>
            <w:shd w:val="clear" w:color="auto" w:fill="F3F9FA"/>
            <w:vAlign w:val="center"/>
            <w:hideMark/>
          </w:tcPr>
          <w:p w14:paraId="2453074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33</w:t>
            </w:r>
          </w:p>
        </w:tc>
        <w:tc>
          <w:tcPr>
            <w:tcW w:w="559" w:type="dxa"/>
            <w:tcBorders>
              <w:top w:val="nil"/>
              <w:left w:val="nil"/>
              <w:bottom w:val="single" w:sz="4" w:space="0" w:color="auto"/>
              <w:right w:val="nil"/>
            </w:tcBorders>
            <w:shd w:val="clear" w:color="auto" w:fill="F3F9FA"/>
            <w:vAlign w:val="center"/>
            <w:hideMark/>
          </w:tcPr>
          <w:p w14:paraId="2049DA60"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t>30</w:t>
            </w:r>
          </w:p>
        </w:tc>
        <w:tc>
          <w:tcPr>
            <w:tcW w:w="559" w:type="dxa"/>
            <w:tcBorders>
              <w:top w:val="nil"/>
              <w:left w:val="nil"/>
              <w:bottom w:val="single" w:sz="4" w:space="0" w:color="auto"/>
              <w:right w:val="nil"/>
            </w:tcBorders>
            <w:shd w:val="clear" w:color="auto" w:fill="F3F9FA"/>
            <w:vAlign w:val="center"/>
            <w:hideMark/>
          </w:tcPr>
          <w:p w14:paraId="4C4B4A39"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59" w:type="dxa"/>
            <w:tcBorders>
              <w:top w:val="nil"/>
              <w:left w:val="nil"/>
              <w:bottom w:val="single" w:sz="4" w:space="0" w:color="auto"/>
              <w:right w:val="nil"/>
            </w:tcBorders>
            <w:shd w:val="clear" w:color="auto" w:fill="F3F9FA"/>
            <w:vAlign w:val="center"/>
          </w:tcPr>
          <w:p w14:paraId="7F6B5321" w14:textId="3E26668B" w:rsidR="003816AC" w:rsidRPr="00CB093C" w:rsidRDefault="003816AC" w:rsidP="003816AC">
            <w:pPr>
              <w:spacing w:before="0" w:after="0"/>
              <w:jc w:val="center"/>
              <w:rPr>
                <w:rFonts w:ascii="Arial" w:hAnsi="Arial" w:cs="Arial"/>
                <w:szCs w:val="22"/>
              </w:rPr>
            </w:pPr>
          </w:p>
        </w:tc>
        <w:tc>
          <w:tcPr>
            <w:tcW w:w="559" w:type="dxa"/>
            <w:tcBorders>
              <w:top w:val="nil"/>
              <w:left w:val="nil"/>
              <w:bottom w:val="single" w:sz="4" w:space="0" w:color="auto"/>
              <w:right w:val="nil"/>
            </w:tcBorders>
            <w:shd w:val="clear" w:color="auto" w:fill="F3F9FA"/>
            <w:vAlign w:val="center"/>
            <w:hideMark/>
          </w:tcPr>
          <w:p w14:paraId="536124CE"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c>
          <w:tcPr>
            <w:tcW w:w="546" w:type="dxa"/>
            <w:tcBorders>
              <w:top w:val="nil"/>
              <w:left w:val="nil"/>
              <w:bottom w:val="single" w:sz="4" w:space="0" w:color="auto"/>
              <w:right w:val="nil"/>
            </w:tcBorders>
            <w:shd w:val="clear" w:color="auto" w:fill="F3F9FA"/>
            <w:vAlign w:val="center"/>
            <w:hideMark/>
          </w:tcPr>
          <w:p w14:paraId="50CDCA94" w14:textId="77777777" w:rsidR="003816AC" w:rsidRPr="00CB093C" w:rsidRDefault="003816AC" w:rsidP="003816AC">
            <w:pPr>
              <w:spacing w:before="0" w:after="0"/>
              <w:jc w:val="center"/>
              <w:rPr>
                <w:rFonts w:ascii="Arial" w:hAnsi="Arial" w:cs="Arial"/>
                <w:szCs w:val="22"/>
              </w:rPr>
            </w:pPr>
            <w:r w:rsidRPr="00CB093C">
              <w:rPr>
                <w:rFonts w:ascii="Arial" w:hAnsi="Arial" w:cs="Arial"/>
                <w:szCs w:val="22"/>
              </w:rPr>
              <w:sym w:font="Wingdings" w:char="F0FC"/>
            </w:r>
          </w:p>
        </w:tc>
      </w:tr>
    </w:tbl>
    <w:p w14:paraId="3DE564C5" w14:textId="77777777" w:rsidR="003816AC" w:rsidRPr="00CB093C" w:rsidRDefault="003816AC" w:rsidP="003816AC">
      <w:pPr>
        <w:spacing w:before="0" w:after="0"/>
        <w:rPr>
          <w:rFonts w:ascii="Arial" w:hAnsi="Arial" w:cs="Arial"/>
          <w:szCs w:val="22"/>
        </w:rPr>
      </w:pPr>
    </w:p>
    <w:p w14:paraId="135A5C3F" w14:textId="7C3FE8B1" w:rsidR="003816AC" w:rsidRPr="00CB093C" w:rsidRDefault="003816AC" w:rsidP="00E82D2E">
      <w:pPr>
        <w:rPr>
          <w:rFonts w:ascii="Arial" w:hAnsi="Arial" w:cs="Arial"/>
          <w:szCs w:val="22"/>
          <w:lang w:val="en-GB"/>
        </w:rPr>
      </w:pPr>
    </w:p>
    <w:p w14:paraId="5C292BD3" w14:textId="1238B2E1" w:rsidR="003816AC" w:rsidRPr="00CB093C" w:rsidRDefault="003816AC" w:rsidP="00E82D2E">
      <w:pPr>
        <w:rPr>
          <w:rFonts w:ascii="Arial" w:hAnsi="Arial" w:cs="Arial"/>
          <w:szCs w:val="22"/>
          <w:lang w:val="en-GB"/>
        </w:rPr>
      </w:pPr>
    </w:p>
    <w:p w14:paraId="24331CDC" w14:textId="0306CBE5" w:rsidR="003816AC" w:rsidRPr="00CB093C" w:rsidRDefault="003816AC" w:rsidP="00E82D2E">
      <w:pPr>
        <w:rPr>
          <w:rFonts w:ascii="Arial" w:hAnsi="Arial" w:cs="Arial"/>
          <w:szCs w:val="22"/>
          <w:lang w:val="en-GB"/>
        </w:rPr>
      </w:pPr>
    </w:p>
    <w:p w14:paraId="3CAEE560" w14:textId="77777777" w:rsidR="003816AC" w:rsidRPr="00CB093C" w:rsidRDefault="003816AC" w:rsidP="00E82D2E">
      <w:pPr>
        <w:rPr>
          <w:rFonts w:ascii="Arial" w:hAnsi="Arial" w:cs="Arial"/>
          <w:szCs w:val="22"/>
          <w:lang w:val="en-GB"/>
        </w:rPr>
        <w:sectPr w:rsidR="003816AC" w:rsidRPr="00CB093C" w:rsidSect="003816AC">
          <w:pgSz w:w="16838" w:h="11906" w:orient="landscape"/>
          <w:pgMar w:top="1440" w:right="1440" w:bottom="1440" w:left="1440" w:header="708" w:footer="708" w:gutter="0"/>
          <w:cols w:space="708"/>
          <w:docGrid w:linePitch="360"/>
        </w:sectPr>
      </w:pPr>
    </w:p>
    <w:p w14:paraId="11EEFBBE" w14:textId="05B360BE" w:rsidR="00982946" w:rsidRPr="00CB093C" w:rsidRDefault="00982946" w:rsidP="0015509E">
      <w:pPr>
        <w:pStyle w:val="Heading2"/>
        <w:numPr>
          <w:ilvl w:val="0"/>
          <w:numId w:val="0"/>
        </w:numPr>
      </w:pPr>
      <w:bookmarkStart w:id="774" w:name="_Toc11394803"/>
      <w:r w:rsidRPr="00CB093C">
        <w:t>Climate and environment</w:t>
      </w:r>
      <w:r w:rsidR="00D93689" w:rsidRPr="00CB093C">
        <w:t>al pressures</w:t>
      </w:r>
      <w:bookmarkEnd w:id="774"/>
    </w:p>
    <w:p w14:paraId="39FF7891" w14:textId="5179BEC9" w:rsidR="005F359E" w:rsidRPr="00CB093C" w:rsidRDefault="005F359E" w:rsidP="00D2585E">
      <w:pPr>
        <w:pStyle w:val="Heading3"/>
        <w:numPr>
          <w:ilvl w:val="0"/>
          <w:numId w:val="0"/>
        </w:numPr>
        <w:rPr>
          <w:rFonts w:ascii="Arial" w:hAnsi="Arial" w:cs="Arial"/>
          <w:sz w:val="22"/>
          <w:szCs w:val="22"/>
        </w:rPr>
      </w:pPr>
      <w:bookmarkStart w:id="775" w:name="_Toc11394804"/>
      <w:r w:rsidRPr="00CB093C">
        <w:rPr>
          <w:rFonts w:ascii="Arial" w:hAnsi="Arial" w:cs="Arial"/>
          <w:sz w:val="22"/>
          <w:szCs w:val="22"/>
        </w:rPr>
        <w:t>Climate</w:t>
      </w:r>
      <w:bookmarkEnd w:id="775"/>
    </w:p>
    <w:p w14:paraId="18C122B4" w14:textId="77777777" w:rsidR="005F359E" w:rsidRPr="00CB093C" w:rsidRDefault="005F359E" w:rsidP="005F359E">
      <w:pPr>
        <w:rPr>
          <w:rFonts w:ascii="Arial" w:hAnsi="Arial" w:cs="Arial"/>
          <w:color w:val="000000"/>
          <w:szCs w:val="22"/>
          <w:lang w:val="en-GB"/>
        </w:rPr>
      </w:pPr>
    </w:p>
    <w:p w14:paraId="445D0691" w14:textId="65B3D49A" w:rsidR="005F359E" w:rsidRPr="00CB093C" w:rsidRDefault="00E2010B" w:rsidP="005F359E">
      <w:pPr>
        <w:jc w:val="center"/>
        <w:rPr>
          <w:rFonts w:ascii="Arial" w:hAnsi="Arial" w:cs="Arial"/>
          <w:color w:val="000000"/>
          <w:szCs w:val="22"/>
          <w:lang w:val="en-GB"/>
        </w:rPr>
      </w:pPr>
      <w:r w:rsidRPr="00CB093C">
        <w:rPr>
          <w:rFonts w:ascii="Arial" w:hAnsi="Arial" w:cs="Arial"/>
          <w:noProof/>
          <w:color w:val="000000"/>
          <w:szCs w:val="22"/>
          <w:lang w:val="en-US"/>
        </w:rPr>
        <w:drawing>
          <wp:inline distT="0" distB="0" distL="0" distR="0" wp14:anchorId="3EF007ED" wp14:editId="5FBC8DA1">
            <wp:extent cx="4319999" cy="2658460"/>
            <wp:effectExtent l="0" t="0" r="4445" b="8890"/>
            <wp:docPr id="70" name="Picture 70" descr="Set of three bar charts showing number of days of wind speed above 25 km. hr-1 each monitoring period for each location in the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Wind_25Kn.png"/>
                    <pic:cNvPicPr/>
                  </pic:nvPicPr>
                  <pic:blipFill>
                    <a:blip r:embed="rId178"/>
                    <a:stretch>
                      <a:fillRect/>
                    </a:stretch>
                  </pic:blipFill>
                  <pic:spPr>
                    <a:xfrm>
                      <a:off x="0" y="0"/>
                      <a:ext cx="4319999" cy="2658460"/>
                    </a:xfrm>
                    <a:prstGeom prst="rect">
                      <a:avLst/>
                    </a:prstGeom>
                  </pic:spPr>
                </pic:pic>
              </a:graphicData>
            </a:graphic>
          </wp:inline>
        </w:drawing>
      </w:r>
    </w:p>
    <w:p w14:paraId="3FD1C4D7" w14:textId="341AB97A" w:rsidR="005F359E" w:rsidRPr="00CB093C" w:rsidRDefault="005F359E" w:rsidP="005F359E">
      <w:pPr>
        <w:rPr>
          <w:rFonts w:ascii="Arial" w:hAnsi="Arial" w:cs="Arial"/>
          <w:vanish/>
          <w:color w:val="000000"/>
          <w:szCs w:val="22"/>
          <w:lang w:val="en-GB"/>
          <w:specVanish/>
        </w:rPr>
      </w:pPr>
      <w:bookmarkStart w:id="776" w:name="_Ref410207986"/>
      <w:bookmarkStart w:id="777" w:name="_Toc431493987"/>
      <w:bookmarkStart w:id="778" w:name="_Toc6402857"/>
      <w:r w:rsidRPr="00CB093C">
        <w:rPr>
          <w:rFonts w:ascii="Arial" w:hAnsi="Arial" w:cs="Arial"/>
          <w:color w:val="000000"/>
          <w:szCs w:val="22"/>
          <w:lang w:val="en-GB"/>
        </w:rPr>
        <w:t xml:space="preserve">Figure </w:t>
      </w:r>
      <w:r w:rsidR="0073595B" w:rsidRPr="00CB093C">
        <w:rPr>
          <w:rFonts w:ascii="Arial" w:hAnsi="Arial" w:cs="Arial"/>
          <w:color w:val="000000"/>
          <w:szCs w:val="22"/>
          <w:lang w:val="en-GB"/>
        </w:rPr>
        <w:fldChar w:fldCharType="begin"/>
      </w:r>
      <w:r w:rsidR="0073595B" w:rsidRPr="00CB093C">
        <w:rPr>
          <w:rFonts w:ascii="Arial" w:hAnsi="Arial" w:cs="Arial"/>
          <w:color w:val="000000"/>
          <w:szCs w:val="22"/>
          <w:lang w:val="en-GB"/>
        </w:rPr>
        <w:instrText xml:space="preserve"> SEQ Figure \* ARABIC </w:instrText>
      </w:r>
      <w:r w:rsidR="0073595B" w:rsidRPr="00CB093C">
        <w:rPr>
          <w:rFonts w:ascii="Arial" w:hAnsi="Arial" w:cs="Arial"/>
          <w:color w:val="000000"/>
          <w:szCs w:val="22"/>
          <w:lang w:val="en-GB"/>
        </w:rPr>
        <w:fldChar w:fldCharType="separate"/>
      </w:r>
      <w:r w:rsidR="005F00D4">
        <w:rPr>
          <w:rFonts w:ascii="Arial" w:hAnsi="Arial" w:cs="Arial"/>
          <w:noProof/>
          <w:color w:val="000000"/>
          <w:szCs w:val="22"/>
          <w:lang w:val="en-GB"/>
        </w:rPr>
        <w:t>92</w:t>
      </w:r>
      <w:r w:rsidR="0073595B" w:rsidRPr="00CB093C">
        <w:rPr>
          <w:rFonts w:ascii="Arial" w:hAnsi="Arial" w:cs="Arial"/>
          <w:color w:val="000000"/>
          <w:szCs w:val="22"/>
          <w:lang w:val="en-GB"/>
        </w:rPr>
        <w:fldChar w:fldCharType="end"/>
      </w:r>
      <w:bookmarkEnd w:id="776"/>
      <w:r w:rsidRPr="00CB093C">
        <w:rPr>
          <w:rFonts w:ascii="Arial" w:hAnsi="Arial" w:cs="Arial"/>
          <w:color w:val="000000"/>
          <w:szCs w:val="22"/>
          <w:lang w:val="en-GB"/>
        </w:rPr>
        <w:t xml:space="preserve">. </w:t>
      </w:r>
      <w:r w:rsidRPr="00CB093C">
        <w:rPr>
          <w:rFonts w:ascii="Arial" w:hAnsi="Arial" w:cs="Arial"/>
          <w:i/>
          <w:color w:val="000000"/>
          <w:szCs w:val="22"/>
          <w:lang w:val="en-GB"/>
        </w:rPr>
        <w:t>Number of days wind speed is above 25 km hr</w:t>
      </w:r>
      <w:r w:rsidRPr="00CB093C">
        <w:rPr>
          <w:rFonts w:ascii="Arial" w:hAnsi="Arial" w:cs="Arial"/>
          <w:i/>
          <w:color w:val="000000"/>
          <w:szCs w:val="22"/>
          <w:vertAlign w:val="superscript"/>
          <w:lang w:val="en-GB"/>
        </w:rPr>
        <w:t>-1</w:t>
      </w:r>
      <w:r w:rsidRPr="00CB093C">
        <w:rPr>
          <w:rFonts w:ascii="Arial" w:hAnsi="Arial" w:cs="Arial"/>
          <w:i/>
          <w:color w:val="000000"/>
          <w:szCs w:val="22"/>
          <w:lang w:val="en-GB"/>
        </w:rPr>
        <w:t xml:space="preserve"> each monitoring period in the Cape York NRM region.</w:t>
      </w:r>
      <w:bookmarkEnd w:id="777"/>
      <w:bookmarkEnd w:id="778"/>
      <w:r w:rsidRPr="00CB093C">
        <w:rPr>
          <w:rFonts w:ascii="Arial" w:hAnsi="Arial" w:cs="Arial"/>
          <w:color w:val="000000"/>
          <w:szCs w:val="22"/>
          <w:lang w:val="en-GB"/>
        </w:rPr>
        <w:t xml:space="preserve"> </w:t>
      </w:r>
    </w:p>
    <w:p w14:paraId="6D792F9D" w14:textId="5067D1BC" w:rsidR="005F359E" w:rsidRPr="00CB093C" w:rsidRDefault="005F359E" w:rsidP="005F359E">
      <w:pPr>
        <w:rPr>
          <w:rFonts w:ascii="Arial" w:hAnsi="Arial" w:cs="Arial"/>
          <w:color w:val="000000"/>
          <w:szCs w:val="22"/>
          <w:lang w:val="en-GB"/>
        </w:rPr>
      </w:pPr>
      <w:r w:rsidRPr="00CB093C">
        <w:rPr>
          <w:rFonts w:ascii="Arial" w:hAnsi="Arial" w:cs="Arial"/>
          <w:i/>
          <w:color w:val="000000"/>
          <w:szCs w:val="22"/>
          <w:lang w:val="en-GB"/>
        </w:rPr>
        <w:t xml:space="preserve"> Daily 3pm wind speed from: a) from </w:t>
      </w:r>
      <w:r w:rsidRPr="00CB093C">
        <w:rPr>
          <w:rFonts w:ascii="Arial" w:hAnsi="Arial" w:cs="Arial"/>
          <w:i/>
          <w:color w:val="000000"/>
          <w:szCs w:val="22"/>
        </w:rPr>
        <w:t>Lockhart River Airport (BOM station 028008, source www.bom.gov.au), located 108</w:t>
      </w:r>
      <w:r w:rsidR="0043389D" w:rsidRPr="00CB093C">
        <w:rPr>
          <w:rFonts w:ascii="Arial" w:hAnsi="Arial" w:cs="Arial"/>
          <w:i/>
          <w:color w:val="000000"/>
          <w:szCs w:val="22"/>
        </w:rPr>
        <w:t xml:space="preserve"> </w:t>
      </w:r>
      <w:r w:rsidRPr="00CB093C">
        <w:rPr>
          <w:rFonts w:ascii="Arial" w:hAnsi="Arial" w:cs="Arial"/>
          <w:i/>
          <w:color w:val="000000"/>
          <w:szCs w:val="22"/>
        </w:rPr>
        <w:t>km from Shelburne Bay and 61</w:t>
      </w:r>
      <w:r w:rsidR="0043389D" w:rsidRPr="00CB093C">
        <w:rPr>
          <w:rFonts w:ascii="Arial" w:hAnsi="Arial" w:cs="Arial"/>
          <w:i/>
          <w:color w:val="000000"/>
          <w:szCs w:val="22"/>
        </w:rPr>
        <w:t xml:space="preserve"> </w:t>
      </w:r>
      <w:r w:rsidRPr="00CB093C">
        <w:rPr>
          <w:rFonts w:ascii="Arial" w:hAnsi="Arial" w:cs="Arial"/>
          <w:i/>
          <w:color w:val="000000"/>
          <w:szCs w:val="22"/>
        </w:rPr>
        <w:t>km from Piper Reef monitoring sites;</w:t>
      </w:r>
      <w:r w:rsidRPr="00CB093C">
        <w:rPr>
          <w:rFonts w:ascii="Arial" w:hAnsi="Arial" w:cs="Arial"/>
          <w:i/>
          <w:color w:val="000000"/>
          <w:szCs w:val="22"/>
          <w:lang w:val="en-GB"/>
        </w:rPr>
        <w:t xml:space="preserve"> b) Cape Flattery (BOM station 031213), located approximately 139</w:t>
      </w:r>
      <w:r w:rsidR="0043389D" w:rsidRPr="00CB093C">
        <w:rPr>
          <w:rFonts w:ascii="Arial" w:hAnsi="Arial" w:cs="Arial"/>
          <w:i/>
          <w:color w:val="000000"/>
          <w:szCs w:val="22"/>
          <w:lang w:val="en-GB"/>
        </w:rPr>
        <w:t xml:space="preserve"> </w:t>
      </w:r>
      <w:r w:rsidRPr="00CB093C">
        <w:rPr>
          <w:rFonts w:ascii="Arial" w:hAnsi="Arial" w:cs="Arial"/>
          <w:i/>
          <w:color w:val="000000"/>
          <w:szCs w:val="22"/>
          <w:lang w:val="en-GB"/>
        </w:rPr>
        <w:t>km and 144</w:t>
      </w:r>
      <w:r w:rsidR="0043389D" w:rsidRPr="00CB093C">
        <w:rPr>
          <w:rFonts w:ascii="Arial" w:hAnsi="Arial" w:cs="Arial"/>
          <w:i/>
          <w:color w:val="000000"/>
          <w:szCs w:val="22"/>
          <w:lang w:val="en-GB"/>
        </w:rPr>
        <w:t xml:space="preserve"> </w:t>
      </w:r>
      <w:r w:rsidRPr="00CB093C">
        <w:rPr>
          <w:rFonts w:ascii="Arial" w:hAnsi="Arial" w:cs="Arial"/>
          <w:i/>
          <w:color w:val="000000"/>
          <w:szCs w:val="22"/>
          <w:lang w:val="en-GB"/>
        </w:rPr>
        <w:t>km from Bathurst Bay and Stanley Island monitoring sites, respectively and; c) Cooktown airport (BOM station 031209), located 16</w:t>
      </w:r>
      <w:r w:rsidR="00C215FC" w:rsidRPr="00CB093C">
        <w:rPr>
          <w:rFonts w:ascii="Arial" w:hAnsi="Arial" w:cs="Arial"/>
          <w:i/>
          <w:color w:val="000000"/>
          <w:szCs w:val="22"/>
          <w:lang w:val="en-GB"/>
        </w:rPr>
        <w:t xml:space="preserve"> </w:t>
      </w:r>
      <w:r w:rsidRPr="00CB093C">
        <w:rPr>
          <w:rFonts w:ascii="Arial" w:hAnsi="Arial" w:cs="Arial"/>
          <w:i/>
          <w:color w:val="000000"/>
          <w:szCs w:val="22"/>
          <w:lang w:val="en-GB"/>
        </w:rPr>
        <w:t>km from Archer Point monitoring sites.</w:t>
      </w:r>
      <w:r w:rsidRPr="00CB093C">
        <w:rPr>
          <w:rFonts w:ascii="Arial" w:hAnsi="Arial" w:cs="Arial"/>
          <w:color w:val="000000"/>
          <w:szCs w:val="22"/>
          <w:lang w:val="en-GB"/>
        </w:rPr>
        <w:t xml:space="preserve"> </w:t>
      </w:r>
    </w:p>
    <w:p w14:paraId="5D248D20" w14:textId="77777777" w:rsidR="005F359E" w:rsidRPr="00CB093C" w:rsidRDefault="005F359E" w:rsidP="005F359E">
      <w:pPr>
        <w:rPr>
          <w:rFonts w:ascii="Arial" w:hAnsi="Arial" w:cs="Arial"/>
          <w:color w:val="000000"/>
          <w:szCs w:val="22"/>
        </w:rPr>
      </w:pPr>
      <w:bookmarkStart w:id="779" w:name="_Ref380342564"/>
      <w:bookmarkStart w:id="780" w:name="_Toc431493991"/>
    </w:p>
    <w:p w14:paraId="5E46DE76" w14:textId="4C07259F" w:rsidR="005F359E" w:rsidRPr="00CB093C" w:rsidRDefault="00E2010B" w:rsidP="00CC692A">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493B25A5" wp14:editId="090BA54F">
            <wp:extent cx="4319999" cy="2658460"/>
            <wp:effectExtent l="0" t="0" r="4445" b="8890"/>
            <wp:docPr id="71" name="Picture 71" descr="Set of three bar charts showing number of days of wind speed above 25 km. hr-1 each monitoring period for each location in the Wet Tropics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Wind_25Kn.png"/>
                    <pic:cNvPicPr/>
                  </pic:nvPicPr>
                  <pic:blipFill>
                    <a:blip r:embed="rId179"/>
                    <a:stretch>
                      <a:fillRect/>
                    </a:stretch>
                  </pic:blipFill>
                  <pic:spPr>
                    <a:xfrm>
                      <a:off x="0" y="0"/>
                      <a:ext cx="4319999" cy="2658460"/>
                    </a:xfrm>
                    <a:prstGeom prst="rect">
                      <a:avLst/>
                    </a:prstGeom>
                  </pic:spPr>
                </pic:pic>
              </a:graphicData>
            </a:graphic>
          </wp:inline>
        </w:drawing>
      </w:r>
    </w:p>
    <w:p w14:paraId="5FD14CE7" w14:textId="18E886FC" w:rsidR="005F359E" w:rsidRPr="00CB093C" w:rsidRDefault="005F359E" w:rsidP="005F359E">
      <w:pPr>
        <w:rPr>
          <w:rFonts w:ascii="Arial" w:hAnsi="Arial" w:cs="Arial"/>
          <w:i/>
          <w:vanish/>
          <w:szCs w:val="22"/>
          <w:specVanish/>
        </w:rPr>
      </w:pPr>
      <w:bookmarkStart w:id="781" w:name="_Ref534123864"/>
      <w:bookmarkStart w:id="782" w:name="_Toc6402858"/>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93</w:t>
      </w:r>
      <w:r w:rsidR="0073595B" w:rsidRPr="00CB093C">
        <w:rPr>
          <w:rFonts w:ascii="Arial" w:hAnsi="Arial" w:cs="Arial"/>
          <w:color w:val="000000"/>
          <w:szCs w:val="22"/>
        </w:rPr>
        <w:fldChar w:fldCharType="end"/>
      </w:r>
      <w:bookmarkEnd w:id="779"/>
      <w:bookmarkEnd w:id="781"/>
      <w:r w:rsidRPr="00CB093C">
        <w:rPr>
          <w:rFonts w:ascii="Arial" w:hAnsi="Arial" w:cs="Arial"/>
          <w:color w:val="000000"/>
          <w:szCs w:val="22"/>
        </w:rPr>
        <w:t xml:space="preserve">. </w:t>
      </w:r>
      <w:r w:rsidRPr="00CB093C">
        <w:rPr>
          <w:rFonts w:ascii="Arial" w:hAnsi="Arial" w:cs="Arial"/>
          <w:i/>
          <w:color w:val="000000"/>
          <w:szCs w:val="22"/>
        </w:rPr>
        <w:t>Number of days wind speed is above 25 km hr</w:t>
      </w:r>
      <w:r w:rsidRPr="00CB093C">
        <w:rPr>
          <w:rFonts w:ascii="Arial" w:hAnsi="Arial" w:cs="Arial"/>
          <w:i/>
          <w:color w:val="000000"/>
          <w:szCs w:val="22"/>
          <w:vertAlign w:val="superscript"/>
        </w:rPr>
        <w:t>-1</w:t>
      </w:r>
      <w:r w:rsidRPr="00CB093C">
        <w:rPr>
          <w:rFonts w:ascii="Arial" w:hAnsi="Arial" w:cs="Arial"/>
          <w:i/>
          <w:color w:val="000000"/>
          <w:szCs w:val="22"/>
        </w:rPr>
        <w:t xml:space="preserve"> each monitoring period in the Wet Tropics NRM region.</w:t>
      </w:r>
      <w:bookmarkEnd w:id="780"/>
      <w:bookmarkEnd w:id="782"/>
      <w:r w:rsidRPr="00CB093C">
        <w:rPr>
          <w:rFonts w:ascii="Arial" w:hAnsi="Arial" w:cs="Arial"/>
          <w:i/>
          <w:vanish/>
          <w:color w:val="000000"/>
          <w:szCs w:val="22"/>
          <w:specVanish/>
        </w:rPr>
        <w:t xml:space="preserve"> </w:t>
      </w:r>
    </w:p>
    <w:p w14:paraId="7B80134E" w14:textId="430E55EB" w:rsidR="005F359E" w:rsidRPr="00CB093C" w:rsidRDefault="005F359E" w:rsidP="005F359E">
      <w:pPr>
        <w:rPr>
          <w:rFonts w:ascii="Arial" w:hAnsi="Arial" w:cs="Arial"/>
          <w:color w:val="000000"/>
          <w:szCs w:val="22"/>
          <w:lang w:val="en-GB"/>
        </w:rPr>
      </w:pPr>
      <w:r w:rsidRPr="00CB093C">
        <w:rPr>
          <w:rFonts w:ascii="Arial" w:hAnsi="Arial" w:cs="Arial"/>
          <w:color w:val="000000"/>
          <w:szCs w:val="22"/>
          <w:lang w:val="en-GB"/>
        </w:rPr>
        <w:t xml:space="preserve"> </w:t>
      </w:r>
      <w:r w:rsidRPr="00CB093C">
        <w:rPr>
          <w:rFonts w:ascii="Arial" w:hAnsi="Arial" w:cs="Arial"/>
          <w:i/>
          <w:color w:val="000000"/>
          <w:szCs w:val="22"/>
          <w:lang w:val="en-GB"/>
        </w:rPr>
        <w:t xml:space="preserve"> Daily 3pm wind speed from: a) Low Isles (BOM station 31037), located approximately 21</w:t>
      </w:r>
      <w:r w:rsidR="0043389D" w:rsidRPr="00CB093C">
        <w:rPr>
          <w:rFonts w:ascii="Arial" w:hAnsi="Arial" w:cs="Arial"/>
          <w:i/>
          <w:color w:val="000000"/>
          <w:szCs w:val="22"/>
          <w:lang w:val="en-GB"/>
        </w:rPr>
        <w:t xml:space="preserve"> </w:t>
      </w:r>
      <w:r w:rsidRPr="00CB093C">
        <w:rPr>
          <w:rFonts w:ascii="Arial" w:hAnsi="Arial" w:cs="Arial"/>
          <w:i/>
          <w:color w:val="000000"/>
          <w:szCs w:val="22"/>
          <w:lang w:val="en-GB"/>
        </w:rPr>
        <w:t xml:space="preserve">km from Yule Point monitoring sites; b) Green Island (BOM station 31192); and C) </w:t>
      </w:r>
      <w:r w:rsidRPr="00CB093C">
        <w:rPr>
          <w:rFonts w:ascii="Arial" w:hAnsi="Arial" w:cs="Arial"/>
          <w:i/>
          <w:color w:val="000000"/>
          <w:szCs w:val="22"/>
        </w:rPr>
        <w:t>Innisfail (BOM station 032025), located approximately 48</w:t>
      </w:r>
      <w:r w:rsidR="0043389D" w:rsidRPr="00CB093C">
        <w:rPr>
          <w:rFonts w:ascii="Arial" w:hAnsi="Arial" w:cs="Arial"/>
          <w:i/>
          <w:color w:val="000000"/>
          <w:szCs w:val="22"/>
        </w:rPr>
        <w:t xml:space="preserve"> </w:t>
      </w:r>
      <w:r w:rsidRPr="00CB093C">
        <w:rPr>
          <w:rFonts w:ascii="Arial" w:hAnsi="Arial" w:cs="Arial"/>
          <w:i/>
          <w:color w:val="000000"/>
          <w:szCs w:val="22"/>
        </w:rPr>
        <w:t>km from monitoring sites at Lugger Bay and Dunk Island</w:t>
      </w:r>
      <w:r w:rsidRPr="00CB093C">
        <w:rPr>
          <w:rFonts w:ascii="Arial" w:hAnsi="Arial" w:cs="Arial"/>
          <w:i/>
          <w:color w:val="000000"/>
          <w:szCs w:val="22"/>
          <w:lang w:val="en-GB"/>
        </w:rPr>
        <w:t>.</w:t>
      </w:r>
      <w:r w:rsidRPr="00CB093C">
        <w:rPr>
          <w:rFonts w:ascii="Arial" w:hAnsi="Arial" w:cs="Arial"/>
          <w:color w:val="000000"/>
          <w:szCs w:val="22"/>
          <w:lang w:val="en-GB"/>
        </w:rPr>
        <w:t xml:space="preserve"> </w:t>
      </w:r>
    </w:p>
    <w:p w14:paraId="7B718BEC" w14:textId="77777777" w:rsidR="005F359E" w:rsidRPr="00CB093C" w:rsidRDefault="005F359E" w:rsidP="005F359E">
      <w:pPr>
        <w:rPr>
          <w:rFonts w:ascii="Arial" w:hAnsi="Arial" w:cs="Arial"/>
          <w:color w:val="000000"/>
          <w:szCs w:val="22"/>
          <w:lang w:val="en-GB"/>
        </w:rPr>
      </w:pPr>
    </w:p>
    <w:p w14:paraId="323A34FB" w14:textId="77777777" w:rsidR="00E2010B" w:rsidRPr="00CB093C" w:rsidRDefault="00E2010B" w:rsidP="005F359E">
      <w:pPr>
        <w:rPr>
          <w:rFonts w:ascii="Arial" w:hAnsi="Arial" w:cs="Arial"/>
          <w:color w:val="000000"/>
          <w:szCs w:val="22"/>
          <w:lang w:val="en-GB"/>
        </w:rPr>
      </w:pPr>
    </w:p>
    <w:p w14:paraId="4E11CEDA" w14:textId="2E630402" w:rsidR="005F359E" w:rsidRPr="00CB093C" w:rsidRDefault="00E2010B" w:rsidP="005F359E">
      <w:pPr>
        <w:jc w:val="center"/>
        <w:rPr>
          <w:rFonts w:ascii="Arial" w:hAnsi="Arial" w:cs="Arial"/>
          <w:color w:val="000000"/>
          <w:szCs w:val="22"/>
          <w:lang w:val="en-GB"/>
        </w:rPr>
      </w:pPr>
      <w:bookmarkStart w:id="783" w:name="_Ref382203726"/>
      <w:bookmarkStart w:id="784" w:name="_Toc431493994"/>
      <w:r w:rsidRPr="00CB093C">
        <w:rPr>
          <w:rFonts w:ascii="Arial" w:hAnsi="Arial" w:cs="Arial"/>
          <w:noProof/>
          <w:color w:val="000000"/>
          <w:szCs w:val="22"/>
          <w:lang w:val="en-US"/>
        </w:rPr>
        <w:drawing>
          <wp:inline distT="0" distB="0" distL="0" distR="0" wp14:anchorId="279D8C2E" wp14:editId="6AF2C7EA">
            <wp:extent cx="4319999" cy="1993845"/>
            <wp:effectExtent l="0" t="0" r="4445" b="6985"/>
            <wp:docPr id="73" name="Picture 73" descr="Set of two bar charts showing number of days of wind speed above 25 km. hr-1 each monitoring period for each location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Wind_25Kn.png"/>
                    <pic:cNvPicPr/>
                  </pic:nvPicPr>
                  <pic:blipFill>
                    <a:blip r:embed="rId180"/>
                    <a:stretch>
                      <a:fillRect/>
                    </a:stretch>
                  </pic:blipFill>
                  <pic:spPr>
                    <a:xfrm>
                      <a:off x="0" y="0"/>
                      <a:ext cx="4319999" cy="1993845"/>
                    </a:xfrm>
                    <a:prstGeom prst="rect">
                      <a:avLst/>
                    </a:prstGeom>
                  </pic:spPr>
                </pic:pic>
              </a:graphicData>
            </a:graphic>
          </wp:inline>
        </w:drawing>
      </w:r>
    </w:p>
    <w:p w14:paraId="1C394D40" w14:textId="0F9420EA" w:rsidR="005F359E" w:rsidRPr="00CB093C" w:rsidRDefault="005F359E" w:rsidP="005F359E">
      <w:pPr>
        <w:rPr>
          <w:rFonts w:ascii="Arial" w:hAnsi="Arial" w:cs="Arial"/>
          <w:i/>
          <w:vanish/>
          <w:color w:val="000000"/>
          <w:szCs w:val="22"/>
          <w:lang w:val="en-GB"/>
          <w:specVanish/>
        </w:rPr>
      </w:pPr>
      <w:bookmarkStart w:id="785" w:name="_Ref534127371"/>
      <w:bookmarkStart w:id="786" w:name="_Toc6402859"/>
      <w:r w:rsidRPr="00CB093C">
        <w:rPr>
          <w:rFonts w:ascii="Arial" w:hAnsi="Arial" w:cs="Arial"/>
          <w:color w:val="000000"/>
          <w:szCs w:val="22"/>
          <w:lang w:val="en-GB"/>
        </w:rPr>
        <w:t xml:space="preserve">Figure </w:t>
      </w:r>
      <w:r w:rsidR="0073595B" w:rsidRPr="00CB093C">
        <w:rPr>
          <w:rFonts w:ascii="Arial" w:hAnsi="Arial" w:cs="Arial"/>
          <w:color w:val="000000"/>
          <w:szCs w:val="22"/>
          <w:lang w:val="en-GB"/>
        </w:rPr>
        <w:fldChar w:fldCharType="begin"/>
      </w:r>
      <w:r w:rsidR="0073595B" w:rsidRPr="00CB093C">
        <w:rPr>
          <w:rFonts w:ascii="Arial" w:hAnsi="Arial" w:cs="Arial"/>
          <w:color w:val="000000"/>
          <w:szCs w:val="22"/>
          <w:lang w:val="en-GB"/>
        </w:rPr>
        <w:instrText xml:space="preserve"> SEQ Figure \* ARABIC </w:instrText>
      </w:r>
      <w:r w:rsidR="0073595B" w:rsidRPr="00CB093C">
        <w:rPr>
          <w:rFonts w:ascii="Arial" w:hAnsi="Arial" w:cs="Arial"/>
          <w:color w:val="000000"/>
          <w:szCs w:val="22"/>
          <w:lang w:val="en-GB"/>
        </w:rPr>
        <w:fldChar w:fldCharType="separate"/>
      </w:r>
      <w:r w:rsidR="005F00D4">
        <w:rPr>
          <w:rFonts w:ascii="Arial" w:hAnsi="Arial" w:cs="Arial"/>
          <w:noProof/>
          <w:color w:val="000000"/>
          <w:szCs w:val="22"/>
          <w:lang w:val="en-GB"/>
        </w:rPr>
        <w:t>94</w:t>
      </w:r>
      <w:r w:rsidR="0073595B" w:rsidRPr="00CB093C">
        <w:rPr>
          <w:rFonts w:ascii="Arial" w:hAnsi="Arial" w:cs="Arial"/>
          <w:color w:val="000000"/>
          <w:szCs w:val="22"/>
          <w:lang w:val="en-GB"/>
        </w:rPr>
        <w:fldChar w:fldCharType="end"/>
      </w:r>
      <w:bookmarkEnd w:id="783"/>
      <w:bookmarkEnd w:id="785"/>
      <w:r w:rsidRPr="00CB093C">
        <w:rPr>
          <w:rFonts w:ascii="Arial" w:hAnsi="Arial" w:cs="Arial"/>
          <w:color w:val="000000"/>
          <w:szCs w:val="22"/>
          <w:lang w:val="en-GB"/>
        </w:rPr>
        <w:t xml:space="preserve">. </w:t>
      </w:r>
      <w:r w:rsidRPr="00CB093C">
        <w:rPr>
          <w:rFonts w:ascii="Arial" w:hAnsi="Arial" w:cs="Arial"/>
          <w:i/>
          <w:color w:val="000000"/>
          <w:szCs w:val="22"/>
          <w:lang w:val="en-GB"/>
        </w:rPr>
        <w:t>Number of days wind speed is above 25 km hr</w:t>
      </w:r>
      <w:r w:rsidRPr="00CB093C">
        <w:rPr>
          <w:rFonts w:ascii="Arial" w:hAnsi="Arial" w:cs="Arial"/>
          <w:i/>
          <w:color w:val="000000"/>
          <w:szCs w:val="22"/>
          <w:vertAlign w:val="superscript"/>
          <w:lang w:val="en-GB"/>
        </w:rPr>
        <w:t>-1</w:t>
      </w:r>
      <w:r w:rsidRPr="00CB093C">
        <w:rPr>
          <w:rFonts w:ascii="Arial" w:hAnsi="Arial" w:cs="Arial"/>
          <w:i/>
          <w:color w:val="000000"/>
          <w:szCs w:val="22"/>
          <w:lang w:val="en-GB"/>
        </w:rPr>
        <w:t xml:space="preserve"> each monitoring period in the </w:t>
      </w:r>
      <w:r w:rsidR="001E7797" w:rsidRPr="00CB093C">
        <w:rPr>
          <w:rFonts w:ascii="Arial" w:hAnsi="Arial" w:cs="Arial"/>
          <w:i/>
          <w:color w:val="000000"/>
          <w:szCs w:val="22"/>
          <w:lang w:val="en-GB"/>
        </w:rPr>
        <w:t>Burdekin</w:t>
      </w:r>
      <w:r w:rsidRPr="00CB093C">
        <w:rPr>
          <w:rFonts w:ascii="Arial" w:hAnsi="Arial" w:cs="Arial"/>
          <w:i/>
          <w:color w:val="000000"/>
          <w:szCs w:val="22"/>
          <w:lang w:val="en-GB"/>
        </w:rPr>
        <w:t xml:space="preserve"> NRM region.</w:t>
      </w:r>
      <w:bookmarkEnd w:id="784"/>
      <w:bookmarkEnd w:id="786"/>
      <w:r w:rsidRPr="00CB093C">
        <w:rPr>
          <w:rFonts w:ascii="Arial" w:hAnsi="Arial" w:cs="Arial"/>
          <w:i/>
          <w:color w:val="000000"/>
          <w:szCs w:val="22"/>
          <w:lang w:val="en-GB"/>
        </w:rPr>
        <w:t xml:space="preserve"> </w:t>
      </w:r>
    </w:p>
    <w:p w14:paraId="5D5551BC" w14:textId="27E52E6C" w:rsidR="005F359E" w:rsidRPr="00CB093C" w:rsidRDefault="005F359E" w:rsidP="005F359E">
      <w:pPr>
        <w:rPr>
          <w:rFonts w:ascii="Arial" w:hAnsi="Arial" w:cs="Arial"/>
          <w:i/>
          <w:color w:val="000000"/>
          <w:szCs w:val="22"/>
          <w:lang w:val="en-GB"/>
        </w:rPr>
      </w:pPr>
      <w:r w:rsidRPr="00CB093C">
        <w:rPr>
          <w:rFonts w:ascii="Arial" w:hAnsi="Arial" w:cs="Arial"/>
          <w:i/>
          <w:color w:val="000000"/>
          <w:szCs w:val="22"/>
          <w:lang w:val="en-GB"/>
        </w:rPr>
        <w:t xml:space="preserve"> Daily 3pm wind speed from: a) Townsville Airport (BOM station 032040) located approximately 11</w:t>
      </w:r>
      <w:r w:rsidR="00C215FC" w:rsidRPr="00CB093C">
        <w:rPr>
          <w:rFonts w:ascii="Arial" w:hAnsi="Arial" w:cs="Arial"/>
          <w:i/>
          <w:color w:val="000000"/>
          <w:szCs w:val="22"/>
          <w:lang w:val="en-GB"/>
        </w:rPr>
        <w:t xml:space="preserve"> </w:t>
      </w:r>
      <w:r w:rsidRPr="00CB093C">
        <w:rPr>
          <w:rFonts w:ascii="Arial" w:hAnsi="Arial" w:cs="Arial"/>
          <w:i/>
          <w:color w:val="000000"/>
          <w:szCs w:val="22"/>
          <w:lang w:val="en-GB"/>
        </w:rPr>
        <w:t>km from coastal (Townsville) and reef (Magnetic Island) monitoring sites, and 53</w:t>
      </w:r>
      <w:r w:rsidR="00C215FC" w:rsidRPr="00CB093C">
        <w:rPr>
          <w:rFonts w:ascii="Arial" w:hAnsi="Arial" w:cs="Arial"/>
          <w:i/>
          <w:color w:val="000000"/>
          <w:szCs w:val="22"/>
          <w:lang w:val="en-GB"/>
        </w:rPr>
        <w:t xml:space="preserve"> </w:t>
      </w:r>
      <w:r w:rsidRPr="00CB093C">
        <w:rPr>
          <w:rFonts w:ascii="Arial" w:hAnsi="Arial" w:cs="Arial"/>
          <w:i/>
          <w:color w:val="000000"/>
          <w:szCs w:val="22"/>
          <w:lang w:val="en-GB"/>
        </w:rPr>
        <w:t>km from Jerona (Bowling Green Bay) monitoring sites; and b) Ayr (BOM station 033002), located approximately 26</w:t>
      </w:r>
      <w:r w:rsidR="00C215FC" w:rsidRPr="00CB093C">
        <w:rPr>
          <w:rFonts w:ascii="Arial" w:hAnsi="Arial" w:cs="Arial"/>
          <w:i/>
          <w:color w:val="000000"/>
          <w:szCs w:val="22"/>
          <w:lang w:val="en-GB"/>
        </w:rPr>
        <w:t xml:space="preserve"> </w:t>
      </w:r>
      <w:r w:rsidRPr="00CB093C">
        <w:rPr>
          <w:rFonts w:ascii="Arial" w:hAnsi="Arial" w:cs="Arial"/>
          <w:i/>
          <w:color w:val="000000"/>
          <w:szCs w:val="22"/>
          <w:lang w:val="en-GB"/>
        </w:rPr>
        <w:t xml:space="preserve">km from Jerona (Bowling Green Bay) monitoring sites. </w:t>
      </w:r>
    </w:p>
    <w:p w14:paraId="2D2D900F" w14:textId="77777777" w:rsidR="005F359E" w:rsidRPr="00CB093C" w:rsidRDefault="005F359E" w:rsidP="005F359E">
      <w:pPr>
        <w:rPr>
          <w:rFonts w:ascii="Arial" w:hAnsi="Arial" w:cs="Arial"/>
          <w:color w:val="000000"/>
          <w:szCs w:val="22"/>
          <w:lang w:val="en-GB"/>
        </w:rPr>
      </w:pPr>
    </w:p>
    <w:p w14:paraId="47FC6577" w14:textId="2194B29F" w:rsidR="005F359E" w:rsidRPr="00CB093C" w:rsidRDefault="00E2010B" w:rsidP="00C451D2">
      <w:pPr>
        <w:keepNext/>
        <w:widowControl w:val="0"/>
        <w:spacing w:after="0"/>
        <w:jc w:val="center"/>
        <w:rPr>
          <w:rFonts w:ascii="Arial" w:hAnsi="Arial" w:cs="Arial"/>
          <w:color w:val="000000"/>
          <w:szCs w:val="22"/>
          <w:lang w:val="en-GB"/>
        </w:rPr>
      </w:pPr>
      <w:bookmarkStart w:id="787" w:name="_Ref382207362"/>
      <w:bookmarkStart w:id="788" w:name="_Toc431493998"/>
      <w:r w:rsidRPr="00CB093C">
        <w:rPr>
          <w:rFonts w:ascii="Arial" w:hAnsi="Arial" w:cs="Arial"/>
          <w:noProof/>
          <w:color w:val="000000"/>
          <w:szCs w:val="22"/>
          <w:lang w:val="en-US"/>
        </w:rPr>
        <w:drawing>
          <wp:inline distT="0" distB="0" distL="0" distR="0" wp14:anchorId="609552F4" wp14:editId="3721A151">
            <wp:extent cx="4319999" cy="2916922"/>
            <wp:effectExtent l="0" t="0" r="4445" b="0"/>
            <wp:docPr id="74" name="Picture 74" descr="Set of three bar charts showing number of days of wind speed above 25 km. hr-1 each monitoring period for each location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Wind_25Kn.png"/>
                    <pic:cNvPicPr/>
                  </pic:nvPicPr>
                  <pic:blipFill>
                    <a:blip r:embed="rId181"/>
                    <a:stretch>
                      <a:fillRect/>
                    </a:stretch>
                  </pic:blipFill>
                  <pic:spPr>
                    <a:xfrm>
                      <a:off x="0" y="0"/>
                      <a:ext cx="4319999" cy="2916922"/>
                    </a:xfrm>
                    <a:prstGeom prst="rect">
                      <a:avLst/>
                    </a:prstGeom>
                  </pic:spPr>
                </pic:pic>
              </a:graphicData>
            </a:graphic>
          </wp:inline>
        </w:drawing>
      </w:r>
    </w:p>
    <w:p w14:paraId="38CD7427" w14:textId="04834C94" w:rsidR="005F359E" w:rsidRPr="00CB093C" w:rsidRDefault="005F359E" w:rsidP="005F359E">
      <w:pPr>
        <w:rPr>
          <w:rFonts w:ascii="Arial" w:hAnsi="Arial" w:cs="Arial"/>
          <w:vanish/>
          <w:color w:val="000000"/>
          <w:szCs w:val="22"/>
          <w:lang w:val="en-GB"/>
          <w:specVanish/>
        </w:rPr>
      </w:pPr>
      <w:bookmarkStart w:id="789" w:name="_Ref534127691"/>
      <w:bookmarkStart w:id="790" w:name="_Toc6402860"/>
      <w:r w:rsidRPr="00CB093C">
        <w:rPr>
          <w:rFonts w:ascii="Arial" w:hAnsi="Arial" w:cs="Arial"/>
          <w:color w:val="000000"/>
          <w:szCs w:val="22"/>
          <w:lang w:val="en-GB"/>
        </w:rPr>
        <w:t xml:space="preserve">Figure </w:t>
      </w:r>
      <w:r w:rsidR="0073595B" w:rsidRPr="00CB093C">
        <w:rPr>
          <w:rFonts w:ascii="Arial" w:hAnsi="Arial" w:cs="Arial"/>
          <w:color w:val="000000"/>
          <w:szCs w:val="22"/>
          <w:lang w:val="en-GB"/>
        </w:rPr>
        <w:fldChar w:fldCharType="begin"/>
      </w:r>
      <w:r w:rsidR="0073595B" w:rsidRPr="00CB093C">
        <w:rPr>
          <w:rFonts w:ascii="Arial" w:hAnsi="Arial" w:cs="Arial"/>
          <w:color w:val="000000"/>
          <w:szCs w:val="22"/>
          <w:lang w:val="en-GB"/>
        </w:rPr>
        <w:instrText xml:space="preserve"> SEQ Figure \* ARABIC </w:instrText>
      </w:r>
      <w:r w:rsidR="0073595B" w:rsidRPr="00CB093C">
        <w:rPr>
          <w:rFonts w:ascii="Arial" w:hAnsi="Arial" w:cs="Arial"/>
          <w:color w:val="000000"/>
          <w:szCs w:val="22"/>
          <w:lang w:val="en-GB"/>
        </w:rPr>
        <w:fldChar w:fldCharType="separate"/>
      </w:r>
      <w:r w:rsidR="005F00D4">
        <w:rPr>
          <w:rFonts w:ascii="Arial" w:hAnsi="Arial" w:cs="Arial"/>
          <w:noProof/>
          <w:color w:val="000000"/>
          <w:szCs w:val="22"/>
          <w:lang w:val="en-GB"/>
        </w:rPr>
        <w:t>95</w:t>
      </w:r>
      <w:r w:rsidR="0073595B" w:rsidRPr="00CB093C">
        <w:rPr>
          <w:rFonts w:ascii="Arial" w:hAnsi="Arial" w:cs="Arial"/>
          <w:color w:val="000000"/>
          <w:szCs w:val="22"/>
          <w:lang w:val="en-GB"/>
        </w:rPr>
        <w:fldChar w:fldCharType="end"/>
      </w:r>
      <w:bookmarkEnd w:id="787"/>
      <w:bookmarkEnd w:id="789"/>
      <w:r w:rsidRPr="00CB093C">
        <w:rPr>
          <w:rFonts w:ascii="Arial" w:hAnsi="Arial" w:cs="Arial"/>
          <w:color w:val="000000"/>
          <w:szCs w:val="22"/>
          <w:lang w:val="en-GB"/>
        </w:rPr>
        <w:t xml:space="preserve">. </w:t>
      </w:r>
      <w:r w:rsidRPr="00CB093C">
        <w:rPr>
          <w:rFonts w:ascii="Arial" w:hAnsi="Arial" w:cs="Arial"/>
          <w:i/>
          <w:color w:val="000000"/>
          <w:szCs w:val="22"/>
          <w:lang w:val="en-GB"/>
        </w:rPr>
        <w:t>Number of days wind speed is above 25 km hr</w:t>
      </w:r>
      <w:r w:rsidRPr="00CB093C">
        <w:rPr>
          <w:rFonts w:ascii="Arial" w:hAnsi="Arial" w:cs="Arial"/>
          <w:i/>
          <w:color w:val="000000"/>
          <w:szCs w:val="22"/>
          <w:vertAlign w:val="superscript"/>
          <w:lang w:val="en-GB"/>
        </w:rPr>
        <w:t>-1</w:t>
      </w:r>
      <w:r w:rsidRPr="00CB093C">
        <w:rPr>
          <w:rFonts w:ascii="Arial" w:hAnsi="Arial" w:cs="Arial"/>
          <w:i/>
          <w:color w:val="000000"/>
          <w:szCs w:val="22"/>
          <w:lang w:val="en-GB"/>
        </w:rPr>
        <w:t xml:space="preserve"> each monitoring period in the </w:t>
      </w:r>
      <w:r w:rsidR="00637325">
        <w:rPr>
          <w:rFonts w:ascii="Arial" w:hAnsi="Arial" w:cs="Arial"/>
          <w:i/>
          <w:color w:val="000000"/>
          <w:szCs w:val="22"/>
          <w:lang w:val="en-GB"/>
        </w:rPr>
        <w:t>Mackay-Whitsunday</w:t>
      </w:r>
      <w:r w:rsidRPr="00CB093C">
        <w:rPr>
          <w:rFonts w:ascii="Arial" w:hAnsi="Arial" w:cs="Arial"/>
          <w:i/>
          <w:color w:val="000000"/>
          <w:szCs w:val="22"/>
          <w:lang w:val="en-GB"/>
        </w:rPr>
        <w:t xml:space="preserve"> NRM region.</w:t>
      </w:r>
      <w:bookmarkEnd w:id="788"/>
      <w:bookmarkEnd w:id="790"/>
      <w:r w:rsidRPr="00CB093C">
        <w:rPr>
          <w:rFonts w:ascii="Arial" w:hAnsi="Arial" w:cs="Arial"/>
          <w:color w:val="000000"/>
          <w:szCs w:val="22"/>
          <w:lang w:val="en-GB"/>
        </w:rPr>
        <w:t xml:space="preserve"> </w:t>
      </w:r>
    </w:p>
    <w:p w14:paraId="3CEDC18D" w14:textId="28F7290A" w:rsidR="005F359E" w:rsidRPr="00CB093C" w:rsidRDefault="005F359E" w:rsidP="005F359E">
      <w:pPr>
        <w:rPr>
          <w:rFonts w:ascii="Arial" w:hAnsi="Arial" w:cs="Arial"/>
          <w:color w:val="000000"/>
          <w:szCs w:val="22"/>
          <w:lang w:val="en-GB"/>
        </w:rPr>
      </w:pPr>
      <w:r w:rsidRPr="00CB093C">
        <w:rPr>
          <w:rFonts w:ascii="Arial" w:hAnsi="Arial" w:cs="Arial"/>
          <w:i/>
          <w:color w:val="000000"/>
          <w:szCs w:val="22"/>
          <w:lang w:val="en-GB"/>
        </w:rPr>
        <w:t xml:space="preserve"> Daily 3pm wind speed from: a) Proserpine Post Office (BOM station 33316) (post June 2011), located 18</w:t>
      </w:r>
      <w:r w:rsidR="00C215FC" w:rsidRPr="00CB093C">
        <w:rPr>
          <w:rFonts w:ascii="Arial" w:hAnsi="Arial" w:cs="Arial"/>
          <w:i/>
          <w:color w:val="000000"/>
          <w:szCs w:val="22"/>
          <w:lang w:val="en-GB"/>
        </w:rPr>
        <w:t xml:space="preserve"> </w:t>
      </w:r>
      <w:r w:rsidRPr="00CB093C">
        <w:rPr>
          <w:rFonts w:ascii="Arial" w:hAnsi="Arial" w:cs="Arial"/>
          <w:i/>
          <w:color w:val="000000"/>
          <w:szCs w:val="22"/>
          <w:lang w:val="en-GB"/>
        </w:rPr>
        <w:t xml:space="preserve">km from </w:t>
      </w:r>
      <w:r w:rsidR="00207564" w:rsidRPr="00CB093C">
        <w:rPr>
          <w:rFonts w:ascii="Arial" w:hAnsi="Arial" w:cs="Arial"/>
          <w:i/>
          <w:color w:val="000000"/>
          <w:szCs w:val="22"/>
          <w:lang w:val="en-GB"/>
        </w:rPr>
        <w:t>Midge Point</w:t>
      </w:r>
      <w:r w:rsidRPr="00CB093C">
        <w:rPr>
          <w:rFonts w:ascii="Arial" w:hAnsi="Arial" w:cs="Arial"/>
          <w:i/>
          <w:color w:val="000000"/>
          <w:szCs w:val="22"/>
          <w:lang w:val="en-GB"/>
        </w:rPr>
        <w:t xml:space="preserve"> monitoring sites; b) Hamilton Island (BOM station 033106), located 1.5</w:t>
      </w:r>
      <w:r w:rsidR="00C215FC" w:rsidRPr="00CB093C">
        <w:rPr>
          <w:rFonts w:ascii="Arial" w:hAnsi="Arial" w:cs="Arial"/>
          <w:i/>
          <w:color w:val="000000"/>
          <w:szCs w:val="22"/>
          <w:lang w:val="en-GB"/>
        </w:rPr>
        <w:t xml:space="preserve"> </w:t>
      </w:r>
      <w:r w:rsidRPr="00CB093C">
        <w:rPr>
          <w:rFonts w:ascii="Arial" w:hAnsi="Arial" w:cs="Arial"/>
          <w:i/>
          <w:color w:val="000000"/>
          <w:szCs w:val="22"/>
          <w:lang w:val="en-GB"/>
        </w:rPr>
        <w:t>km from Hamilton Island monitoring sites; and c) Mackay Airport (BOM station 033045, source www.bom.gov.au), approximately 28</w:t>
      </w:r>
      <w:r w:rsidR="00C215FC" w:rsidRPr="00CB093C">
        <w:rPr>
          <w:rFonts w:ascii="Arial" w:hAnsi="Arial" w:cs="Arial"/>
          <w:i/>
          <w:color w:val="000000"/>
          <w:szCs w:val="22"/>
          <w:lang w:val="en-GB"/>
        </w:rPr>
        <w:t xml:space="preserve"> </w:t>
      </w:r>
      <w:r w:rsidRPr="00CB093C">
        <w:rPr>
          <w:rFonts w:ascii="Arial" w:hAnsi="Arial" w:cs="Arial"/>
          <w:i/>
          <w:color w:val="000000"/>
          <w:szCs w:val="22"/>
          <w:lang w:val="en-GB"/>
        </w:rPr>
        <w:t>km from Sarina Inlet monitoring sites</w:t>
      </w:r>
      <w:r w:rsidRPr="00CB093C">
        <w:rPr>
          <w:rFonts w:ascii="Arial" w:hAnsi="Arial" w:cs="Arial"/>
          <w:color w:val="000000"/>
          <w:szCs w:val="22"/>
          <w:lang w:val="en-GB"/>
        </w:rPr>
        <w:t xml:space="preserve">. </w:t>
      </w:r>
    </w:p>
    <w:p w14:paraId="08271FB5" w14:textId="77777777" w:rsidR="005F359E" w:rsidRPr="00CB093C" w:rsidRDefault="005F359E" w:rsidP="005F359E">
      <w:pPr>
        <w:rPr>
          <w:rFonts w:ascii="Arial" w:hAnsi="Arial" w:cs="Arial"/>
          <w:color w:val="000000"/>
          <w:szCs w:val="22"/>
          <w:lang w:val="en-GB"/>
        </w:rPr>
      </w:pPr>
    </w:p>
    <w:p w14:paraId="0FDAF261" w14:textId="77777777" w:rsidR="00E2010B" w:rsidRPr="00CB093C" w:rsidRDefault="00E2010B" w:rsidP="005F359E">
      <w:pPr>
        <w:rPr>
          <w:rFonts w:ascii="Arial" w:hAnsi="Arial" w:cs="Arial"/>
          <w:color w:val="000000"/>
          <w:szCs w:val="22"/>
          <w:lang w:val="en-GB"/>
        </w:rPr>
      </w:pPr>
    </w:p>
    <w:p w14:paraId="5D912CB5" w14:textId="77777777" w:rsidR="00E2010B" w:rsidRPr="00CB093C" w:rsidRDefault="00E2010B" w:rsidP="005F359E">
      <w:pPr>
        <w:rPr>
          <w:rFonts w:ascii="Arial" w:hAnsi="Arial" w:cs="Arial"/>
          <w:color w:val="000000"/>
          <w:szCs w:val="22"/>
          <w:lang w:val="en-GB"/>
        </w:rPr>
      </w:pPr>
    </w:p>
    <w:p w14:paraId="256D01CF" w14:textId="77777777" w:rsidR="00E2010B" w:rsidRPr="00CB093C" w:rsidRDefault="00E2010B" w:rsidP="005F359E">
      <w:pPr>
        <w:rPr>
          <w:rFonts w:ascii="Arial" w:hAnsi="Arial" w:cs="Arial"/>
          <w:color w:val="000000"/>
          <w:szCs w:val="22"/>
          <w:lang w:val="en-GB"/>
        </w:rPr>
      </w:pPr>
    </w:p>
    <w:p w14:paraId="5FF8224B" w14:textId="77777777" w:rsidR="005F359E" w:rsidRPr="00CB093C" w:rsidRDefault="005F359E" w:rsidP="005F359E">
      <w:pPr>
        <w:rPr>
          <w:rFonts w:ascii="Arial" w:hAnsi="Arial" w:cs="Arial"/>
          <w:color w:val="000000"/>
          <w:szCs w:val="22"/>
          <w:lang w:val="en-GB"/>
        </w:rPr>
      </w:pPr>
    </w:p>
    <w:p w14:paraId="4D487249" w14:textId="14F00566" w:rsidR="005F359E" w:rsidRPr="00CB093C" w:rsidRDefault="00E2010B" w:rsidP="00C451D2">
      <w:pPr>
        <w:keepNext/>
        <w:widowControl w:val="0"/>
        <w:spacing w:after="0"/>
        <w:jc w:val="center"/>
        <w:rPr>
          <w:rFonts w:ascii="Arial" w:hAnsi="Arial" w:cs="Arial"/>
          <w:color w:val="000000"/>
          <w:szCs w:val="22"/>
          <w:lang w:val="en-GB"/>
        </w:rPr>
      </w:pPr>
      <w:bookmarkStart w:id="791" w:name="_Ref382210314"/>
      <w:bookmarkStart w:id="792" w:name="_Toc431494002"/>
      <w:r w:rsidRPr="00CB093C">
        <w:rPr>
          <w:rFonts w:ascii="Arial" w:hAnsi="Arial" w:cs="Arial"/>
          <w:noProof/>
          <w:color w:val="000000"/>
          <w:szCs w:val="22"/>
          <w:lang w:val="en-US"/>
        </w:rPr>
        <w:drawing>
          <wp:inline distT="0" distB="0" distL="0" distR="0" wp14:anchorId="570BD89E" wp14:editId="7810DC3A">
            <wp:extent cx="4319999" cy="2658460"/>
            <wp:effectExtent l="0" t="0" r="4445" b="8890"/>
            <wp:docPr id="75" name="Picture 75" descr="Set of three bar charts showing number of days of wind speed above 25 km. hr-1 each monitoring period for each location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Wind_25Kn.png"/>
                    <pic:cNvPicPr/>
                  </pic:nvPicPr>
                  <pic:blipFill>
                    <a:blip r:embed="rId182"/>
                    <a:stretch>
                      <a:fillRect/>
                    </a:stretch>
                  </pic:blipFill>
                  <pic:spPr>
                    <a:xfrm>
                      <a:off x="0" y="0"/>
                      <a:ext cx="4319999" cy="2658460"/>
                    </a:xfrm>
                    <a:prstGeom prst="rect">
                      <a:avLst/>
                    </a:prstGeom>
                  </pic:spPr>
                </pic:pic>
              </a:graphicData>
            </a:graphic>
          </wp:inline>
        </w:drawing>
      </w:r>
    </w:p>
    <w:p w14:paraId="6F552898" w14:textId="5BF31E49" w:rsidR="005F359E" w:rsidRPr="00CB093C" w:rsidRDefault="005F359E" w:rsidP="005F359E">
      <w:pPr>
        <w:rPr>
          <w:rFonts w:ascii="Arial" w:hAnsi="Arial" w:cs="Arial"/>
          <w:vanish/>
          <w:color w:val="000000"/>
          <w:szCs w:val="22"/>
          <w:lang w:val="en-GB"/>
          <w:specVanish/>
        </w:rPr>
      </w:pPr>
      <w:bookmarkStart w:id="793" w:name="_Ref534127979"/>
      <w:bookmarkStart w:id="794" w:name="_Toc6402861"/>
      <w:r w:rsidRPr="00CB093C">
        <w:rPr>
          <w:rFonts w:ascii="Arial" w:hAnsi="Arial" w:cs="Arial"/>
          <w:color w:val="000000"/>
          <w:szCs w:val="22"/>
          <w:lang w:val="en-GB"/>
        </w:rPr>
        <w:t xml:space="preserve">Figure </w:t>
      </w:r>
      <w:r w:rsidR="0073595B" w:rsidRPr="00CB093C">
        <w:rPr>
          <w:rFonts w:ascii="Arial" w:hAnsi="Arial" w:cs="Arial"/>
          <w:color w:val="000000"/>
          <w:szCs w:val="22"/>
          <w:lang w:val="en-GB"/>
        </w:rPr>
        <w:fldChar w:fldCharType="begin"/>
      </w:r>
      <w:r w:rsidR="0073595B" w:rsidRPr="00CB093C">
        <w:rPr>
          <w:rFonts w:ascii="Arial" w:hAnsi="Arial" w:cs="Arial"/>
          <w:color w:val="000000"/>
          <w:szCs w:val="22"/>
          <w:lang w:val="en-GB"/>
        </w:rPr>
        <w:instrText xml:space="preserve"> SEQ Figure \* ARABIC </w:instrText>
      </w:r>
      <w:r w:rsidR="0073595B" w:rsidRPr="00CB093C">
        <w:rPr>
          <w:rFonts w:ascii="Arial" w:hAnsi="Arial" w:cs="Arial"/>
          <w:color w:val="000000"/>
          <w:szCs w:val="22"/>
          <w:lang w:val="en-GB"/>
        </w:rPr>
        <w:fldChar w:fldCharType="separate"/>
      </w:r>
      <w:r w:rsidR="005F00D4">
        <w:rPr>
          <w:rFonts w:ascii="Arial" w:hAnsi="Arial" w:cs="Arial"/>
          <w:noProof/>
          <w:color w:val="000000"/>
          <w:szCs w:val="22"/>
          <w:lang w:val="en-GB"/>
        </w:rPr>
        <w:t>96</w:t>
      </w:r>
      <w:r w:rsidR="0073595B" w:rsidRPr="00CB093C">
        <w:rPr>
          <w:rFonts w:ascii="Arial" w:hAnsi="Arial" w:cs="Arial"/>
          <w:color w:val="000000"/>
          <w:szCs w:val="22"/>
          <w:lang w:val="en-GB"/>
        </w:rPr>
        <w:fldChar w:fldCharType="end"/>
      </w:r>
      <w:bookmarkEnd w:id="791"/>
      <w:bookmarkEnd w:id="793"/>
      <w:r w:rsidRPr="00CB093C">
        <w:rPr>
          <w:rFonts w:ascii="Arial" w:hAnsi="Arial" w:cs="Arial"/>
          <w:color w:val="000000"/>
          <w:szCs w:val="22"/>
          <w:lang w:val="en-GB"/>
        </w:rPr>
        <w:t xml:space="preserve">. </w:t>
      </w:r>
      <w:r w:rsidRPr="00CB093C">
        <w:rPr>
          <w:rFonts w:ascii="Arial" w:hAnsi="Arial" w:cs="Arial"/>
          <w:i/>
          <w:color w:val="000000"/>
          <w:szCs w:val="22"/>
          <w:lang w:val="en-GB"/>
        </w:rPr>
        <w:t>Number of days wind speed is above 25 k</w:t>
      </w:r>
      <w:r w:rsidR="0043389D" w:rsidRPr="00CB093C">
        <w:rPr>
          <w:rFonts w:ascii="Arial" w:hAnsi="Arial" w:cs="Arial"/>
          <w:i/>
          <w:color w:val="000000"/>
          <w:szCs w:val="22"/>
          <w:lang w:val="en-GB"/>
        </w:rPr>
        <w:t>m</w:t>
      </w:r>
      <w:r w:rsidRPr="00CB093C">
        <w:rPr>
          <w:rFonts w:ascii="Arial" w:hAnsi="Arial" w:cs="Arial"/>
          <w:i/>
          <w:color w:val="000000"/>
          <w:szCs w:val="22"/>
          <w:lang w:val="en-GB"/>
        </w:rPr>
        <w:t xml:space="preserve"> hr</w:t>
      </w:r>
      <w:r w:rsidRPr="00CB093C">
        <w:rPr>
          <w:rFonts w:ascii="Arial" w:hAnsi="Arial" w:cs="Arial"/>
          <w:i/>
          <w:color w:val="000000"/>
          <w:szCs w:val="22"/>
          <w:vertAlign w:val="superscript"/>
          <w:lang w:val="en-GB"/>
        </w:rPr>
        <w:t>-1</w:t>
      </w:r>
      <w:r w:rsidRPr="00CB093C">
        <w:rPr>
          <w:rFonts w:ascii="Arial" w:hAnsi="Arial" w:cs="Arial"/>
          <w:i/>
          <w:color w:val="000000"/>
          <w:szCs w:val="22"/>
          <w:lang w:val="en-GB"/>
        </w:rPr>
        <w:t xml:space="preserve"> each monitoring period in the Fitzroy NRM region.</w:t>
      </w:r>
      <w:bookmarkEnd w:id="792"/>
      <w:bookmarkEnd w:id="794"/>
      <w:r w:rsidRPr="00CB093C">
        <w:rPr>
          <w:rFonts w:ascii="Arial" w:hAnsi="Arial" w:cs="Arial"/>
          <w:color w:val="000000"/>
          <w:szCs w:val="22"/>
          <w:lang w:val="en-GB"/>
        </w:rPr>
        <w:t xml:space="preserve"> </w:t>
      </w:r>
    </w:p>
    <w:p w14:paraId="31033366" w14:textId="2CEE3C3A" w:rsidR="005F359E" w:rsidRPr="00CB093C" w:rsidRDefault="005F359E" w:rsidP="005F359E">
      <w:pPr>
        <w:rPr>
          <w:rFonts w:ascii="Arial" w:hAnsi="Arial" w:cs="Arial"/>
          <w:color w:val="000000"/>
          <w:szCs w:val="22"/>
          <w:lang w:val="en-GB"/>
        </w:rPr>
      </w:pPr>
      <w:r w:rsidRPr="00CB093C">
        <w:rPr>
          <w:rFonts w:ascii="Arial" w:hAnsi="Arial" w:cs="Arial"/>
          <w:i/>
          <w:color w:val="000000"/>
          <w:szCs w:val="22"/>
          <w:lang w:val="en-GB"/>
        </w:rPr>
        <w:t xml:space="preserve"> Daily 3pm wind speed from: a) Williamson, Shoalwater Bay (BOM station 033260), located 10</w:t>
      </w:r>
      <w:r w:rsidR="00C215FC" w:rsidRPr="00CB093C">
        <w:rPr>
          <w:rFonts w:ascii="Arial" w:hAnsi="Arial" w:cs="Arial"/>
          <w:i/>
          <w:color w:val="000000"/>
          <w:szCs w:val="22"/>
          <w:lang w:val="en-GB"/>
        </w:rPr>
        <w:t xml:space="preserve"> </w:t>
      </w:r>
      <w:r w:rsidRPr="00CB093C">
        <w:rPr>
          <w:rFonts w:ascii="Arial" w:hAnsi="Arial" w:cs="Arial"/>
          <w:i/>
          <w:color w:val="000000"/>
          <w:szCs w:val="22"/>
          <w:lang w:val="en-GB"/>
        </w:rPr>
        <w:t>km from the monitoring sites; b) Yeppoon (BOM station 033106), approximately 22</w:t>
      </w:r>
      <w:r w:rsidR="0043389D" w:rsidRPr="00CB093C">
        <w:rPr>
          <w:rFonts w:ascii="Arial" w:hAnsi="Arial" w:cs="Arial"/>
          <w:i/>
          <w:color w:val="000000"/>
          <w:szCs w:val="22"/>
          <w:lang w:val="en-GB"/>
        </w:rPr>
        <w:t xml:space="preserve"> </w:t>
      </w:r>
      <w:r w:rsidRPr="00CB093C">
        <w:rPr>
          <w:rFonts w:ascii="Arial" w:hAnsi="Arial" w:cs="Arial"/>
          <w:i/>
          <w:color w:val="000000"/>
          <w:szCs w:val="22"/>
          <w:lang w:val="en-GB"/>
        </w:rPr>
        <w:t>km from monitoring sites; and c) Gladstone Airport (BOM station 039123), located approximately 13</w:t>
      </w:r>
      <w:r w:rsidR="0043389D" w:rsidRPr="00CB093C">
        <w:rPr>
          <w:rFonts w:ascii="Arial" w:hAnsi="Arial" w:cs="Arial"/>
          <w:i/>
          <w:color w:val="000000"/>
          <w:szCs w:val="22"/>
          <w:lang w:val="en-GB"/>
        </w:rPr>
        <w:t xml:space="preserve"> </w:t>
      </w:r>
      <w:r w:rsidRPr="00CB093C">
        <w:rPr>
          <w:rFonts w:ascii="Arial" w:hAnsi="Arial" w:cs="Arial"/>
          <w:i/>
          <w:color w:val="000000"/>
          <w:szCs w:val="22"/>
          <w:lang w:val="en-GB"/>
        </w:rPr>
        <w:t>km from monitoring sites.</w:t>
      </w:r>
      <w:r w:rsidRPr="00CB093C">
        <w:rPr>
          <w:rFonts w:ascii="Arial" w:hAnsi="Arial" w:cs="Arial"/>
          <w:color w:val="000000"/>
          <w:szCs w:val="22"/>
          <w:lang w:val="en-GB"/>
        </w:rPr>
        <w:t xml:space="preserve"> </w:t>
      </w:r>
    </w:p>
    <w:p w14:paraId="05C8D170" w14:textId="77777777" w:rsidR="005F359E" w:rsidRPr="00CB093C" w:rsidRDefault="005F359E" w:rsidP="005F359E">
      <w:pPr>
        <w:rPr>
          <w:rFonts w:ascii="Arial" w:hAnsi="Arial" w:cs="Arial"/>
          <w:color w:val="000000"/>
          <w:szCs w:val="22"/>
          <w:lang w:val="en-GB"/>
        </w:rPr>
      </w:pPr>
    </w:p>
    <w:p w14:paraId="041766C5" w14:textId="220E33F5" w:rsidR="005F359E" w:rsidRPr="00CB093C" w:rsidRDefault="00E2010B" w:rsidP="00C451D2">
      <w:pPr>
        <w:keepNext/>
        <w:widowControl w:val="0"/>
        <w:spacing w:after="0"/>
        <w:jc w:val="center"/>
        <w:rPr>
          <w:rFonts w:ascii="Arial" w:hAnsi="Arial" w:cs="Arial"/>
          <w:color w:val="000000"/>
          <w:szCs w:val="22"/>
          <w:lang w:val="en-GB"/>
        </w:rPr>
      </w:pPr>
      <w:bookmarkStart w:id="795" w:name="_Ref380335409"/>
      <w:bookmarkStart w:id="796" w:name="_Toc431494005"/>
      <w:r w:rsidRPr="00CB093C">
        <w:rPr>
          <w:rFonts w:ascii="Arial" w:hAnsi="Arial" w:cs="Arial"/>
          <w:noProof/>
          <w:color w:val="000000"/>
          <w:szCs w:val="22"/>
          <w:lang w:val="en-US"/>
        </w:rPr>
        <w:drawing>
          <wp:inline distT="0" distB="0" distL="0" distR="0" wp14:anchorId="15EC01AB" wp14:editId="17EA8310">
            <wp:extent cx="4319999" cy="2658460"/>
            <wp:effectExtent l="0" t="0" r="4445" b="8890"/>
            <wp:docPr id="76" name="Picture 76" descr="Set of three bar charts showing number of days of wind speed above 25 km. hr-1 each monitoring period for each location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Wind_25Kn.png"/>
                    <pic:cNvPicPr/>
                  </pic:nvPicPr>
                  <pic:blipFill>
                    <a:blip r:embed="rId183"/>
                    <a:stretch>
                      <a:fillRect/>
                    </a:stretch>
                  </pic:blipFill>
                  <pic:spPr>
                    <a:xfrm>
                      <a:off x="0" y="0"/>
                      <a:ext cx="4319999" cy="2658460"/>
                    </a:xfrm>
                    <a:prstGeom prst="rect">
                      <a:avLst/>
                    </a:prstGeom>
                  </pic:spPr>
                </pic:pic>
              </a:graphicData>
            </a:graphic>
          </wp:inline>
        </w:drawing>
      </w:r>
    </w:p>
    <w:p w14:paraId="10CE4612" w14:textId="4A814135" w:rsidR="005F359E" w:rsidRPr="00CB093C" w:rsidRDefault="005F359E" w:rsidP="005F359E">
      <w:pPr>
        <w:rPr>
          <w:rFonts w:ascii="Arial" w:hAnsi="Arial" w:cs="Arial"/>
          <w:vanish/>
          <w:color w:val="000000"/>
          <w:szCs w:val="22"/>
          <w:lang w:val="en-GB"/>
          <w:specVanish/>
        </w:rPr>
      </w:pPr>
      <w:bookmarkStart w:id="797" w:name="_Ref534133796"/>
      <w:bookmarkStart w:id="798" w:name="_Toc6402862"/>
      <w:r w:rsidRPr="00CB093C">
        <w:rPr>
          <w:rFonts w:ascii="Arial" w:hAnsi="Arial" w:cs="Arial"/>
          <w:color w:val="000000"/>
          <w:szCs w:val="22"/>
          <w:lang w:val="en-GB"/>
        </w:rPr>
        <w:t xml:space="preserve">Figure </w:t>
      </w:r>
      <w:r w:rsidR="0073595B" w:rsidRPr="00CB093C">
        <w:rPr>
          <w:rFonts w:ascii="Arial" w:hAnsi="Arial" w:cs="Arial"/>
          <w:color w:val="000000"/>
          <w:szCs w:val="22"/>
          <w:lang w:val="en-GB"/>
        </w:rPr>
        <w:fldChar w:fldCharType="begin"/>
      </w:r>
      <w:r w:rsidR="0073595B" w:rsidRPr="00CB093C">
        <w:rPr>
          <w:rFonts w:ascii="Arial" w:hAnsi="Arial" w:cs="Arial"/>
          <w:color w:val="000000"/>
          <w:szCs w:val="22"/>
          <w:lang w:val="en-GB"/>
        </w:rPr>
        <w:instrText xml:space="preserve"> SEQ Figure \* ARABIC </w:instrText>
      </w:r>
      <w:r w:rsidR="0073595B" w:rsidRPr="00CB093C">
        <w:rPr>
          <w:rFonts w:ascii="Arial" w:hAnsi="Arial" w:cs="Arial"/>
          <w:color w:val="000000"/>
          <w:szCs w:val="22"/>
          <w:lang w:val="en-GB"/>
        </w:rPr>
        <w:fldChar w:fldCharType="separate"/>
      </w:r>
      <w:r w:rsidR="005F00D4">
        <w:rPr>
          <w:rFonts w:ascii="Arial" w:hAnsi="Arial" w:cs="Arial"/>
          <w:noProof/>
          <w:color w:val="000000"/>
          <w:szCs w:val="22"/>
          <w:lang w:val="en-GB"/>
        </w:rPr>
        <w:t>97</w:t>
      </w:r>
      <w:r w:rsidR="0073595B" w:rsidRPr="00CB093C">
        <w:rPr>
          <w:rFonts w:ascii="Arial" w:hAnsi="Arial" w:cs="Arial"/>
          <w:color w:val="000000"/>
          <w:szCs w:val="22"/>
          <w:lang w:val="en-GB"/>
        </w:rPr>
        <w:fldChar w:fldCharType="end"/>
      </w:r>
      <w:bookmarkEnd w:id="795"/>
      <w:bookmarkEnd w:id="797"/>
      <w:r w:rsidRPr="00CB093C">
        <w:rPr>
          <w:rFonts w:ascii="Arial" w:hAnsi="Arial" w:cs="Arial"/>
          <w:color w:val="000000"/>
          <w:szCs w:val="22"/>
          <w:lang w:val="en-GB"/>
        </w:rPr>
        <w:t xml:space="preserve">. </w:t>
      </w:r>
      <w:r w:rsidRPr="00CB093C">
        <w:rPr>
          <w:rFonts w:ascii="Arial" w:hAnsi="Arial" w:cs="Arial"/>
          <w:i/>
          <w:color w:val="000000"/>
          <w:szCs w:val="22"/>
          <w:lang w:val="en-GB"/>
        </w:rPr>
        <w:t>Number of days wind speed is above 25 km hr</w:t>
      </w:r>
      <w:r w:rsidRPr="00CB093C">
        <w:rPr>
          <w:rFonts w:ascii="Arial" w:hAnsi="Arial" w:cs="Arial"/>
          <w:i/>
          <w:color w:val="000000"/>
          <w:szCs w:val="22"/>
          <w:vertAlign w:val="superscript"/>
          <w:lang w:val="en-GB"/>
        </w:rPr>
        <w:t>-1</w:t>
      </w:r>
      <w:r w:rsidRPr="00CB093C">
        <w:rPr>
          <w:rFonts w:ascii="Arial" w:hAnsi="Arial" w:cs="Arial"/>
          <w:i/>
          <w:color w:val="000000"/>
          <w:szCs w:val="22"/>
          <w:lang w:val="en-GB"/>
        </w:rPr>
        <w:t xml:space="preserve"> each monitoring period in the Burnett Mary NRM region.</w:t>
      </w:r>
      <w:bookmarkEnd w:id="796"/>
      <w:bookmarkEnd w:id="798"/>
      <w:r w:rsidRPr="00CB093C">
        <w:rPr>
          <w:rFonts w:ascii="Arial" w:hAnsi="Arial" w:cs="Arial"/>
          <w:color w:val="000000"/>
          <w:szCs w:val="22"/>
          <w:lang w:val="en-GB"/>
        </w:rPr>
        <w:t xml:space="preserve"> </w:t>
      </w:r>
      <w:r w:rsidRPr="00CB093C">
        <w:rPr>
          <w:rFonts w:ascii="Arial" w:hAnsi="Arial" w:cs="Arial"/>
          <w:i/>
          <w:color w:val="000000"/>
          <w:szCs w:val="22"/>
          <w:lang w:val="en-GB"/>
        </w:rPr>
        <w:t xml:space="preserve"> </w:t>
      </w:r>
    </w:p>
    <w:p w14:paraId="5462E459" w14:textId="58FBE8F2" w:rsidR="005F359E" w:rsidRPr="00CB093C" w:rsidRDefault="005F359E" w:rsidP="005F359E">
      <w:pPr>
        <w:rPr>
          <w:rFonts w:ascii="Arial" w:hAnsi="Arial" w:cs="Arial"/>
          <w:color w:val="000000"/>
          <w:szCs w:val="22"/>
          <w:lang w:val="en-GB"/>
        </w:rPr>
      </w:pPr>
      <w:r w:rsidRPr="00CB093C">
        <w:rPr>
          <w:rFonts w:ascii="Arial" w:hAnsi="Arial" w:cs="Arial"/>
          <w:i/>
          <w:color w:val="000000"/>
          <w:szCs w:val="22"/>
          <w:lang w:val="en-GB"/>
        </w:rPr>
        <w:t>Daily 3pm wind speed from: a) Seventeen Seventy (BOM station 039314), approximately 27</w:t>
      </w:r>
      <w:r w:rsidR="0043389D" w:rsidRPr="00CB093C">
        <w:rPr>
          <w:rFonts w:ascii="Arial" w:hAnsi="Arial" w:cs="Arial"/>
          <w:i/>
          <w:color w:val="000000"/>
          <w:szCs w:val="22"/>
          <w:lang w:val="en-GB"/>
        </w:rPr>
        <w:t xml:space="preserve"> </w:t>
      </w:r>
      <w:r w:rsidRPr="00CB093C">
        <w:rPr>
          <w:rFonts w:ascii="Arial" w:hAnsi="Arial" w:cs="Arial"/>
          <w:i/>
          <w:color w:val="000000"/>
          <w:szCs w:val="22"/>
          <w:lang w:val="en-GB"/>
        </w:rPr>
        <w:t>km from Rodds Bay monitoring sites; and b) Hervey Bay Airport (BOM station 040405), approximately 3</w:t>
      </w:r>
      <w:r w:rsidR="0043389D" w:rsidRPr="00CB093C">
        <w:rPr>
          <w:rFonts w:ascii="Arial" w:hAnsi="Arial" w:cs="Arial"/>
          <w:i/>
          <w:color w:val="000000"/>
          <w:szCs w:val="22"/>
          <w:lang w:val="en-GB"/>
        </w:rPr>
        <w:t xml:space="preserve"> </w:t>
      </w:r>
      <w:r w:rsidRPr="00CB093C">
        <w:rPr>
          <w:rFonts w:ascii="Arial" w:hAnsi="Arial" w:cs="Arial"/>
          <w:i/>
          <w:color w:val="000000"/>
          <w:szCs w:val="22"/>
          <w:lang w:val="en-GB"/>
        </w:rPr>
        <w:t>km from Urangan monitoring sites.</w:t>
      </w:r>
      <w:r w:rsidRPr="00CB093C">
        <w:rPr>
          <w:rFonts w:ascii="Arial" w:hAnsi="Arial" w:cs="Arial"/>
          <w:color w:val="000000"/>
          <w:szCs w:val="22"/>
          <w:lang w:val="en-GB"/>
        </w:rPr>
        <w:t xml:space="preserve"> </w:t>
      </w:r>
    </w:p>
    <w:p w14:paraId="38E6242E" w14:textId="77777777" w:rsidR="00842050" w:rsidRPr="00CB093C" w:rsidRDefault="00842050" w:rsidP="00E82D2E">
      <w:pPr>
        <w:rPr>
          <w:rFonts w:ascii="Arial" w:hAnsi="Arial" w:cs="Arial"/>
          <w:szCs w:val="22"/>
          <w:lang w:val="en-GB"/>
        </w:rPr>
      </w:pPr>
    </w:p>
    <w:p w14:paraId="7006CBF4" w14:textId="77777777" w:rsidR="00273002" w:rsidRPr="00CB093C" w:rsidRDefault="00273002">
      <w:pPr>
        <w:spacing w:before="0" w:after="0"/>
        <w:rPr>
          <w:rFonts w:ascii="Arial" w:hAnsi="Arial" w:cs="Arial"/>
          <w:szCs w:val="22"/>
          <w:lang w:val="en-GB"/>
        </w:rPr>
      </w:pPr>
      <w:r w:rsidRPr="00CB093C">
        <w:rPr>
          <w:rFonts w:ascii="Arial" w:hAnsi="Arial" w:cs="Arial"/>
          <w:szCs w:val="22"/>
          <w:lang w:val="en-GB"/>
        </w:rPr>
        <w:br w:type="page"/>
      </w:r>
    </w:p>
    <w:p w14:paraId="4FCB4846" w14:textId="09486DE7" w:rsidR="00273002" w:rsidRPr="00CB093C" w:rsidRDefault="00273002" w:rsidP="00D2585E">
      <w:pPr>
        <w:pStyle w:val="Heading3"/>
        <w:numPr>
          <w:ilvl w:val="0"/>
          <w:numId w:val="0"/>
        </w:numPr>
        <w:rPr>
          <w:rFonts w:ascii="Arial" w:hAnsi="Arial" w:cs="Arial"/>
          <w:sz w:val="22"/>
          <w:szCs w:val="22"/>
        </w:rPr>
      </w:pPr>
      <w:bookmarkStart w:id="799" w:name="_Toc11394805"/>
      <w:r w:rsidRPr="00CB093C">
        <w:rPr>
          <w:rFonts w:ascii="Arial" w:hAnsi="Arial" w:cs="Arial"/>
          <w:sz w:val="22"/>
          <w:szCs w:val="22"/>
        </w:rPr>
        <w:t>Tidal exposure</w:t>
      </w:r>
      <w:bookmarkEnd w:id="799"/>
    </w:p>
    <w:p w14:paraId="44A0905A" w14:textId="77777777" w:rsidR="00273002" w:rsidRPr="00CB093C" w:rsidRDefault="00273002" w:rsidP="00273002">
      <w:pPr>
        <w:rPr>
          <w:rFonts w:ascii="Arial" w:hAnsi="Arial" w:cs="Arial"/>
          <w:color w:val="000000"/>
          <w:szCs w:val="22"/>
        </w:rPr>
      </w:pPr>
    </w:p>
    <w:p w14:paraId="5ECEAE40" w14:textId="04DA33D3" w:rsidR="00273002" w:rsidRPr="00CB093C" w:rsidRDefault="00273002" w:rsidP="00273002">
      <w:pPr>
        <w:jc w:val="center"/>
        <w:rPr>
          <w:rFonts w:ascii="Arial" w:hAnsi="Arial" w:cs="Arial"/>
          <w:i/>
          <w:vanish/>
          <w:szCs w:val="22"/>
          <w:specVanish/>
        </w:rPr>
      </w:pPr>
      <w:bookmarkStart w:id="800" w:name="_Ref409806677"/>
      <w:bookmarkStart w:id="801" w:name="_Toc431494052"/>
      <w:bookmarkStart w:id="802" w:name="_Toc5616050"/>
      <w:r w:rsidRPr="00CB093C">
        <w:rPr>
          <w:rFonts w:ascii="Arial" w:hAnsi="Arial" w:cs="Arial"/>
          <w:szCs w:val="22"/>
        </w:rPr>
        <w:t xml:space="preserve">Table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Table \* ARABIC </w:instrText>
      </w:r>
      <w:r w:rsidR="00C506C7" w:rsidRPr="00CB093C">
        <w:rPr>
          <w:rFonts w:ascii="Arial" w:hAnsi="Arial" w:cs="Arial"/>
          <w:noProof/>
          <w:szCs w:val="22"/>
        </w:rPr>
        <w:fldChar w:fldCharType="separate"/>
      </w:r>
      <w:r w:rsidR="005F00D4">
        <w:rPr>
          <w:rFonts w:ascii="Arial" w:hAnsi="Arial" w:cs="Arial"/>
          <w:noProof/>
          <w:szCs w:val="22"/>
        </w:rPr>
        <w:t>22</w:t>
      </w:r>
      <w:r w:rsidR="00C506C7" w:rsidRPr="00CB093C">
        <w:rPr>
          <w:rFonts w:ascii="Arial" w:hAnsi="Arial" w:cs="Arial"/>
          <w:noProof/>
          <w:szCs w:val="22"/>
        </w:rPr>
        <w:fldChar w:fldCharType="end"/>
      </w:r>
      <w:bookmarkEnd w:id="800"/>
      <w:r w:rsidRPr="00CB093C">
        <w:rPr>
          <w:rFonts w:ascii="Arial" w:hAnsi="Arial" w:cs="Arial"/>
          <w:szCs w:val="22"/>
        </w:rPr>
        <w:t xml:space="preserve">. </w:t>
      </w:r>
      <w:r w:rsidRPr="00CB093C">
        <w:rPr>
          <w:rFonts w:ascii="Arial" w:hAnsi="Arial" w:cs="Arial"/>
          <w:i/>
          <w:szCs w:val="22"/>
        </w:rPr>
        <w:t xml:space="preserve">Height of intertidal monitoring meadows/sites above </w:t>
      </w:r>
      <w:r w:rsidR="00C215FC" w:rsidRPr="00CB093C">
        <w:rPr>
          <w:rFonts w:ascii="Arial" w:hAnsi="Arial" w:cs="Arial"/>
          <w:i/>
          <w:szCs w:val="22"/>
        </w:rPr>
        <w:t>l</w:t>
      </w:r>
      <w:r w:rsidRPr="00CB093C">
        <w:rPr>
          <w:rFonts w:ascii="Arial" w:hAnsi="Arial" w:cs="Arial"/>
          <w:i/>
          <w:szCs w:val="22"/>
        </w:rPr>
        <w:t xml:space="preserve">owest </w:t>
      </w:r>
      <w:r w:rsidR="00C215FC" w:rsidRPr="00CB093C">
        <w:rPr>
          <w:rFonts w:ascii="Arial" w:hAnsi="Arial" w:cs="Arial"/>
          <w:i/>
          <w:szCs w:val="22"/>
        </w:rPr>
        <w:t>a</w:t>
      </w:r>
      <w:r w:rsidRPr="00CB093C">
        <w:rPr>
          <w:rFonts w:ascii="Arial" w:hAnsi="Arial" w:cs="Arial"/>
          <w:i/>
          <w:szCs w:val="22"/>
        </w:rPr>
        <w:t xml:space="preserve">stronomical </w:t>
      </w:r>
      <w:r w:rsidR="00C215FC" w:rsidRPr="00CB093C">
        <w:rPr>
          <w:rFonts w:ascii="Arial" w:hAnsi="Arial" w:cs="Arial"/>
          <w:i/>
          <w:szCs w:val="22"/>
        </w:rPr>
        <w:t>t</w:t>
      </w:r>
      <w:r w:rsidRPr="00CB093C">
        <w:rPr>
          <w:rFonts w:ascii="Arial" w:hAnsi="Arial" w:cs="Arial"/>
          <w:i/>
          <w:szCs w:val="22"/>
        </w:rPr>
        <w:t>ide (LAT) and annual daytime tidal exposure (total hours) when meadows become exposed at a low tide.</w:t>
      </w:r>
      <w:bookmarkEnd w:id="801"/>
      <w:bookmarkEnd w:id="802"/>
      <w:r w:rsidRPr="00CB093C">
        <w:rPr>
          <w:rFonts w:ascii="Arial" w:hAnsi="Arial" w:cs="Arial"/>
          <w:i/>
          <w:szCs w:val="22"/>
        </w:rPr>
        <w:t xml:space="preserve"> </w:t>
      </w:r>
    </w:p>
    <w:p w14:paraId="26D81027" w14:textId="163EE8E4" w:rsidR="00DE79BD" w:rsidRPr="00CB093C" w:rsidRDefault="00273002" w:rsidP="00DE79BD">
      <w:pPr>
        <w:jc w:val="center"/>
        <w:rPr>
          <w:rFonts w:ascii="Arial" w:hAnsi="Arial" w:cs="Arial"/>
          <w:i/>
          <w:szCs w:val="22"/>
        </w:rPr>
      </w:pPr>
      <w:r w:rsidRPr="00CB093C">
        <w:rPr>
          <w:rFonts w:ascii="Arial" w:hAnsi="Arial" w:cs="Arial"/>
          <w:i/>
          <w:szCs w:val="22"/>
        </w:rPr>
        <w:t xml:space="preserve"> Year is June</w:t>
      </w:r>
      <w:r w:rsidR="005C4C83" w:rsidRPr="00CB093C">
        <w:rPr>
          <w:rFonts w:ascii="Arial" w:hAnsi="Arial" w:cs="Arial"/>
          <w:i/>
          <w:szCs w:val="22"/>
        </w:rPr>
        <w:t>–</w:t>
      </w:r>
      <w:r w:rsidRPr="00CB093C">
        <w:rPr>
          <w:rFonts w:ascii="Arial" w:hAnsi="Arial" w:cs="Arial"/>
          <w:i/>
          <w:szCs w:val="22"/>
        </w:rPr>
        <w:t>May. Observed tidal heights courtesy Maritime Safety Queensland, 201</w:t>
      </w:r>
      <w:r w:rsidR="00653DD7" w:rsidRPr="00CB093C">
        <w:rPr>
          <w:rFonts w:ascii="Arial" w:hAnsi="Arial" w:cs="Arial"/>
          <w:i/>
          <w:szCs w:val="22"/>
        </w:rPr>
        <w:t>8</w:t>
      </w:r>
      <w:r w:rsidRPr="00CB093C">
        <w:rPr>
          <w:rFonts w:ascii="Arial" w:hAnsi="Arial" w:cs="Arial"/>
          <w:i/>
          <w:szCs w:val="22"/>
        </w:rPr>
        <w:t xml:space="preserve">. NB: Meadow heights have not yet been determined in the far northern Cape York. </w:t>
      </w:r>
    </w:p>
    <w:tbl>
      <w:tblPr>
        <w:tblW w:w="9886" w:type="dxa"/>
        <w:jc w:val="center"/>
        <w:tblLook w:val="04A0" w:firstRow="1" w:lastRow="0" w:firstColumn="1" w:lastColumn="0" w:noHBand="0" w:noVBand="1"/>
      </w:tblPr>
      <w:tblGrid>
        <w:gridCol w:w="718"/>
        <w:gridCol w:w="705"/>
        <w:gridCol w:w="1084"/>
        <w:gridCol w:w="980"/>
        <w:gridCol w:w="1362"/>
        <w:gridCol w:w="1240"/>
        <w:gridCol w:w="1340"/>
        <w:gridCol w:w="1195"/>
        <w:gridCol w:w="1262"/>
      </w:tblGrid>
      <w:tr w:rsidR="00653DD7" w:rsidRPr="00CB093C" w14:paraId="2FFA0C2B" w14:textId="77777777" w:rsidTr="00EF544A">
        <w:trPr>
          <w:trHeight w:val="276"/>
          <w:jc w:val="center"/>
        </w:trPr>
        <w:tc>
          <w:tcPr>
            <w:tcW w:w="619" w:type="dxa"/>
            <w:tcBorders>
              <w:top w:val="single" w:sz="4" w:space="0" w:color="auto"/>
              <w:bottom w:val="single" w:sz="4" w:space="0" w:color="auto"/>
            </w:tcBorders>
            <w:shd w:val="clear" w:color="auto" w:fill="BBE0E3"/>
            <w:vAlign w:val="center"/>
            <w:hideMark/>
          </w:tcPr>
          <w:p w14:paraId="168E9A08"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NRM</w:t>
            </w:r>
          </w:p>
        </w:tc>
        <w:tc>
          <w:tcPr>
            <w:tcW w:w="619" w:type="dxa"/>
            <w:tcBorders>
              <w:top w:val="single" w:sz="4" w:space="0" w:color="auto"/>
              <w:bottom w:val="single" w:sz="4" w:space="0" w:color="auto"/>
            </w:tcBorders>
            <w:shd w:val="clear" w:color="auto" w:fill="BBE0E3"/>
            <w:noWrap/>
            <w:vAlign w:val="center"/>
            <w:hideMark/>
          </w:tcPr>
          <w:p w14:paraId="77B7D455"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Site</w:t>
            </w:r>
          </w:p>
        </w:tc>
        <w:tc>
          <w:tcPr>
            <w:tcW w:w="1083" w:type="dxa"/>
            <w:tcBorders>
              <w:top w:val="single" w:sz="4" w:space="0" w:color="auto"/>
              <w:bottom w:val="single" w:sz="4" w:space="0" w:color="auto"/>
            </w:tcBorders>
            <w:shd w:val="clear" w:color="auto" w:fill="BBE0E3"/>
            <w:vAlign w:val="center"/>
            <w:hideMark/>
          </w:tcPr>
          <w:p w14:paraId="6259C041"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Meadow</w:t>
            </w:r>
          </w:p>
          <w:p w14:paraId="283175BA"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height</w:t>
            </w:r>
          </w:p>
          <w:p w14:paraId="0C7E1A91"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(above LAT)</w:t>
            </w:r>
          </w:p>
        </w:tc>
        <w:tc>
          <w:tcPr>
            <w:tcW w:w="993" w:type="dxa"/>
            <w:tcBorders>
              <w:top w:val="single" w:sz="4" w:space="0" w:color="auto"/>
              <w:bottom w:val="single" w:sz="4" w:space="0" w:color="auto"/>
            </w:tcBorders>
            <w:shd w:val="clear" w:color="auto" w:fill="BBE0E3"/>
            <w:vAlign w:val="center"/>
            <w:hideMark/>
          </w:tcPr>
          <w:p w14:paraId="5CCDF6C7"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Site depth</w:t>
            </w:r>
          </w:p>
          <w:p w14:paraId="648122C8"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(bMSL)</w:t>
            </w:r>
          </w:p>
        </w:tc>
        <w:tc>
          <w:tcPr>
            <w:tcW w:w="1362" w:type="dxa"/>
            <w:tcBorders>
              <w:top w:val="single" w:sz="4" w:space="0" w:color="auto"/>
              <w:bottom w:val="single" w:sz="4" w:space="0" w:color="auto"/>
            </w:tcBorders>
            <w:shd w:val="clear" w:color="auto" w:fill="BBE0E3"/>
            <w:noWrap/>
            <w:vAlign w:val="center"/>
            <w:hideMark/>
          </w:tcPr>
          <w:p w14:paraId="4920417A"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Meadow height</w:t>
            </w:r>
          </w:p>
          <w:p w14:paraId="757CB198"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(above LAT)</w:t>
            </w:r>
          </w:p>
          <w:p w14:paraId="4BB610F9"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 xml:space="preserve">relative to </w:t>
            </w:r>
          </w:p>
          <w:p w14:paraId="22B60AEF"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Standard Port</w:t>
            </w:r>
          </w:p>
        </w:tc>
        <w:tc>
          <w:tcPr>
            <w:tcW w:w="1329" w:type="dxa"/>
            <w:tcBorders>
              <w:top w:val="single" w:sz="4" w:space="0" w:color="auto"/>
              <w:bottom w:val="single" w:sz="4" w:space="0" w:color="auto"/>
            </w:tcBorders>
            <w:shd w:val="clear" w:color="auto" w:fill="BBE0E3"/>
            <w:vAlign w:val="center"/>
            <w:hideMark/>
          </w:tcPr>
          <w:p w14:paraId="3CCE2A92"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Annual median</w:t>
            </w:r>
          </w:p>
          <w:p w14:paraId="4C440246"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 xml:space="preserve">hours exposed </w:t>
            </w:r>
          </w:p>
          <w:p w14:paraId="68180C19"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during daylight</w:t>
            </w:r>
          </w:p>
          <w:p w14:paraId="7D94FEA9"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(long-term)</w:t>
            </w:r>
          </w:p>
        </w:tc>
        <w:tc>
          <w:tcPr>
            <w:tcW w:w="1340" w:type="dxa"/>
            <w:tcBorders>
              <w:top w:val="single" w:sz="4" w:space="0" w:color="auto"/>
              <w:bottom w:val="single" w:sz="4" w:space="0" w:color="auto"/>
            </w:tcBorders>
            <w:shd w:val="clear" w:color="auto" w:fill="BBE0E3"/>
            <w:noWrap/>
            <w:vAlign w:val="center"/>
            <w:hideMark/>
          </w:tcPr>
          <w:p w14:paraId="57FA8298"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Per cent of</w:t>
            </w:r>
          </w:p>
          <w:p w14:paraId="4070DBF5"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annual daylight</w:t>
            </w:r>
          </w:p>
          <w:p w14:paraId="44B31E92"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hours meadow</w:t>
            </w:r>
          </w:p>
          <w:p w14:paraId="26A89557"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is exposed</w:t>
            </w:r>
          </w:p>
          <w:p w14:paraId="2C75FD54"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(long-term)</w:t>
            </w:r>
          </w:p>
        </w:tc>
        <w:tc>
          <w:tcPr>
            <w:tcW w:w="1174" w:type="dxa"/>
            <w:tcBorders>
              <w:top w:val="single" w:sz="4" w:space="0" w:color="auto"/>
              <w:bottom w:val="single" w:sz="4" w:space="0" w:color="auto"/>
            </w:tcBorders>
            <w:shd w:val="clear" w:color="auto" w:fill="BBE0E3"/>
            <w:noWrap/>
            <w:vAlign w:val="center"/>
            <w:hideMark/>
          </w:tcPr>
          <w:p w14:paraId="4584475F"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Annual</w:t>
            </w:r>
          </w:p>
          <w:p w14:paraId="7EB2E8C4"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daytime</w:t>
            </w:r>
          </w:p>
          <w:p w14:paraId="30989E91"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exposure</w:t>
            </w:r>
          </w:p>
          <w:p w14:paraId="6A07E1C9" w14:textId="37660304"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2017</w:t>
            </w:r>
            <w:r w:rsidR="0043389D" w:rsidRPr="00CB093C">
              <w:rPr>
                <w:rFonts w:ascii="Arial" w:hAnsi="Arial" w:cs="Arial"/>
                <w:b/>
                <w:color w:val="000000"/>
                <w:szCs w:val="22"/>
              </w:rPr>
              <w:t>–</w:t>
            </w:r>
            <w:r w:rsidRPr="00CB093C">
              <w:rPr>
                <w:rFonts w:ascii="Arial" w:hAnsi="Arial" w:cs="Arial"/>
                <w:b/>
                <w:color w:val="000000"/>
                <w:szCs w:val="22"/>
              </w:rPr>
              <w:t>18 (hrs)</w:t>
            </w:r>
          </w:p>
        </w:tc>
        <w:tc>
          <w:tcPr>
            <w:tcW w:w="1367" w:type="dxa"/>
            <w:tcBorders>
              <w:top w:val="single" w:sz="4" w:space="0" w:color="auto"/>
              <w:bottom w:val="single" w:sz="4" w:space="0" w:color="auto"/>
            </w:tcBorders>
            <w:shd w:val="clear" w:color="auto" w:fill="BBE0E3"/>
          </w:tcPr>
          <w:p w14:paraId="4B6DD64D"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Per cent of</w:t>
            </w:r>
          </w:p>
          <w:p w14:paraId="4FC33298"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annual daylight</w:t>
            </w:r>
          </w:p>
          <w:p w14:paraId="0E78DD45"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hours meadow</w:t>
            </w:r>
          </w:p>
          <w:p w14:paraId="4DCD50B2" w14:textId="77777777"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is exposed</w:t>
            </w:r>
          </w:p>
          <w:p w14:paraId="589D9215" w14:textId="7B9582D1" w:rsidR="00653DD7" w:rsidRPr="00CB093C" w:rsidRDefault="00653DD7" w:rsidP="00EF544A">
            <w:pPr>
              <w:spacing w:before="0" w:after="0"/>
              <w:jc w:val="center"/>
              <w:rPr>
                <w:rFonts w:ascii="Arial" w:hAnsi="Arial" w:cs="Arial"/>
                <w:b/>
                <w:color w:val="000000"/>
                <w:szCs w:val="22"/>
              </w:rPr>
            </w:pPr>
            <w:r w:rsidRPr="00CB093C">
              <w:rPr>
                <w:rFonts w:ascii="Arial" w:hAnsi="Arial" w:cs="Arial"/>
                <w:b/>
                <w:color w:val="000000"/>
                <w:szCs w:val="22"/>
              </w:rPr>
              <w:t>(2017</w:t>
            </w:r>
            <w:r w:rsidR="0043389D" w:rsidRPr="00CB093C">
              <w:rPr>
                <w:rFonts w:ascii="Arial" w:hAnsi="Arial" w:cs="Arial"/>
                <w:b/>
                <w:color w:val="000000"/>
                <w:szCs w:val="22"/>
              </w:rPr>
              <w:t>–</w:t>
            </w:r>
            <w:r w:rsidRPr="00CB093C">
              <w:rPr>
                <w:rFonts w:ascii="Arial" w:hAnsi="Arial" w:cs="Arial"/>
                <w:b/>
                <w:color w:val="000000"/>
                <w:szCs w:val="22"/>
              </w:rPr>
              <w:t>18)</w:t>
            </w:r>
          </w:p>
        </w:tc>
      </w:tr>
      <w:tr w:rsidR="00653DD7" w:rsidRPr="00CB093C" w14:paraId="48760734" w14:textId="77777777" w:rsidTr="00EF544A">
        <w:trPr>
          <w:trHeight w:val="276"/>
          <w:jc w:val="center"/>
        </w:trPr>
        <w:tc>
          <w:tcPr>
            <w:tcW w:w="619" w:type="dxa"/>
            <w:vMerge w:val="restart"/>
            <w:tcBorders>
              <w:top w:val="single" w:sz="4" w:space="0" w:color="auto"/>
            </w:tcBorders>
            <w:shd w:val="clear" w:color="auto" w:fill="E7F3F4"/>
            <w:textDirection w:val="btLr"/>
            <w:vAlign w:val="center"/>
            <w:hideMark/>
          </w:tcPr>
          <w:p w14:paraId="26B18D9D" w14:textId="77777777" w:rsidR="00653DD7" w:rsidRPr="00CB093C" w:rsidRDefault="00653DD7" w:rsidP="00EF544A">
            <w:pPr>
              <w:spacing w:before="0" w:after="0"/>
              <w:ind w:left="113" w:right="113"/>
              <w:jc w:val="center"/>
              <w:rPr>
                <w:rFonts w:ascii="Arial" w:hAnsi="Arial" w:cs="Arial"/>
                <w:color w:val="000000"/>
                <w:szCs w:val="22"/>
              </w:rPr>
            </w:pPr>
            <w:r w:rsidRPr="00CB093C">
              <w:rPr>
                <w:rFonts w:ascii="Arial" w:hAnsi="Arial" w:cs="Arial"/>
                <w:color w:val="000000"/>
                <w:szCs w:val="22"/>
              </w:rPr>
              <w:t>Cape York</w:t>
            </w:r>
          </w:p>
        </w:tc>
        <w:tc>
          <w:tcPr>
            <w:tcW w:w="619" w:type="dxa"/>
            <w:tcBorders>
              <w:top w:val="single" w:sz="4" w:space="0" w:color="auto"/>
            </w:tcBorders>
            <w:shd w:val="clear" w:color="auto" w:fill="E7F3F4"/>
            <w:vAlign w:val="center"/>
            <w:hideMark/>
          </w:tcPr>
          <w:p w14:paraId="0492782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AP1</w:t>
            </w:r>
          </w:p>
        </w:tc>
        <w:tc>
          <w:tcPr>
            <w:tcW w:w="1083" w:type="dxa"/>
            <w:tcBorders>
              <w:top w:val="single" w:sz="4" w:space="0" w:color="auto"/>
            </w:tcBorders>
            <w:shd w:val="clear" w:color="auto" w:fill="E7F3F4"/>
            <w:vAlign w:val="center"/>
            <w:hideMark/>
          </w:tcPr>
          <w:p w14:paraId="0218723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0.46</w:t>
            </w:r>
          </w:p>
        </w:tc>
        <w:tc>
          <w:tcPr>
            <w:tcW w:w="993" w:type="dxa"/>
            <w:tcBorders>
              <w:top w:val="single" w:sz="4" w:space="0" w:color="auto"/>
            </w:tcBorders>
            <w:shd w:val="clear" w:color="auto" w:fill="E7F3F4"/>
            <w:vAlign w:val="center"/>
            <w:hideMark/>
          </w:tcPr>
          <w:p w14:paraId="7EE39AF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1.02</w:t>
            </w:r>
          </w:p>
        </w:tc>
        <w:tc>
          <w:tcPr>
            <w:tcW w:w="1362" w:type="dxa"/>
            <w:tcBorders>
              <w:top w:val="single" w:sz="4" w:space="0" w:color="auto"/>
            </w:tcBorders>
            <w:shd w:val="clear" w:color="auto" w:fill="E7F3F4"/>
            <w:vAlign w:val="center"/>
            <w:hideMark/>
          </w:tcPr>
          <w:p w14:paraId="7CBC41B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0.46</w:t>
            </w:r>
          </w:p>
        </w:tc>
        <w:tc>
          <w:tcPr>
            <w:tcW w:w="1329" w:type="dxa"/>
            <w:tcBorders>
              <w:top w:val="single" w:sz="4" w:space="0" w:color="auto"/>
            </w:tcBorders>
            <w:shd w:val="clear" w:color="auto" w:fill="E7F3F4"/>
            <w:vAlign w:val="center"/>
            <w:hideMark/>
          </w:tcPr>
          <w:p w14:paraId="5D32919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64.17</w:t>
            </w:r>
          </w:p>
        </w:tc>
        <w:tc>
          <w:tcPr>
            <w:tcW w:w="1340" w:type="dxa"/>
            <w:tcBorders>
              <w:top w:val="single" w:sz="4" w:space="0" w:color="auto"/>
            </w:tcBorders>
            <w:shd w:val="clear" w:color="auto" w:fill="E7F3F4"/>
            <w:vAlign w:val="center"/>
            <w:hideMark/>
          </w:tcPr>
          <w:p w14:paraId="7808A5B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1.46</w:t>
            </w:r>
          </w:p>
        </w:tc>
        <w:tc>
          <w:tcPr>
            <w:tcW w:w="1174" w:type="dxa"/>
            <w:tcBorders>
              <w:top w:val="single" w:sz="4" w:space="0" w:color="auto"/>
            </w:tcBorders>
            <w:shd w:val="clear" w:color="auto" w:fill="E7F3F4"/>
            <w:noWrap/>
            <w:vAlign w:val="center"/>
            <w:hideMark/>
          </w:tcPr>
          <w:p w14:paraId="7ECA8FCE" w14:textId="77777777" w:rsidR="00653DD7" w:rsidRPr="00CB093C" w:rsidRDefault="00653DD7" w:rsidP="00EF544A">
            <w:pPr>
              <w:jc w:val="center"/>
              <w:rPr>
                <w:rFonts w:ascii="Arial" w:hAnsi="Arial" w:cs="Arial"/>
                <w:color w:val="000000"/>
                <w:szCs w:val="22"/>
              </w:rPr>
            </w:pPr>
            <w:r w:rsidRPr="00CB093C">
              <w:rPr>
                <w:rFonts w:ascii="Arial" w:hAnsi="Arial" w:cs="Arial"/>
                <w:color w:val="000000"/>
                <w:szCs w:val="22"/>
              </w:rPr>
              <w:t>39.67</w:t>
            </w:r>
          </w:p>
        </w:tc>
        <w:tc>
          <w:tcPr>
            <w:tcW w:w="1367" w:type="dxa"/>
            <w:tcBorders>
              <w:top w:val="single" w:sz="4" w:space="0" w:color="auto"/>
            </w:tcBorders>
            <w:shd w:val="clear" w:color="auto" w:fill="E7F3F4"/>
            <w:vAlign w:val="center"/>
          </w:tcPr>
          <w:p w14:paraId="3BFBDDBA" w14:textId="77777777" w:rsidR="00653DD7" w:rsidRPr="00CB093C" w:rsidRDefault="00653DD7" w:rsidP="00EF544A">
            <w:pPr>
              <w:jc w:val="center"/>
              <w:rPr>
                <w:rFonts w:ascii="Arial" w:hAnsi="Arial" w:cs="Arial"/>
                <w:color w:val="000000"/>
                <w:szCs w:val="22"/>
              </w:rPr>
            </w:pPr>
            <w:r w:rsidRPr="00CB093C">
              <w:rPr>
                <w:rFonts w:ascii="Arial" w:hAnsi="Arial" w:cs="Arial"/>
                <w:color w:val="000000"/>
                <w:szCs w:val="22"/>
              </w:rPr>
              <w:t>0.91</w:t>
            </w:r>
          </w:p>
        </w:tc>
      </w:tr>
      <w:tr w:rsidR="00653DD7" w:rsidRPr="00CB093C" w14:paraId="352A80B3" w14:textId="77777777" w:rsidTr="00EF544A">
        <w:trPr>
          <w:trHeight w:val="276"/>
          <w:jc w:val="center"/>
        </w:trPr>
        <w:tc>
          <w:tcPr>
            <w:tcW w:w="0" w:type="auto"/>
            <w:vMerge/>
            <w:tcBorders>
              <w:bottom w:val="single" w:sz="4" w:space="0" w:color="auto"/>
            </w:tcBorders>
            <w:vAlign w:val="center"/>
            <w:hideMark/>
          </w:tcPr>
          <w:p w14:paraId="72FF3F89" w14:textId="77777777" w:rsidR="00653DD7" w:rsidRPr="00CB093C" w:rsidRDefault="00653DD7" w:rsidP="00EF544A">
            <w:pPr>
              <w:spacing w:before="0" w:after="0"/>
              <w:rPr>
                <w:rFonts w:ascii="Arial" w:hAnsi="Arial" w:cs="Arial"/>
                <w:color w:val="000000"/>
                <w:szCs w:val="22"/>
              </w:rPr>
            </w:pPr>
          </w:p>
        </w:tc>
        <w:tc>
          <w:tcPr>
            <w:tcW w:w="619" w:type="dxa"/>
            <w:tcBorders>
              <w:bottom w:val="single" w:sz="4" w:space="0" w:color="auto"/>
            </w:tcBorders>
            <w:shd w:val="clear" w:color="auto" w:fill="E7F3F4"/>
            <w:vAlign w:val="center"/>
            <w:hideMark/>
          </w:tcPr>
          <w:p w14:paraId="45356F5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AP2</w:t>
            </w:r>
          </w:p>
        </w:tc>
        <w:tc>
          <w:tcPr>
            <w:tcW w:w="1083" w:type="dxa"/>
            <w:tcBorders>
              <w:bottom w:val="single" w:sz="4" w:space="0" w:color="auto"/>
            </w:tcBorders>
            <w:shd w:val="clear" w:color="auto" w:fill="E7F3F4"/>
            <w:vAlign w:val="center"/>
            <w:hideMark/>
          </w:tcPr>
          <w:p w14:paraId="2DFC5CB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0.46</w:t>
            </w:r>
          </w:p>
        </w:tc>
        <w:tc>
          <w:tcPr>
            <w:tcW w:w="993" w:type="dxa"/>
            <w:tcBorders>
              <w:bottom w:val="single" w:sz="4" w:space="0" w:color="auto"/>
            </w:tcBorders>
            <w:shd w:val="clear" w:color="auto" w:fill="E7F3F4"/>
            <w:vAlign w:val="center"/>
            <w:hideMark/>
          </w:tcPr>
          <w:p w14:paraId="457D3CE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1.02</w:t>
            </w:r>
          </w:p>
        </w:tc>
        <w:tc>
          <w:tcPr>
            <w:tcW w:w="1362" w:type="dxa"/>
            <w:tcBorders>
              <w:bottom w:val="single" w:sz="4" w:space="0" w:color="auto"/>
            </w:tcBorders>
            <w:shd w:val="clear" w:color="auto" w:fill="E7F3F4"/>
            <w:vAlign w:val="center"/>
            <w:hideMark/>
          </w:tcPr>
          <w:p w14:paraId="7096701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0.46</w:t>
            </w:r>
          </w:p>
        </w:tc>
        <w:tc>
          <w:tcPr>
            <w:tcW w:w="1329" w:type="dxa"/>
            <w:tcBorders>
              <w:bottom w:val="single" w:sz="4" w:space="0" w:color="auto"/>
            </w:tcBorders>
            <w:shd w:val="clear" w:color="auto" w:fill="E7F3F4"/>
            <w:vAlign w:val="center"/>
            <w:hideMark/>
          </w:tcPr>
          <w:p w14:paraId="5657EE9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64.17</w:t>
            </w:r>
          </w:p>
        </w:tc>
        <w:tc>
          <w:tcPr>
            <w:tcW w:w="1340" w:type="dxa"/>
            <w:tcBorders>
              <w:bottom w:val="single" w:sz="4" w:space="0" w:color="auto"/>
            </w:tcBorders>
            <w:shd w:val="clear" w:color="auto" w:fill="E7F3F4"/>
            <w:vAlign w:val="center"/>
            <w:hideMark/>
          </w:tcPr>
          <w:p w14:paraId="0668D99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1.46</w:t>
            </w:r>
          </w:p>
        </w:tc>
        <w:tc>
          <w:tcPr>
            <w:tcW w:w="1174" w:type="dxa"/>
            <w:tcBorders>
              <w:bottom w:val="single" w:sz="4" w:space="0" w:color="auto"/>
            </w:tcBorders>
            <w:shd w:val="clear" w:color="auto" w:fill="E7F3F4"/>
            <w:noWrap/>
            <w:vAlign w:val="center"/>
            <w:hideMark/>
          </w:tcPr>
          <w:p w14:paraId="7F71562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39.67</w:t>
            </w:r>
          </w:p>
        </w:tc>
        <w:tc>
          <w:tcPr>
            <w:tcW w:w="1367" w:type="dxa"/>
            <w:tcBorders>
              <w:bottom w:val="single" w:sz="4" w:space="0" w:color="auto"/>
            </w:tcBorders>
            <w:shd w:val="clear" w:color="auto" w:fill="E7F3F4"/>
            <w:vAlign w:val="center"/>
          </w:tcPr>
          <w:p w14:paraId="3A038C4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0.91</w:t>
            </w:r>
          </w:p>
        </w:tc>
      </w:tr>
      <w:tr w:rsidR="00653DD7" w:rsidRPr="00CB093C" w14:paraId="6AE67EC6" w14:textId="77777777" w:rsidTr="00EF544A">
        <w:trPr>
          <w:trHeight w:val="276"/>
          <w:jc w:val="center"/>
        </w:trPr>
        <w:tc>
          <w:tcPr>
            <w:tcW w:w="619" w:type="dxa"/>
            <w:vMerge w:val="restart"/>
            <w:tcBorders>
              <w:top w:val="single" w:sz="4" w:space="0" w:color="auto"/>
            </w:tcBorders>
            <w:shd w:val="clear" w:color="auto" w:fill="F3F9FA"/>
            <w:textDirection w:val="btLr"/>
            <w:vAlign w:val="center"/>
            <w:hideMark/>
          </w:tcPr>
          <w:p w14:paraId="3A98303D" w14:textId="77777777" w:rsidR="00653DD7" w:rsidRPr="00CB093C" w:rsidRDefault="00653DD7" w:rsidP="00EF544A">
            <w:pPr>
              <w:spacing w:before="0" w:after="0"/>
              <w:ind w:left="113" w:right="113"/>
              <w:jc w:val="center"/>
              <w:rPr>
                <w:rFonts w:ascii="Arial" w:hAnsi="Arial" w:cs="Arial"/>
                <w:color w:val="000000"/>
                <w:szCs w:val="22"/>
              </w:rPr>
            </w:pPr>
            <w:r w:rsidRPr="00CB093C">
              <w:rPr>
                <w:rFonts w:ascii="Arial" w:hAnsi="Arial" w:cs="Arial"/>
                <w:color w:val="000000"/>
                <w:szCs w:val="22"/>
              </w:rPr>
              <w:t>Wet Tropics</w:t>
            </w:r>
          </w:p>
        </w:tc>
        <w:tc>
          <w:tcPr>
            <w:tcW w:w="619" w:type="dxa"/>
            <w:tcBorders>
              <w:top w:val="single" w:sz="4" w:space="0" w:color="auto"/>
            </w:tcBorders>
            <w:shd w:val="clear" w:color="auto" w:fill="F3F9FA"/>
            <w:vAlign w:val="center"/>
            <w:hideMark/>
          </w:tcPr>
          <w:p w14:paraId="7B7F6C7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LI1</w:t>
            </w:r>
          </w:p>
        </w:tc>
        <w:tc>
          <w:tcPr>
            <w:tcW w:w="1083" w:type="dxa"/>
            <w:tcBorders>
              <w:top w:val="single" w:sz="4" w:space="0" w:color="auto"/>
            </w:tcBorders>
            <w:shd w:val="clear" w:color="auto" w:fill="F3F9FA"/>
            <w:vAlign w:val="center"/>
            <w:hideMark/>
          </w:tcPr>
          <w:p w14:paraId="62724A4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0.65</w:t>
            </w:r>
          </w:p>
        </w:tc>
        <w:tc>
          <w:tcPr>
            <w:tcW w:w="993" w:type="dxa"/>
            <w:tcBorders>
              <w:top w:val="single" w:sz="4" w:space="0" w:color="auto"/>
            </w:tcBorders>
            <w:shd w:val="clear" w:color="auto" w:fill="F3F9FA"/>
            <w:vAlign w:val="center"/>
            <w:hideMark/>
          </w:tcPr>
          <w:p w14:paraId="5597A53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0.90</w:t>
            </w:r>
          </w:p>
        </w:tc>
        <w:tc>
          <w:tcPr>
            <w:tcW w:w="1362" w:type="dxa"/>
            <w:tcBorders>
              <w:top w:val="single" w:sz="4" w:space="0" w:color="auto"/>
            </w:tcBorders>
            <w:shd w:val="clear" w:color="auto" w:fill="F3F9FA"/>
            <w:vAlign w:val="center"/>
            <w:hideMark/>
          </w:tcPr>
          <w:p w14:paraId="35A9DD4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0.65</w:t>
            </w:r>
          </w:p>
        </w:tc>
        <w:tc>
          <w:tcPr>
            <w:tcW w:w="1329" w:type="dxa"/>
            <w:tcBorders>
              <w:top w:val="single" w:sz="4" w:space="0" w:color="auto"/>
            </w:tcBorders>
            <w:shd w:val="clear" w:color="auto" w:fill="F3F9FA"/>
            <w:vAlign w:val="center"/>
            <w:hideMark/>
          </w:tcPr>
          <w:p w14:paraId="509B1D1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176.67</w:t>
            </w:r>
          </w:p>
        </w:tc>
        <w:tc>
          <w:tcPr>
            <w:tcW w:w="1340" w:type="dxa"/>
            <w:tcBorders>
              <w:top w:val="single" w:sz="4" w:space="0" w:color="auto"/>
            </w:tcBorders>
            <w:shd w:val="clear" w:color="auto" w:fill="F3F9FA"/>
            <w:vAlign w:val="center"/>
            <w:hideMark/>
          </w:tcPr>
          <w:p w14:paraId="69B8314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4.03</w:t>
            </w:r>
          </w:p>
        </w:tc>
        <w:tc>
          <w:tcPr>
            <w:tcW w:w="1174" w:type="dxa"/>
            <w:tcBorders>
              <w:top w:val="single" w:sz="4" w:space="0" w:color="auto"/>
            </w:tcBorders>
            <w:shd w:val="clear" w:color="auto" w:fill="F3F9FA"/>
            <w:noWrap/>
            <w:vAlign w:val="center"/>
            <w:hideMark/>
          </w:tcPr>
          <w:p w14:paraId="5A4771E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156.00</w:t>
            </w:r>
          </w:p>
        </w:tc>
        <w:tc>
          <w:tcPr>
            <w:tcW w:w="1367" w:type="dxa"/>
            <w:tcBorders>
              <w:top w:val="single" w:sz="4" w:space="0" w:color="auto"/>
            </w:tcBorders>
            <w:shd w:val="clear" w:color="auto" w:fill="F3F9FA"/>
            <w:vAlign w:val="center"/>
          </w:tcPr>
          <w:p w14:paraId="01E936C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3.56</w:t>
            </w:r>
          </w:p>
        </w:tc>
      </w:tr>
      <w:tr w:rsidR="00653DD7" w:rsidRPr="00CB093C" w14:paraId="4C75D7D8" w14:textId="77777777" w:rsidTr="00EF544A">
        <w:trPr>
          <w:trHeight w:val="276"/>
          <w:jc w:val="center"/>
        </w:trPr>
        <w:tc>
          <w:tcPr>
            <w:tcW w:w="0" w:type="auto"/>
            <w:vMerge/>
            <w:vAlign w:val="center"/>
            <w:hideMark/>
          </w:tcPr>
          <w:p w14:paraId="279A6B05"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6A08576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YP1</w:t>
            </w:r>
          </w:p>
        </w:tc>
        <w:tc>
          <w:tcPr>
            <w:tcW w:w="1083" w:type="dxa"/>
            <w:shd w:val="clear" w:color="auto" w:fill="F3F9FA"/>
            <w:vAlign w:val="center"/>
            <w:hideMark/>
          </w:tcPr>
          <w:p w14:paraId="5D0D501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0.64</w:t>
            </w:r>
          </w:p>
        </w:tc>
        <w:tc>
          <w:tcPr>
            <w:tcW w:w="993" w:type="dxa"/>
            <w:shd w:val="clear" w:color="auto" w:fill="F3F9FA"/>
            <w:vAlign w:val="center"/>
            <w:hideMark/>
          </w:tcPr>
          <w:p w14:paraId="62C7A95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0.94</w:t>
            </w:r>
          </w:p>
        </w:tc>
        <w:tc>
          <w:tcPr>
            <w:tcW w:w="1362" w:type="dxa"/>
            <w:shd w:val="clear" w:color="auto" w:fill="F3F9FA"/>
            <w:vAlign w:val="center"/>
            <w:hideMark/>
          </w:tcPr>
          <w:p w14:paraId="20B7BCD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0.64</w:t>
            </w:r>
          </w:p>
        </w:tc>
        <w:tc>
          <w:tcPr>
            <w:tcW w:w="1329" w:type="dxa"/>
            <w:shd w:val="clear" w:color="auto" w:fill="F3F9FA"/>
            <w:vAlign w:val="center"/>
            <w:hideMark/>
          </w:tcPr>
          <w:p w14:paraId="43D4E00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169.67</w:t>
            </w:r>
          </w:p>
        </w:tc>
        <w:tc>
          <w:tcPr>
            <w:tcW w:w="1340" w:type="dxa"/>
            <w:shd w:val="clear" w:color="auto" w:fill="F3F9FA"/>
            <w:vAlign w:val="center"/>
            <w:hideMark/>
          </w:tcPr>
          <w:p w14:paraId="58A2FE1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3.87</w:t>
            </w:r>
          </w:p>
        </w:tc>
        <w:tc>
          <w:tcPr>
            <w:tcW w:w="1174" w:type="dxa"/>
            <w:shd w:val="clear" w:color="auto" w:fill="F3F9FA"/>
            <w:noWrap/>
            <w:vAlign w:val="center"/>
            <w:hideMark/>
          </w:tcPr>
          <w:p w14:paraId="7FFA0C1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150.33</w:t>
            </w:r>
          </w:p>
        </w:tc>
        <w:tc>
          <w:tcPr>
            <w:tcW w:w="1367" w:type="dxa"/>
            <w:shd w:val="clear" w:color="auto" w:fill="F3F9FA"/>
            <w:vAlign w:val="center"/>
          </w:tcPr>
          <w:p w14:paraId="36AE015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3.43</w:t>
            </w:r>
          </w:p>
        </w:tc>
      </w:tr>
      <w:tr w:rsidR="00653DD7" w:rsidRPr="00CB093C" w14:paraId="068C91F8" w14:textId="77777777" w:rsidTr="00EF544A">
        <w:trPr>
          <w:trHeight w:val="276"/>
          <w:jc w:val="center"/>
        </w:trPr>
        <w:tc>
          <w:tcPr>
            <w:tcW w:w="0" w:type="auto"/>
            <w:vMerge/>
            <w:vAlign w:val="center"/>
            <w:hideMark/>
          </w:tcPr>
          <w:p w14:paraId="5FE65BA0"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2355E10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YP2</w:t>
            </w:r>
          </w:p>
        </w:tc>
        <w:tc>
          <w:tcPr>
            <w:tcW w:w="1083" w:type="dxa"/>
            <w:shd w:val="clear" w:color="auto" w:fill="F3F9FA"/>
            <w:vAlign w:val="center"/>
            <w:hideMark/>
          </w:tcPr>
          <w:p w14:paraId="30A632C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0.52</w:t>
            </w:r>
          </w:p>
        </w:tc>
        <w:tc>
          <w:tcPr>
            <w:tcW w:w="993" w:type="dxa"/>
            <w:shd w:val="clear" w:color="auto" w:fill="F3F9FA"/>
            <w:vAlign w:val="center"/>
            <w:hideMark/>
          </w:tcPr>
          <w:p w14:paraId="72F65AA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1.06</w:t>
            </w:r>
          </w:p>
        </w:tc>
        <w:tc>
          <w:tcPr>
            <w:tcW w:w="1362" w:type="dxa"/>
            <w:shd w:val="clear" w:color="auto" w:fill="F3F9FA"/>
            <w:vAlign w:val="center"/>
            <w:hideMark/>
          </w:tcPr>
          <w:p w14:paraId="70007D2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0.52</w:t>
            </w:r>
          </w:p>
        </w:tc>
        <w:tc>
          <w:tcPr>
            <w:tcW w:w="1329" w:type="dxa"/>
            <w:shd w:val="clear" w:color="auto" w:fill="F3F9FA"/>
            <w:vAlign w:val="center"/>
            <w:hideMark/>
          </w:tcPr>
          <w:p w14:paraId="5DCE1BE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96.00</w:t>
            </w:r>
          </w:p>
        </w:tc>
        <w:tc>
          <w:tcPr>
            <w:tcW w:w="1340" w:type="dxa"/>
            <w:shd w:val="clear" w:color="auto" w:fill="F3F9FA"/>
            <w:vAlign w:val="center"/>
            <w:hideMark/>
          </w:tcPr>
          <w:p w14:paraId="47116BE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2.19</w:t>
            </w:r>
          </w:p>
        </w:tc>
        <w:tc>
          <w:tcPr>
            <w:tcW w:w="1174" w:type="dxa"/>
            <w:shd w:val="clear" w:color="auto" w:fill="F3F9FA"/>
            <w:noWrap/>
            <w:vAlign w:val="center"/>
            <w:hideMark/>
          </w:tcPr>
          <w:p w14:paraId="0266120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83.17</w:t>
            </w:r>
          </w:p>
        </w:tc>
        <w:tc>
          <w:tcPr>
            <w:tcW w:w="1367" w:type="dxa"/>
            <w:shd w:val="clear" w:color="auto" w:fill="F3F9FA"/>
            <w:vAlign w:val="center"/>
          </w:tcPr>
          <w:p w14:paraId="20CD7EF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1.90</w:t>
            </w:r>
          </w:p>
        </w:tc>
      </w:tr>
      <w:tr w:rsidR="00653DD7" w:rsidRPr="00CB093C" w14:paraId="1005C96F" w14:textId="77777777" w:rsidTr="00EF544A">
        <w:trPr>
          <w:trHeight w:val="276"/>
          <w:jc w:val="center"/>
        </w:trPr>
        <w:tc>
          <w:tcPr>
            <w:tcW w:w="0" w:type="auto"/>
            <w:vMerge/>
            <w:vAlign w:val="center"/>
            <w:hideMark/>
          </w:tcPr>
          <w:p w14:paraId="59C87F1B"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7BC1087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GI1</w:t>
            </w:r>
          </w:p>
        </w:tc>
        <w:tc>
          <w:tcPr>
            <w:tcW w:w="1083" w:type="dxa"/>
            <w:shd w:val="clear" w:color="auto" w:fill="F3F9FA"/>
            <w:vAlign w:val="center"/>
            <w:hideMark/>
          </w:tcPr>
          <w:p w14:paraId="376FDA3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0.51</w:t>
            </w:r>
          </w:p>
        </w:tc>
        <w:tc>
          <w:tcPr>
            <w:tcW w:w="993" w:type="dxa"/>
            <w:shd w:val="clear" w:color="auto" w:fill="F3F9FA"/>
            <w:vAlign w:val="center"/>
            <w:hideMark/>
          </w:tcPr>
          <w:p w14:paraId="5914116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1.03</w:t>
            </w:r>
          </w:p>
        </w:tc>
        <w:tc>
          <w:tcPr>
            <w:tcW w:w="1362" w:type="dxa"/>
            <w:shd w:val="clear" w:color="auto" w:fill="F3F9FA"/>
            <w:vAlign w:val="center"/>
            <w:hideMark/>
          </w:tcPr>
          <w:p w14:paraId="71ED766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0.61</w:t>
            </w:r>
          </w:p>
        </w:tc>
        <w:tc>
          <w:tcPr>
            <w:tcW w:w="1329" w:type="dxa"/>
            <w:shd w:val="clear" w:color="auto" w:fill="F3F9FA"/>
            <w:vAlign w:val="center"/>
            <w:hideMark/>
          </w:tcPr>
          <w:p w14:paraId="3DE5797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118.25</w:t>
            </w:r>
          </w:p>
        </w:tc>
        <w:tc>
          <w:tcPr>
            <w:tcW w:w="1340" w:type="dxa"/>
            <w:shd w:val="clear" w:color="auto" w:fill="F3F9FA"/>
            <w:vAlign w:val="center"/>
            <w:hideMark/>
          </w:tcPr>
          <w:p w14:paraId="277258F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2.70</w:t>
            </w:r>
          </w:p>
        </w:tc>
        <w:tc>
          <w:tcPr>
            <w:tcW w:w="1174" w:type="dxa"/>
            <w:shd w:val="clear" w:color="auto" w:fill="F3F9FA"/>
            <w:noWrap/>
            <w:vAlign w:val="center"/>
            <w:hideMark/>
          </w:tcPr>
          <w:p w14:paraId="68CB200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131.00</w:t>
            </w:r>
          </w:p>
        </w:tc>
        <w:tc>
          <w:tcPr>
            <w:tcW w:w="1367" w:type="dxa"/>
            <w:shd w:val="clear" w:color="auto" w:fill="F3F9FA"/>
            <w:vAlign w:val="center"/>
          </w:tcPr>
          <w:p w14:paraId="53982D1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2.99</w:t>
            </w:r>
          </w:p>
        </w:tc>
      </w:tr>
      <w:tr w:rsidR="00653DD7" w:rsidRPr="00CB093C" w14:paraId="7290C367" w14:textId="77777777" w:rsidTr="00EF544A">
        <w:trPr>
          <w:trHeight w:val="276"/>
          <w:jc w:val="center"/>
        </w:trPr>
        <w:tc>
          <w:tcPr>
            <w:tcW w:w="0" w:type="auto"/>
            <w:vMerge/>
            <w:vAlign w:val="center"/>
            <w:hideMark/>
          </w:tcPr>
          <w:p w14:paraId="490D5C26" w14:textId="77777777" w:rsidR="00653DD7" w:rsidRPr="00CB093C" w:rsidRDefault="00653DD7" w:rsidP="00EF544A">
            <w:pPr>
              <w:spacing w:before="0" w:after="0"/>
              <w:rPr>
                <w:rFonts w:ascii="Arial" w:hAnsi="Arial" w:cs="Arial"/>
                <w:color w:val="000000"/>
                <w:szCs w:val="22"/>
              </w:rPr>
            </w:pPr>
          </w:p>
        </w:tc>
        <w:tc>
          <w:tcPr>
            <w:tcW w:w="619" w:type="dxa"/>
            <w:tcBorders>
              <w:bottom w:val="single" w:sz="4" w:space="0" w:color="auto"/>
            </w:tcBorders>
            <w:shd w:val="clear" w:color="auto" w:fill="F3F9FA"/>
            <w:vAlign w:val="center"/>
            <w:hideMark/>
          </w:tcPr>
          <w:p w14:paraId="2094F9D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GI2</w:t>
            </w:r>
          </w:p>
        </w:tc>
        <w:tc>
          <w:tcPr>
            <w:tcW w:w="1083" w:type="dxa"/>
            <w:tcBorders>
              <w:bottom w:val="single" w:sz="4" w:space="0" w:color="auto"/>
            </w:tcBorders>
            <w:shd w:val="clear" w:color="auto" w:fill="F3F9FA"/>
            <w:vAlign w:val="center"/>
            <w:hideMark/>
          </w:tcPr>
          <w:p w14:paraId="0E40A2D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0.57</w:t>
            </w:r>
          </w:p>
        </w:tc>
        <w:tc>
          <w:tcPr>
            <w:tcW w:w="993" w:type="dxa"/>
            <w:tcBorders>
              <w:bottom w:val="single" w:sz="4" w:space="0" w:color="auto"/>
            </w:tcBorders>
            <w:shd w:val="clear" w:color="auto" w:fill="F3F9FA"/>
            <w:vAlign w:val="center"/>
            <w:hideMark/>
          </w:tcPr>
          <w:p w14:paraId="60B4CD4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0.97</w:t>
            </w:r>
          </w:p>
        </w:tc>
        <w:tc>
          <w:tcPr>
            <w:tcW w:w="1362" w:type="dxa"/>
            <w:tcBorders>
              <w:bottom w:val="single" w:sz="4" w:space="0" w:color="auto"/>
            </w:tcBorders>
            <w:shd w:val="clear" w:color="auto" w:fill="F3F9FA"/>
            <w:vAlign w:val="center"/>
            <w:hideMark/>
          </w:tcPr>
          <w:p w14:paraId="13330FB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0.67</w:t>
            </w:r>
          </w:p>
        </w:tc>
        <w:tc>
          <w:tcPr>
            <w:tcW w:w="1329" w:type="dxa"/>
            <w:tcBorders>
              <w:bottom w:val="single" w:sz="4" w:space="0" w:color="auto"/>
            </w:tcBorders>
            <w:shd w:val="clear" w:color="auto" w:fill="F3F9FA"/>
            <w:vAlign w:val="center"/>
            <w:hideMark/>
          </w:tcPr>
          <w:p w14:paraId="28EE451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154.58</w:t>
            </w:r>
          </w:p>
        </w:tc>
        <w:tc>
          <w:tcPr>
            <w:tcW w:w="1340" w:type="dxa"/>
            <w:tcBorders>
              <w:bottom w:val="single" w:sz="4" w:space="0" w:color="auto"/>
            </w:tcBorders>
            <w:shd w:val="clear" w:color="auto" w:fill="F3F9FA"/>
            <w:vAlign w:val="center"/>
            <w:hideMark/>
          </w:tcPr>
          <w:p w14:paraId="57DDF90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3.53</w:t>
            </w:r>
          </w:p>
        </w:tc>
        <w:tc>
          <w:tcPr>
            <w:tcW w:w="1174" w:type="dxa"/>
            <w:tcBorders>
              <w:bottom w:val="single" w:sz="4" w:space="0" w:color="auto"/>
            </w:tcBorders>
            <w:shd w:val="clear" w:color="auto" w:fill="F3F9FA"/>
            <w:noWrap/>
            <w:vAlign w:val="center"/>
            <w:hideMark/>
          </w:tcPr>
          <w:p w14:paraId="79A80BD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171.50</w:t>
            </w:r>
          </w:p>
        </w:tc>
        <w:tc>
          <w:tcPr>
            <w:tcW w:w="1367" w:type="dxa"/>
            <w:tcBorders>
              <w:bottom w:val="single" w:sz="4" w:space="0" w:color="auto"/>
            </w:tcBorders>
            <w:shd w:val="clear" w:color="auto" w:fill="F3F9FA"/>
            <w:vAlign w:val="center"/>
          </w:tcPr>
          <w:p w14:paraId="3EDAFFB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3.92</w:t>
            </w:r>
          </w:p>
        </w:tc>
      </w:tr>
      <w:tr w:rsidR="00653DD7" w:rsidRPr="00CB093C" w14:paraId="514DA994" w14:textId="77777777" w:rsidTr="00EF544A">
        <w:trPr>
          <w:trHeight w:val="276"/>
          <w:jc w:val="center"/>
        </w:trPr>
        <w:tc>
          <w:tcPr>
            <w:tcW w:w="0" w:type="auto"/>
            <w:vMerge/>
            <w:vAlign w:val="center"/>
            <w:hideMark/>
          </w:tcPr>
          <w:p w14:paraId="36A541E7" w14:textId="77777777" w:rsidR="00653DD7" w:rsidRPr="00CB093C" w:rsidRDefault="00653DD7" w:rsidP="00EF544A">
            <w:pPr>
              <w:spacing w:before="0" w:after="0"/>
              <w:rPr>
                <w:rFonts w:ascii="Arial" w:hAnsi="Arial" w:cs="Arial"/>
                <w:color w:val="000000"/>
                <w:szCs w:val="22"/>
              </w:rPr>
            </w:pPr>
          </w:p>
        </w:tc>
        <w:tc>
          <w:tcPr>
            <w:tcW w:w="619" w:type="dxa"/>
            <w:tcBorders>
              <w:top w:val="single" w:sz="4" w:space="0" w:color="auto"/>
            </w:tcBorders>
            <w:shd w:val="clear" w:color="auto" w:fill="F3F9FA"/>
            <w:vAlign w:val="center"/>
            <w:hideMark/>
          </w:tcPr>
          <w:p w14:paraId="7CDDFB9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DI1</w:t>
            </w:r>
          </w:p>
        </w:tc>
        <w:tc>
          <w:tcPr>
            <w:tcW w:w="1083" w:type="dxa"/>
            <w:tcBorders>
              <w:top w:val="single" w:sz="4" w:space="0" w:color="auto"/>
            </w:tcBorders>
            <w:shd w:val="clear" w:color="auto" w:fill="F3F9FA"/>
            <w:vAlign w:val="center"/>
            <w:hideMark/>
          </w:tcPr>
          <w:p w14:paraId="6B09539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0.65</w:t>
            </w:r>
          </w:p>
        </w:tc>
        <w:tc>
          <w:tcPr>
            <w:tcW w:w="993" w:type="dxa"/>
            <w:tcBorders>
              <w:top w:val="single" w:sz="4" w:space="0" w:color="auto"/>
            </w:tcBorders>
            <w:shd w:val="clear" w:color="auto" w:fill="F3F9FA"/>
            <w:vAlign w:val="center"/>
            <w:hideMark/>
          </w:tcPr>
          <w:p w14:paraId="5FD9181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1.14</w:t>
            </w:r>
          </w:p>
        </w:tc>
        <w:tc>
          <w:tcPr>
            <w:tcW w:w="1362" w:type="dxa"/>
            <w:tcBorders>
              <w:top w:val="single" w:sz="4" w:space="0" w:color="auto"/>
            </w:tcBorders>
            <w:shd w:val="clear" w:color="auto" w:fill="F3F9FA"/>
            <w:vAlign w:val="center"/>
            <w:hideMark/>
          </w:tcPr>
          <w:p w14:paraId="267DAF1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0.54</w:t>
            </w:r>
          </w:p>
        </w:tc>
        <w:tc>
          <w:tcPr>
            <w:tcW w:w="1329" w:type="dxa"/>
            <w:tcBorders>
              <w:top w:val="single" w:sz="4" w:space="0" w:color="auto"/>
            </w:tcBorders>
            <w:shd w:val="clear" w:color="auto" w:fill="F3F9FA"/>
            <w:vAlign w:val="center"/>
            <w:hideMark/>
          </w:tcPr>
          <w:p w14:paraId="3EB256C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73.67</w:t>
            </w:r>
          </w:p>
        </w:tc>
        <w:tc>
          <w:tcPr>
            <w:tcW w:w="1340" w:type="dxa"/>
            <w:tcBorders>
              <w:top w:val="single" w:sz="4" w:space="0" w:color="auto"/>
            </w:tcBorders>
            <w:shd w:val="clear" w:color="auto" w:fill="F3F9FA"/>
            <w:vAlign w:val="center"/>
            <w:hideMark/>
          </w:tcPr>
          <w:p w14:paraId="5AB6DE5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1.68</w:t>
            </w:r>
          </w:p>
        </w:tc>
        <w:tc>
          <w:tcPr>
            <w:tcW w:w="1174" w:type="dxa"/>
            <w:tcBorders>
              <w:top w:val="single" w:sz="4" w:space="0" w:color="auto"/>
            </w:tcBorders>
            <w:shd w:val="clear" w:color="auto" w:fill="F3F9FA"/>
            <w:noWrap/>
            <w:vAlign w:val="center"/>
            <w:hideMark/>
          </w:tcPr>
          <w:p w14:paraId="347C7A3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63.50</w:t>
            </w:r>
          </w:p>
        </w:tc>
        <w:tc>
          <w:tcPr>
            <w:tcW w:w="1367" w:type="dxa"/>
            <w:tcBorders>
              <w:top w:val="single" w:sz="4" w:space="0" w:color="auto"/>
            </w:tcBorders>
            <w:shd w:val="clear" w:color="auto" w:fill="F3F9FA"/>
            <w:vAlign w:val="center"/>
          </w:tcPr>
          <w:p w14:paraId="266A265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1.45</w:t>
            </w:r>
          </w:p>
        </w:tc>
      </w:tr>
      <w:tr w:rsidR="00653DD7" w:rsidRPr="00CB093C" w14:paraId="35A5871B" w14:textId="77777777" w:rsidTr="00EF544A">
        <w:trPr>
          <w:trHeight w:val="276"/>
          <w:jc w:val="center"/>
        </w:trPr>
        <w:tc>
          <w:tcPr>
            <w:tcW w:w="0" w:type="auto"/>
            <w:vMerge/>
            <w:vAlign w:val="center"/>
            <w:hideMark/>
          </w:tcPr>
          <w:p w14:paraId="2B6F61AB"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6B029AD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DI2</w:t>
            </w:r>
          </w:p>
        </w:tc>
        <w:tc>
          <w:tcPr>
            <w:tcW w:w="1083" w:type="dxa"/>
            <w:shd w:val="clear" w:color="auto" w:fill="F3F9FA"/>
            <w:vAlign w:val="center"/>
            <w:hideMark/>
          </w:tcPr>
          <w:p w14:paraId="5DFBDD8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0.55</w:t>
            </w:r>
          </w:p>
        </w:tc>
        <w:tc>
          <w:tcPr>
            <w:tcW w:w="993" w:type="dxa"/>
            <w:shd w:val="clear" w:color="auto" w:fill="F3F9FA"/>
            <w:vAlign w:val="center"/>
            <w:hideMark/>
          </w:tcPr>
          <w:p w14:paraId="226EB51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1.24</w:t>
            </w:r>
          </w:p>
        </w:tc>
        <w:tc>
          <w:tcPr>
            <w:tcW w:w="1362" w:type="dxa"/>
            <w:shd w:val="clear" w:color="auto" w:fill="F3F9FA"/>
            <w:vAlign w:val="center"/>
            <w:hideMark/>
          </w:tcPr>
          <w:p w14:paraId="0C26623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0.44</w:t>
            </w:r>
          </w:p>
        </w:tc>
        <w:tc>
          <w:tcPr>
            <w:tcW w:w="1329" w:type="dxa"/>
            <w:shd w:val="clear" w:color="auto" w:fill="F3F9FA"/>
            <w:vAlign w:val="center"/>
            <w:hideMark/>
          </w:tcPr>
          <w:p w14:paraId="3793960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42.17</w:t>
            </w:r>
          </w:p>
        </w:tc>
        <w:tc>
          <w:tcPr>
            <w:tcW w:w="1340" w:type="dxa"/>
            <w:shd w:val="clear" w:color="auto" w:fill="F3F9FA"/>
            <w:vAlign w:val="center"/>
            <w:hideMark/>
          </w:tcPr>
          <w:p w14:paraId="33F04D0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0.96</w:t>
            </w:r>
          </w:p>
        </w:tc>
        <w:tc>
          <w:tcPr>
            <w:tcW w:w="1174" w:type="dxa"/>
            <w:shd w:val="clear" w:color="auto" w:fill="F3F9FA"/>
            <w:noWrap/>
            <w:vAlign w:val="center"/>
            <w:hideMark/>
          </w:tcPr>
          <w:p w14:paraId="24C823B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31.67</w:t>
            </w:r>
          </w:p>
        </w:tc>
        <w:tc>
          <w:tcPr>
            <w:tcW w:w="1367" w:type="dxa"/>
            <w:shd w:val="clear" w:color="auto" w:fill="F3F9FA"/>
            <w:vAlign w:val="center"/>
          </w:tcPr>
          <w:p w14:paraId="2D0F0E5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0.72</w:t>
            </w:r>
          </w:p>
        </w:tc>
      </w:tr>
      <w:tr w:rsidR="00653DD7" w:rsidRPr="00CB093C" w14:paraId="4D42C188" w14:textId="77777777" w:rsidTr="00EF544A">
        <w:trPr>
          <w:trHeight w:val="276"/>
          <w:jc w:val="center"/>
        </w:trPr>
        <w:tc>
          <w:tcPr>
            <w:tcW w:w="0" w:type="auto"/>
            <w:vMerge/>
            <w:vAlign w:val="center"/>
            <w:hideMark/>
          </w:tcPr>
          <w:p w14:paraId="2A3CE170"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7CA15C3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LB1</w:t>
            </w:r>
          </w:p>
        </w:tc>
        <w:tc>
          <w:tcPr>
            <w:tcW w:w="1083" w:type="dxa"/>
            <w:shd w:val="clear" w:color="auto" w:fill="F3F9FA"/>
            <w:vAlign w:val="center"/>
            <w:hideMark/>
          </w:tcPr>
          <w:p w14:paraId="555C156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0.42</w:t>
            </w:r>
          </w:p>
        </w:tc>
        <w:tc>
          <w:tcPr>
            <w:tcW w:w="993" w:type="dxa"/>
            <w:shd w:val="clear" w:color="auto" w:fill="F3F9FA"/>
            <w:vAlign w:val="center"/>
            <w:hideMark/>
          </w:tcPr>
          <w:p w14:paraId="48AE05D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1.37</w:t>
            </w:r>
          </w:p>
        </w:tc>
        <w:tc>
          <w:tcPr>
            <w:tcW w:w="1362" w:type="dxa"/>
            <w:shd w:val="clear" w:color="auto" w:fill="F3F9FA"/>
            <w:vAlign w:val="center"/>
            <w:hideMark/>
          </w:tcPr>
          <w:p w14:paraId="5722880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0.31</w:t>
            </w:r>
          </w:p>
        </w:tc>
        <w:tc>
          <w:tcPr>
            <w:tcW w:w="1329" w:type="dxa"/>
            <w:shd w:val="clear" w:color="auto" w:fill="F3F9FA"/>
            <w:vAlign w:val="center"/>
            <w:hideMark/>
          </w:tcPr>
          <w:p w14:paraId="62CA6C7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17.75</w:t>
            </w:r>
          </w:p>
        </w:tc>
        <w:tc>
          <w:tcPr>
            <w:tcW w:w="1340" w:type="dxa"/>
            <w:shd w:val="clear" w:color="auto" w:fill="F3F9FA"/>
            <w:vAlign w:val="center"/>
            <w:hideMark/>
          </w:tcPr>
          <w:p w14:paraId="0AAFA98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0.40</w:t>
            </w:r>
          </w:p>
        </w:tc>
        <w:tc>
          <w:tcPr>
            <w:tcW w:w="1174" w:type="dxa"/>
            <w:shd w:val="clear" w:color="auto" w:fill="F3F9FA"/>
            <w:noWrap/>
            <w:vAlign w:val="center"/>
            <w:hideMark/>
          </w:tcPr>
          <w:p w14:paraId="1006B46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19.50</w:t>
            </w:r>
          </w:p>
        </w:tc>
        <w:tc>
          <w:tcPr>
            <w:tcW w:w="1367" w:type="dxa"/>
            <w:shd w:val="clear" w:color="auto" w:fill="F3F9FA"/>
            <w:vAlign w:val="center"/>
          </w:tcPr>
          <w:p w14:paraId="6C4279A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0.45</w:t>
            </w:r>
          </w:p>
        </w:tc>
      </w:tr>
      <w:tr w:rsidR="00653DD7" w:rsidRPr="00CB093C" w14:paraId="2971AADF" w14:textId="77777777" w:rsidTr="00EF544A">
        <w:trPr>
          <w:trHeight w:val="276"/>
          <w:jc w:val="center"/>
        </w:trPr>
        <w:tc>
          <w:tcPr>
            <w:tcW w:w="0" w:type="auto"/>
            <w:vMerge/>
            <w:tcBorders>
              <w:bottom w:val="single" w:sz="4" w:space="0" w:color="auto"/>
            </w:tcBorders>
            <w:vAlign w:val="center"/>
            <w:hideMark/>
          </w:tcPr>
          <w:p w14:paraId="1507569A" w14:textId="77777777" w:rsidR="00653DD7" w:rsidRPr="00CB093C" w:rsidRDefault="00653DD7" w:rsidP="00EF544A">
            <w:pPr>
              <w:spacing w:before="0" w:after="0"/>
              <w:rPr>
                <w:rFonts w:ascii="Arial" w:hAnsi="Arial" w:cs="Arial"/>
                <w:color w:val="000000"/>
                <w:szCs w:val="22"/>
              </w:rPr>
            </w:pPr>
          </w:p>
        </w:tc>
        <w:tc>
          <w:tcPr>
            <w:tcW w:w="619" w:type="dxa"/>
            <w:tcBorders>
              <w:bottom w:val="single" w:sz="4" w:space="0" w:color="auto"/>
            </w:tcBorders>
            <w:shd w:val="clear" w:color="auto" w:fill="F3F9FA"/>
            <w:vAlign w:val="center"/>
            <w:hideMark/>
          </w:tcPr>
          <w:p w14:paraId="5591FD6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LB2</w:t>
            </w:r>
          </w:p>
        </w:tc>
        <w:tc>
          <w:tcPr>
            <w:tcW w:w="1083" w:type="dxa"/>
            <w:tcBorders>
              <w:bottom w:val="single" w:sz="4" w:space="0" w:color="auto"/>
            </w:tcBorders>
            <w:shd w:val="clear" w:color="auto" w:fill="F3F9FA"/>
            <w:vAlign w:val="center"/>
            <w:hideMark/>
          </w:tcPr>
          <w:p w14:paraId="5CB33FB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0.46</w:t>
            </w:r>
          </w:p>
        </w:tc>
        <w:tc>
          <w:tcPr>
            <w:tcW w:w="993" w:type="dxa"/>
            <w:tcBorders>
              <w:bottom w:val="single" w:sz="4" w:space="0" w:color="auto"/>
            </w:tcBorders>
            <w:shd w:val="clear" w:color="auto" w:fill="F3F9FA"/>
            <w:vAlign w:val="center"/>
            <w:hideMark/>
          </w:tcPr>
          <w:p w14:paraId="63A1485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1.33</w:t>
            </w:r>
          </w:p>
        </w:tc>
        <w:tc>
          <w:tcPr>
            <w:tcW w:w="1362" w:type="dxa"/>
            <w:tcBorders>
              <w:bottom w:val="single" w:sz="4" w:space="0" w:color="auto"/>
            </w:tcBorders>
            <w:shd w:val="clear" w:color="auto" w:fill="F3F9FA"/>
            <w:vAlign w:val="center"/>
            <w:hideMark/>
          </w:tcPr>
          <w:p w14:paraId="3D62310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0.35</w:t>
            </w:r>
          </w:p>
        </w:tc>
        <w:tc>
          <w:tcPr>
            <w:tcW w:w="1329" w:type="dxa"/>
            <w:tcBorders>
              <w:bottom w:val="single" w:sz="4" w:space="0" w:color="auto"/>
            </w:tcBorders>
            <w:shd w:val="clear" w:color="auto" w:fill="F3F9FA"/>
            <w:vAlign w:val="center"/>
            <w:hideMark/>
          </w:tcPr>
          <w:p w14:paraId="7AFF2B6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19.25</w:t>
            </w:r>
          </w:p>
        </w:tc>
        <w:tc>
          <w:tcPr>
            <w:tcW w:w="1340" w:type="dxa"/>
            <w:tcBorders>
              <w:bottom w:val="single" w:sz="4" w:space="0" w:color="auto"/>
            </w:tcBorders>
            <w:shd w:val="clear" w:color="auto" w:fill="F3F9FA"/>
            <w:vAlign w:val="center"/>
            <w:hideMark/>
          </w:tcPr>
          <w:p w14:paraId="2A30530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0.44</w:t>
            </w:r>
          </w:p>
        </w:tc>
        <w:tc>
          <w:tcPr>
            <w:tcW w:w="1174" w:type="dxa"/>
            <w:tcBorders>
              <w:bottom w:val="single" w:sz="4" w:space="0" w:color="auto"/>
            </w:tcBorders>
            <w:shd w:val="clear" w:color="auto" w:fill="F3F9FA"/>
            <w:noWrap/>
            <w:vAlign w:val="center"/>
            <w:hideMark/>
          </w:tcPr>
          <w:p w14:paraId="1AECFF5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18.67</w:t>
            </w:r>
          </w:p>
        </w:tc>
        <w:tc>
          <w:tcPr>
            <w:tcW w:w="1367" w:type="dxa"/>
            <w:tcBorders>
              <w:bottom w:val="single" w:sz="4" w:space="0" w:color="auto"/>
            </w:tcBorders>
            <w:shd w:val="clear" w:color="auto" w:fill="F3F9FA"/>
            <w:vAlign w:val="center"/>
          </w:tcPr>
          <w:p w14:paraId="110C8C5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0.43</w:t>
            </w:r>
          </w:p>
        </w:tc>
      </w:tr>
      <w:tr w:rsidR="00653DD7" w:rsidRPr="00CB093C" w14:paraId="2B816FE5" w14:textId="77777777" w:rsidTr="00EF544A">
        <w:trPr>
          <w:trHeight w:val="276"/>
          <w:jc w:val="center"/>
        </w:trPr>
        <w:tc>
          <w:tcPr>
            <w:tcW w:w="619" w:type="dxa"/>
            <w:vMerge w:val="restart"/>
            <w:tcBorders>
              <w:top w:val="single" w:sz="4" w:space="0" w:color="auto"/>
            </w:tcBorders>
            <w:shd w:val="clear" w:color="auto" w:fill="E7F3F4"/>
            <w:textDirection w:val="btLr"/>
            <w:vAlign w:val="center"/>
            <w:hideMark/>
          </w:tcPr>
          <w:p w14:paraId="08B4F3BF" w14:textId="77777777" w:rsidR="00653DD7" w:rsidRPr="00CB093C" w:rsidRDefault="00653DD7" w:rsidP="00EF544A">
            <w:pPr>
              <w:spacing w:before="0" w:after="0"/>
              <w:ind w:left="113" w:right="113"/>
              <w:jc w:val="center"/>
              <w:rPr>
                <w:rFonts w:ascii="Arial" w:hAnsi="Arial" w:cs="Arial"/>
                <w:color w:val="000000"/>
                <w:szCs w:val="22"/>
              </w:rPr>
            </w:pPr>
            <w:r w:rsidRPr="00CB093C">
              <w:rPr>
                <w:rFonts w:ascii="Arial" w:hAnsi="Arial" w:cs="Arial"/>
                <w:color w:val="000000"/>
                <w:szCs w:val="22"/>
              </w:rPr>
              <w:t>Burdekin</w:t>
            </w:r>
          </w:p>
        </w:tc>
        <w:tc>
          <w:tcPr>
            <w:tcW w:w="619" w:type="dxa"/>
            <w:tcBorders>
              <w:top w:val="single" w:sz="4" w:space="0" w:color="auto"/>
            </w:tcBorders>
            <w:shd w:val="clear" w:color="auto" w:fill="E7F3F4"/>
            <w:vAlign w:val="center"/>
            <w:hideMark/>
          </w:tcPr>
          <w:p w14:paraId="20F7ABD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BB1</w:t>
            </w:r>
          </w:p>
        </w:tc>
        <w:tc>
          <w:tcPr>
            <w:tcW w:w="1083" w:type="dxa"/>
            <w:tcBorders>
              <w:top w:val="single" w:sz="4" w:space="0" w:color="auto"/>
            </w:tcBorders>
            <w:shd w:val="clear" w:color="auto" w:fill="E7F3F4"/>
            <w:vAlign w:val="center"/>
            <w:hideMark/>
          </w:tcPr>
          <w:p w14:paraId="588865E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0.58</w:t>
            </w:r>
          </w:p>
        </w:tc>
        <w:tc>
          <w:tcPr>
            <w:tcW w:w="993" w:type="dxa"/>
            <w:tcBorders>
              <w:top w:val="single" w:sz="4" w:space="0" w:color="auto"/>
            </w:tcBorders>
            <w:shd w:val="clear" w:color="auto" w:fill="E7F3F4"/>
            <w:vAlign w:val="center"/>
            <w:hideMark/>
          </w:tcPr>
          <w:p w14:paraId="03BACA2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1.30</w:t>
            </w:r>
          </w:p>
        </w:tc>
        <w:tc>
          <w:tcPr>
            <w:tcW w:w="1362" w:type="dxa"/>
            <w:tcBorders>
              <w:top w:val="single" w:sz="4" w:space="0" w:color="auto"/>
            </w:tcBorders>
            <w:shd w:val="clear" w:color="auto" w:fill="E7F3F4"/>
            <w:vAlign w:val="center"/>
            <w:hideMark/>
          </w:tcPr>
          <w:p w14:paraId="2FEA159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0.58</w:t>
            </w:r>
          </w:p>
        </w:tc>
        <w:tc>
          <w:tcPr>
            <w:tcW w:w="1329" w:type="dxa"/>
            <w:tcBorders>
              <w:top w:val="single" w:sz="4" w:space="0" w:color="auto"/>
            </w:tcBorders>
            <w:shd w:val="clear" w:color="auto" w:fill="E7F3F4"/>
            <w:vAlign w:val="center"/>
            <w:hideMark/>
          </w:tcPr>
          <w:p w14:paraId="424ABFA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84.5</w:t>
            </w:r>
          </w:p>
        </w:tc>
        <w:tc>
          <w:tcPr>
            <w:tcW w:w="1340" w:type="dxa"/>
            <w:tcBorders>
              <w:top w:val="single" w:sz="4" w:space="0" w:color="auto"/>
            </w:tcBorders>
            <w:shd w:val="clear" w:color="auto" w:fill="E7F3F4"/>
            <w:vAlign w:val="center"/>
            <w:hideMark/>
          </w:tcPr>
          <w:p w14:paraId="48A86C2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1.93</w:t>
            </w:r>
          </w:p>
        </w:tc>
        <w:tc>
          <w:tcPr>
            <w:tcW w:w="1174" w:type="dxa"/>
            <w:tcBorders>
              <w:top w:val="single" w:sz="4" w:space="0" w:color="auto"/>
            </w:tcBorders>
            <w:shd w:val="clear" w:color="auto" w:fill="E7F3F4"/>
            <w:noWrap/>
            <w:vAlign w:val="center"/>
            <w:hideMark/>
          </w:tcPr>
          <w:p w14:paraId="0049C3E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37.67</w:t>
            </w:r>
          </w:p>
        </w:tc>
        <w:tc>
          <w:tcPr>
            <w:tcW w:w="1367" w:type="dxa"/>
            <w:tcBorders>
              <w:top w:val="single" w:sz="4" w:space="0" w:color="auto"/>
            </w:tcBorders>
            <w:shd w:val="clear" w:color="auto" w:fill="E7F3F4"/>
            <w:vAlign w:val="center"/>
          </w:tcPr>
          <w:p w14:paraId="28ED1D1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0.86</w:t>
            </w:r>
          </w:p>
        </w:tc>
      </w:tr>
      <w:tr w:rsidR="00653DD7" w:rsidRPr="00CB093C" w14:paraId="763FB998" w14:textId="77777777" w:rsidTr="00EF544A">
        <w:trPr>
          <w:trHeight w:val="276"/>
          <w:jc w:val="center"/>
        </w:trPr>
        <w:tc>
          <w:tcPr>
            <w:tcW w:w="0" w:type="auto"/>
            <w:vMerge/>
            <w:vAlign w:val="center"/>
            <w:hideMark/>
          </w:tcPr>
          <w:p w14:paraId="1FAE6E13" w14:textId="77777777" w:rsidR="00653DD7" w:rsidRPr="00CB093C" w:rsidRDefault="00653DD7" w:rsidP="00EF544A">
            <w:pPr>
              <w:spacing w:before="0" w:after="0"/>
              <w:rPr>
                <w:rFonts w:ascii="Arial" w:hAnsi="Arial" w:cs="Arial"/>
                <w:color w:val="000000"/>
                <w:szCs w:val="22"/>
              </w:rPr>
            </w:pPr>
          </w:p>
        </w:tc>
        <w:tc>
          <w:tcPr>
            <w:tcW w:w="619" w:type="dxa"/>
            <w:shd w:val="clear" w:color="auto" w:fill="E7F3F4"/>
            <w:vAlign w:val="center"/>
            <w:hideMark/>
          </w:tcPr>
          <w:p w14:paraId="01C1862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SB1</w:t>
            </w:r>
          </w:p>
        </w:tc>
        <w:tc>
          <w:tcPr>
            <w:tcW w:w="1083" w:type="dxa"/>
            <w:shd w:val="clear" w:color="auto" w:fill="E7F3F4"/>
            <w:vAlign w:val="center"/>
            <w:hideMark/>
          </w:tcPr>
          <w:p w14:paraId="78434E7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0.57</w:t>
            </w:r>
          </w:p>
        </w:tc>
        <w:tc>
          <w:tcPr>
            <w:tcW w:w="993" w:type="dxa"/>
            <w:shd w:val="clear" w:color="auto" w:fill="E7F3F4"/>
            <w:vAlign w:val="center"/>
            <w:hideMark/>
          </w:tcPr>
          <w:p w14:paraId="4925369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1.31</w:t>
            </w:r>
          </w:p>
        </w:tc>
        <w:tc>
          <w:tcPr>
            <w:tcW w:w="1362" w:type="dxa"/>
            <w:shd w:val="clear" w:color="auto" w:fill="E7F3F4"/>
            <w:vAlign w:val="center"/>
            <w:hideMark/>
          </w:tcPr>
          <w:p w14:paraId="33AB50A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0.57</w:t>
            </w:r>
          </w:p>
        </w:tc>
        <w:tc>
          <w:tcPr>
            <w:tcW w:w="1329" w:type="dxa"/>
            <w:shd w:val="clear" w:color="auto" w:fill="E7F3F4"/>
            <w:vAlign w:val="center"/>
            <w:hideMark/>
          </w:tcPr>
          <w:p w14:paraId="4E414FA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67.08</w:t>
            </w:r>
          </w:p>
        </w:tc>
        <w:tc>
          <w:tcPr>
            <w:tcW w:w="1340" w:type="dxa"/>
            <w:shd w:val="clear" w:color="auto" w:fill="E7F3F4"/>
            <w:vAlign w:val="center"/>
            <w:hideMark/>
          </w:tcPr>
          <w:p w14:paraId="3A98F29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1.53</w:t>
            </w:r>
          </w:p>
        </w:tc>
        <w:tc>
          <w:tcPr>
            <w:tcW w:w="1174" w:type="dxa"/>
            <w:shd w:val="clear" w:color="auto" w:fill="E7F3F4"/>
            <w:noWrap/>
            <w:vAlign w:val="center"/>
            <w:hideMark/>
          </w:tcPr>
          <w:p w14:paraId="189E49B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36.17</w:t>
            </w:r>
          </w:p>
        </w:tc>
        <w:tc>
          <w:tcPr>
            <w:tcW w:w="1367" w:type="dxa"/>
            <w:shd w:val="clear" w:color="auto" w:fill="E7F3F4"/>
            <w:vAlign w:val="center"/>
          </w:tcPr>
          <w:p w14:paraId="0B7DDAC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0.83</w:t>
            </w:r>
          </w:p>
        </w:tc>
      </w:tr>
      <w:tr w:rsidR="00653DD7" w:rsidRPr="00CB093C" w14:paraId="599D3DC5" w14:textId="77777777" w:rsidTr="00EF544A">
        <w:trPr>
          <w:trHeight w:val="276"/>
          <w:jc w:val="center"/>
        </w:trPr>
        <w:tc>
          <w:tcPr>
            <w:tcW w:w="0" w:type="auto"/>
            <w:vMerge/>
            <w:vAlign w:val="center"/>
            <w:hideMark/>
          </w:tcPr>
          <w:p w14:paraId="05BFF53B" w14:textId="77777777" w:rsidR="00653DD7" w:rsidRPr="00CB093C" w:rsidRDefault="00653DD7" w:rsidP="00EF544A">
            <w:pPr>
              <w:spacing w:before="0" w:after="0"/>
              <w:rPr>
                <w:rFonts w:ascii="Arial" w:hAnsi="Arial" w:cs="Arial"/>
                <w:color w:val="000000"/>
                <w:szCs w:val="22"/>
              </w:rPr>
            </w:pPr>
          </w:p>
        </w:tc>
        <w:tc>
          <w:tcPr>
            <w:tcW w:w="619" w:type="dxa"/>
            <w:shd w:val="clear" w:color="auto" w:fill="E7F3F4"/>
            <w:vAlign w:val="center"/>
            <w:hideMark/>
          </w:tcPr>
          <w:p w14:paraId="302F996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MI1</w:t>
            </w:r>
          </w:p>
        </w:tc>
        <w:tc>
          <w:tcPr>
            <w:tcW w:w="1083" w:type="dxa"/>
            <w:shd w:val="clear" w:color="auto" w:fill="E7F3F4"/>
            <w:vAlign w:val="center"/>
            <w:hideMark/>
          </w:tcPr>
          <w:p w14:paraId="2D1CA40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0.65</w:t>
            </w:r>
          </w:p>
        </w:tc>
        <w:tc>
          <w:tcPr>
            <w:tcW w:w="993" w:type="dxa"/>
            <w:shd w:val="clear" w:color="auto" w:fill="E7F3F4"/>
            <w:vAlign w:val="center"/>
            <w:hideMark/>
          </w:tcPr>
          <w:p w14:paraId="3ECDE02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1.19</w:t>
            </w:r>
          </w:p>
        </w:tc>
        <w:tc>
          <w:tcPr>
            <w:tcW w:w="1362" w:type="dxa"/>
            <w:shd w:val="clear" w:color="auto" w:fill="E7F3F4"/>
            <w:vAlign w:val="center"/>
            <w:hideMark/>
          </w:tcPr>
          <w:p w14:paraId="7B1C63A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0.67</w:t>
            </w:r>
          </w:p>
        </w:tc>
        <w:tc>
          <w:tcPr>
            <w:tcW w:w="1329" w:type="dxa"/>
            <w:shd w:val="clear" w:color="auto" w:fill="E7F3F4"/>
            <w:vAlign w:val="center"/>
            <w:hideMark/>
          </w:tcPr>
          <w:p w14:paraId="0B27B55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183.00</w:t>
            </w:r>
          </w:p>
        </w:tc>
        <w:tc>
          <w:tcPr>
            <w:tcW w:w="1340" w:type="dxa"/>
            <w:shd w:val="clear" w:color="auto" w:fill="E7F3F4"/>
            <w:vAlign w:val="center"/>
            <w:hideMark/>
          </w:tcPr>
          <w:p w14:paraId="0D64A2F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4.18</w:t>
            </w:r>
          </w:p>
        </w:tc>
        <w:tc>
          <w:tcPr>
            <w:tcW w:w="1174" w:type="dxa"/>
            <w:shd w:val="clear" w:color="auto" w:fill="E7F3F4"/>
            <w:noWrap/>
            <w:vAlign w:val="center"/>
            <w:hideMark/>
          </w:tcPr>
          <w:p w14:paraId="68CBFDA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62.50</w:t>
            </w:r>
          </w:p>
        </w:tc>
        <w:tc>
          <w:tcPr>
            <w:tcW w:w="1367" w:type="dxa"/>
            <w:shd w:val="clear" w:color="auto" w:fill="E7F3F4"/>
            <w:vAlign w:val="center"/>
          </w:tcPr>
          <w:p w14:paraId="74CF8E9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1.43</w:t>
            </w:r>
          </w:p>
        </w:tc>
      </w:tr>
      <w:tr w:rsidR="00653DD7" w:rsidRPr="00CB093C" w14:paraId="11F17F37" w14:textId="77777777" w:rsidTr="00EF544A">
        <w:trPr>
          <w:trHeight w:val="276"/>
          <w:jc w:val="center"/>
        </w:trPr>
        <w:tc>
          <w:tcPr>
            <w:tcW w:w="0" w:type="auto"/>
            <w:vMerge/>
            <w:vAlign w:val="center"/>
            <w:hideMark/>
          </w:tcPr>
          <w:p w14:paraId="00579A64" w14:textId="77777777" w:rsidR="00653DD7" w:rsidRPr="00CB093C" w:rsidRDefault="00653DD7" w:rsidP="00EF544A">
            <w:pPr>
              <w:spacing w:before="0" w:after="0"/>
              <w:rPr>
                <w:rFonts w:ascii="Arial" w:hAnsi="Arial" w:cs="Arial"/>
                <w:color w:val="000000"/>
                <w:szCs w:val="22"/>
              </w:rPr>
            </w:pPr>
          </w:p>
        </w:tc>
        <w:tc>
          <w:tcPr>
            <w:tcW w:w="619" w:type="dxa"/>
            <w:shd w:val="clear" w:color="auto" w:fill="E7F3F4"/>
            <w:vAlign w:val="center"/>
            <w:hideMark/>
          </w:tcPr>
          <w:p w14:paraId="3BCAB06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MI2</w:t>
            </w:r>
          </w:p>
        </w:tc>
        <w:tc>
          <w:tcPr>
            <w:tcW w:w="1083" w:type="dxa"/>
            <w:shd w:val="clear" w:color="auto" w:fill="E7F3F4"/>
            <w:vAlign w:val="center"/>
            <w:hideMark/>
          </w:tcPr>
          <w:p w14:paraId="69DEB44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0.54</w:t>
            </w:r>
          </w:p>
        </w:tc>
        <w:tc>
          <w:tcPr>
            <w:tcW w:w="993" w:type="dxa"/>
            <w:shd w:val="clear" w:color="auto" w:fill="E7F3F4"/>
            <w:vAlign w:val="center"/>
            <w:hideMark/>
          </w:tcPr>
          <w:p w14:paraId="1FB764A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1.30</w:t>
            </w:r>
          </w:p>
        </w:tc>
        <w:tc>
          <w:tcPr>
            <w:tcW w:w="1362" w:type="dxa"/>
            <w:shd w:val="clear" w:color="auto" w:fill="E7F3F4"/>
            <w:vAlign w:val="center"/>
            <w:hideMark/>
          </w:tcPr>
          <w:p w14:paraId="599E535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0.56</w:t>
            </w:r>
          </w:p>
        </w:tc>
        <w:tc>
          <w:tcPr>
            <w:tcW w:w="1329" w:type="dxa"/>
            <w:shd w:val="clear" w:color="auto" w:fill="E7F3F4"/>
            <w:vAlign w:val="center"/>
            <w:hideMark/>
          </w:tcPr>
          <w:p w14:paraId="29EFC1D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170.00</w:t>
            </w:r>
          </w:p>
        </w:tc>
        <w:tc>
          <w:tcPr>
            <w:tcW w:w="1340" w:type="dxa"/>
            <w:shd w:val="clear" w:color="auto" w:fill="E7F3F4"/>
            <w:vAlign w:val="center"/>
            <w:hideMark/>
          </w:tcPr>
          <w:p w14:paraId="6DEC266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3.88</w:t>
            </w:r>
          </w:p>
        </w:tc>
        <w:tc>
          <w:tcPr>
            <w:tcW w:w="1174" w:type="dxa"/>
            <w:shd w:val="clear" w:color="auto" w:fill="E7F3F4"/>
            <w:noWrap/>
            <w:vAlign w:val="center"/>
            <w:hideMark/>
          </w:tcPr>
          <w:p w14:paraId="178A1A5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34.17</w:t>
            </w:r>
          </w:p>
        </w:tc>
        <w:tc>
          <w:tcPr>
            <w:tcW w:w="1367" w:type="dxa"/>
            <w:shd w:val="clear" w:color="auto" w:fill="E7F3F4"/>
            <w:vAlign w:val="center"/>
          </w:tcPr>
          <w:p w14:paraId="2820EB5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0.78</w:t>
            </w:r>
          </w:p>
        </w:tc>
      </w:tr>
      <w:tr w:rsidR="00653DD7" w:rsidRPr="00CB093C" w14:paraId="5C04B993" w14:textId="77777777" w:rsidTr="00EF544A">
        <w:trPr>
          <w:trHeight w:val="276"/>
          <w:jc w:val="center"/>
        </w:trPr>
        <w:tc>
          <w:tcPr>
            <w:tcW w:w="0" w:type="auto"/>
            <w:vMerge/>
            <w:vAlign w:val="center"/>
            <w:hideMark/>
          </w:tcPr>
          <w:p w14:paraId="78AA1833" w14:textId="77777777" w:rsidR="00653DD7" w:rsidRPr="00CB093C" w:rsidRDefault="00653DD7" w:rsidP="00EF544A">
            <w:pPr>
              <w:spacing w:before="0" w:after="0"/>
              <w:rPr>
                <w:rFonts w:ascii="Arial" w:hAnsi="Arial" w:cs="Arial"/>
                <w:color w:val="000000"/>
                <w:szCs w:val="22"/>
              </w:rPr>
            </w:pPr>
          </w:p>
        </w:tc>
        <w:tc>
          <w:tcPr>
            <w:tcW w:w="619" w:type="dxa"/>
            <w:shd w:val="clear" w:color="auto" w:fill="E7F3F4"/>
            <w:vAlign w:val="center"/>
            <w:hideMark/>
          </w:tcPr>
          <w:p w14:paraId="306F57B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JR1</w:t>
            </w:r>
          </w:p>
        </w:tc>
        <w:tc>
          <w:tcPr>
            <w:tcW w:w="1083" w:type="dxa"/>
            <w:shd w:val="clear" w:color="auto" w:fill="E7F3F4"/>
            <w:vAlign w:val="center"/>
            <w:hideMark/>
          </w:tcPr>
          <w:p w14:paraId="3A84AC4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0.47</w:t>
            </w:r>
          </w:p>
        </w:tc>
        <w:tc>
          <w:tcPr>
            <w:tcW w:w="993" w:type="dxa"/>
            <w:shd w:val="clear" w:color="auto" w:fill="E7F3F4"/>
            <w:vAlign w:val="center"/>
            <w:hideMark/>
          </w:tcPr>
          <w:p w14:paraId="0ED1B40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1.32</w:t>
            </w:r>
          </w:p>
        </w:tc>
        <w:tc>
          <w:tcPr>
            <w:tcW w:w="1362" w:type="dxa"/>
            <w:shd w:val="clear" w:color="auto" w:fill="E7F3F4"/>
            <w:vAlign w:val="center"/>
            <w:hideMark/>
          </w:tcPr>
          <w:p w14:paraId="1DF425A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0.47</w:t>
            </w:r>
          </w:p>
        </w:tc>
        <w:tc>
          <w:tcPr>
            <w:tcW w:w="1329" w:type="dxa"/>
            <w:shd w:val="clear" w:color="auto" w:fill="E7F3F4"/>
            <w:vAlign w:val="center"/>
            <w:hideMark/>
          </w:tcPr>
          <w:p w14:paraId="3A55E2A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63.33</w:t>
            </w:r>
          </w:p>
        </w:tc>
        <w:tc>
          <w:tcPr>
            <w:tcW w:w="1340" w:type="dxa"/>
            <w:shd w:val="clear" w:color="auto" w:fill="E7F3F4"/>
            <w:vAlign w:val="center"/>
            <w:hideMark/>
          </w:tcPr>
          <w:p w14:paraId="0BE49F6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1.44</w:t>
            </w:r>
          </w:p>
        </w:tc>
        <w:tc>
          <w:tcPr>
            <w:tcW w:w="1174" w:type="dxa"/>
            <w:shd w:val="clear" w:color="auto" w:fill="E7F3F4"/>
            <w:noWrap/>
            <w:vAlign w:val="center"/>
            <w:hideMark/>
          </w:tcPr>
          <w:p w14:paraId="5CC3BC2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42.50</w:t>
            </w:r>
          </w:p>
        </w:tc>
        <w:tc>
          <w:tcPr>
            <w:tcW w:w="1367" w:type="dxa"/>
            <w:shd w:val="clear" w:color="auto" w:fill="E7F3F4"/>
            <w:vAlign w:val="center"/>
          </w:tcPr>
          <w:p w14:paraId="5C163BE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0.97</w:t>
            </w:r>
          </w:p>
        </w:tc>
      </w:tr>
      <w:tr w:rsidR="00653DD7" w:rsidRPr="00CB093C" w14:paraId="1CED6FB5" w14:textId="77777777" w:rsidTr="00EF544A">
        <w:trPr>
          <w:trHeight w:val="276"/>
          <w:jc w:val="center"/>
        </w:trPr>
        <w:tc>
          <w:tcPr>
            <w:tcW w:w="0" w:type="auto"/>
            <w:vMerge/>
            <w:tcBorders>
              <w:bottom w:val="single" w:sz="4" w:space="0" w:color="auto"/>
            </w:tcBorders>
            <w:vAlign w:val="center"/>
            <w:hideMark/>
          </w:tcPr>
          <w:p w14:paraId="3C502022" w14:textId="77777777" w:rsidR="00653DD7" w:rsidRPr="00CB093C" w:rsidRDefault="00653DD7" w:rsidP="00EF544A">
            <w:pPr>
              <w:spacing w:before="0" w:after="0"/>
              <w:rPr>
                <w:rFonts w:ascii="Arial" w:hAnsi="Arial" w:cs="Arial"/>
                <w:color w:val="000000"/>
                <w:szCs w:val="22"/>
              </w:rPr>
            </w:pPr>
          </w:p>
        </w:tc>
        <w:tc>
          <w:tcPr>
            <w:tcW w:w="619" w:type="dxa"/>
            <w:tcBorders>
              <w:bottom w:val="single" w:sz="4" w:space="0" w:color="auto"/>
            </w:tcBorders>
            <w:shd w:val="clear" w:color="auto" w:fill="E7F3F4"/>
            <w:vAlign w:val="center"/>
            <w:hideMark/>
          </w:tcPr>
          <w:p w14:paraId="68ED891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JR2</w:t>
            </w:r>
          </w:p>
        </w:tc>
        <w:tc>
          <w:tcPr>
            <w:tcW w:w="1083" w:type="dxa"/>
            <w:tcBorders>
              <w:bottom w:val="single" w:sz="4" w:space="0" w:color="auto"/>
            </w:tcBorders>
            <w:shd w:val="clear" w:color="auto" w:fill="E7F3F4"/>
            <w:vAlign w:val="center"/>
            <w:hideMark/>
          </w:tcPr>
          <w:p w14:paraId="7BB2631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0.47</w:t>
            </w:r>
          </w:p>
        </w:tc>
        <w:tc>
          <w:tcPr>
            <w:tcW w:w="993" w:type="dxa"/>
            <w:tcBorders>
              <w:bottom w:val="single" w:sz="4" w:space="0" w:color="auto"/>
            </w:tcBorders>
            <w:shd w:val="clear" w:color="auto" w:fill="E7F3F4"/>
            <w:vAlign w:val="center"/>
            <w:hideMark/>
          </w:tcPr>
          <w:p w14:paraId="0591759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1.32</w:t>
            </w:r>
          </w:p>
        </w:tc>
        <w:tc>
          <w:tcPr>
            <w:tcW w:w="1362" w:type="dxa"/>
            <w:tcBorders>
              <w:bottom w:val="single" w:sz="4" w:space="0" w:color="auto"/>
            </w:tcBorders>
            <w:shd w:val="clear" w:color="auto" w:fill="E7F3F4"/>
            <w:vAlign w:val="center"/>
            <w:hideMark/>
          </w:tcPr>
          <w:p w14:paraId="3858760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0.47</w:t>
            </w:r>
          </w:p>
        </w:tc>
        <w:tc>
          <w:tcPr>
            <w:tcW w:w="1329" w:type="dxa"/>
            <w:tcBorders>
              <w:bottom w:val="single" w:sz="4" w:space="0" w:color="auto"/>
            </w:tcBorders>
            <w:shd w:val="clear" w:color="auto" w:fill="E7F3F4"/>
            <w:vAlign w:val="center"/>
            <w:hideMark/>
          </w:tcPr>
          <w:p w14:paraId="34B4940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63.33</w:t>
            </w:r>
          </w:p>
        </w:tc>
        <w:tc>
          <w:tcPr>
            <w:tcW w:w="1340" w:type="dxa"/>
            <w:tcBorders>
              <w:bottom w:val="single" w:sz="4" w:space="0" w:color="auto"/>
            </w:tcBorders>
            <w:shd w:val="clear" w:color="auto" w:fill="E7F3F4"/>
            <w:vAlign w:val="center"/>
            <w:hideMark/>
          </w:tcPr>
          <w:p w14:paraId="0EA0A8B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1.44</w:t>
            </w:r>
          </w:p>
        </w:tc>
        <w:tc>
          <w:tcPr>
            <w:tcW w:w="1174" w:type="dxa"/>
            <w:tcBorders>
              <w:bottom w:val="single" w:sz="4" w:space="0" w:color="auto"/>
            </w:tcBorders>
            <w:shd w:val="clear" w:color="auto" w:fill="E7F3F4"/>
            <w:noWrap/>
            <w:vAlign w:val="center"/>
            <w:hideMark/>
          </w:tcPr>
          <w:p w14:paraId="44744C5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42.50</w:t>
            </w:r>
          </w:p>
        </w:tc>
        <w:tc>
          <w:tcPr>
            <w:tcW w:w="1367" w:type="dxa"/>
            <w:tcBorders>
              <w:bottom w:val="single" w:sz="4" w:space="0" w:color="auto"/>
            </w:tcBorders>
            <w:shd w:val="clear" w:color="auto" w:fill="E7F3F4"/>
            <w:vAlign w:val="center"/>
          </w:tcPr>
          <w:p w14:paraId="3CA18EB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0.97</w:t>
            </w:r>
          </w:p>
        </w:tc>
      </w:tr>
      <w:tr w:rsidR="00653DD7" w:rsidRPr="00CB093C" w14:paraId="1F6ACB71" w14:textId="77777777" w:rsidTr="00EF544A">
        <w:trPr>
          <w:trHeight w:val="276"/>
          <w:jc w:val="center"/>
        </w:trPr>
        <w:tc>
          <w:tcPr>
            <w:tcW w:w="619" w:type="dxa"/>
            <w:vMerge w:val="restart"/>
            <w:tcBorders>
              <w:top w:val="single" w:sz="4" w:space="0" w:color="auto"/>
            </w:tcBorders>
            <w:shd w:val="clear" w:color="auto" w:fill="F3F9FA"/>
            <w:textDirection w:val="btLr"/>
            <w:vAlign w:val="center"/>
            <w:hideMark/>
          </w:tcPr>
          <w:p w14:paraId="5BE32913" w14:textId="2660BAB5" w:rsidR="00653DD7" w:rsidRPr="00CB093C" w:rsidRDefault="00637325" w:rsidP="00EF544A">
            <w:pPr>
              <w:spacing w:before="0" w:after="0"/>
              <w:ind w:left="113" w:right="113"/>
              <w:jc w:val="center"/>
              <w:rPr>
                <w:rFonts w:ascii="Arial" w:hAnsi="Arial" w:cs="Arial"/>
                <w:color w:val="000000"/>
                <w:szCs w:val="22"/>
              </w:rPr>
            </w:pPr>
            <w:r>
              <w:rPr>
                <w:rFonts w:ascii="Arial" w:hAnsi="Arial" w:cs="Arial"/>
                <w:color w:val="000000"/>
                <w:szCs w:val="22"/>
              </w:rPr>
              <w:t>Mackay-Whitsunday</w:t>
            </w:r>
          </w:p>
        </w:tc>
        <w:tc>
          <w:tcPr>
            <w:tcW w:w="619" w:type="dxa"/>
            <w:tcBorders>
              <w:top w:val="single" w:sz="4" w:space="0" w:color="auto"/>
            </w:tcBorders>
            <w:shd w:val="clear" w:color="auto" w:fill="F3F9FA"/>
            <w:vAlign w:val="center"/>
            <w:hideMark/>
          </w:tcPr>
          <w:p w14:paraId="34ABB23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PI2</w:t>
            </w:r>
          </w:p>
        </w:tc>
        <w:tc>
          <w:tcPr>
            <w:tcW w:w="1083" w:type="dxa"/>
            <w:tcBorders>
              <w:top w:val="single" w:sz="4" w:space="0" w:color="auto"/>
            </w:tcBorders>
            <w:shd w:val="clear" w:color="auto" w:fill="F3F9FA"/>
            <w:vAlign w:val="center"/>
            <w:hideMark/>
          </w:tcPr>
          <w:p w14:paraId="39DFD80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0.28</w:t>
            </w:r>
          </w:p>
        </w:tc>
        <w:tc>
          <w:tcPr>
            <w:tcW w:w="993" w:type="dxa"/>
            <w:tcBorders>
              <w:top w:val="single" w:sz="4" w:space="0" w:color="auto"/>
            </w:tcBorders>
            <w:shd w:val="clear" w:color="auto" w:fill="F3F9FA"/>
            <w:vAlign w:val="center"/>
            <w:hideMark/>
          </w:tcPr>
          <w:p w14:paraId="5B6FFA7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1.47</w:t>
            </w:r>
          </w:p>
        </w:tc>
        <w:tc>
          <w:tcPr>
            <w:tcW w:w="1362" w:type="dxa"/>
            <w:tcBorders>
              <w:top w:val="single" w:sz="4" w:space="0" w:color="auto"/>
            </w:tcBorders>
            <w:shd w:val="clear" w:color="auto" w:fill="F3F9FA"/>
            <w:vAlign w:val="center"/>
            <w:hideMark/>
          </w:tcPr>
          <w:p w14:paraId="71E839E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0.44</w:t>
            </w:r>
          </w:p>
        </w:tc>
        <w:tc>
          <w:tcPr>
            <w:tcW w:w="1329" w:type="dxa"/>
            <w:tcBorders>
              <w:top w:val="single" w:sz="4" w:space="0" w:color="auto"/>
            </w:tcBorders>
            <w:shd w:val="clear" w:color="auto" w:fill="F3F9FA"/>
            <w:vAlign w:val="center"/>
            <w:hideMark/>
          </w:tcPr>
          <w:p w14:paraId="75019C1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80.17</w:t>
            </w:r>
          </w:p>
        </w:tc>
        <w:tc>
          <w:tcPr>
            <w:tcW w:w="1340" w:type="dxa"/>
            <w:tcBorders>
              <w:top w:val="single" w:sz="4" w:space="0" w:color="auto"/>
            </w:tcBorders>
            <w:shd w:val="clear" w:color="auto" w:fill="F3F9FA"/>
            <w:vAlign w:val="center"/>
            <w:hideMark/>
          </w:tcPr>
          <w:p w14:paraId="59CD39E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1.83</w:t>
            </w:r>
          </w:p>
        </w:tc>
        <w:tc>
          <w:tcPr>
            <w:tcW w:w="1174" w:type="dxa"/>
            <w:tcBorders>
              <w:top w:val="single" w:sz="4" w:space="0" w:color="auto"/>
            </w:tcBorders>
            <w:shd w:val="clear" w:color="auto" w:fill="F3F9FA"/>
            <w:noWrap/>
            <w:vAlign w:val="center"/>
            <w:hideMark/>
          </w:tcPr>
          <w:p w14:paraId="3132306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48.00</w:t>
            </w:r>
          </w:p>
        </w:tc>
        <w:tc>
          <w:tcPr>
            <w:tcW w:w="1367" w:type="dxa"/>
            <w:tcBorders>
              <w:top w:val="single" w:sz="4" w:space="0" w:color="auto"/>
            </w:tcBorders>
            <w:shd w:val="clear" w:color="auto" w:fill="F3F9FA"/>
            <w:vAlign w:val="center"/>
          </w:tcPr>
          <w:p w14:paraId="6D7793B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1.10</w:t>
            </w:r>
          </w:p>
        </w:tc>
      </w:tr>
      <w:tr w:rsidR="00653DD7" w:rsidRPr="00CB093C" w14:paraId="3B1C883B" w14:textId="77777777" w:rsidTr="00EF544A">
        <w:trPr>
          <w:trHeight w:val="276"/>
          <w:jc w:val="center"/>
        </w:trPr>
        <w:tc>
          <w:tcPr>
            <w:tcW w:w="0" w:type="auto"/>
            <w:vMerge/>
            <w:vAlign w:val="center"/>
            <w:hideMark/>
          </w:tcPr>
          <w:p w14:paraId="5F0B808C"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574F542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PI3</w:t>
            </w:r>
          </w:p>
        </w:tc>
        <w:tc>
          <w:tcPr>
            <w:tcW w:w="1083" w:type="dxa"/>
            <w:shd w:val="clear" w:color="auto" w:fill="F3F9FA"/>
            <w:vAlign w:val="center"/>
            <w:hideMark/>
          </w:tcPr>
          <w:p w14:paraId="195D099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0.17</w:t>
            </w:r>
          </w:p>
        </w:tc>
        <w:tc>
          <w:tcPr>
            <w:tcW w:w="993" w:type="dxa"/>
            <w:shd w:val="clear" w:color="auto" w:fill="F3F9FA"/>
            <w:vAlign w:val="center"/>
            <w:hideMark/>
          </w:tcPr>
          <w:p w14:paraId="21464F2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1.58</w:t>
            </w:r>
          </w:p>
        </w:tc>
        <w:tc>
          <w:tcPr>
            <w:tcW w:w="1362" w:type="dxa"/>
            <w:shd w:val="clear" w:color="auto" w:fill="F3F9FA"/>
            <w:vAlign w:val="center"/>
            <w:hideMark/>
          </w:tcPr>
          <w:p w14:paraId="215889A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0.33</w:t>
            </w:r>
          </w:p>
        </w:tc>
        <w:tc>
          <w:tcPr>
            <w:tcW w:w="1329" w:type="dxa"/>
            <w:shd w:val="clear" w:color="auto" w:fill="F3F9FA"/>
            <w:vAlign w:val="center"/>
            <w:hideMark/>
          </w:tcPr>
          <w:p w14:paraId="5CA6964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40.00</w:t>
            </w:r>
          </w:p>
        </w:tc>
        <w:tc>
          <w:tcPr>
            <w:tcW w:w="1340" w:type="dxa"/>
            <w:shd w:val="clear" w:color="auto" w:fill="F3F9FA"/>
            <w:vAlign w:val="center"/>
            <w:hideMark/>
          </w:tcPr>
          <w:p w14:paraId="7DDEFE5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0.91</w:t>
            </w:r>
          </w:p>
        </w:tc>
        <w:tc>
          <w:tcPr>
            <w:tcW w:w="1174" w:type="dxa"/>
            <w:shd w:val="clear" w:color="auto" w:fill="F3F9FA"/>
            <w:noWrap/>
            <w:vAlign w:val="center"/>
            <w:hideMark/>
          </w:tcPr>
          <w:p w14:paraId="6ED17CA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26.83</w:t>
            </w:r>
          </w:p>
        </w:tc>
        <w:tc>
          <w:tcPr>
            <w:tcW w:w="1367" w:type="dxa"/>
            <w:shd w:val="clear" w:color="auto" w:fill="F3F9FA"/>
            <w:vAlign w:val="center"/>
          </w:tcPr>
          <w:p w14:paraId="75A7A2C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0.61</w:t>
            </w:r>
          </w:p>
        </w:tc>
      </w:tr>
      <w:tr w:rsidR="00653DD7" w:rsidRPr="00CB093C" w14:paraId="0E521D6F" w14:textId="77777777" w:rsidTr="00EF544A">
        <w:trPr>
          <w:trHeight w:val="276"/>
          <w:jc w:val="center"/>
        </w:trPr>
        <w:tc>
          <w:tcPr>
            <w:tcW w:w="0" w:type="auto"/>
            <w:vMerge/>
            <w:vAlign w:val="center"/>
            <w:hideMark/>
          </w:tcPr>
          <w:p w14:paraId="50A3147A"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1B556C6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HM1</w:t>
            </w:r>
          </w:p>
        </w:tc>
        <w:tc>
          <w:tcPr>
            <w:tcW w:w="1083" w:type="dxa"/>
            <w:shd w:val="clear" w:color="auto" w:fill="F3F9FA"/>
            <w:vAlign w:val="center"/>
            <w:hideMark/>
          </w:tcPr>
          <w:p w14:paraId="372B99D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0.68</w:t>
            </w:r>
          </w:p>
        </w:tc>
        <w:tc>
          <w:tcPr>
            <w:tcW w:w="993" w:type="dxa"/>
            <w:shd w:val="clear" w:color="auto" w:fill="F3F9FA"/>
            <w:vAlign w:val="center"/>
            <w:hideMark/>
          </w:tcPr>
          <w:p w14:paraId="1EB95CF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1.52</w:t>
            </w:r>
          </w:p>
        </w:tc>
        <w:tc>
          <w:tcPr>
            <w:tcW w:w="1362" w:type="dxa"/>
            <w:shd w:val="clear" w:color="auto" w:fill="F3F9FA"/>
            <w:vAlign w:val="center"/>
            <w:hideMark/>
          </w:tcPr>
          <w:p w14:paraId="4831433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0.38</w:t>
            </w:r>
          </w:p>
        </w:tc>
        <w:tc>
          <w:tcPr>
            <w:tcW w:w="1329" w:type="dxa"/>
            <w:shd w:val="clear" w:color="auto" w:fill="F3F9FA"/>
            <w:vAlign w:val="center"/>
            <w:hideMark/>
          </w:tcPr>
          <w:p w14:paraId="24ED08C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55.107</w:t>
            </w:r>
          </w:p>
        </w:tc>
        <w:tc>
          <w:tcPr>
            <w:tcW w:w="1340" w:type="dxa"/>
            <w:shd w:val="clear" w:color="auto" w:fill="F3F9FA"/>
            <w:vAlign w:val="center"/>
            <w:hideMark/>
          </w:tcPr>
          <w:p w14:paraId="3477563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1.26</w:t>
            </w:r>
          </w:p>
        </w:tc>
        <w:tc>
          <w:tcPr>
            <w:tcW w:w="1174" w:type="dxa"/>
            <w:shd w:val="clear" w:color="auto" w:fill="F3F9FA"/>
            <w:noWrap/>
            <w:vAlign w:val="center"/>
            <w:hideMark/>
          </w:tcPr>
          <w:p w14:paraId="61329F1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32.83</w:t>
            </w:r>
          </w:p>
        </w:tc>
        <w:tc>
          <w:tcPr>
            <w:tcW w:w="1367" w:type="dxa"/>
            <w:shd w:val="clear" w:color="auto" w:fill="F3F9FA"/>
            <w:vAlign w:val="center"/>
          </w:tcPr>
          <w:p w14:paraId="6E0D466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0.75</w:t>
            </w:r>
          </w:p>
        </w:tc>
      </w:tr>
      <w:tr w:rsidR="00653DD7" w:rsidRPr="00CB093C" w14:paraId="3CC24418" w14:textId="77777777" w:rsidTr="00EF544A">
        <w:trPr>
          <w:trHeight w:val="276"/>
          <w:jc w:val="center"/>
        </w:trPr>
        <w:tc>
          <w:tcPr>
            <w:tcW w:w="0" w:type="auto"/>
            <w:vMerge/>
            <w:vAlign w:val="center"/>
            <w:hideMark/>
          </w:tcPr>
          <w:p w14:paraId="7F3FDA4D"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4FA6B7E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HM2</w:t>
            </w:r>
          </w:p>
        </w:tc>
        <w:tc>
          <w:tcPr>
            <w:tcW w:w="1083" w:type="dxa"/>
            <w:shd w:val="clear" w:color="auto" w:fill="F3F9FA"/>
            <w:vAlign w:val="center"/>
            <w:hideMark/>
          </w:tcPr>
          <w:p w14:paraId="49EA038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0.68</w:t>
            </w:r>
          </w:p>
        </w:tc>
        <w:tc>
          <w:tcPr>
            <w:tcW w:w="993" w:type="dxa"/>
            <w:shd w:val="clear" w:color="auto" w:fill="F3F9FA"/>
            <w:vAlign w:val="center"/>
            <w:hideMark/>
          </w:tcPr>
          <w:p w14:paraId="3196B12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1.52</w:t>
            </w:r>
          </w:p>
        </w:tc>
        <w:tc>
          <w:tcPr>
            <w:tcW w:w="1362" w:type="dxa"/>
            <w:shd w:val="clear" w:color="auto" w:fill="F3F9FA"/>
            <w:vAlign w:val="center"/>
            <w:hideMark/>
          </w:tcPr>
          <w:p w14:paraId="7D1808B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0.38</w:t>
            </w:r>
          </w:p>
        </w:tc>
        <w:tc>
          <w:tcPr>
            <w:tcW w:w="1329" w:type="dxa"/>
            <w:shd w:val="clear" w:color="auto" w:fill="F3F9FA"/>
            <w:vAlign w:val="center"/>
            <w:hideMark/>
          </w:tcPr>
          <w:p w14:paraId="1E12B6D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55.107</w:t>
            </w:r>
          </w:p>
        </w:tc>
        <w:tc>
          <w:tcPr>
            <w:tcW w:w="1340" w:type="dxa"/>
            <w:shd w:val="clear" w:color="auto" w:fill="F3F9FA"/>
            <w:vAlign w:val="center"/>
            <w:hideMark/>
          </w:tcPr>
          <w:p w14:paraId="4EFBFFB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1.26</w:t>
            </w:r>
          </w:p>
        </w:tc>
        <w:tc>
          <w:tcPr>
            <w:tcW w:w="1174" w:type="dxa"/>
            <w:shd w:val="clear" w:color="auto" w:fill="F3F9FA"/>
            <w:noWrap/>
            <w:vAlign w:val="center"/>
            <w:hideMark/>
          </w:tcPr>
          <w:p w14:paraId="348EB5A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32.83</w:t>
            </w:r>
          </w:p>
        </w:tc>
        <w:tc>
          <w:tcPr>
            <w:tcW w:w="1367" w:type="dxa"/>
            <w:shd w:val="clear" w:color="auto" w:fill="F3F9FA"/>
            <w:vAlign w:val="center"/>
          </w:tcPr>
          <w:p w14:paraId="61DB7FC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0.75</w:t>
            </w:r>
          </w:p>
        </w:tc>
      </w:tr>
      <w:tr w:rsidR="00653DD7" w:rsidRPr="00CB093C" w14:paraId="1208405F" w14:textId="77777777" w:rsidTr="00EF544A">
        <w:trPr>
          <w:trHeight w:val="276"/>
          <w:jc w:val="center"/>
        </w:trPr>
        <w:tc>
          <w:tcPr>
            <w:tcW w:w="0" w:type="auto"/>
            <w:vMerge/>
            <w:vAlign w:val="center"/>
            <w:hideMark/>
          </w:tcPr>
          <w:p w14:paraId="03BB3326"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3FA5F7E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SI1</w:t>
            </w:r>
          </w:p>
        </w:tc>
        <w:tc>
          <w:tcPr>
            <w:tcW w:w="1083" w:type="dxa"/>
            <w:shd w:val="clear" w:color="auto" w:fill="F3F9FA"/>
            <w:vAlign w:val="center"/>
            <w:hideMark/>
          </w:tcPr>
          <w:p w14:paraId="5D23E3C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0.60</w:t>
            </w:r>
          </w:p>
        </w:tc>
        <w:tc>
          <w:tcPr>
            <w:tcW w:w="993" w:type="dxa"/>
            <w:shd w:val="clear" w:color="auto" w:fill="F3F9FA"/>
            <w:vAlign w:val="center"/>
            <w:hideMark/>
          </w:tcPr>
          <w:p w14:paraId="44E6567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2.80</w:t>
            </w:r>
          </w:p>
        </w:tc>
        <w:tc>
          <w:tcPr>
            <w:tcW w:w="1362" w:type="dxa"/>
            <w:shd w:val="clear" w:color="auto" w:fill="F3F9FA"/>
            <w:vAlign w:val="center"/>
            <w:hideMark/>
          </w:tcPr>
          <w:p w14:paraId="538FA86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0.54</w:t>
            </w:r>
          </w:p>
        </w:tc>
        <w:tc>
          <w:tcPr>
            <w:tcW w:w="1329" w:type="dxa"/>
            <w:shd w:val="clear" w:color="auto" w:fill="F3F9FA"/>
            <w:vAlign w:val="center"/>
            <w:hideMark/>
          </w:tcPr>
          <w:p w14:paraId="493D93A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24.75</w:t>
            </w:r>
          </w:p>
        </w:tc>
        <w:tc>
          <w:tcPr>
            <w:tcW w:w="1340" w:type="dxa"/>
            <w:shd w:val="clear" w:color="auto" w:fill="F3F9FA"/>
            <w:vAlign w:val="center"/>
            <w:hideMark/>
          </w:tcPr>
          <w:p w14:paraId="5A57162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0.56</w:t>
            </w:r>
          </w:p>
        </w:tc>
        <w:tc>
          <w:tcPr>
            <w:tcW w:w="1174" w:type="dxa"/>
            <w:shd w:val="clear" w:color="auto" w:fill="F3F9FA"/>
            <w:noWrap/>
            <w:vAlign w:val="center"/>
            <w:hideMark/>
          </w:tcPr>
          <w:p w14:paraId="59F9F33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24.33</w:t>
            </w:r>
          </w:p>
        </w:tc>
        <w:tc>
          <w:tcPr>
            <w:tcW w:w="1367" w:type="dxa"/>
            <w:shd w:val="clear" w:color="auto" w:fill="F3F9FA"/>
            <w:vAlign w:val="center"/>
          </w:tcPr>
          <w:p w14:paraId="64F47A6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0.56</w:t>
            </w:r>
          </w:p>
        </w:tc>
      </w:tr>
      <w:tr w:rsidR="00653DD7" w:rsidRPr="00CB093C" w14:paraId="0782A29E" w14:textId="77777777" w:rsidTr="00EF544A">
        <w:trPr>
          <w:trHeight w:val="276"/>
          <w:jc w:val="center"/>
        </w:trPr>
        <w:tc>
          <w:tcPr>
            <w:tcW w:w="0" w:type="auto"/>
            <w:vMerge/>
            <w:tcBorders>
              <w:bottom w:val="single" w:sz="4" w:space="0" w:color="auto"/>
            </w:tcBorders>
            <w:vAlign w:val="center"/>
            <w:hideMark/>
          </w:tcPr>
          <w:p w14:paraId="619A4185" w14:textId="77777777" w:rsidR="00653DD7" w:rsidRPr="00CB093C" w:rsidRDefault="00653DD7" w:rsidP="00EF544A">
            <w:pPr>
              <w:spacing w:before="0" w:after="0"/>
              <w:rPr>
                <w:rFonts w:ascii="Arial" w:hAnsi="Arial" w:cs="Arial"/>
                <w:color w:val="000000"/>
                <w:szCs w:val="22"/>
              </w:rPr>
            </w:pPr>
          </w:p>
        </w:tc>
        <w:tc>
          <w:tcPr>
            <w:tcW w:w="619" w:type="dxa"/>
            <w:tcBorders>
              <w:bottom w:val="single" w:sz="4" w:space="0" w:color="auto"/>
            </w:tcBorders>
            <w:shd w:val="clear" w:color="auto" w:fill="F3F9FA"/>
            <w:vAlign w:val="center"/>
            <w:hideMark/>
          </w:tcPr>
          <w:p w14:paraId="75D0705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SI2</w:t>
            </w:r>
          </w:p>
        </w:tc>
        <w:tc>
          <w:tcPr>
            <w:tcW w:w="1083" w:type="dxa"/>
            <w:tcBorders>
              <w:bottom w:val="single" w:sz="4" w:space="0" w:color="auto"/>
            </w:tcBorders>
            <w:shd w:val="clear" w:color="auto" w:fill="F3F9FA"/>
            <w:vAlign w:val="center"/>
            <w:hideMark/>
          </w:tcPr>
          <w:p w14:paraId="5871CDE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0.60</w:t>
            </w:r>
          </w:p>
        </w:tc>
        <w:tc>
          <w:tcPr>
            <w:tcW w:w="993" w:type="dxa"/>
            <w:tcBorders>
              <w:bottom w:val="single" w:sz="4" w:space="0" w:color="auto"/>
            </w:tcBorders>
            <w:shd w:val="clear" w:color="auto" w:fill="F3F9FA"/>
            <w:vAlign w:val="center"/>
            <w:hideMark/>
          </w:tcPr>
          <w:p w14:paraId="20F6231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2.80</w:t>
            </w:r>
          </w:p>
        </w:tc>
        <w:tc>
          <w:tcPr>
            <w:tcW w:w="1362" w:type="dxa"/>
            <w:tcBorders>
              <w:bottom w:val="single" w:sz="4" w:space="0" w:color="auto"/>
            </w:tcBorders>
            <w:shd w:val="clear" w:color="auto" w:fill="F3F9FA"/>
            <w:vAlign w:val="center"/>
            <w:hideMark/>
          </w:tcPr>
          <w:p w14:paraId="1DAC037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0.54</w:t>
            </w:r>
          </w:p>
        </w:tc>
        <w:tc>
          <w:tcPr>
            <w:tcW w:w="1329" w:type="dxa"/>
            <w:tcBorders>
              <w:bottom w:val="single" w:sz="4" w:space="0" w:color="auto"/>
            </w:tcBorders>
            <w:shd w:val="clear" w:color="auto" w:fill="F3F9FA"/>
            <w:vAlign w:val="center"/>
            <w:hideMark/>
          </w:tcPr>
          <w:p w14:paraId="6B0DC03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24.75</w:t>
            </w:r>
          </w:p>
        </w:tc>
        <w:tc>
          <w:tcPr>
            <w:tcW w:w="1340" w:type="dxa"/>
            <w:tcBorders>
              <w:bottom w:val="single" w:sz="4" w:space="0" w:color="auto"/>
            </w:tcBorders>
            <w:shd w:val="clear" w:color="auto" w:fill="F3F9FA"/>
            <w:vAlign w:val="center"/>
            <w:hideMark/>
          </w:tcPr>
          <w:p w14:paraId="09943C4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0.56</w:t>
            </w:r>
          </w:p>
        </w:tc>
        <w:tc>
          <w:tcPr>
            <w:tcW w:w="1174" w:type="dxa"/>
            <w:tcBorders>
              <w:bottom w:val="single" w:sz="4" w:space="0" w:color="auto"/>
            </w:tcBorders>
            <w:shd w:val="clear" w:color="auto" w:fill="F3F9FA"/>
            <w:noWrap/>
            <w:vAlign w:val="center"/>
            <w:hideMark/>
          </w:tcPr>
          <w:p w14:paraId="16DA178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24.33</w:t>
            </w:r>
          </w:p>
        </w:tc>
        <w:tc>
          <w:tcPr>
            <w:tcW w:w="1367" w:type="dxa"/>
            <w:tcBorders>
              <w:bottom w:val="single" w:sz="4" w:space="0" w:color="auto"/>
            </w:tcBorders>
            <w:shd w:val="clear" w:color="auto" w:fill="F3F9FA"/>
            <w:vAlign w:val="center"/>
          </w:tcPr>
          <w:p w14:paraId="47C5BA2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0.56</w:t>
            </w:r>
          </w:p>
        </w:tc>
      </w:tr>
      <w:tr w:rsidR="00653DD7" w:rsidRPr="00CB093C" w14:paraId="533448B4" w14:textId="77777777" w:rsidTr="00EF544A">
        <w:trPr>
          <w:trHeight w:val="276"/>
          <w:jc w:val="center"/>
        </w:trPr>
        <w:tc>
          <w:tcPr>
            <w:tcW w:w="619" w:type="dxa"/>
            <w:vMerge w:val="restart"/>
            <w:tcBorders>
              <w:top w:val="single" w:sz="4" w:space="0" w:color="auto"/>
            </w:tcBorders>
            <w:shd w:val="clear" w:color="auto" w:fill="E7F3F4"/>
            <w:textDirection w:val="btLr"/>
            <w:vAlign w:val="center"/>
            <w:hideMark/>
          </w:tcPr>
          <w:p w14:paraId="39A528F8" w14:textId="77777777" w:rsidR="00653DD7" w:rsidRPr="00CB093C" w:rsidRDefault="00653DD7" w:rsidP="00EF544A">
            <w:pPr>
              <w:spacing w:before="0" w:after="0"/>
              <w:ind w:left="113" w:right="113"/>
              <w:jc w:val="center"/>
              <w:rPr>
                <w:rFonts w:ascii="Arial" w:hAnsi="Arial" w:cs="Arial"/>
                <w:color w:val="000000"/>
                <w:szCs w:val="22"/>
              </w:rPr>
            </w:pPr>
            <w:r w:rsidRPr="00CB093C">
              <w:rPr>
                <w:rFonts w:ascii="Arial" w:hAnsi="Arial" w:cs="Arial"/>
                <w:color w:val="000000"/>
                <w:szCs w:val="22"/>
              </w:rPr>
              <w:t>Fitzroy</w:t>
            </w:r>
          </w:p>
        </w:tc>
        <w:tc>
          <w:tcPr>
            <w:tcW w:w="619" w:type="dxa"/>
            <w:tcBorders>
              <w:top w:val="single" w:sz="4" w:space="0" w:color="auto"/>
            </w:tcBorders>
            <w:shd w:val="clear" w:color="auto" w:fill="E7F3F4"/>
            <w:vAlign w:val="center"/>
            <w:hideMark/>
          </w:tcPr>
          <w:p w14:paraId="102173F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RC1</w:t>
            </w:r>
          </w:p>
        </w:tc>
        <w:tc>
          <w:tcPr>
            <w:tcW w:w="1083" w:type="dxa"/>
            <w:tcBorders>
              <w:top w:val="single" w:sz="4" w:space="0" w:color="auto"/>
            </w:tcBorders>
            <w:shd w:val="clear" w:color="auto" w:fill="E7F3F4"/>
            <w:vAlign w:val="center"/>
            <w:hideMark/>
          </w:tcPr>
          <w:p w14:paraId="6E6A4AE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2.03</w:t>
            </w:r>
          </w:p>
        </w:tc>
        <w:tc>
          <w:tcPr>
            <w:tcW w:w="993" w:type="dxa"/>
            <w:tcBorders>
              <w:top w:val="single" w:sz="4" w:space="0" w:color="auto"/>
            </w:tcBorders>
            <w:shd w:val="clear" w:color="auto" w:fill="E7F3F4"/>
            <w:vAlign w:val="center"/>
            <w:hideMark/>
          </w:tcPr>
          <w:p w14:paraId="7EC7818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1.30</w:t>
            </w:r>
          </w:p>
        </w:tc>
        <w:tc>
          <w:tcPr>
            <w:tcW w:w="1362" w:type="dxa"/>
            <w:tcBorders>
              <w:top w:val="single" w:sz="4" w:space="0" w:color="auto"/>
            </w:tcBorders>
            <w:shd w:val="clear" w:color="auto" w:fill="E7F3F4"/>
            <w:vAlign w:val="center"/>
            <w:hideMark/>
          </w:tcPr>
          <w:p w14:paraId="46C06E7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1.06</w:t>
            </w:r>
          </w:p>
        </w:tc>
        <w:tc>
          <w:tcPr>
            <w:tcW w:w="1329" w:type="dxa"/>
            <w:tcBorders>
              <w:top w:val="single" w:sz="4" w:space="0" w:color="auto"/>
            </w:tcBorders>
            <w:shd w:val="clear" w:color="auto" w:fill="E7F3F4"/>
            <w:vAlign w:val="center"/>
            <w:hideMark/>
          </w:tcPr>
          <w:p w14:paraId="5F5A5FA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163.67</w:t>
            </w:r>
          </w:p>
        </w:tc>
        <w:tc>
          <w:tcPr>
            <w:tcW w:w="1340" w:type="dxa"/>
            <w:tcBorders>
              <w:top w:val="single" w:sz="4" w:space="0" w:color="auto"/>
            </w:tcBorders>
            <w:shd w:val="clear" w:color="auto" w:fill="E7F3F4"/>
            <w:vAlign w:val="center"/>
            <w:hideMark/>
          </w:tcPr>
          <w:p w14:paraId="2915ACF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3.73</w:t>
            </w:r>
          </w:p>
        </w:tc>
        <w:tc>
          <w:tcPr>
            <w:tcW w:w="1174" w:type="dxa"/>
            <w:tcBorders>
              <w:top w:val="single" w:sz="4" w:space="0" w:color="auto"/>
            </w:tcBorders>
            <w:shd w:val="clear" w:color="auto" w:fill="E7F3F4"/>
            <w:noWrap/>
            <w:vAlign w:val="center"/>
            <w:hideMark/>
          </w:tcPr>
          <w:p w14:paraId="3F996B4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220.83</w:t>
            </w:r>
          </w:p>
        </w:tc>
        <w:tc>
          <w:tcPr>
            <w:tcW w:w="1367" w:type="dxa"/>
            <w:tcBorders>
              <w:top w:val="single" w:sz="4" w:space="0" w:color="auto"/>
            </w:tcBorders>
            <w:shd w:val="clear" w:color="auto" w:fill="E7F3F4"/>
            <w:vAlign w:val="center"/>
          </w:tcPr>
          <w:p w14:paraId="7BB4693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5.04</w:t>
            </w:r>
          </w:p>
        </w:tc>
      </w:tr>
      <w:tr w:rsidR="00653DD7" w:rsidRPr="00CB093C" w14:paraId="12122740" w14:textId="77777777" w:rsidTr="00EF544A">
        <w:trPr>
          <w:trHeight w:val="276"/>
          <w:jc w:val="center"/>
        </w:trPr>
        <w:tc>
          <w:tcPr>
            <w:tcW w:w="0" w:type="auto"/>
            <w:vMerge/>
            <w:vAlign w:val="center"/>
            <w:hideMark/>
          </w:tcPr>
          <w:p w14:paraId="17D5FB62" w14:textId="77777777" w:rsidR="00653DD7" w:rsidRPr="00CB093C" w:rsidRDefault="00653DD7" w:rsidP="00EF544A">
            <w:pPr>
              <w:spacing w:before="0" w:after="0"/>
              <w:rPr>
                <w:rFonts w:ascii="Arial" w:hAnsi="Arial" w:cs="Arial"/>
                <w:color w:val="000000"/>
                <w:szCs w:val="22"/>
              </w:rPr>
            </w:pPr>
          </w:p>
        </w:tc>
        <w:tc>
          <w:tcPr>
            <w:tcW w:w="619" w:type="dxa"/>
            <w:shd w:val="clear" w:color="auto" w:fill="E7F3F4"/>
            <w:vAlign w:val="center"/>
            <w:hideMark/>
          </w:tcPr>
          <w:p w14:paraId="071997D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WH1</w:t>
            </w:r>
          </w:p>
        </w:tc>
        <w:tc>
          <w:tcPr>
            <w:tcW w:w="1083" w:type="dxa"/>
            <w:shd w:val="clear" w:color="auto" w:fill="E7F3F4"/>
            <w:vAlign w:val="center"/>
            <w:hideMark/>
          </w:tcPr>
          <w:p w14:paraId="7BE330F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2.16</w:t>
            </w:r>
          </w:p>
        </w:tc>
        <w:tc>
          <w:tcPr>
            <w:tcW w:w="993" w:type="dxa"/>
            <w:shd w:val="clear" w:color="auto" w:fill="E7F3F4"/>
            <w:vAlign w:val="center"/>
            <w:hideMark/>
          </w:tcPr>
          <w:p w14:paraId="55DADC2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1.17</w:t>
            </w:r>
          </w:p>
        </w:tc>
        <w:tc>
          <w:tcPr>
            <w:tcW w:w="1362" w:type="dxa"/>
            <w:shd w:val="clear" w:color="auto" w:fill="E7F3F4"/>
            <w:vAlign w:val="center"/>
            <w:hideMark/>
          </w:tcPr>
          <w:p w14:paraId="483CD5C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1.19</w:t>
            </w:r>
          </w:p>
        </w:tc>
        <w:tc>
          <w:tcPr>
            <w:tcW w:w="1329" w:type="dxa"/>
            <w:shd w:val="clear" w:color="auto" w:fill="E7F3F4"/>
            <w:vAlign w:val="center"/>
            <w:hideMark/>
          </w:tcPr>
          <w:p w14:paraId="60E1242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236.17</w:t>
            </w:r>
          </w:p>
        </w:tc>
        <w:tc>
          <w:tcPr>
            <w:tcW w:w="1340" w:type="dxa"/>
            <w:shd w:val="clear" w:color="auto" w:fill="E7F3F4"/>
            <w:vAlign w:val="center"/>
            <w:hideMark/>
          </w:tcPr>
          <w:p w14:paraId="3835D51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5.39</w:t>
            </w:r>
          </w:p>
        </w:tc>
        <w:tc>
          <w:tcPr>
            <w:tcW w:w="1174" w:type="dxa"/>
            <w:shd w:val="clear" w:color="auto" w:fill="E7F3F4"/>
            <w:noWrap/>
            <w:vAlign w:val="center"/>
            <w:hideMark/>
          </w:tcPr>
          <w:p w14:paraId="043CF88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298.50</w:t>
            </w:r>
          </w:p>
        </w:tc>
        <w:tc>
          <w:tcPr>
            <w:tcW w:w="1367" w:type="dxa"/>
            <w:shd w:val="clear" w:color="auto" w:fill="E7F3F4"/>
            <w:vAlign w:val="center"/>
          </w:tcPr>
          <w:p w14:paraId="321606D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6.82</w:t>
            </w:r>
          </w:p>
        </w:tc>
      </w:tr>
      <w:tr w:rsidR="00653DD7" w:rsidRPr="00CB093C" w14:paraId="12C2881E" w14:textId="77777777" w:rsidTr="00EF544A">
        <w:trPr>
          <w:trHeight w:val="276"/>
          <w:jc w:val="center"/>
        </w:trPr>
        <w:tc>
          <w:tcPr>
            <w:tcW w:w="0" w:type="auto"/>
            <w:vMerge/>
            <w:vAlign w:val="center"/>
            <w:hideMark/>
          </w:tcPr>
          <w:p w14:paraId="5D78895B" w14:textId="77777777" w:rsidR="00653DD7" w:rsidRPr="00CB093C" w:rsidRDefault="00653DD7" w:rsidP="00EF544A">
            <w:pPr>
              <w:spacing w:before="0" w:after="0"/>
              <w:rPr>
                <w:rFonts w:ascii="Arial" w:hAnsi="Arial" w:cs="Arial"/>
                <w:color w:val="000000"/>
                <w:szCs w:val="22"/>
              </w:rPr>
            </w:pPr>
          </w:p>
        </w:tc>
        <w:tc>
          <w:tcPr>
            <w:tcW w:w="619" w:type="dxa"/>
            <w:shd w:val="clear" w:color="auto" w:fill="E7F3F4"/>
            <w:vAlign w:val="center"/>
            <w:hideMark/>
          </w:tcPr>
          <w:p w14:paraId="743A505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GK1</w:t>
            </w:r>
          </w:p>
        </w:tc>
        <w:tc>
          <w:tcPr>
            <w:tcW w:w="1083" w:type="dxa"/>
            <w:shd w:val="clear" w:color="auto" w:fill="E7F3F4"/>
            <w:vAlign w:val="center"/>
            <w:hideMark/>
          </w:tcPr>
          <w:p w14:paraId="7C29AD4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0.52</w:t>
            </w:r>
          </w:p>
        </w:tc>
        <w:tc>
          <w:tcPr>
            <w:tcW w:w="993" w:type="dxa"/>
            <w:shd w:val="clear" w:color="auto" w:fill="E7F3F4"/>
            <w:vAlign w:val="center"/>
            <w:hideMark/>
          </w:tcPr>
          <w:p w14:paraId="65E8ED6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1.93</w:t>
            </w:r>
          </w:p>
        </w:tc>
        <w:tc>
          <w:tcPr>
            <w:tcW w:w="1362" w:type="dxa"/>
            <w:shd w:val="clear" w:color="auto" w:fill="E7F3F4"/>
            <w:vAlign w:val="center"/>
            <w:hideMark/>
          </w:tcPr>
          <w:p w14:paraId="33E98C2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0.43</w:t>
            </w:r>
          </w:p>
        </w:tc>
        <w:tc>
          <w:tcPr>
            <w:tcW w:w="1329" w:type="dxa"/>
            <w:shd w:val="clear" w:color="auto" w:fill="E7F3F4"/>
            <w:vAlign w:val="center"/>
            <w:hideMark/>
          </w:tcPr>
          <w:p w14:paraId="21B34D7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33.25</w:t>
            </w:r>
          </w:p>
        </w:tc>
        <w:tc>
          <w:tcPr>
            <w:tcW w:w="1340" w:type="dxa"/>
            <w:shd w:val="clear" w:color="auto" w:fill="E7F3F4"/>
            <w:vAlign w:val="center"/>
            <w:hideMark/>
          </w:tcPr>
          <w:p w14:paraId="76AF09F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0.76</w:t>
            </w:r>
          </w:p>
        </w:tc>
        <w:tc>
          <w:tcPr>
            <w:tcW w:w="1174" w:type="dxa"/>
            <w:shd w:val="clear" w:color="auto" w:fill="E7F3F4"/>
            <w:noWrap/>
            <w:vAlign w:val="center"/>
            <w:hideMark/>
          </w:tcPr>
          <w:p w14:paraId="341E5D1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14.00</w:t>
            </w:r>
          </w:p>
        </w:tc>
        <w:tc>
          <w:tcPr>
            <w:tcW w:w="1367" w:type="dxa"/>
            <w:shd w:val="clear" w:color="auto" w:fill="E7F3F4"/>
            <w:vAlign w:val="center"/>
          </w:tcPr>
          <w:p w14:paraId="0BE607B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0.32</w:t>
            </w:r>
          </w:p>
        </w:tc>
      </w:tr>
      <w:tr w:rsidR="00653DD7" w:rsidRPr="00CB093C" w14:paraId="46F54C78" w14:textId="77777777" w:rsidTr="00EF544A">
        <w:trPr>
          <w:trHeight w:val="276"/>
          <w:jc w:val="center"/>
        </w:trPr>
        <w:tc>
          <w:tcPr>
            <w:tcW w:w="0" w:type="auto"/>
            <w:vMerge/>
            <w:vAlign w:val="center"/>
            <w:hideMark/>
          </w:tcPr>
          <w:p w14:paraId="4BECA6D0" w14:textId="77777777" w:rsidR="00653DD7" w:rsidRPr="00CB093C" w:rsidRDefault="00653DD7" w:rsidP="00EF544A">
            <w:pPr>
              <w:spacing w:before="0" w:after="0"/>
              <w:rPr>
                <w:rFonts w:ascii="Arial" w:hAnsi="Arial" w:cs="Arial"/>
                <w:color w:val="000000"/>
                <w:szCs w:val="22"/>
              </w:rPr>
            </w:pPr>
          </w:p>
        </w:tc>
        <w:tc>
          <w:tcPr>
            <w:tcW w:w="619" w:type="dxa"/>
            <w:shd w:val="clear" w:color="auto" w:fill="E7F3F4"/>
            <w:vAlign w:val="center"/>
            <w:hideMark/>
          </w:tcPr>
          <w:p w14:paraId="50C8511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GK2</w:t>
            </w:r>
          </w:p>
        </w:tc>
        <w:tc>
          <w:tcPr>
            <w:tcW w:w="1083" w:type="dxa"/>
            <w:shd w:val="clear" w:color="auto" w:fill="E7F3F4"/>
            <w:vAlign w:val="center"/>
            <w:hideMark/>
          </w:tcPr>
          <w:p w14:paraId="2FDB4C1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0.58</w:t>
            </w:r>
          </w:p>
        </w:tc>
        <w:tc>
          <w:tcPr>
            <w:tcW w:w="993" w:type="dxa"/>
            <w:shd w:val="clear" w:color="auto" w:fill="E7F3F4"/>
            <w:vAlign w:val="center"/>
            <w:hideMark/>
          </w:tcPr>
          <w:p w14:paraId="0B03412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1.87</w:t>
            </w:r>
          </w:p>
        </w:tc>
        <w:tc>
          <w:tcPr>
            <w:tcW w:w="1362" w:type="dxa"/>
            <w:shd w:val="clear" w:color="auto" w:fill="E7F3F4"/>
            <w:vAlign w:val="center"/>
            <w:hideMark/>
          </w:tcPr>
          <w:p w14:paraId="16E69E5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0.49</w:t>
            </w:r>
          </w:p>
        </w:tc>
        <w:tc>
          <w:tcPr>
            <w:tcW w:w="1329" w:type="dxa"/>
            <w:shd w:val="clear" w:color="auto" w:fill="E7F3F4"/>
            <w:vAlign w:val="center"/>
            <w:hideMark/>
          </w:tcPr>
          <w:p w14:paraId="2854C25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49.83</w:t>
            </w:r>
          </w:p>
        </w:tc>
        <w:tc>
          <w:tcPr>
            <w:tcW w:w="1340" w:type="dxa"/>
            <w:shd w:val="clear" w:color="auto" w:fill="E7F3F4"/>
            <w:vAlign w:val="center"/>
            <w:hideMark/>
          </w:tcPr>
          <w:p w14:paraId="56B0B54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1.14</w:t>
            </w:r>
          </w:p>
        </w:tc>
        <w:tc>
          <w:tcPr>
            <w:tcW w:w="1174" w:type="dxa"/>
            <w:shd w:val="clear" w:color="auto" w:fill="E7F3F4"/>
            <w:noWrap/>
            <w:vAlign w:val="center"/>
            <w:hideMark/>
          </w:tcPr>
          <w:p w14:paraId="5426988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28.17</w:t>
            </w:r>
          </w:p>
        </w:tc>
        <w:tc>
          <w:tcPr>
            <w:tcW w:w="1367" w:type="dxa"/>
            <w:shd w:val="clear" w:color="auto" w:fill="E7F3F4"/>
            <w:vAlign w:val="center"/>
          </w:tcPr>
          <w:p w14:paraId="67B5DD3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0.64</w:t>
            </w:r>
          </w:p>
        </w:tc>
      </w:tr>
      <w:tr w:rsidR="00653DD7" w:rsidRPr="00CB093C" w14:paraId="13CAF98A" w14:textId="77777777" w:rsidTr="00EF544A">
        <w:trPr>
          <w:trHeight w:val="276"/>
          <w:jc w:val="center"/>
        </w:trPr>
        <w:tc>
          <w:tcPr>
            <w:tcW w:w="0" w:type="auto"/>
            <w:vMerge/>
            <w:vAlign w:val="center"/>
            <w:hideMark/>
          </w:tcPr>
          <w:p w14:paraId="4B83733B" w14:textId="77777777" w:rsidR="00653DD7" w:rsidRPr="00CB093C" w:rsidRDefault="00653DD7" w:rsidP="00EF544A">
            <w:pPr>
              <w:spacing w:before="0" w:after="0"/>
              <w:rPr>
                <w:rFonts w:ascii="Arial" w:hAnsi="Arial" w:cs="Arial"/>
                <w:color w:val="000000"/>
                <w:szCs w:val="22"/>
              </w:rPr>
            </w:pPr>
          </w:p>
        </w:tc>
        <w:tc>
          <w:tcPr>
            <w:tcW w:w="619" w:type="dxa"/>
            <w:shd w:val="clear" w:color="auto" w:fill="E7F3F4"/>
            <w:vAlign w:val="center"/>
            <w:hideMark/>
          </w:tcPr>
          <w:p w14:paraId="0CE87DE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GH1</w:t>
            </w:r>
          </w:p>
        </w:tc>
        <w:tc>
          <w:tcPr>
            <w:tcW w:w="1083" w:type="dxa"/>
            <w:shd w:val="clear" w:color="auto" w:fill="E7F3F4"/>
            <w:vAlign w:val="center"/>
            <w:hideMark/>
          </w:tcPr>
          <w:p w14:paraId="4E327D6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0.80</w:t>
            </w:r>
          </w:p>
        </w:tc>
        <w:tc>
          <w:tcPr>
            <w:tcW w:w="993" w:type="dxa"/>
            <w:shd w:val="clear" w:color="auto" w:fill="E7F3F4"/>
            <w:vAlign w:val="center"/>
            <w:hideMark/>
          </w:tcPr>
          <w:p w14:paraId="0201AFA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1.57</w:t>
            </w:r>
          </w:p>
        </w:tc>
        <w:tc>
          <w:tcPr>
            <w:tcW w:w="1362" w:type="dxa"/>
            <w:shd w:val="clear" w:color="auto" w:fill="E7F3F4"/>
            <w:vAlign w:val="center"/>
            <w:hideMark/>
          </w:tcPr>
          <w:p w14:paraId="15BBC42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0.69</w:t>
            </w:r>
          </w:p>
        </w:tc>
        <w:tc>
          <w:tcPr>
            <w:tcW w:w="1329" w:type="dxa"/>
            <w:shd w:val="clear" w:color="auto" w:fill="E7F3F4"/>
            <w:vAlign w:val="center"/>
            <w:hideMark/>
          </w:tcPr>
          <w:p w14:paraId="5F61C28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97.33</w:t>
            </w:r>
          </w:p>
        </w:tc>
        <w:tc>
          <w:tcPr>
            <w:tcW w:w="1340" w:type="dxa"/>
            <w:shd w:val="clear" w:color="auto" w:fill="E7F3F4"/>
            <w:vAlign w:val="center"/>
            <w:hideMark/>
          </w:tcPr>
          <w:p w14:paraId="447066C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2.22</w:t>
            </w:r>
          </w:p>
        </w:tc>
        <w:tc>
          <w:tcPr>
            <w:tcW w:w="1174" w:type="dxa"/>
            <w:shd w:val="clear" w:color="auto" w:fill="E7F3F4"/>
            <w:noWrap/>
            <w:vAlign w:val="center"/>
            <w:hideMark/>
          </w:tcPr>
          <w:p w14:paraId="27246AF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82.00</w:t>
            </w:r>
          </w:p>
        </w:tc>
        <w:tc>
          <w:tcPr>
            <w:tcW w:w="1367" w:type="dxa"/>
            <w:shd w:val="clear" w:color="auto" w:fill="E7F3F4"/>
            <w:vAlign w:val="center"/>
          </w:tcPr>
          <w:p w14:paraId="3B284AD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1.87</w:t>
            </w:r>
          </w:p>
        </w:tc>
      </w:tr>
      <w:tr w:rsidR="00653DD7" w:rsidRPr="00CB093C" w14:paraId="60F4E8F6" w14:textId="77777777" w:rsidTr="00EF544A">
        <w:trPr>
          <w:trHeight w:val="276"/>
          <w:jc w:val="center"/>
        </w:trPr>
        <w:tc>
          <w:tcPr>
            <w:tcW w:w="0" w:type="auto"/>
            <w:vMerge/>
            <w:tcBorders>
              <w:bottom w:val="single" w:sz="4" w:space="0" w:color="auto"/>
            </w:tcBorders>
            <w:vAlign w:val="center"/>
            <w:hideMark/>
          </w:tcPr>
          <w:p w14:paraId="6CD3CCCA" w14:textId="77777777" w:rsidR="00653DD7" w:rsidRPr="00CB093C" w:rsidRDefault="00653DD7" w:rsidP="00EF544A">
            <w:pPr>
              <w:spacing w:before="0" w:after="0"/>
              <w:rPr>
                <w:rFonts w:ascii="Arial" w:hAnsi="Arial" w:cs="Arial"/>
                <w:color w:val="000000"/>
                <w:szCs w:val="22"/>
              </w:rPr>
            </w:pPr>
          </w:p>
        </w:tc>
        <w:tc>
          <w:tcPr>
            <w:tcW w:w="619" w:type="dxa"/>
            <w:tcBorders>
              <w:bottom w:val="single" w:sz="4" w:space="0" w:color="auto"/>
            </w:tcBorders>
            <w:shd w:val="clear" w:color="auto" w:fill="E7F3F4"/>
            <w:vAlign w:val="center"/>
            <w:hideMark/>
          </w:tcPr>
          <w:p w14:paraId="1464614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GH2</w:t>
            </w:r>
          </w:p>
        </w:tc>
        <w:tc>
          <w:tcPr>
            <w:tcW w:w="1083" w:type="dxa"/>
            <w:tcBorders>
              <w:bottom w:val="single" w:sz="4" w:space="0" w:color="auto"/>
            </w:tcBorders>
            <w:shd w:val="clear" w:color="auto" w:fill="E7F3F4"/>
            <w:vAlign w:val="center"/>
            <w:hideMark/>
          </w:tcPr>
          <w:p w14:paraId="69F509C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0.80</w:t>
            </w:r>
          </w:p>
        </w:tc>
        <w:tc>
          <w:tcPr>
            <w:tcW w:w="993" w:type="dxa"/>
            <w:tcBorders>
              <w:bottom w:val="single" w:sz="4" w:space="0" w:color="auto"/>
            </w:tcBorders>
            <w:shd w:val="clear" w:color="auto" w:fill="E7F3F4"/>
            <w:vAlign w:val="center"/>
            <w:hideMark/>
          </w:tcPr>
          <w:p w14:paraId="788421F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1.57</w:t>
            </w:r>
          </w:p>
        </w:tc>
        <w:tc>
          <w:tcPr>
            <w:tcW w:w="1362" w:type="dxa"/>
            <w:tcBorders>
              <w:bottom w:val="single" w:sz="4" w:space="0" w:color="auto"/>
            </w:tcBorders>
            <w:shd w:val="clear" w:color="auto" w:fill="E7F3F4"/>
            <w:vAlign w:val="center"/>
            <w:hideMark/>
          </w:tcPr>
          <w:p w14:paraId="00177C9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0.69</w:t>
            </w:r>
          </w:p>
        </w:tc>
        <w:tc>
          <w:tcPr>
            <w:tcW w:w="1329" w:type="dxa"/>
            <w:tcBorders>
              <w:bottom w:val="single" w:sz="4" w:space="0" w:color="auto"/>
            </w:tcBorders>
            <w:shd w:val="clear" w:color="auto" w:fill="E7F3F4"/>
            <w:vAlign w:val="center"/>
            <w:hideMark/>
          </w:tcPr>
          <w:p w14:paraId="201446F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91.58</w:t>
            </w:r>
          </w:p>
        </w:tc>
        <w:tc>
          <w:tcPr>
            <w:tcW w:w="1340" w:type="dxa"/>
            <w:tcBorders>
              <w:bottom w:val="single" w:sz="4" w:space="0" w:color="auto"/>
            </w:tcBorders>
            <w:shd w:val="clear" w:color="auto" w:fill="E7F3F4"/>
            <w:vAlign w:val="center"/>
            <w:hideMark/>
          </w:tcPr>
          <w:p w14:paraId="44F3207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2.09</w:t>
            </w:r>
          </w:p>
        </w:tc>
        <w:tc>
          <w:tcPr>
            <w:tcW w:w="1174" w:type="dxa"/>
            <w:tcBorders>
              <w:bottom w:val="single" w:sz="4" w:space="0" w:color="auto"/>
            </w:tcBorders>
            <w:shd w:val="clear" w:color="auto" w:fill="E7F3F4"/>
            <w:noWrap/>
            <w:vAlign w:val="center"/>
            <w:hideMark/>
          </w:tcPr>
          <w:p w14:paraId="3E3229B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82.00</w:t>
            </w:r>
          </w:p>
        </w:tc>
        <w:tc>
          <w:tcPr>
            <w:tcW w:w="1367" w:type="dxa"/>
            <w:tcBorders>
              <w:bottom w:val="single" w:sz="4" w:space="0" w:color="auto"/>
            </w:tcBorders>
            <w:shd w:val="clear" w:color="auto" w:fill="E7F3F4"/>
            <w:vAlign w:val="center"/>
          </w:tcPr>
          <w:p w14:paraId="2576FDD7"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1.87</w:t>
            </w:r>
          </w:p>
        </w:tc>
      </w:tr>
      <w:tr w:rsidR="00653DD7" w:rsidRPr="00CB093C" w14:paraId="68DE7C9E" w14:textId="77777777" w:rsidTr="00EF544A">
        <w:trPr>
          <w:trHeight w:val="276"/>
          <w:jc w:val="center"/>
        </w:trPr>
        <w:tc>
          <w:tcPr>
            <w:tcW w:w="619" w:type="dxa"/>
            <w:vMerge w:val="restart"/>
            <w:tcBorders>
              <w:top w:val="single" w:sz="4" w:space="0" w:color="auto"/>
            </w:tcBorders>
            <w:shd w:val="clear" w:color="auto" w:fill="F3F9FA"/>
            <w:textDirection w:val="btLr"/>
            <w:vAlign w:val="center"/>
            <w:hideMark/>
          </w:tcPr>
          <w:p w14:paraId="2E9A06A0" w14:textId="77777777" w:rsidR="00653DD7" w:rsidRPr="00CB093C" w:rsidRDefault="00653DD7" w:rsidP="00EF544A">
            <w:pPr>
              <w:spacing w:before="0" w:after="0"/>
              <w:ind w:left="113" w:right="113"/>
              <w:jc w:val="center"/>
              <w:rPr>
                <w:rFonts w:ascii="Arial" w:hAnsi="Arial" w:cs="Arial"/>
                <w:color w:val="000000"/>
                <w:szCs w:val="22"/>
              </w:rPr>
            </w:pPr>
            <w:r w:rsidRPr="00CB093C">
              <w:rPr>
                <w:rFonts w:ascii="Arial" w:hAnsi="Arial" w:cs="Arial"/>
                <w:color w:val="000000"/>
                <w:szCs w:val="22"/>
              </w:rPr>
              <w:t>Burnett Mary</w:t>
            </w:r>
          </w:p>
        </w:tc>
        <w:tc>
          <w:tcPr>
            <w:tcW w:w="619" w:type="dxa"/>
            <w:tcBorders>
              <w:top w:val="single" w:sz="4" w:space="0" w:color="auto"/>
            </w:tcBorders>
            <w:shd w:val="clear" w:color="auto" w:fill="F3F9FA"/>
            <w:vAlign w:val="center"/>
            <w:hideMark/>
          </w:tcPr>
          <w:p w14:paraId="65FCF91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RD1</w:t>
            </w:r>
          </w:p>
        </w:tc>
        <w:tc>
          <w:tcPr>
            <w:tcW w:w="1083" w:type="dxa"/>
            <w:tcBorders>
              <w:top w:val="single" w:sz="4" w:space="0" w:color="auto"/>
            </w:tcBorders>
            <w:shd w:val="clear" w:color="auto" w:fill="F3F9FA"/>
            <w:vAlign w:val="center"/>
            <w:hideMark/>
          </w:tcPr>
          <w:p w14:paraId="34EE01AA"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0.56</w:t>
            </w:r>
          </w:p>
        </w:tc>
        <w:tc>
          <w:tcPr>
            <w:tcW w:w="993" w:type="dxa"/>
            <w:tcBorders>
              <w:top w:val="single" w:sz="4" w:space="0" w:color="auto"/>
            </w:tcBorders>
            <w:shd w:val="clear" w:color="auto" w:fill="F3F9FA"/>
            <w:vAlign w:val="center"/>
            <w:hideMark/>
          </w:tcPr>
          <w:p w14:paraId="29C2A3B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1.48</w:t>
            </w:r>
          </w:p>
        </w:tc>
        <w:tc>
          <w:tcPr>
            <w:tcW w:w="1362" w:type="dxa"/>
            <w:tcBorders>
              <w:top w:val="single" w:sz="4" w:space="0" w:color="auto"/>
            </w:tcBorders>
            <w:shd w:val="clear" w:color="auto" w:fill="F3F9FA"/>
            <w:vAlign w:val="center"/>
            <w:hideMark/>
          </w:tcPr>
          <w:p w14:paraId="2B0F458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0.56</w:t>
            </w:r>
          </w:p>
        </w:tc>
        <w:tc>
          <w:tcPr>
            <w:tcW w:w="1329" w:type="dxa"/>
            <w:tcBorders>
              <w:top w:val="single" w:sz="4" w:space="0" w:color="auto"/>
            </w:tcBorders>
            <w:shd w:val="clear" w:color="auto" w:fill="F3F9FA"/>
            <w:vAlign w:val="center"/>
            <w:hideMark/>
          </w:tcPr>
          <w:p w14:paraId="03EA04D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66.58</w:t>
            </w:r>
          </w:p>
        </w:tc>
        <w:tc>
          <w:tcPr>
            <w:tcW w:w="1340" w:type="dxa"/>
            <w:tcBorders>
              <w:top w:val="single" w:sz="4" w:space="0" w:color="auto"/>
            </w:tcBorders>
            <w:shd w:val="clear" w:color="auto" w:fill="F3F9FA"/>
            <w:vAlign w:val="center"/>
            <w:hideMark/>
          </w:tcPr>
          <w:p w14:paraId="43C753B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1.52</w:t>
            </w:r>
          </w:p>
        </w:tc>
        <w:tc>
          <w:tcPr>
            <w:tcW w:w="1174" w:type="dxa"/>
            <w:tcBorders>
              <w:top w:val="single" w:sz="4" w:space="0" w:color="auto"/>
            </w:tcBorders>
            <w:shd w:val="clear" w:color="auto" w:fill="F3F9FA"/>
            <w:noWrap/>
            <w:vAlign w:val="center"/>
            <w:hideMark/>
          </w:tcPr>
          <w:p w14:paraId="50E35724"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63.83</w:t>
            </w:r>
          </w:p>
        </w:tc>
        <w:tc>
          <w:tcPr>
            <w:tcW w:w="1367" w:type="dxa"/>
            <w:tcBorders>
              <w:top w:val="single" w:sz="4" w:space="0" w:color="auto"/>
            </w:tcBorders>
            <w:shd w:val="clear" w:color="auto" w:fill="F3F9FA"/>
            <w:vAlign w:val="center"/>
          </w:tcPr>
          <w:p w14:paraId="3C92DAB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1.46</w:t>
            </w:r>
          </w:p>
        </w:tc>
      </w:tr>
      <w:tr w:rsidR="00653DD7" w:rsidRPr="00CB093C" w14:paraId="7ABA2595" w14:textId="77777777" w:rsidTr="00EF544A">
        <w:trPr>
          <w:trHeight w:val="276"/>
          <w:jc w:val="center"/>
        </w:trPr>
        <w:tc>
          <w:tcPr>
            <w:tcW w:w="0" w:type="auto"/>
            <w:vMerge/>
            <w:vAlign w:val="center"/>
            <w:hideMark/>
          </w:tcPr>
          <w:p w14:paraId="3A5FB22F"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0443876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RD2</w:t>
            </w:r>
          </w:p>
        </w:tc>
        <w:tc>
          <w:tcPr>
            <w:tcW w:w="1083" w:type="dxa"/>
            <w:shd w:val="clear" w:color="auto" w:fill="F3F9FA"/>
            <w:vAlign w:val="center"/>
            <w:hideMark/>
          </w:tcPr>
          <w:p w14:paraId="2DAF059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0.63</w:t>
            </w:r>
          </w:p>
        </w:tc>
        <w:tc>
          <w:tcPr>
            <w:tcW w:w="993" w:type="dxa"/>
            <w:shd w:val="clear" w:color="auto" w:fill="F3F9FA"/>
            <w:vAlign w:val="center"/>
            <w:hideMark/>
          </w:tcPr>
          <w:p w14:paraId="2E77278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1.41</w:t>
            </w:r>
          </w:p>
        </w:tc>
        <w:tc>
          <w:tcPr>
            <w:tcW w:w="1362" w:type="dxa"/>
            <w:shd w:val="clear" w:color="auto" w:fill="F3F9FA"/>
            <w:vAlign w:val="center"/>
            <w:hideMark/>
          </w:tcPr>
          <w:p w14:paraId="2C3481E5"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0.63</w:t>
            </w:r>
          </w:p>
        </w:tc>
        <w:tc>
          <w:tcPr>
            <w:tcW w:w="1329" w:type="dxa"/>
            <w:shd w:val="clear" w:color="auto" w:fill="F3F9FA"/>
            <w:vAlign w:val="center"/>
            <w:hideMark/>
          </w:tcPr>
          <w:p w14:paraId="756800D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93.17</w:t>
            </w:r>
          </w:p>
        </w:tc>
        <w:tc>
          <w:tcPr>
            <w:tcW w:w="1340" w:type="dxa"/>
            <w:shd w:val="clear" w:color="auto" w:fill="F3F9FA"/>
            <w:vAlign w:val="center"/>
            <w:hideMark/>
          </w:tcPr>
          <w:p w14:paraId="31F4F8F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2.13</w:t>
            </w:r>
          </w:p>
        </w:tc>
        <w:tc>
          <w:tcPr>
            <w:tcW w:w="1174" w:type="dxa"/>
            <w:shd w:val="clear" w:color="auto" w:fill="F3F9FA"/>
            <w:noWrap/>
            <w:vAlign w:val="center"/>
            <w:hideMark/>
          </w:tcPr>
          <w:p w14:paraId="1E010DCE"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94.50</w:t>
            </w:r>
          </w:p>
        </w:tc>
        <w:tc>
          <w:tcPr>
            <w:tcW w:w="1367" w:type="dxa"/>
            <w:shd w:val="clear" w:color="auto" w:fill="F3F9FA"/>
            <w:vAlign w:val="center"/>
          </w:tcPr>
          <w:p w14:paraId="297B5009"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2.16</w:t>
            </w:r>
          </w:p>
        </w:tc>
      </w:tr>
      <w:tr w:rsidR="00653DD7" w:rsidRPr="00CB093C" w14:paraId="085568E8" w14:textId="77777777" w:rsidTr="00EF544A">
        <w:trPr>
          <w:trHeight w:val="276"/>
          <w:jc w:val="center"/>
        </w:trPr>
        <w:tc>
          <w:tcPr>
            <w:tcW w:w="0" w:type="auto"/>
            <w:vMerge/>
            <w:vAlign w:val="center"/>
            <w:hideMark/>
          </w:tcPr>
          <w:p w14:paraId="5240CDCC" w14:textId="77777777" w:rsidR="00653DD7" w:rsidRPr="00CB093C" w:rsidRDefault="00653DD7" w:rsidP="00EF544A">
            <w:pPr>
              <w:spacing w:before="0" w:after="0"/>
              <w:rPr>
                <w:rFonts w:ascii="Arial" w:hAnsi="Arial" w:cs="Arial"/>
                <w:color w:val="000000"/>
                <w:szCs w:val="22"/>
              </w:rPr>
            </w:pPr>
          </w:p>
        </w:tc>
        <w:tc>
          <w:tcPr>
            <w:tcW w:w="619" w:type="dxa"/>
            <w:shd w:val="clear" w:color="auto" w:fill="F3F9FA"/>
            <w:vAlign w:val="center"/>
            <w:hideMark/>
          </w:tcPr>
          <w:p w14:paraId="1B23F0F1"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UG1</w:t>
            </w:r>
          </w:p>
        </w:tc>
        <w:tc>
          <w:tcPr>
            <w:tcW w:w="1083" w:type="dxa"/>
            <w:shd w:val="clear" w:color="auto" w:fill="F3F9FA"/>
            <w:vAlign w:val="center"/>
            <w:hideMark/>
          </w:tcPr>
          <w:p w14:paraId="4CDEFB42"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0.70</w:t>
            </w:r>
          </w:p>
        </w:tc>
        <w:tc>
          <w:tcPr>
            <w:tcW w:w="993" w:type="dxa"/>
            <w:shd w:val="clear" w:color="auto" w:fill="F3F9FA"/>
            <w:vAlign w:val="center"/>
            <w:hideMark/>
          </w:tcPr>
          <w:p w14:paraId="2159E52D"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1.41</w:t>
            </w:r>
          </w:p>
        </w:tc>
        <w:tc>
          <w:tcPr>
            <w:tcW w:w="1362" w:type="dxa"/>
            <w:shd w:val="clear" w:color="auto" w:fill="F3F9FA"/>
            <w:vAlign w:val="center"/>
            <w:hideMark/>
          </w:tcPr>
          <w:p w14:paraId="10B9ACCB"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0.70</w:t>
            </w:r>
          </w:p>
        </w:tc>
        <w:tc>
          <w:tcPr>
            <w:tcW w:w="1329" w:type="dxa"/>
            <w:shd w:val="clear" w:color="auto" w:fill="F3F9FA"/>
            <w:vAlign w:val="center"/>
            <w:hideMark/>
          </w:tcPr>
          <w:p w14:paraId="3E26992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144.00</w:t>
            </w:r>
          </w:p>
        </w:tc>
        <w:tc>
          <w:tcPr>
            <w:tcW w:w="1340" w:type="dxa"/>
            <w:shd w:val="clear" w:color="auto" w:fill="F3F9FA"/>
            <w:vAlign w:val="center"/>
            <w:hideMark/>
          </w:tcPr>
          <w:p w14:paraId="69CD2EF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3.29</w:t>
            </w:r>
          </w:p>
        </w:tc>
        <w:tc>
          <w:tcPr>
            <w:tcW w:w="1174" w:type="dxa"/>
            <w:shd w:val="clear" w:color="auto" w:fill="F3F9FA"/>
            <w:noWrap/>
            <w:vAlign w:val="center"/>
            <w:hideMark/>
          </w:tcPr>
          <w:p w14:paraId="7F90ECB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92.00</w:t>
            </w:r>
          </w:p>
        </w:tc>
        <w:tc>
          <w:tcPr>
            <w:tcW w:w="1367" w:type="dxa"/>
            <w:shd w:val="clear" w:color="auto" w:fill="F3F9FA"/>
            <w:vAlign w:val="center"/>
          </w:tcPr>
          <w:p w14:paraId="75D50608"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2.10</w:t>
            </w:r>
          </w:p>
        </w:tc>
      </w:tr>
      <w:tr w:rsidR="00653DD7" w:rsidRPr="00CB093C" w14:paraId="102DA870" w14:textId="77777777" w:rsidTr="00EF544A">
        <w:trPr>
          <w:trHeight w:val="276"/>
          <w:jc w:val="center"/>
        </w:trPr>
        <w:tc>
          <w:tcPr>
            <w:tcW w:w="0" w:type="auto"/>
            <w:vMerge/>
            <w:tcBorders>
              <w:bottom w:val="single" w:sz="4" w:space="0" w:color="auto"/>
            </w:tcBorders>
            <w:vAlign w:val="center"/>
            <w:hideMark/>
          </w:tcPr>
          <w:p w14:paraId="4FA63378" w14:textId="77777777" w:rsidR="00653DD7" w:rsidRPr="00CB093C" w:rsidRDefault="00653DD7" w:rsidP="00EF544A">
            <w:pPr>
              <w:spacing w:before="0" w:after="0"/>
              <w:rPr>
                <w:rFonts w:ascii="Arial" w:hAnsi="Arial" w:cs="Arial"/>
                <w:color w:val="000000"/>
                <w:szCs w:val="22"/>
              </w:rPr>
            </w:pPr>
          </w:p>
        </w:tc>
        <w:tc>
          <w:tcPr>
            <w:tcW w:w="619" w:type="dxa"/>
            <w:tcBorders>
              <w:bottom w:val="single" w:sz="4" w:space="0" w:color="auto"/>
            </w:tcBorders>
            <w:shd w:val="clear" w:color="auto" w:fill="F3F9FA"/>
            <w:vAlign w:val="center"/>
            <w:hideMark/>
          </w:tcPr>
          <w:p w14:paraId="36115C5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UG2</w:t>
            </w:r>
          </w:p>
        </w:tc>
        <w:tc>
          <w:tcPr>
            <w:tcW w:w="1083" w:type="dxa"/>
            <w:tcBorders>
              <w:bottom w:val="single" w:sz="4" w:space="0" w:color="auto"/>
            </w:tcBorders>
            <w:shd w:val="clear" w:color="auto" w:fill="F3F9FA"/>
            <w:vAlign w:val="center"/>
            <w:hideMark/>
          </w:tcPr>
          <w:p w14:paraId="5311002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0.64</w:t>
            </w:r>
          </w:p>
        </w:tc>
        <w:tc>
          <w:tcPr>
            <w:tcW w:w="993" w:type="dxa"/>
            <w:tcBorders>
              <w:bottom w:val="single" w:sz="4" w:space="0" w:color="auto"/>
            </w:tcBorders>
            <w:shd w:val="clear" w:color="auto" w:fill="F3F9FA"/>
            <w:vAlign w:val="center"/>
            <w:hideMark/>
          </w:tcPr>
          <w:p w14:paraId="4E3EA92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1.47</w:t>
            </w:r>
          </w:p>
        </w:tc>
        <w:tc>
          <w:tcPr>
            <w:tcW w:w="1362" w:type="dxa"/>
            <w:tcBorders>
              <w:bottom w:val="single" w:sz="4" w:space="0" w:color="auto"/>
            </w:tcBorders>
            <w:shd w:val="clear" w:color="auto" w:fill="F3F9FA"/>
            <w:vAlign w:val="center"/>
            <w:hideMark/>
          </w:tcPr>
          <w:p w14:paraId="54EB7190"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0.64</w:t>
            </w:r>
          </w:p>
        </w:tc>
        <w:tc>
          <w:tcPr>
            <w:tcW w:w="1329" w:type="dxa"/>
            <w:tcBorders>
              <w:bottom w:val="single" w:sz="4" w:space="0" w:color="auto"/>
            </w:tcBorders>
            <w:shd w:val="clear" w:color="auto" w:fill="F3F9FA"/>
            <w:vAlign w:val="center"/>
            <w:hideMark/>
          </w:tcPr>
          <w:p w14:paraId="677096F3"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105.83</w:t>
            </w:r>
          </w:p>
        </w:tc>
        <w:tc>
          <w:tcPr>
            <w:tcW w:w="1340" w:type="dxa"/>
            <w:tcBorders>
              <w:bottom w:val="single" w:sz="4" w:space="0" w:color="auto"/>
            </w:tcBorders>
            <w:shd w:val="clear" w:color="auto" w:fill="F3F9FA"/>
            <w:vAlign w:val="center"/>
            <w:hideMark/>
          </w:tcPr>
          <w:p w14:paraId="655BC8DC"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2.41</w:t>
            </w:r>
          </w:p>
        </w:tc>
        <w:tc>
          <w:tcPr>
            <w:tcW w:w="1174" w:type="dxa"/>
            <w:tcBorders>
              <w:bottom w:val="single" w:sz="4" w:space="0" w:color="auto"/>
            </w:tcBorders>
            <w:shd w:val="clear" w:color="auto" w:fill="F3F9FA"/>
            <w:noWrap/>
            <w:vAlign w:val="center"/>
            <w:hideMark/>
          </w:tcPr>
          <w:p w14:paraId="0D357EEF"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47.17</w:t>
            </w:r>
          </w:p>
        </w:tc>
        <w:tc>
          <w:tcPr>
            <w:tcW w:w="1367" w:type="dxa"/>
            <w:tcBorders>
              <w:bottom w:val="single" w:sz="4" w:space="0" w:color="auto"/>
            </w:tcBorders>
            <w:shd w:val="clear" w:color="auto" w:fill="F3F9FA"/>
            <w:vAlign w:val="center"/>
          </w:tcPr>
          <w:p w14:paraId="58535696" w14:textId="77777777" w:rsidR="00653DD7" w:rsidRPr="00CB093C" w:rsidRDefault="00653DD7" w:rsidP="00EF544A">
            <w:pPr>
              <w:spacing w:before="0" w:after="0"/>
              <w:jc w:val="center"/>
              <w:rPr>
                <w:rFonts w:ascii="Arial" w:hAnsi="Arial" w:cs="Arial"/>
                <w:color w:val="000000"/>
                <w:szCs w:val="22"/>
              </w:rPr>
            </w:pPr>
            <w:r w:rsidRPr="00CB093C">
              <w:rPr>
                <w:rFonts w:ascii="Arial" w:hAnsi="Arial" w:cs="Arial"/>
                <w:color w:val="000000"/>
                <w:szCs w:val="22"/>
              </w:rPr>
              <w:t>1.08</w:t>
            </w:r>
          </w:p>
        </w:tc>
      </w:tr>
    </w:tbl>
    <w:p w14:paraId="361D5B31" w14:textId="23524970" w:rsidR="00273002" w:rsidRPr="00CB093C" w:rsidRDefault="00273002" w:rsidP="00DE79BD">
      <w:pPr>
        <w:jc w:val="center"/>
        <w:rPr>
          <w:rFonts w:ascii="Arial" w:hAnsi="Arial" w:cs="Arial"/>
          <w:color w:val="000000"/>
          <w:szCs w:val="22"/>
        </w:rPr>
      </w:pPr>
    </w:p>
    <w:p w14:paraId="1F403135" w14:textId="77777777" w:rsidR="00273002" w:rsidRPr="00CB093C" w:rsidRDefault="00273002" w:rsidP="00273002">
      <w:pPr>
        <w:rPr>
          <w:rFonts w:ascii="Arial" w:hAnsi="Arial" w:cs="Arial"/>
          <w:color w:val="000000"/>
          <w:szCs w:val="22"/>
        </w:rPr>
      </w:pPr>
    </w:p>
    <w:p w14:paraId="7CAC7FE3" w14:textId="682CA5F1" w:rsidR="00273002" w:rsidRPr="00CB093C" w:rsidRDefault="003D70D6" w:rsidP="00273002">
      <w:pPr>
        <w:keepNext/>
        <w:jc w:val="center"/>
        <w:rPr>
          <w:rFonts w:ascii="Arial" w:hAnsi="Arial" w:cs="Arial"/>
          <w:szCs w:val="22"/>
        </w:rPr>
      </w:pPr>
      <w:r w:rsidRPr="00CB093C">
        <w:rPr>
          <w:rFonts w:ascii="Arial" w:hAnsi="Arial" w:cs="Arial"/>
          <w:noProof/>
          <w:szCs w:val="22"/>
          <w:lang w:val="en-US"/>
        </w:rPr>
        <w:drawing>
          <wp:inline distT="0" distB="0" distL="0" distR="0" wp14:anchorId="13E6FB93" wp14:editId="33095327">
            <wp:extent cx="3594476" cy="1090243"/>
            <wp:effectExtent l="0" t="0" r="6350" b="0"/>
            <wp:docPr id="234" name="Picture 234" descr="Bar chart showing annual daytime tidal exposure (total hours) and long-term median of intertidal reef seagrass meadows at Archer Point, Cape York NRM region from 2011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CY_reef_daytime_exposure_2016.png"/>
                    <pic:cNvPicPr/>
                  </pic:nvPicPr>
                  <pic:blipFill>
                    <a:blip r:embed="rId184">
                      <a:extLst>
                        <a:ext uri="{28A0092B-C50C-407E-A947-70E740481C1C}">
                          <a14:useLocalDpi xmlns:a14="http://schemas.microsoft.com/office/drawing/2010/main" val="0"/>
                        </a:ext>
                      </a:extLst>
                    </a:blip>
                    <a:stretch>
                      <a:fillRect/>
                    </a:stretch>
                  </pic:blipFill>
                  <pic:spPr>
                    <a:xfrm>
                      <a:off x="0" y="0"/>
                      <a:ext cx="3594476" cy="1090243"/>
                    </a:xfrm>
                    <a:prstGeom prst="rect">
                      <a:avLst/>
                    </a:prstGeom>
                  </pic:spPr>
                </pic:pic>
              </a:graphicData>
            </a:graphic>
          </wp:inline>
        </w:drawing>
      </w:r>
    </w:p>
    <w:p w14:paraId="00B32C2B" w14:textId="3721020E" w:rsidR="00273002" w:rsidRPr="00CB093C" w:rsidRDefault="00273002" w:rsidP="00273002">
      <w:pPr>
        <w:rPr>
          <w:rFonts w:ascii="Arial" w:hAnsi="Arial" w:cs="Arial"/>
          <w:i/>
          <w:vanish/>
          <w:szCs w:val="22"/>
          <w:specVanish/>
        </w:rPr>
      </w:pPr>
      <w:bookmarkStart w:id="803" w:name="_Ref409958445"/>
      <w:bookmarkStart w:id="804" w:name="_Toc431493956"/>
      <w:bookmarkStart w:id="805" w:name="_Toc6402863"/>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98</w:t>
      </w:r>
      <w:r w:rsidR="00C506C7" w:rsidRPr="00CB093C">
        <w:rPr>
          <w:rFonts w:ascii="Arial" w:hAnsi="Arial" w:cs="Arial"/>
          <w:noProof/>
          <w:szCs w:val="22"/>
        </w:rPr>
        <w:fldChar w:fldCharType="end"/>
      </w:r>
      <w:bookmarkEnd w:id="803"/>
      <w:r w:rsidRPr="00CB093C">
        <w:rPr>
          <w:rFonts w:ascii="Arial" w:hAnsi="Arial" w:cs="Arial"/>
          <w:szCs w:val="22"/>
        </w:rPr>
        <w:t xml:space="preserve">. </w:t>
      </w:r>
      <w:r w:rsidRPr="00CB093C">
        <w:rPr>
          <w:rFonts w:ascii="Arial" w:hAnsi="Arial" w:cs="Arial"/>
          <w:i/>
          <w:szCs w:val="22"/>
        </w:rPr>
        <w:t>Annual daytime tidal exposure (total hours) and long-term median (dashed line) of intertidal reef seagrass meadows at Archer Point, Cape York NRM region; 2011</w:t>
      </w:r>
      <w:r w:rsidR="005C4C83" w:rsidRPr="00CB093C">
        <w:rPr>
          <w:rFonts w:ascii="Arial" w:hAnsi="Arial" w:cs="Arial"/>
          <w:i/>
          <w:szCs w:val="22"/>
        </w:rPr>
        <w:t>–</w:t>
      </w:r>
      <w:r w:rsidRPr="00CB093C">
        <w:rPr>
          <w:rFonts w:ascii="Arial" w:hAnsi="Arial" w:cs="Arial"/>
          <w:i/>
          <w:szCs w:val="22"/>
        </w:rPr>
        <w:t>201</w:t>
      </w:r>
      <w:r w:rsidR="00627954" w:rsidRPr="00CB093C">
        <w:rPr>
          <w:rFonts w:ascii="Arial" w:hAnsi="Arial" w:cs="Arial"/>
          <w:i/>
          <w:szCs w:val="22"/>
        </w:rPr>
        <w:t>8</w:t>
      </w:r>
      <w:bookmarkEnd w:id="804"/>
      <w:bookmarkEnd w:id="805"/>
    </w:p>
    <w:p w14:paraId="74B2151B" w14:textId="4BDD8D2B" w:rsidR="00273002" w:rsidRPr="00CB093C" w:rsidRDefault="00273002" w:rsidP="00273002">
      <w:pPr>
        <w:rPr>
          <w:rFonts w:ascii="Arial" w:hAnsi="Arial" w:cs="Arial"/>
          <w:szCs w:val="22"/>
        </w:rPr>
      </w:pPr>
      <w:r w:rsidRPr="00CB093C">
        <w:rPr>
          <w:rFonts w:ascii="Arial" w:hAnsi="Arial" w:cs="Arial"/>
          <w:i/>
          <w:szCs w:val="22"/>
        </w:rPr>
        <w:t>.  Year is June</w:t>
      </w:r>
      <w:r w:rsidR="005C4C83" w:rsidRPr="00CB093C">
        <w:rPr>
          <w:rFonts w:ascii="Arial" w:hAnsi="Arial" w:cs="Arial"/>
          <w:i/>
          <w:szCs w:val="22"/>
        </w:rPr>
        <w:t>–</w:t>
      </w:r>
      <w:r w:rsidRPr="00CB093C">
        <w:rPr>
          <w:rFonts w:ascii="Arial" w:hAnsi="Arial" w:cs="Arial"/>
          <w:i/>
          <w:szCs w:val="22"/>
        </w:rPr>
        <w:t xml:space="preserve">May. For tidal exposure (when intertidal banks become exposed at a low tide) height at each site, see </w:t>
      </w:r>
      <w:r w:rsidRPr="00CB093C">
        <w:rPr>
          <w:rFonts w:ascii="Arial" w:hAnsi="Arial" w:cs="Arial"/>
          <w:i/>
          <w:szCs w:val="22"/>
        </w:rPr>
        <w:fldChar w:fldCharType="begin"/>
      </w:r>
      <w:r w:rsidRPr="00CB093C">
        <w:rPr>
          <w:rFonts w:ascii="Arial" w:hAnsi="Arial" w:cs="Arial"/>
          <w:i/>
          <w:szCs w:val="22"/>
        </w:rPr>
        <w:instrText xml:space="preserve"> REF _Ref409806677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szCs w:val="22"/>
        </w:rPr>
        <w:t xml:space="preserve">Table </w:t>
      </w:r>
      <w:r w:rsidR="005F00D4" w:rsidRPr="005F00D4">
        <w:rPr>
          <w:rFonts w:ascii="Arial" w:hAnsi="Arial" w:cs="Arial"/>
          <w:i/>
          <w:noProof/>
          <w:szCs w:val="22"/>
        </w:rPr>
        <w:t>22</w:t>
      </w:r>
      <w:r w:rsidRPr="00CB093C">
        <w:rPr>
          <w:rFonts w:ascii="Arial" w:hAnsi="Arial" w:cs="Arial"/>
          <w:i/>
          <w:szCs w:val="22"/>
        </w:rPr>
        <w:fldChar w:fldCharType="end"/>
      </w:r>
      <w:r w:rsidRPr="00CB093C">
        <w:rPr>
          <w:rFonts w:ascii="Arial" w:hAnsi="Arial" w:cs="Arial"/>
          <w:i/>
          <w:szCs w:val="22"/>
        </w:rPr>
        <w:t>. Observed tidal heights courtesy Maritime Safety Queensland, 201</w:t>
      </w:r>
      <w:r w:rsidR="00627954" w:rsidRPr="00CB093C">
        <w:rPr>
          <w:rFonts w:ascii="Arial" w:hAnsi="Arial" w:cs="Arial"/>
          <w:i/>
          <w:szCs w:val="22"/>
        </w:rPr>
        <w:t>8</w:t>
      </w:r>
      <w:r w:rsidRPr="00CB093C">
        <w:rPr>
          <w:rFonts w:ascii="Arial" w:hAnsi="Arial" w:cs="Arial"/>
          <w:i/>
          <w:szCs w:val="22"/>
        </w:rPr>
        <w:t xml:space="preserve">. NB: Meadow heights have not yet been determined in the far northern Cape York sites. </w:t>
      </w:r>
    </w:p>
    <w:p w14:paraId="6EE0A272" w14:textId="77777777" w:rsidR="00273002" w:rsidRPr="00CB093C" w:rsidRDefault="00273002" w:rsidP="00273002">
      <w:pPr>
        <w:rPr>
          <w:rFonts w:ascii="Arial" w:hAnsi="Arial" w:cs="Arial"/>
          <w:szCs w:val="22"/>
        </w:rPr>
      </w:pPr>
    </w:p>
    <w:p w14:paraId="3AC4DB89" w14:textId="5E4AFAC7" w:rsidR="00273002" w:rsidRPr="00CB093C" w:rsidRDefault="003D70D6" w:rsidP="00273002">
      <w:pPr>
        <w:keepNext/>
        <w:jc w:val="center"/>
        <w:rPr>
          <w:rFonts w:ascii="Arial" w:hAnsi="Arial" w:cs="Arial"/>
          <w:szCs w:val="22"/>
        </w:rPr>
      </w:pPr>
      <w:r w:rsidRPr="00CB093C">
        <w:rPr>
          <w:rFonts w:ascii="Arial" w:hAnsi="Arial" w:cs="Arial"/>
          <w:noProof/>
          <w:szCs w:val="22"/>
          <w:lang w:val="en-US"/>
        </w:rPr>
        <w:drawing>
          <wp:inline distT="0" distB="0" distL="0" distR="0" wp14:anchorId="7D837A3B" wp14:editId="149D069E">
            <wp:extent cx="5739333" cy="2469198"/>
            <wp:effectExtent l="0" t="0" r="0" b="7620"/>
            <wp:docPr id="32" name="Picture 32" descr="Set of bar graphs showing annual daytime tidal exposure and long-term median of intertidal reef seagrass meadows in the Wet Tropics NRM region from 1999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WT_reef_daytime_exposure_2016.png"/>
                    <pic:cNvPicPr/>
                  </pic:nvPicPr>
                  <pic:blipFill>
                    <a:blip r:embed="rId185">
                      <a:extLst>
                        <a:ext uri="{28A0092B-C50C-407E-A947-70E740481C1C}">
                          <a14:useLocalDpi xmlns:a14="http://schemas.microsoft.com/office/drawing/2010/main" val="0"/>
                        </a:ext>
                      </a:extLst>
                    </a:blip>
                    <a:stretch>
                      <a:fillRect/>
                    </a:stretch>
                  </pic:blipFill>
                  <pic:spPr>
                    <a:xfrm>
                      <a:off x="0" y="0"/>
                      <a:ext cx="5739333" cy="2469198"/>
                    </a:xfrm>
                    <a:prstGeom prst="rect">
                      <a:avLst/>
                    </a:prstGeom>
                  </pic:spPr>
                </pic:pic>
              </a:graphicData>
            </a:graphic>
          </wp:inline>
        </w:drawing>
      </w:r>
    </w:p>
    <w:p w14:paraId="2D26F4CE" w14:textId="71E1C0CF" w:rsidR="00273002" w:rsidRPr="00CB093C" w:rsidRDefault="00273002" w:rsidP="00273002">
      <w:pPr>
        <w:rPr>
          <w:rFonts w:ascii="Arial" w:hAnsi="Arial" w:cs="Arial"/>
          <w:i/>
          <w:vanish/>
          <w:szCs w:val="22"/>
          <w:specVanish/>
        </w:rPr>
      </w:pPr>
      <w:bookmarkStart w:id="806" w:name="_Ref410218142"/>
      <w:bookmarkStart w:id="807" w:name="_Toc431493957"/>
      <w:bookmarkStart w:id="808" w:name="_Toc6402864"/>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99</w:t>
      </w:r>
      <w:r w:rsidR="00C506C7" w:rsidRPr="00CB093C">
        <w:rPr>
          <w:rFonts w:ascii="Arial" w:hAnsi="Arial" w:cs="Arial"/>
          <w:noProof/>
          <w:szCs w:val="22"/>
        </w:rPr>
        <w:fldChar w:fldCharType="end"/>
      </w:r>
      <w:bookmarkEnd w:id="806"/>
      <w:r w:rsidRPr="00CB093C">
        <w:rPr>
          <w:rFonts w:ascii="Arial" w:hAnsi="Arial" w:cs="Arial"/>
          <w:szCs w:val="22"/>
        </w:rPr>
        <w:t xml:space="preserve">. </w:t>
      </w:r>
      <w:r w:rsidRPr="00CB093C">
        <w:rPr>
          <w:rFonts w:ascii="Arial" w:hAnsi="Arial" w:cs="Arial"/>
          <w:i/>
          <w:szCs w:val="22"/>
        </w:rPr>
        <w:t>Annual daytime tidal exposure (total hours) and long-term median (dashed line) of intertidal reef seagrass meadows in the Wet Tropics NRM region; 1999</w:t>
      </w:r>
      <w:r w:rsidR="005C4C83" w:rsidRPr="00CB093C">
        <w:rPr>
          <w:rFonts w:ascii="Arial" w:hAnsi="Arial" w:cs="Arial"/>
          <w:i/>
          <w:szCs w:val="22"/>
        </w:rPr>
        <w:t>–</w:t>
      </w:r>
      <w:r w:rsidRPr="00CB093C">
        <w:rPr>
          <w:rFonts w:ascii="Arial" w:hAnsi="Arial" w:cs="Arial"/>
          <w:i/>
          <w:szCs w:val="22"/>
        </w:rPr>
        <w:t>201</w:t>
      </w:r>
      <w:r w:rsidR="00627954" w:rsidRPr="00CB093C">
        <w:rPr>
          <w:rFonts w:ascii="Arial" w:hAnsi="Arial" w:cs="Arial"/>
          <w:i/>
          <w:szCs w:val="22"/>
        </w:rPr>
        <w:t>8</w:t>
      </w:r>
      <w:r w:rsidRPr="00CB093C">
        <w:rPr>
          <w:rFonts w:ascii="Arial" w:hAnsi="Arial" w:cs="Arial"/>
          <w:i/>
          <w:szCs w:val="22"/>
        </w:rPr>
        <w:t>.</w:t>
      </w:r>
      <w:bookmarkEnd w:id="807"/>
      <w:bookmarkEnd w:id="808"/>
      <w:r w:rsidRPr="00CB093C">
        <w:rPr>
          <w:rFonts w:ascii="Arial" w:hAnsi="Arial" w:cs="Arial"/>
          <w:i/>
          <w:vanish/>
          <w:szCs w:val="22"/>
          <w:specVanish/>
        </w:rPr>
        <w:t xml:space="preserve"> </w:t>
      </w:r>
    </w:p>
    <w:p w14:paraId="4A8A5B1A" w14:textId="4B283AEF" w:rsidR="00273002" w:rsidRPr="00CB093C" w:rsidRDefault="00273002" w:rsidP="00273002">
      <w:pPr>
        <w:rPr>
          <w:rFonts w:ascii="Arial" w:hAnsi="Arial" w:cs="Arial"/>
          <w:szCs w:val="22"/>
        </w:rPr>
      </w:pPr>
      <w:r w:rsidRPr="00CB093C">
        <w:rPr>
          <w:rFonts w:ascii="Arial" w:hAnsi="Arial" w:cs="Arial"/>
          <w:i/>
          <w:szCs w:val="22"/>
        </w:rPr>
        <w:t xml:space="preserve">  Year is June</w:t>
      </w:r>
      <w:r w:rsidR="005C4C83" w:rsidRPr="00CB093C">
        <w:rPr>
          <w:rFonts w:ascii="Arial" w:hAnsi="Arial" w:cs="Arial"/>
          <w:i/>
          <w:szCs w:val="22"/>
        </w:rPr>
        <w:t>–</w:t>
      </w:r>
      <w:r w:rsidRPr="00CB093C">
        <w:rPr>
          <w:rFonts w:ascii="Arial" w:hAnsi="Arial" w:cs="Arial"/>
          <w:i/>
          <w:szCs w:val="22"/>
        </w:rPr>
        <w:t xml:space="preserve">May. For tidal exposure (when intertidal banks become exposed at a low tide) height at each site, see </w:t>
      </w:r>
      <w:r w:rsidRPr="00CB093C">
        <w:rPr>
          <w:rFonts w:ascii="Arial" w:hAnsi="Arial" w:cs="Arial"/>
          <w:i/>
          <w:szCs w:val="22"/>
        </w:rPr>
        <w:fldChar w:fldCharType="begin"/>
      </w:r>
      <w:r w:rsidRPr="00CB093C">
        <w:rPr>
          <w:rFonts w:ascii="Arial" w:hAnsi="Arial" w:cs="Arial"/>
          <w:i/>
          <w:szCs w:val="22"/>
        </w:rPr>
        <w:instrText xml:space="preserve"> REF _Ref409806677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szCs w:val="22"/>
        </w:rPr>
        <w:t xml:space="preserve">Table </w:t>
      </w:r>
      <w:r w:rsidR="005F00D4" w:rsidRPr="005F00D4">
        <w:rPr>
          <w:rFonts w:ascii="Arial" w:hAnsi="Arial" w:cs="Arial"/>
          <w:i/>
          <w:noProof/>
          <w:szCs w:val="22"/>
        </w:rPr>
        <w:t>22</w:t>
      </w:r>
      <w:r w:rsidRPr="00CB093C">
        <w:rPr>
          <w:rFonts w:ascii="Arial" w:hAnsi="Arial" w:cs="Arial"/>
          <w:i/>
          <w:szCs w:val="22"/>
        </w:rPr>
        <w:fldChar w:fldCharType="end"/>
      </w:r>
      <w:r w:rsidRPr="00CB093C">
        <w:rPr>
          <w:rFonts w:ascii="Arial" w:hAnsi="Arial" w:cs="Arial"/>
          <w:i/>
          <w:szCs w:val="22"/>
        </w:rPr>
        <w:t>. Observed tidal heights courtesy Maritime Safety Queensland, 201</w:t>
      </w:r>
      <w:r w:rsidR="00627954" w:rsidRPr="00CB093C">
        <w:rPr>
          <w:rFonts w:ascii="Arial" w:hAnsi="Arial" w:cs="Arial"/>
          <w:i/>
          <w:szCs w:val="22"/>
        </w:rPr>
        <w:t>8</w:t>
      </w:r>
      <w:r w:rsidRPr="00CB093C">
        <w:rPr>
          <w:rFonts w:ascii="Arial" w:hAnsi="Arial" w:cs="Arial"/>
          <w:i/>
          <w:szCs w:val="22"/>
        </w:rPr>
        <w:t xml:space="preserve">. </w:t>
      </w:r>
    </w:p>
    <w:p w14:paraId="38D5CD3C" w14:textId="77777777" w:rsidR="00273002" w:rsidRPr="00CB093C" w:rsidRDefault="00273002" w:rsidP="00273002">
      <w:pPr>
        <w:rPr>
          <w:rFonts w:ascii="Arial" w:hAnsi="Arial" w:cs="Arial"/>
          <w:szCs w:val="22"/>
        </w:rPr>
      </w:pPr>
    </w:p>
    <w:p w14:paraId="7D2F5A00" w14:textId="5015B1A2" w:rsidR="00273002" w:rsidRPr="00CB093C" w:rsidRDefault="003D70D6" w:rsidP="00273002">
      <w:pPr>
        <w:keepNext/>
        <w:jc w:val="center"/>
        <w:rPr>
          <w:rFonts w:ascii="Arial" w:hAnsi="Arial" w:cs="Arial"/>
          <w:szCs w:val="22"/>
        </w:rPr>
      </w:pPr>
      <w:r w:rsidRPr="00CB093C">
        <w:rPr>
          <w:rFonts w:ascii="Arial" w:hAnsi="Arial" w:cs="Arial"/>
          <w:noProof/>
          <w:szCs w:val="22"/>
          <w:lang w:val="en-US"/>
        </w:rPr>
        <w:drawing>
          <wp:inline distT="0" distB="0" distL="0" distR="0" wp14:anchorId="6B4C6260" wp14:editId="5D81DA5B">
            <wp:extent cx="5759450" cy="1679114"/>
            <wp:effectExtent l="0" t="0" r="0" b="0"/>
            <wp:docPr id="58" name="Picture 58" descr="Set of bar graphs showing annual daytime tidal exposure and long-term median of intertidal coastal seagrass meadows in the Wet Tropics NRM region from 1999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WT_coast_daytime_exposure_2016.png"/>
                    <pic:cNvPicPr/>
                  </pic:nvPicPr>
                  <pic:blipFill>
                    <a:blip r:embed="rId186">
                      <a:extLst>
                        <a:ext uri="{28A0092B-C50C-407E-A947-70E740481C1C}">
                          <a14:useLocalDpi xmlns:a14="http://schemas.microsoft.com/office/drawing/2010/main" val="0"/>
                        </a:ext>
                      </a:extLst>
                    </a:blip>
                    <a:stretch>
                      <a:fillRect/>
                    </a:stretch>
                  </pic:blipFill>
                  <pic:spPr>
                    <a:xfrm>
                      <a:off x="0" y="0"/>
                      <a:ext cx="5759450" cy="1679114"/>
                    </a:xfrm>
                    <a:prstGeom prst="rect">
                      <a:avLst/>
                    </a:prstGeom>
                  </pic:spPr>
                </pic:pic>
              </a:graphicData>
            </a:graphic>
          </wp:inline>
        </w:drawing>
      </w:r>
    </w:p>
    <w:p w14:paraId="1C9C9EB9" w14:textId="7F9FBD2E" w:rsidR="00273002" w:rsidRPr="00CB093C" w:rsidRDefault="00273002" w:rsidP="00273002">
      <w:pPr>
        <w:rPr>
          <w:rFonts w:ascii="Arial" w:hAnsi="Arial" w:cs="Arial"/>
          <w:i/>
          <w:vanish/>
          <w:szCs w:val="22"/>
          <w:specVanish/>
        </w:rPr>
      </w:pPr>
      <w:bookmarkStart w:id="809" w:name="_Ref410218196"/>
      <w:bookmarkStart w:id="810" w:name="_Toc431493958"/>
      <w:bookmarkStart w:id="811" w:name="_Toc6402865"/>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100</w:t>
      </w:r>
      <w:r w:rsidR="00C506C7" w:rsidRPr="00CB093C">
        <w:rPr>
          <w:rFonts w:ascii="Arial" w:hAnsi="Arial" w:cs="Arial"/>
          <w:noProof/>
          <w:szCs w:val="22"/>
        </w:rPr>
        <w:fldChar w:fldCharType="end"/>
      </w:r>
      <w:bookmarkEnd w:id="809"/>
      <w:r w:rsidRPr="00CB093C">
        <w:rPr>
          <w:rFonts w:ascii="Arial" w:hAnsi="Arial" w:cs="Arial"/>
          <w:szCs w:val="22"/>
        </w:rPr>
        <w:t xml:space="preserve">. </w:t>
      </w:r>
      <w:r w:rsidRPr="00CB093C">
        <w:rPr>
          <w:rFonts w:ascii="Arial" w:hAnsi="Arial" w:cs="Arial"/>
          <w:i/>
          <w:szCs w:val="22"/>
        </w:rPr>
        <w:t>Annual daytime tidal exposure (total hours) and long-term median (dashed line) of intertidal coastal seagrass meadows in Wet Tropics NRM region; 1999</w:t>
      </w:r>
      <w:r w:rsidR="0043389D" w:rsidRPr="00CB093C">
        <w:rPr>
          <w:rFonts w:ascii="Arial" w:hAnsi="Arial" w:cs="Arial"/>
          <w:i/>
          <w:szCs w:val="22"/>
        </w:rPr>
        <w:t>–</w:t>
      </w:r>
      <w:r w:rsidRPr="00CB093C">
        <w:rPr>
          <w:rFonts w:ascii="Arial" w:hAnsi="Arial" w:cs="Arial"/>
          <w:i/>
          <w:szCs w:val="22"/>
        </w:rPr>
        <w:t>201</w:t>
      </w:r>
      <w:r w:rsidR="00627954" w:rsidRPr="00CB093C">
        <w:rPr>
          <w:rFonts w:ascii="Arial" w:hAnsi="Arial" w:cs="Arial"/>
          <w:i/>
          <w:szCs w:val="22"/>
        </w:rPr>
        <w:t>8</w:t>
      </w:r>
      <w:r w:rsidRPr="00CB093C">
        <w:rPr>
          <w:rFonts w:ascii="Arial" w:hAnsi="Arial" w:cs="Arial"/>
          <w:i/>
          <w:szCs w:val="22"/>
        </w:rPr>
        <w:t>.</w:t>
      </w:r>
      <w:bookmarkEnd w:id="810"/>
      <w:bookmarkEnd w:id="811"/>
      <w:r w:rsidRPr="00CB093C">
        <w:rPr>
          <w:rFonts w:ascii="Arial" w:hAnsi="Arial" w:cs="Arial"/>
          <w:i/>
          <w:vanish/>
          <w:szCs w:val="22"/>
          <w:specVanish/>
        </w:rPr>
        <w:t xml:space="preserve"> </w:t>
      </w:r>
    </w:p>
    <w:p w14:paraId="3F81E843" w14:textId="520A76DA" w:rsidR="00273002" w:rsidRPr="00CB093C" w:rsidRDefault="00273002" w:rsidP="00273002">
      <w:pPr>
        <w:rPr>
          <w:rFonts w:ascii="Arial" w:hAnsi="Arial" w:cs="Arial"/>
          <w:szCs w:val="22"/>
        </w:rPr>
      </w:pPr>
      <w:r w:rsidRPr="00CB093C">
        <w:rPr>
          <w:rFonts w:ascii="Arial" w:hAnsi="Arial" w:cs="Arial"/>
          <w:i/>
          <w:szCs w:val="22"/>
        </w:rPr>
        <w:t xml:space="preserve">  Year is June</w:t>
      </w:r>
      <w:r w:rsidR="0043389D" w:rsidRPr="00CB093C">
        <w:rPr>
          <w:rFonts w:ascii="Arial" w:hAnsi="Arial" w:cs="Arial"/>
          <w:i/>
          <w:szCs w:val="22"/>
        </w:rPr>
        <w:t>–</w:t>
      </w:r>
      <w:r w:rsidRPr="00CB093C">
        <w:rPr>
          <w:rFonts w:ascii="Arial" w:hAnsi="Arial" w:cs="Arial"/>
          <w:i/>
          <w:szCs w:val="22"/>
        </w:rPr>
        <w:t xml:space="preserve">May. For tidal exposure (when intertidal banks become exposed at a low tide) height at each site, see </w:t>
      </w:r>
      <w:r w:rsidRPr="00CB093C">
        <w:rPr>
          <w:rFonts w:ascii="Arial" w:hAnsi="Arial" w:cs="Arial"/>
          <w:i/>
          <w:szCs w:val="22"/>
        </w:rPr>
        <w:fldChar w:fldCharType="begin"/>
      </w:r>
      <w:r w:rsidRPr="00CB093C">
        <w:rPr>
          <w:rFonts w:ascii="Arial" w:hAnsi="Arial" w:cs="Arial"/>
          <w:i/>
          <w:szCs w:val="22"/>
        </w:rPr>
        <w:instrText xml:space="preserve"> REF _Ref409806677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szCs w:val="22"/>
        </w:rPr>
        <w:t xml:space="preserve">Table </w:t>
      </w:r>
      <w:r w:rsidR="005F00D4" w:rsidRPr="005F00D4">
        <w:rPr>
          <w:rFonts w:ascii="Arial" w:hAnsi="Arial" w:cs="Arial"/>
          <w:i/>
          <w:noProof/>
          <w:szCs w:val="22"/>
        </w:rPr>
        <w:t>22</w:t>
      </w:r>
      <w:r w:rsidRPr="00CB093C">
        <w:rPr>
          <w:rFonts w:ascii="Arial" w:hAnsi="Arial" w:cs="Arial"/>
          <w:i/>
          <w:szCs w:val="22"/>
        </w:rPr>
        <w:fldChar w:fldCharType="end"/>
      </w:r>
      <w:r w:rsidRPr="00CB093C">
        <w:rPr>
          <w:rFonts w:ascii="Arial" w:hAnsi="Arial" w:cs="Arial"/>
          <w:i/>
          <w:szCs w:val="22"/>
        </w:rPr>
        <w:t>. Observed tidal heights courtesy Maritime Safety Queensland, 201</w:t>
      </w:r>
      <w:r w:rsidR="00627954" w:rsidRPr="00CB093C">
        <w:rPr>
          <w:rFonts w:ascii="Arial" w:hAnsi="Arial" w:cs="Arial"/>
          <w:i/>
          <w:szCs w:val="22"/>
        </w:rPr>
        <w:t>8</w:t>
      </w:r>
      <w:r w:rsidRPr="00CB093C">
        <w:rPr>
          <w:rFonts w:ascii="Arial" w:hAnsi="Arial" w:cs="Arial"/>
          <w:i/>
          <w:szCs w:val="22"/>
        </w:rPr>
        <w:t xml:space="preserve">. </w:t>
      </w:r>
    </w:p>
    <w:p w14:paraId="75B82FFF" w14:textId="77777777" w:rsidR="00273002" w:rsidRPr="00CB093C" w:rsidRDefault="00273002" w:rsidP="00273002">
      <w:pPr>
        <w:rPr>
          <w:rFonts w:ascii="Arial" w:hAnsi="Arial" w:cs="Arial"/>
          <w:szCs w:val="22"/>
        </w:rPr>
      </w:pPr>
    </w:p>
    <w:p w14:paraId="36164BCA" w14:textId="77777777" w:rsidR="00273002" w:rsidRPr="00CB093C" w:rsidRDefault="00273002" w:rsidP="00273002">
      <w:pPr>
        <w:rPr>
          <w:rFonts w:ascii="Arial" w:hAnsi="Arial" w:cs="Arial"/>
          <w:szCs w:val="22"/>
        </w:rPr>
      </w:pPr>
    </w:p>
    <w:p w14:paraId="10664B7E" w14:textId="2507F8CF" w:rsidR="00273002" w:rsidRPr="00CB093C" w:rsidRDefault="003D70D6" w:rsidP="00273002">
      <w:pPr>
        <w:keepNext/>
        <w:jc w:val="center"/>
        <w:rPr>
          <w:rFonts w:ascii="Arial" w:hAnsi="Arial" w:cs="Arial"/>
          <w:szCs w:val="22"/>
        </w:rPr>
      </w:pPr>
      <w:r w:rsidRPr="00CB093C">
        <w:rPr>
          <w:rFonts w:ascii="Arial" w:hAnsi="Arial" w:cs="Arial"/>
          <w:noProof/>
          <w:szCs w:val="22"/>
          <w:lang w:val="en-US"/>
        </w:rPr>
        <w:drawing>
          <wp:inline distT="0" distB="0" distL="0" distR="0" wp14:anchorId="3DE0DAB7" wp14:editId="4ED3BDCC">
            <wp:extent cx="5759450" cy="1679114"/>
            <wp:effectExtent l="0" t="0" r="0" b="0"/>
            <wp:docPr id="10152" name="Picture 10152" descr="Set of bar graphs showing annual daytime tidal exposure and long-term median of intertidal coastal seagrass meadows in the Burdekin NRM region from 2000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2" name="B_coast_daytime_exposure_2016.png"/>
                    <pic:cNvPicPr/>
                  </pic:nvPicPr>
                  <pic:blipFill>
                    <a:blip r:embed="rId187">
                      <a:extLst>
                        <a:ext uri="{28A0092B-C50C-407E-A947-70E740481C1C}">
                          <a14:useLocalDpi xmlns:a14="http://schemas.microsoft.com/office/drawing/2010/main" val="0"/>
                        </a:ext>
                      </a:extLst>
                    </a:blip>
                    <a:stretch>
                      <a:fillRect/>
                    </a:stretch>
                  </pic:blipFill>
                  <pic:spPr>
                    <a:xfrm>
                      <a:off x="0" y="0"/>
                      <a:ext cx="5759450" cy="1679114"/>
                    </a:xfrm>
                    <a:prstGeom prst="rect">
                      <a:avLst/>
                    </a:prstGeom>
                  </pic:spPr>
                </pic:pic>
              </a:graphicData>
            </a:graphic>
          </wp:inline>
        </w:drawing>
      </w:r>
    </w:p>
    <w:p w14:paraId="3F6AE2B6" w14:textId="26C25B6E" w:rsidR="00273002" w:rsidRPr="00CB093C" w:rsidRDefault="00273002" w:rsidP="00273002">
      <w:pPr>
        <w:rPr>
          <w:rFonts w:ascii="Arial" w:hAnsi="Arial" w:cs="Arial"/>
          <w:i/>
          <w:vanish/>
          <w:szCs w:val="22"/>
          <w:specVanish/>
        </w:rPr>
      </w:pPr>
      <w:bookmarkStart w:id="812" w:name="_Ref410287502"/>
      <w:bookmarkStart w:id="813" w:name="_Toc431493959"/>
      <w:bookmarkStart w:id="814" w:name="_Toc6402866"/>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101</w:t>
      </w:r>
      <w:r w:rsidR="00C506C7" w:rsidRPr="00CB093C">
        <w:rPr>
          <w:rFonts w:ascii="Arial" w:hAnsi="Arial" w:cs="Arial"/>
          <w:noProof/>
          <w:szCs w:val="22"/>
        </w:rPr>
        <w:fldChar w:fldCharType="end"/>
      </w:r>
      <w:bookmarkEnd w:id="812"/>
      <w:r w:rsidRPr="00CB093C">
        <w:rPr>
          <w:rFonts w:ascii="Arial" w:hAnsi="Arial" w:cs="Arial"/>
          <w:szCs w:val="22"/>
        </w:rPr>
        <w:t xml:space="preserve">. </w:t>
      </w:r>
      <w:r w:rsidRPr="00CB093C">
        <w:rPr>
          <w:rFonts w:ascii="Arial" w:hAnsi="Arial" w:cs="Arial"/>
          <w:i/>
          <w:szCs w:val="22"/>
        </w:rPr>
        <w:t>Annual daytime tidal exposure (total hours) and long-term median (dashed line) of intertidal coastal seagrass meadows in Burdekin NRM region; 2000</w:t>
      </w:r>
      <w:r w:rsidR="005C4C83"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13"/>
      <w:bookmarkEnd w:id="814"/>
      <w:r w:rsidRPr="00CB093C">
        <w:rPr>
          <w:rFonts w:ascii="Arial" w:hAnsi="Arial" w:cs="Arial"/>
          <w:i/>
          <w:szCs w:val="22"/>
        </w:rPr>
        <w:t xml:space="preserve"> </w:t>
      </w:r>
    </w:p>
    <w:p w14:paraId="028833F7" w14:textId="6884BE30" w:rsidR="00273002" w:rsidRPr="00CB093C" w:rsidRDefault="00273002" w:rsidP="00273002">
      <w:pPr>
        <w:rPr>
          <w:rFonts w:ascii="Arial" w:hAnsi="Arial" w:cs="Arial"/>
          <w:szCs w:val="22"/>
        </w:rPr>
      </w:pPr>
      <w:r w:rsidRPr="00CB093C">
        <w:rPr>
          <w:rFonts w:ascii="Arial" w:hAnsi="Arial" w:cs="Arial"/>
          <w:i/>
          <w:szCs w:val="22"/>
        </w:rPr>
        <w:t xml:space="preserve"> Year is June</w:t>
      </w:r>
      <w:r w:rsidR="005C4C83" w:rsidRPr="00CB093C">
        <w:rPr>
          <w:rFonts w:ascii="Arial" w:hAnsi="Arial" w:cs="Arial"/>
          <w:i/>
          <w:szCs w:val="22"/>
        </w:rPr>
        <w:t>–</w:t>
      </w:r>
      <w:r w:rsidRPr="00CB093C">
        <w:rPr>
          <w:rFonts w:ascii="Arial" w:hAnsi="Arial" w:cs="Arial"/>
          <w:i/>
          <w:szCs w:val="22"/>
        </w:rPr>
        <w:t xml:space="preserve">May. For tidal exposure (when intertidal banks become exposed at a low tide) height at each site, see </w:t>
      </w:r>
      <w:r w:rsidRPr="00CB093C">
        <w:rPr>
          <w:rFonts w:ascii="Arial" w:hAnsi="Arial" w:cs="Arial"/>
          <w:i/>
          <w:szCs w:val="22"/>
        </w:rPr>
        <w:fldChar w:fldCharType="begin"/>
      </w:r>
      <w:r w:rsidRPr="00CB093C">
        <w:rPr>
          <w:rFonts w:ascii="Arial" w:hAnsi="Arial" w:cs="Arial"/>
          <w:i/>
          <w:szCs w:val="22"/>
        </w:rPr>
        <w:instrText xml:space="preserve"> REF _Ref409806677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szCs w:val="22"/>
        </w:rPr>
        <w:t xml:space="preserve">Table </w:t>
      </w:r>
      <w:r w:rsidR="005F00D4" w:rsidRPr="005F00D4">
        <w:rPr>
          <w:rFonts w:ascii="Arial" w:hAnsi="Arial" w:cs="Arial"/>
          <w:i/>
          <w:noProof/>
          <w:szCs w:val="22"/>
        </w:rPr>
        <w:t>22</w:t>
      </w:r>
      <w:r w:rsidRPr="00CB093C">
        <w:rPr>
          <w:rFonts w:ascii="Arial" w:hAnsi="Arial" w:cs="Arial"/>
          <w:i/>
          <w:szCs w:val="22"/>
        </w:rPr>
        <w:fldChar w:fldCharType="end"/>
      </w:r>
      <w:r w:rsidRPr="00CB093C">
        <w:rPr>
          <w:rFonts w:ascii="Arial" w:hAnsi="Arial" w:cs="Arial"/>
          <w:i/>
          <w:szCs w:val="22"/>
        </w:rPr>
        <w:t>. Observed tidal heights courtesy Maritime Safety Queensland, 201</w:t>
      </w:r>
      <w:r w:rsidR="005C65C8" w:rsidRPr="00CB093C">
        <w:rPr>
          <w:rFonts w:ascii="Arial" w:hAnsi="Arial" w:cs="Arial"/>
          <w:i/>
          <w:szCs w:val="22"/>
        </w:rPr>
        <w:t>8</w:t>
      </w:r>
      <w:r w:rsidRPr="00CB093C">
        <w:rPr>
          <w:rFonts w:ascii="Arial" w:hAnsi="Arial" w:cs="Arial"/>
          <w:i/>
          <w:szCs w:val="22"/>
        </w:rPr>
        <w:t>.</w:t>
      </w:r>
      <w:r w:rsidRPr="00CB093C">
        <w:rPr>
          <w:rFonts w:ascii="Arial" w:hAnsi="Arial" w:cs="Arial"/>
          <w:szCs w:val="22"/>
        </w:rPr>
        <w:t xml:space="preserve"> </w:t>
      </w:r>
    </w:p>
    <w:p w14:paraId="3E3E4806" w14:textId="77777777" w:rsidR="00273002" w:rsidRPr="00CB093C" w:rsidRDefault="00273002" w:rsidP="00273002">
      <w:pPr>
        <w:rPr>
          <w:rFonts w:ascii="Arial" w:hAnsi="Arial" w:cs="Arial"/>
          <w:szCs w:val="22"/>
        </w:rPr>
      </w:pPr>
    </w:p>
    <w:p w14:paraId="765DD7FC" w14:textId="56584EDE" w:rsidR="00273002" w:rsidRPr="00CB093C" w:rsidRDefault="003D70D6" w:rsidP="00273002">
      <w:pPr>
        <w:keepNext/>
        <w:jc w:val="center"/>
        <w:rPr>
          <w:rFonts w:ascii="Arial" w:hAnsi="Arial" w:cs="Arial"/>
          <w:szCs w:val="22"/>
        </w:rPr>
      </w:pPr>
      <w:r w:rsidRPr="00CB093C">
        <w:rPr>
          <w:rFonts w:ascii="Arial" w:hAnsi="Arial" w:cs="Arial"/>
          <w:noProof/>
          <w:szCs w:val="22"/>
          <w:lang w:val="en-US"/>
        </w:rPr>
        <w:drawing>
          <wp:inline distT="0" distB="0" distL="0" distR="0" wp14:anchorId="14D67F35" wp14:editId="3AEB83B6">
            <wp:extent cx="5741318" cy="906524"/>
            <wp:effectExtent l="0" t="0" r="0" b="8255"/>
            <wp:docPr id="10175" name="Picture 10175" descr="Set of bar graphs showing annual daytime tidal exposure and long-term median of intertidal reef seagrass meadows in the Burdekin NRM region from 2000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5" name="B_reef_daytime_exposure_2016.png"/>
                    <pic:cNvPicPr/>
                  </pic:nvPicPr>
                  <pic:blipFill>
                    <a:blip r:embed="rId188">
                      <a:extLst>
                        <a:ext uri="{28A0092B-C50C-407E-A947-70E740481C1C}">
                          <a14:useLocalDpi xmlns:a14="http://schemas.microsoft.com/office/drawing/2010/main" val="0"/>
                        </a:ext>
                      </a:extLst>
                    </a:blip>
                    <a:stretch>
                      <a:fillRect/>
                    </a:stretch>
                  </pic:blipFill>
                  <pic:spPr>
                    <a:xfrm>
                      <a:off x="0" y="0"/>
                      <a:ext cx="5741318" cy="906524"/>
                    </a:xfrm>
                    <a:prstGeom prst="rect">
                      <a:avLst/>
                    </a:prstGeom>
                  </pic:spPr>
                </pic:pic>
              </a:graphicData>
            </a:graphic>
          </wp:inline>
        </w:drawing>
      </w:r>
    </w:p>
    <w:p w14:paraId="0933CC2C" w14:textId="5C4380D4" w:rsidR="00273002" w:rsidRPr="00CB093C" w:rsidRDefault="00273002" w:rsidP="00273002">
      <w:pPr>
        <w:rPr>
          <w:rFonts w:ascii="Arial" w:hAnsi="Arial" w:cs="Arial"/>
          <w:i/>
          <w:vanish/>
          <w:szCs w:val="22"/>
          <w:specVanish/>
        </w:rPr>
      </w:pPr>
      <w:bookmarkStart w:id="815" w:name="_Ref410287782"/>
      <w:bookmarkStart w:id="816" w:name="_Toc431493960"/>
      <w:bookmarkStart w:id="817" w:name="_Toc6402867"/>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102</w:t>
      </w:r>
      <w:r w:rsidR="00C506C7" w:rsidRPr="00CB093C">
        <w:rPr>
          <w:rFonts w:ascii="Arial" w:hAnsi="Arial" w:cs="Arial"/>
          <w:noProof/>
          <w:szCs w:val="22"/>
        </w:rPr>
        <w:fldChar w:fldCharType="end"/>
      </w:r>
      <w:bookmarkEnd w:id="815"/>
      <w:r w:rsidRPr="00CB093C">
        <w:rPr>
          <w:rFonts w:ascii="Arial" w:hAnsi="Arial" w:cs="Arial"/>
          <w:szCs w:val="22"/>
        </w:rPr>
        <w:t xml:space="preserve">. </w:t>
      </w:r>
      <w:r w:rsidRPr="00CB093C">
        <w:rPr>
          <w:rFonts w:ascii="Arial" w:hAnsi="Arial" w:cs="Arial"/>
          <w:i/>
          <w:szCs w:val="22"/>
        </w:rPr>
        <w:t>Annual daytime tidal exposure (total hours) and long-term median (dashed line) of intertidal reef seagrass meadows in Burdekin NRM region; 2000</w:t>
      </w:r>
      <w:r w:rsidR="005C4C83"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16"/>
      <w:bookmarkEnd w:id="817"/>
      <w:r w:rsidRPr="00CB093C">
        <w:rPr>
          <w:rFonts w:ascii="Arial" w:hAnsi="Arial" w:cs="Arial"/>
          <w:i/>
          <w:szCs w:val="22"/>
        </w:rPr>
        <w:t xml:space="preserve"> </w:t>
      </w:r>
    </w:p>
    <w:p w14:paraId="232C5D92" w14:textId="345B4DDA" w:rsidR="00273002" w:rsidRPr="00CB093C" w:rsidRDefault="00273002" w:rsidP="00273002">
      <w:pPr>
        <w:rPr>
          <w:rFonts w:ascii="Arial" w:hAnsi="Arial" w:cs="Arial"/>
          <w:szCs w:val="22"/>
        </w:rPr>
      </w:pPr>
      <w:r w:rsidRPr="00CB093C">
        <w:rPr>
          <w:rFonts w:ascii="Arial" w:hAnsi="Arial" w:cs="Arial"/>
          <w:i/>
          <w:szCs w:val="22"/>
        </w:rPr>
        <w:t xml:space="preserve"> Year is June</w:t>
      </w:r>
      <w:r w:rsidR="005C4C83" w:rsidRPr="00CB093C">
        <w:rPr>
          <w:rFonts w:ascii="Arial" w:hAnsi="Arial" w:cs="Arial"/>
          <w:i/>
          <w:szCs w:val="22"/>
        </w:rPr>
        <w:t>–</w:t>
      </w:r>
      <w:r w:rsidRPr="00CB093C">
        <w:rPr>
          <w:rFonts w:ascii="Arial" w:hAnsi="Arial" w:cs="Arial"/>
          <w:i/>
          <w:szCs w:val="22"/>
        </w:rPr>
        <w:t xml:space="preserve">May. For tidal exposure (when intertidal banks become exposed at a low tide) height at each site, see </w:t>
      </w:r>
      <w:r w:rsidRPr="00CB093C">
        <w:rPr>
          <w:rFonts w:ascii="Arial" w:hAnsi="Arial" w:cs="Arial"/>
          <w:i/>
          <w:szCs w:val="22"/>
        </w:rPr>
        <w:fldChar w:fldCharType="begin"/>
      </w:r>
      <w:r w:rsidRPr="00CB093C">
        <w:rPr>
          <w:rFonts w:ascii="Arial" w:hAnsi="Arial" w:cs="Arial"/>
          <w:i/>
          <w:szCs w:val="22"/>
        </w:rPr>
        <w:instrText xml:space="preserve"> REF _Ref409806677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szCs w:val="22"/>
        </w:rPr>
        <w:t xml:space="preserve">Table </w:t>
      </w:r>
      <w:r w:rsidR="005F00D4" w:rsidRPr="005F00D4">
        <w:rPr>
          <w:rFonts w:ascii="Arial" w:hAnsi="Arial" w:cs="Arial"/>
          <w:i/>
          <w:noProof/>
          <w:szCs w:val="22"/>
        </w:rPr>
        <w:t>22</w:t>
      </w:r>
      <w:r w:rsidRPr="00CB093C">
        <w:rPr>
          <w:rFonts w:ascii="Arial" w:hAnsi="Arial" w:cs="Arial"/>
          <w:i/>
          <w:szCs w:val="22"/>
        </w:rPr>
        <w:fldChar w:fldCharType="end"/>
      </w:r>
      <w:r w:rsidRPr="00CB093C">
        <w:rPr>
          <w:rFonts w:ascii="Arial" w:hAnsi="Arial" w:cs="Arial"/>
          <w:i/>
          <w:szCs w:val="22"/>
        </w:rPr>
        <w:t>. Observed tidal heights courtesy Maritime Safety Queensland, 201</w:t>
      </w:r>
      <w:r w:rsidR="005C65C8" w:rsidRPr="00CB093C">
        <w:rPr>
          <w:rFonts w:ascii="Arial" w:hAnsi="Arial" w:cs="Arial"/>
          <w:i/>
          <w:szCs w:val="22"/>
        </w:rPr>
        <w:t>8</w:t>
      </w:r>
      <w:r w:rsidRPr="00CB093C">
        <w:rPr>
          <w:rFonts w:ascii="Arial" w:hAnsi="Arial" w:cs="Arial"/>
          <w:i/>
          <w:szCs w:val="22"/>
        </w:rPr>
        <w:t xml:space="preserve">. </w:t>
      </w:r>
    </w:p>
    <w:p w14:paraId="780E7C9B" w14:textId="77777777" w:rsidR="00273002" w:rsidRPr="00CB093C" w:rsidRDefault="00273002" w:rsidP="00273002">
      <w:pPr>
        <w:rPr>
          <w:rFonts w:ascii="Arial" w:hAnsi="Arial" w:cs="Arial"/>
          <w:szCs w:val="22"/>
        </w:rPr>
      </w:pPr>
    </w:p>
    <w:p w14:paraId="5ECF4CF4" w14:textId="49D94573" w:rsidR="00273002" w:rsidRPr="00CB093C" w:rsidRDefault="00FC62FD" w:rsidP="00273002">
      <w:pPr>
        <w:keepNext/>
        <w:jc w:val="center"/>
        <w:rPr>
          <w:rFonts w:ascii="Arial" w:hAnsi="Arial" w:cs="Arial"/>
          <w:szCs w:val="22"/>
        </w:rPr>
      </w:pPr>
      <w:r w:rsidRPr="00CB093C">
        <w:rPr>
          <w:rFonts w:ascii="Arial" w:hAnsi="Arial" w:cs="Arial"/>
          <w:noProof/>
          <w:szCs w:val="22"/>
          <w:lang w:val="en-US"/>
        </w:rPr>
        <w:drawing>
          <wp:inline distT="0" distB="0" distL="0" distR="0" wp14:anchorId="2F4A33CE" wp14:editId="6A8D4938">
            <wp:extent cx="5759450" cy="2477229"/>
            <wp:effectExtent l="0" t="0" r="0" b="0"/>
            <wp:docPr id="85" name="Picture 85" descr="Set of bar graphs showing annual daytime tidal exposure and long-term median of intertidal seagrass meadows in the Mackay Whitsunday NRM region from 1999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MW_daytime_exposure_2016.png"/>
                    <pic:cNvPicPr/>
                  </pic:nvPicPr>
                  <pic:blipFill>
                    <a:blip r:embed="rId189">
                      <a:extLst>
                        <a:ext uri="{28A0092B-C50C-407E-A947-70E740481C1C}">
                          <a14:useLocalDpi xmlns:a14="http://schemas.microsoft.com/office/drawing/2010/main" val="0"/>
                        </a:ext>
                      </a:extLst>
                    </a:blip>
                    <a:stretch>
                      <a:fillRect/>
                    </a:stretch>
                  </pic:blipFill>
                  <pic:spPr>
                    <a:xfrm>
                      <a:off x="0" y="0"/>
                      <a:ext cx="5759450" cy="2477229"/>
                    </a:xfrm>
                    <a:prstGeom prst="rect">
                      <a:avLst/>
                    </a:prstGeom>
                  </pic:spPr>
                </pic:pic>
              </a:graphicData>
            </a:graphic>
          </wp:inline>
        </w:drawing>
      </w:r>
    </w:p>
    <w:p w14:paraId="51C81637" w14:textId="33909531" w:rsidR="00273002" w:rsidRPr="00CB093C" w:rsidRDefault="00273002" w:rsidP="00273002">
      <w:pPr>
        <w:rPr>
          <w:rFonts w:ascii="Arial" w:hAnsi="Arial" w:cs="Arial"/>
          <w:i/>
          <w:vanish/>
          <w:szCs w:val="22"/>
          <w:specVanish/>
        </w:rPr>
      </w:pPr>
      <w:bookmarkStart w:id="818" w:name="_Ref410297244"/>
      <w:bookmarkStart w:id="819" w:name="_Toc431493961"/>
      <w:bookmarkStart w:id="820" w:name="_Toc6402868"/>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103</w:t>
      </w:r>
      <w:r w:rsidR="00C506C7" w:rsidRPr="00CB093C">
        <w:rPr>
          <w:rFonts w:ascii="Arial" w:hAnsi="Arial" w:cs="Arial"/>
          <w:noProof/>
          <w:szCs w:val="22"/>
        </w:rPr>
        <w:fldChar w:fldCharType="end"/>
      </w:r>
      <w:bookmarkEnd w:id="818"/>
      <w:r w:rsidRPr="00CB093C">
        <w:rPr>
          <w:rFonts w:ascii="Arial" w:hAnsi="Arial" w:cs="Arial"/>
          <w:szCs w:val="22"/>
        </w:rPr>
        <w:t xml:space="preserve">. </w:t>
      </w:r>
      <w:r w:rsidRPr="00CB093C">
        <w:rPr>
          <w:rFonts w:ascii="Arial" w:hAnsi="Arial" w:cs="Arial"/>
          <w:i/>
          <w:szCs w:val="22"/>
        </w:rPr>
        <w:t xml:space="preserve">Annual daytime tidal exposure (total hours) and long-term median (dashed line) of intertidal estuarine (a, b) coastal (c, d) and reef (e, f) seagrass meadows in </w:t>
      </w:r>
      <w:r w:rsidR="00637325">
        <w:rPr>
          <w:rFonts w:ascii="Arial" w:hAnsi="Arial" w:cs="Arial"/>
          <w:i/>
          <w:szCs w:val="22"/>
        </w:rPr>
        <w:t>Mackay-Whitsunday</w:t>
      </w:r>
      <w:r w:rsidRPr="00CB093C">
        <w:rPr>
          <w:rFonts w:ascii="Arial" w:hAnsi="Arial" w:cs="Arial"/>
          <w:i/>
          <w:szCs w:val="22"/>
        </w:rPr>
        <w:t xml:space="preserve"> NRM region; 1999</w:t>
      </w:r>
      <w:r w:rsidR="005C4C83"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19"/>
      <w:bookmarkEnd w:id="820"/>
      <w:r w:rsidRPr="00CB093C">
        <w:rPr>
          <w:rFonts w:ascii="Arial" w:hAnsi="Arial" w:cs="Arial"/>
          <w:i/>
          <w:vanish/>
          <w:szCs w:val="22"/>
          <w:specVanish/>
        </w:rPr>
        <w:t xml:space="preserve"> </w:t>
      </w:r>
    </w:p>
    <w:p w14:paraId="04091333" w14:textId="2BF01735" w:rsidR="00273002" w:rsidRPr="00CB093C" w:rsidRDefault="00273002" w:rsidP="00273002">
      <w:pPr>
        <w:rPr>
          <w:rFonts w:ascii="Arial" w:hAnsi="Arial" w:cs="Arial"/>
          <w:szCs w:val="22"/>
        </w:rPr>
      </w:pPr>
      <w:r w:rsidRPr="00CB093C">
        <w:rPr>
          <w:rFonts w:ascii="Arial" w:hAnsi="Arial" w:cs="Arial"/>
          <w:i/>
          <w:szCs w:val="22"/>
        </w:rPr>
        <w:t xml:space="preserve">  Year is June</w:t>
      </w:r>
      <w:r w:rsidR="005C4C83" w:rsidRPr="00CB093C">
        <w:rPr>
          <w:rFonts w:ascii="Arial" w:hAnsi="Arial" w:cs="Arial"/>
          <w:i/>
          <w:szCs w:val="22"/>
        </w:rPr>
        <w:t>–</w:t>
      </w:r>
      <w:r w:rsidRPr="00CB093C">
        <w:rPr>
          <w:rFonts w:ascii="Arial" w:hAnsi="Arial" w:cs="Arial"/>
          <w:i/>
          <w:szCs w:val="22"/>
        </w:rPr>
        <w:t xml:space="preserve">May. For tidal exposure (when intertidal banks become exposed at a low tide) height at each site, see </w:t>
      </w:r>
      <w:r w:rsidRPr="00CB093C">
        <w:rPr>
          <w:rFonts w:ascii="Arial" w:hAnsi="Arial" w:cs="Arial"/>
          <w:i/>
          <w:szCs w:val="22"/>
        </w:rPr>
        <w:fldChar w:fldCharType="begin"/>
      </w:r>
      <w:r w:rsidRPr="00CB093C">
        <w:rPr>
          <w:rFonts w:ascii="Arial" w:hAnsi="Arial" w:cs="Arial"/>
          <w:i/>
          <w:szCs w:val="22"/>
        </w:rPr>
        <w:instrText xml:space="preserve"> REF _Ref409806677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szCs w:val="22"/>
        </w:rPr>
        <w:t xml:space="preserve">Table </w:t>
      </w:r>
      <w:r w:rsidR="005F00D4" w:rsidRPr="005F00D4">
        <w:rPr>
          <w:rFonts w:ascii="Arial" w:hAnsi="Arial" w:cs="Arial"/>
          <w:i/>
          <w:noProof/>
          <w:szCs w:val="22"/>
        </w:rPr>
        <w:t>22</w:t>
      </w:r>
      <w:r w:rsidRPr="00CB093C">
        <w:rPr>
          <w:rFonts w:ascii="Arial" w:hAnsi="Arial" w:cs="Arial"/>
          <w:i/>
          <w:szCs w:val="22"/>
        </w:rPr>
        <w:fldChar w:fldCharType="end"/>
      </w:r>
      <w:r w:rsidRPr="00CB093C">
        <w:rPr>
          <w:rFonts w:ascii="Arial" w:hAnsi="Arial" w:cs="Arial"/>
          <w:i/>
          <w:szCs w:val="22"/>
        </w:rPr>
        <w:t>. Observed tidal heights courtesy Maritime Safety Queensland, 201</w:t>
      </w:r>
      <w:r w:rsidR="005C65C8" w:rsidRPr="00CB093C">
        <w:rPr>
          <w:rFonts w:ascii="Arial" w:hAnsi="Arial" w:cs="Arial"/>
          <w:i/>
          <w:szCs w:val="22"/>
        </w:rPr>
        <w:t>8</w:t>
      </w:r>
      <w:r w:rsidRPr="00CB093C">
        <w:rPr>
          <w:rFonts w:ascii="Arial" w:hAnsi="Arial" w:cs="Arial"/>
          <w:i/>
          <w:szCs w:val="22"/>
        </w:rPr>
        <w:t>.</w:t>
      </w:r>
      <w:r w:rsidRPr="00CB093C">
        <w:rPr>
          <w:rFonts w:ascii="Arial" w:hAnsi="Arial" w:cs="Arial"/>
          <w:szCs w:val="22"/>
        </w:rPr>
        <w:t xml:space="preserve"> </w:t>
      </w:r>
    </w:p>
    <w:p w14:paraId="6B324F7C" w14:textId="77777777" w:rsidR="00273002" w:rsidRPr="00CB093C" w:rsidRDefault="00273002" w:rsidP="00273002">
      <w:pPr>
        <w:rPr>
          <w:rFonts w:ascii="Arial" w:hAnsi="Arial" w:cs="Arial"/>
          <w:szCs w:val="22"/>
        </w:rPr>
      </w:pPr>
    </w:p>
    <w:p w14:paraId="04203E96" w14:textId="081719B3" w:rsidR="00273002" w:rsidRPr="00CB093C" w:rsidRDefault="00FC62FD" w:rsidP="00273002">
      <w:pPr>
        <w:keepNext/>
        <w:jc w:val="center"/>
        <w:rPr>
          <w:rFonts w:ascii="Arial" w:hAnsi="Arial" w:cs="Arial"/>
          <w:szCs w:val="22"/>
        </w:rPr>
      </w:pPr>
      <w:r w:rsidRPr="00CB093C">
        <w:rPr>
          <w:rFonts w:ascii="Arial" w:hAnsi="Arial" w:cs="Arial"/>
          <w:noProof/>
          <w:szCs w:val="22"/>
          <w:lang w:val="en-US"/>
        </w:rPr>
        <w:drawing>
          <wp:inline distT="0" distB="0" distL="0" distR="0" wp14:anchorId="7941A29E" wp14:editId="54587D5C">
            <wp:extent cx="5759450" cy="2481596"/>
            <wp:effectExtent l="0" t="0" r="0" b="0"/>
            <wp:docPr id="86" name="Picture 86" descr="Set of bar graphs showing annual daytime tidal exposure and long-term median of intertidal seagrass meadows in the Fitzroy NRM region from 1999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F_daytime_exposure_2016.png"/>
                    <pic:cNvPicPr/>
                  </pic:nvPicPr>
                  <pic:blipFill>
                    <a:blip r:embed="rId190">
                      <a:extLst>
                        <a:ext uri="{28A0092B-C50C-407E-A947-70E740481C1C}">
                          <a14:useLocalDpi xmlns:a14="http://schemas.microsoft.com/office/drawing/2010/main" val="0"/>
                        </a:ext>
                      </a:extLst>
                    </a:blip>
                    <a:stretch>
                      <a:fillRect/>
                    </a:stretch>
                  </pic:blipFill>
                  <pic:spPr>
                    <a:xfrm>
                      <a:off x="0" y="0"/>
                      <a:ext cx="5759450" cy="2481596"/>
                    </a:xfrm>
                    <a:prstGeom prst="rect">
                      <a:avLst/>
                    </a:prstGeom>
                  </pic:spPr>
                </pic:pic>
              </a:graphicData>
            </a:graphic>
          </wp:inline>
        </w:drawing>
      </w:r>
    </w:p>
    <w:p w14:paraId="640DC1C1" w14:textId="1470E269" w:rsidR="00273002" w:rsidRPr="00CB093C" w:rsidRDefault="00273002" w:rsidP="00273002">
      <w:pPr>
        <w:rPr>
          <w:rFonts w:ascii="Arial" w:hAnsi="Arial" w:cs="Arial"/>
          <w:i/>
          <w:vanish/>
          <w:szCs w:val="22"/>
          <w:specVanish/>
        </w:rPr>
      </w:pPr>
      <w:bookmarkStart w:id="821" w:name="_Ref410305493"/>
      <w:bookmarkStart w:id="822" w:name="_Toc431493962"/>
      <w:bookmarkStart w:id="823" w:name="_Toc6402869"/>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104</w:t>
      </w:r>
      <w:r w:rsidR="00C506C7" w:rsidRPr="00CB093C">
        <w:rPr>
          <w:rFonts w:ascii="Arial" w:hAnsi="Arial" w:cs="Arial"/>
          <w:noProof/>
          <w:szCs w:val="22"/>
        </w:rPr>
        <w:fldChar w:fldCharType="end"/>
      </w:r>
      <w:bookmarkEnd w:id="821"/>
      <w:r w:rsidRPr="00CB093C">
        <w:rPr>
          <w:rFonts w:ascii="Arial" w:hAnsi="Arial" w:cs="Arial"/>
          <w:szCs w:val="22"/>
        </w:rPr>
        <w:t xml:space="preserve">. </w:t>
      </w:r>
      <w:r w:rsidRPr="00CB093C">
        <w:rPr>
          <w:rFonts w:ascii="Arial" w:hAnsi="Arial" w:cs="Arial"/>
          <w:i/>
          <w:szCs w:val="22"/>
        </w:rPr>
        <w:t>Annual daytime tidal exposure (total hours) and long-term median (dashed line) of intertidal estuarine (a, b) coastal (c, d) and reef (e, f) seagrass meadows in the Fitzroy NRM region; 1999</w:t>
      </w:r>
      <w:r w:rsidR="005C4C83"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22"/>
      <w:bookmarkEnd w:id="823"/>
      <w:r w:rsidRPr="00CB093C">
        <w:rPr>
          <w:rFonts w:ascii="Arial" w:hAnsi="Arial" w:cs="Arial"/>
          <w:i/>
          <w:szCs w:val="22"/>
        </w:rPr>
        <w:t xml:space="preserve"> </w:t>
      </w:r>
    </w:p>
    <w:p w14:paraId="7ECEEAF7" w14:textId="0EFF8000" w:rsidR="00273002" w:rsidRPr="00CB093C" w:rsidRDefault="00273002" w:rsidP="00273002">
      <w:pPr>
        <w:rPr>
          <w:rFonts w:ascii="Arial" w:hAnsi="Arial" w:cs="Arial"/>
          <w:szCs w:val="22"/>
        </w:rPr>
      </w:pPr>
      <w:r w:rsidRPr="00CB093C">
        <w:rPr>
          <w:rFonts w:ascii="Arial" w:hAnsi="Arial" w:cs="Arial"/>
          <w:i/>
          <w:szCs w:val="22"/>
        </w:rPr>
        <w:t xml:space="preserve"> Year is June</w:t>
      </w:r>
      <w:r w:rsidR="005C4C83" w:rsidRPr="00CB093C">
        <w:rPr>
          <w:rFonts w:ascii="Arial" w:hAnsi="Arial" w:cs="Arial"/>
          <w:i/>
          <w:szCs w:val="22"/>
        </w:rPr>
        <w:t>–</w:t>
      </w:r>
      <w:r w:rsidRPr="00CB093C">
        <w:rPr>
          <w:rFonts w:ascii="Arial" w:hAnsi="Arial" w:cs="Arial"/>
          <w:i/>
          <w:szCs w:val="22"/>
        </w:rPr>
        <w:t xml:space="preserve">May. For tidal exposure (when intertidal banks become exposed at a low tide) height at each site, see </w:t>
      </w:r>
      <w:r w:rsidRPr="00CB093C">
        <w:rPr>
          <w:rFonts w:ascii="Arial" w:hAnsi="Arial" w:cs="Arial"/>
          <w:i/>
          <w:szCs w:val="22"/>
        </w:rPr>
        <w:fldChar w:fldCharType="begin"/>
      </w:r>
      <w:r w:rsidRPr="00CB093C">
        <w:rPr>
          <w:rFonts w:ascii="Arial" w:hAnsi="Arial" w:cs="Arial"/>
          <w:i/>
          <w:szCs w:val="22"/>
        </w:rPr>
        <w:instrText xml:space="preserve"> REF _Ref409806677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szCs w:val="22"/>
        </w:rPr>
        <w:t xml:space="preserve">Table </w:t>
      </w:r>
      <w:r w:rsidR="005F00D4" w:rsidRPr="005F00D4">
        <w:rPr>
          <w:rFonts w:ascii="Arial" w:hAnsi="Arial" w:cs="Arial"/>
          <w:i/>
          <w:noProof/>
          <w:szCs w:val="22"/>
        </w:rPr>
        <w:t>22</w:t>
      </w:r>
      <w:r w:rsidRPr="00CB093C">
        <w:rPr>
          <w:rFonts w:ascii="Arial" w:hAnsi="Arial" w:cs="Arial"/>
          <w:i/>
          <w:szCs w:val="22"/>
        </w:rPr>
        <w:fldChar w:fldCharType="end"/>
      </w:r>
      <w:r w:rsidRPr="00CB093C">
        <w:rPr>
          <w:rFonts w:ascii="Arial" w:hAnsi="Arial" w:cs="Arial"/>
          <w:i/>
          <w:szCs w:val="22"/>
        </w:rPr>
        <w:t>. Observed tidal heights courtesy Maritime Safety Queensland, 201</w:t>
      </w:r>
      <w:r w:rsidR="005C65C8" w:rsidRPr="00CB093C">
        <w:rPr>
          <w:rFonts w:ascii="Arial" w:hAnsi="Arial" w:cs="Arial"/>
          <w:i/>
          <w:szCs w:val="22"/>
        </w:rPr>
        <w:t>8</w:t>
      </w:r>
      <w:r w:rsidRPr="00CB093C">
        <w:rPr>
          <w:rFonts w:ascii="Arial" w:hAnsi="Arial" w:cs="Arial"/>
          <w:i/>
          <w:szCs w:val="22"/>
        </w:rPr>
        <w:t>.</w:t>
      </w:r>
      <w:r w:rsidRPr="00CB093C">
        <w:rPr>
          <w:rFonts w:ascii="Arial" w:hAnsi="Arial" w:cs="Arial"/>
          <w:szCs w:val="22"/>
        </w:rPr>
        <w:t xml:space="preserve"> </w:t>
      </w:r>
    </w:p>
    <w:p w14:paraId="63190E79" w14:textId="77777777" w:rsidR="00273002" w:rsidRPr="00CB093C" w:rsidRDefault="00273002" w:rsidP="00273002">
      <w:pPr>
        <w:rPr>
          <w:rFonts w:ascii="Arial" w:hAnsi="Arial" w:cs="Arial"/>
          <w:szCs w:val="22"/>
        </w:rPr>
      </w:pPr>
    </w:p>
    <w:p w14:paraId="534D24D4" w14:textId="1FA1F078" w:rsidR="00273002" w:rsidRPr="00CB093C" w:rsidRDefault="00FC62FD" w:rsidP="00273002">
      <w:pPr>
        <w:keepNext/>
        <w:jc w:val="center"/>
        <w:rPr>
          <w:rFonts w:ascii="Arial" w:hAnsi="Arial" w:cs="Arial"/>
          <w:szCs w:val="22"/>
        </w:rPr>
      </w:pPr>
      <w:r w:rsidRPr="00CB093C">
        <w:rPr>
          <w:rFonts w:ascii="Arial" w:hAnsi="Arial" w:cs="Arial"/>
          <w:noProof/>
          <w:szCs w:val="22"/>
          <w:lang w:val="en-US"/>
        </w:rPr>
        <w:drawing>
          <wp:inline distT="0" distB="0" distL="0" distR="0" wp14:anchorId="2292E2AB" wp14:editId="75A17BF2">
            <wp:extent cx="5724209" cy="1686134"/>
            <wp:effectExtent l="0" t="0" r="0" b="9525"/>
            <wp:docPr id="87" name="Picture 87" descr="Set of bar graphs showing annual daytime tidal exposure and long-term median of intertidal seagrass meadows in the Burnett Mary NRM region from 1999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BM_daytime_exposure_2016.png"/>
                    <pic:cNvPicPr/>
                  </pic:nvPicPr>
                  <pic:blipFill>
                    <a:blip r:embed="rId191">
                      <a:extLst>
                        <a:ext uri="{28A0092B-C50C-407E-A947-70E740481C1C}">
                          <a14:useLocalDpi xmlns:a14="http://schemas.microsoft.com/office/drawing/2010/main" val="0"/>
                        </a:ext>
                      </a:extLst>
                    </a:blip>
                    <a:stretch>
                      <a:fillRect/>
                    </a:stretch>
                  </pic:blipFill>
                  <pic:spPr>
                    <a:xfrm>
                      <a:off x="0" y="0"/>
                      <a:ext cx="5724209" cy="1686134"/>
                    </a:xfrm>
                    <a:prstGeom prst="rect">
                      <a:avLst/>
                    </a:prstGeom>
                  </pic:spPr>
                </pic:pic>
              </a:graphicData>
            </a:graphic>
          </wp:inline>
        </w:drawing>
      </w:r>
    </w:p>
    <w:p w14:paraId="518AAFEF" w14:textId="75D876CE" w:rsidR="00273002" w:rsidRPr="00CB093C" w:rsidRDefault="00273002" w:rsidP="00273002">
      <w:pPr>
        <w:rPr>
          <w:rFonts w:ascii="Arial" w:hAnsi="Arial" w:cs="Arial"/>
          <w:i/>
          <w:vanish/>
          <w:szCs w:val="22"/>
          <w:specVanish/>
        </w:rPr>
      </w:pPr>
      <w:bookmarkStart w:id="824" w:name="_Ref410309889"/>
      <w:bookmarkStart w:id="825" w:name="_Toc431493963"/>
      <w:bookmarkStart w:id="826" w:name="_Toc6402870"/>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105</w:t>
      </w:r>
      <w:r w:rsidR="00C506C7" w:rsidRPr="00CB093C">
        <w:rPr>
          <w:rFonts w:ascii="Arial" w:hAnsi="Arial" w:cs="Arial"/>
          <w:noProof/>
          <w:szCs w:val="22"/>
        </w:rPr>
        <w:fldChar w:fldCharType="end"/>
      </w:r>
      <w:bookmarkEnd w:id="824"/>
      <w:r w:rsidRPr="00CB093C">
        <w:rPr>
          <w:rFonts w:ascii="Arial" w:hAnsi="Arial" w:cs="Arial"/>
          <w:szCs w:val="22"/>
        </w:rPr>
        <w:t xml:space="preserve">. </w:t>
      </w:r>
      <w:r w:rsidRPr="00CB093C">
        <w:rPr>
          <w:rFonts w:ascii="Arial" w:hAnsi="Arial" w:cs="Arial"/>
          <w:i/>
          <w:szCs w:val="22"/>
        </w:rPr>
        <w:t>Annual daytime tidal exposure (total hours) and long-term median (dashed line) of intertidal estuarine seagrass meadows in the Burnett Mary NRM region; 1999</w:t>
      </w:r>
      <w:r w:rsidR="005C4C83"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25"/>
      <w:bookmarkEnd w:id="826"/>
      <w:r w:rsidRPr="00CB093C">
        <w:rPr>
          <w:rFonts w:ascii="Arial" w:hAnsi="Arial" w:cs="Arial"/>
          <w:i/>
          <w:vanish/>
          <w:szCs w:val="22"/>
          <w:specVanish/>
        </w:rPr>
        <w:t xml:space="preserve"> </w:t>
      </w:r>
    </w:p>
    <w:p w14:paraId="508C3246" w14:textId="5EF0017D" w:rsidR="00273002" w:rsidRPr="00CB093C" w:rsidRDefault="00273002" w:rsidP="00273002">
      <w:pPr>
        <w:rPr>
          <w:rFonts w:ascii="Arial" w:hAnsi="Arial" w:cs="Arial"/>
          <w:szCs w:val="22"/>
          <w:lang w:val="en-GB"/>
        </w:rPr>
      </w:pPr>
      <w:r w:rsidRPr="00CB093C">
        <w:rPr>
          <w:rFonts w:ascii="Arial" w:hAnsi="Arial" w:cs="Arial"/>
          <w:i/>
          <w:szCs w:val="22"/>
        </w:rPr>
        <w:t xml:space="preserve">  Year is June</w:t>
      </w:r>
      <w:r w:rsidR="005C4C83" w:rsidRPr="00CB093C">
        <w:rPr>
          <w:rFonts w:ascii="Arial" w:hAnsi="Arial" w:cs="Arial"/>
          <w:i/>
          <w:szCs w:val="22"/>
        </w:rPr>
        <w:t>–</w:t>
      </w:r>
      <w:r w:rsidRPr="00CB093C">
        <w:rPr>
          <w:rFonts w:ascii="Arial" w:hAnsi="Arial" w:cs="Arial"/>
          <w:i/>
          <w:szCs w:val="22"/>
        </w:rPr>
        <w:t xml:space="preserve">May. For tidal exposure (when intertidal banks become exposed at a low tide) height at each site, see </w:t>
      </w:r>
      <w:r w:rsidRPr="00CB093C">
        <w:rPr>
          <w:rFonts w:ascii="Arial" w:hAnsi="Arial" w:cs="Arial"/>
          <w:i/>
          <w:szCs w:val="22"/>
        </w:rPr>
        <w:fldChar w:fldCharType="begin"/>
      </w:r>
      <w:r w:rsidRPr="00CB093C">
        <w:rPr>
          <w:rFonts w:ascii="Arial" w:hAnsi="Arial" w:cs="Arial"/>
          <w:i/>
          <w:szCs w:val="22"/>
        </w:rPr>
        <w:instrText xml:space="preserve"> REF _Ref409806677 \h  \* MERGEFORMAT </w:instrText>
      </w:r>
      <w:r w:rsidRPr="00CB093C">
        <w:rPr>
          <w:rFonts w:ascii="Arial" w:hAnsi="Arial" w:cs="Arial"/>
          <w:i/>
          <w:szCs w:val="22"/>
        </w:rPr>
      </w:r>
      <w:r w:rsidRPr="00CB093C">
        <w:rPr>
          <w:rFonts w:ascii="Arial" w:hAnsi="Arial" w:cs="Arial"/>
          <w:i/>
          <w:szCs w:val="22"/>
        </w:rPr>
        <w:fldChar w:fldCharType="separate"/>
      </w:r>
      <w:r w:rsidR="005F00D4" w:rsidRPr="005F00D4">
        <w:rPr>
          <w:rFonts w:ascii="Arial" w:hAnsi="Arial" w:cs="Arial"/>
          <w:i/>
          <w:szCs w:val="22"/>
        </w:rPr>
        <w:t xml:space="preserve">Table </w:t>
      </w:r>
      <w:r w:rsidR="005F00D4" w:rsidRPr="005F00D4">
        <w:rPr>
          <w:rFonts w:ascii="Arial" w:hAnsi="Arial" w:cs="Arial"/>
          <w:i/>
          <w:noProof/>
          <w:szCs w:val="22"/>
        </w:rPr>
        <w:t>22</w:t>
      </w:r>
      <w:r w:rsidRPr="00CB093C">
        <w:rPr>
          <w:rFonts w:ascii="Arial" w:hAnsi="Arial" w:cs="Arial"/>
          <w:i/>
          <w:szCs w:val="22"/>
        </w:rPr>
        <w:fldChar w:fldCharType="end"/>
      </w:r>
      <w:r w:rsidRPr="00CB093C">
        <w:rPr>
          <w:rFonts w:ascii="Arial" w:hAnsi="Arial" w:cs="Arial"/>
          <w:i/>
          <w:szCs w:val="22"/>
        </w:rPr>
        <w:t>. Observed tidal heights courtesy Maritime Safety Queensland, 201</w:t>
      </w:r>
      <w:r w:rsidR="005C65C8" w:rsidRPr="00CB093C">
        <w:rPr>
          <w:rFonts w:ascii="Arial" w:hAnsi="Arial" w:cs="Arial"/>
          <w:i/>
          <w:szCs w:val="22"/>
        </w:rPr>
        <w:t>8</w:t>
      </w:r>
      <w:r w:rsidRPr="00CB093C">
        <w:rPr>
          <w:rFonts w:ascii="Arial" w:hAnsi="Arial" w:cs="Arial"/>
          <w:i/>
          <w:szCs w:val="22"/>
        </w:rPr>
        <w:t xml:space="preserve">. </w:t>
      </w:r>
    </w:p>
    <w:p w14:paraId="2D718817" w14:textId="77777777" w:rsidR="00273002" w:rsidRPr="00CB093C" w:rsidRDefault="00273002" w:rsidP="00273002">
      <w:pPr>
        <w:rPr>
          <w:rFonts w:ascii="Arial" w:hAnsi="Arial" w:cs="Arial"/>
          <w:szCs w:val="22"/>
        </w:rPr>
      </w:pPr>
    </w:p>
    <w:p w14:paraId="777E99F7" w14:textId="77777777" w:rsidR="00273002" w:rsidRPr="00CB093C" w:rsidRDefault="00273002" w:rsidP="00273002">
      <w:pPr>
        <w:rPr>
          <w:rFonts w:ascii="Arial" w:hAnsi="Arial" w:cs="Arial"/>
          <w:color w:val="000000"/>
          <w:szCs w:val="22"/>
        </w:rPr>
      </w:pPr>
    </w:p>
    <w:p w14:paraId="4EE5A119" w14:textId="77777777" w:rsidR="00273002" w:rsidRPr="00CB093C" w:rsidRDefault="00273002">
      <w:pPr>
        <w:spacing w:before="0" w:after="0"/>
        <w:rPr>
          <w:rFonts w:ascii="Arial" w:hAnsi="Arial" w:cs="Arial"/>
          <w:color w:val="000000"/>
          <w:szCs w:val="22"/>
        </w:rPr>
      </w:pPr>
      <w:r w:rsidRPr="00CB093C">
        <w:rPr>
          <w:rFonts w:ascii="Arial" w:hAnsi="Arial" w:cs="Arial"/>
          <w:color w:val="000000"/>
          <w:szCs w:val="22"/>
        </w:rPr>
        <w:br w:type="page"/>
      </w:r>
    </w:p>
    <w:p w14:paraId="5A622C66" w14:textId="4000E60C" w:rsidR="002E6139" w:rsidRPr="00CB093C" w:rsidRDefault="002E6139" w:rsidP="00D2585E">
      <w:pPr>
        <w:pStyle w:val="Heading3"/>
        <w:numPr>
          <w:ilvl w:val="0"/>
          <w:numId w:val="0"/>
        </w:numPr>
        <w:rPr>
          <w:rFonts w:ascii="Arial" w:hAnsi="Arial" w:cs="Arial"/>
          <w:sz w:val="22"/>
          <w:szCs w:val="22"/>
        </w:rPr>
      </w:pPr>
      <w:bookmarkStart w:id="827" w:name="_Toc11394806"/>
      <w:r w:rsidRPr="00CB093C">
        <w:rPr>
          <w:rFonts w:ascii="Arial" w:hAnsi="Arial" w:cs="Arial"/>
          <w:sz w:val="22"/>
          <w:szCs w:val="22"/>
        </w:rPr>
        <w:t>Light at seagrass canopy</w:t>
      </w:r>
      <w:bookmarkEnd w:id="827"/>
    </w:p>
    <w:p w14:paraId="26BE4E84" w14:textId="77777777" w:rsidR="00800B15" w:rsidRPr="00CB093C" w:rsidRDefault="00800B15" w:rsidP="00800B15">
      <w:pPr>
        <w:rPr>
          <w:rFonts w:ascii="Arial" w:hAnsi="Arial" w:cs="Arial"/>
          <w:szCs w:val="22"/>
          <w:lang w:eastAsia="x-none"/>
        </w:rPr>
      </w:pPr>
    </w:p>
    <w:p w14:paraId="034E299D" w14:textId="1AEE410D" w:rsidR="002E6139" w:rsidRPr="00CB093C" w:rsidRDefault="00205CE6" w:rsidP="002E6139">
      <w:pPr>
        <w:keepNext/>
        <w:jc w:val="center"/>
        <w:rPr>
          <w:rFonts w:ascii="Arial" w:hAnsi="Arial" w:cs="Arial"/>
          <w:szCs w:val="22"/>
        </w:rPr>
      </w:pPr>
      <w:r w:rsidRPr="00CB093C">
        <w:rPr>
          <w:rFonts w:ascii="Arial" w:hAnsi="Arial" w:cs="Arial"/>
          <w:noProof/>
          <w:szCs w:val="22"/>
          <w:lang w:val="en-US"/>
        </w:rPr>
        <w:drawing>
          <wp:inline distT="0" distB="0" distL="0" distR="0" wp14:anchorId="4142460C" wp14:editId="68E25D40">
            <wp:extent cx="5759450" cy="3728720"/>
            <wp:effectExtent l="0" t="0" r="0" b="5080"/>
            <wp:docPr id="564" name="Picture 564" descr="Panel of 5 line plots showing daily light (28-day rolling average) at each Cape York location from 2012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 name="CY DL and 28d av by site.eps"/>
                    <pic:cNvPicPr/>
                  </pic:nvPicPr>
                  <pic:blipFill>
                    <a:blip r:embed="rId192"/>
                    <a:stretch>
                      <a:fillRect/>
                    </a:stretch>
                  </pic:blipFill>
                  <pic:spPr>
                    <a:xfrm>
                      <a:off x="0" y="0"/>
                      <a:ext cx="5759450" cy="3728720"/>
                    </a:xfrm>
                    <a:prstGeom prst="rect">
                      <a:avLst/>
                    </a:prstGeom>
                  </pic:spPr>
                </pic:pic>
              </a:graphicData>
            </a:graphic>
          </wp:inline>
        </w:drawing>
      </w:r>
    </w:p>
    <w:p w14:paraId="3A2A060B" w14:textId="1270F815" w:rsidR="002E6139" w:rsidRPr="00CB093C" w:rsidRDefault="002E6139" w:rsidP="002E6139">
      <w:pPr>
        <w:rPr>
          <w:rFonts w:ascii="Arial" w:hAnsi="Arial" w:cs="Arial"/>
          <w:i/>
          <w:vanish/>
          <w:szCs w:val="22"/>
        </w:rPr>
      </w:pPr>
      <w:bookmarkStart w:id="828" w:name="_Ref410207664"/>
      <w:bookmarkStart w:id="829" w:name="_Toc431493972"/>
      <w:bookmarkStart w:id="830" w:name="_Toc6402871"/>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106</w:t>
      </w:r>
      <w:r w:rsidR="00C506C7" w:rsidRPr="00CB093C">
        <w:rPr>
          <w:rFonts w:ascii="Arial" w:hAnsi="Arial" w:cs="Arial"/>
          <w:noProof/>
          <w:szCs w:val="22"/>
        </w:rPr>
        <w:fldChar w:fldCharType="end"/>
      </w:r>
      <w:bookmarkEnd w:id="828"/>
      <w:r w:rsidRPr="00CB093C">
        <w:rPr>
          <w:rFonts w:ascii="Arial" w:hAnsi="Arial" w:cs="Arial"/>
          <w:szCs w:val="22"/>
        </w:rPr>
        <w:t xml:space="preserve">. </w:t>
      </w:r>
      <w:r w:rsidR="00205CE6" w:rsidRPr="00CB093C">
        <w:rPr>
          <w:rFonts w:ascii="Arial" w:hAnsi="Arial" w:cs="Arial"/>
          <w:i/>
          <w:szCs w:val="22"/>
        </w:rPr>
        <w:t>Daily light and 28-day rolling average</w:t>
      </w:r>
      <w:r w:rsidRPr="00CB093C">
        <w:rPr>
          <w:rFonts w:ascii="Arial" w:hAnsi="Arial" w:cs="Arial"/>
          <w:i/>
          <w:szCs w:val="22"/>
        </w:rPr>
        <w:t xml:space="preserve"> at Cape York locations</w:t>
      </w:r>
      <w:bookmarkEnd w:id="829"/>
      <w:r w:rsidRPr="00CB093C">
        <w:rPr>
          <w:rFonts w:ascii="Arial" w:hAnsi="Arial" w:cs="Arial"/>
          <w:i/>
          <w:szCs w:val="22"/>
        </w:rPr>
        <w:t>.</w:t>
      </w:r>
      <w:bookmarkEnd w:id="830"/>
      <w:r w:rsidRPr="00CB093C">
        <w:rPr>
          <w:rFonts w:ascii="Arial" w:hAnsi="Arial" w:cs="Arial"/>
          <w:szCs w:val="22"/>
          <w:lang w:val="en-GB"/>
        </w:rPr>
        <w:t xml:space="preserve"> </w:t>
      </w:r>
    </w:p>
    <w:p w14:paraId="6DD6DAA4" w14:textId="77777777" w:rsidR="00800B15" w:rsidRPr="00CB093C" w:rsidRDefault="00800B15" w:rsidP="002E6139">
      <w:pPr>
        <w:rPr>
          <w:rFonts w:ascii="Arial" w:hAnsi="Arial" w:cs="Arial"/>
          <w:szCs w:val="22"/>
          <w:lang w:val="en-GB"/>
        </w:rPr>
      </w:pPr>
    </w:p>
    <w:p w14:paraId="3FF470B8" w14:textId="63B03BA2" w:rsidR="002E6139" w:rsidRPr="00CB093C" w:rsidRDefault="00205CE6" w:rsidP="002E6139">
      <w:pPr>
        <w:keepNext/>
        <w:jc w:val="center"/>
        <w:rPr>
          <w:rFonts w:ascii="Arial" w:hAnsi="Arial" w:cs="Arial"/>
          <w:noProof/>
          <w:szCs w:val="22"/>
          <w:lang w:eastAsia="en-AU"/>
        </w:rPr>
      </w:pPr>
      <w:r w:rsidRPr="00CB093C">
        <w:rPr>
          <w:rFonts w:ascii="Arial" w:hAnsi="Arial" w:cs="Arial"/>
          <w:noProof/>
          <w:szCs w:val="22"/>
          <w:lang w:val="en-US"/>
        </w:rPr>
        <w:drawing>
          <wp:inline distT="0" distB="0" distL="0" distR="0" wp14:anchorId="7AEC9216" wp14:editId="7B28E622">
            <wp:extent cx="5759450" cy="3728720"/>
            <wp:effectExtent l="0" t="0" r="0" b="5080"/>
            <wp:docPr id="565" name="Picture 565" descr="Panel of five graphs showing daily light and 28-day rolling average for locations in the northern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 name="WT DL and 28d av each site.eps"/>
                    <pic:cNvPicPr/>
                  </pic:nvPicPr>
                  <pic:blipFill>
                    <a:blip r:embed="rId193"/>
                    <a:stretch>
                      <a:fillRect/>
                    </a:stretch>
                  </pic:blipFill>
                  <pic:spPr>
                    <a:xfrm>
                      <a:off x="0" y="0"/>
                      <a:ext cx="5759450" cy="3728720"/>
                    </a:xfrm>
                    <a:prstGeom prst="rect">
                      <a:avLst/>
                    </a:prstGeom>
                  </pic:spPr>
                </pic:pic>
              </a:graphicData>
            </a:graphic>
          </wp:inline>
        </w:drawing>
      </w:r>
    </w:p>
    <w:p w14:paraId="35A580D1" w14:textId="4DAE37A9" w:rsidR="002E6139" w:rsidRPr="00CB093C" w:rsidRDefault="002E6139" w:rsidP="002E6139">
      <w:pPr>
        <w:rPr>
          <w:rFonts w:ascii="Arial" w:hAnsi="Arial" w:cs="Arial"/>
          <w:i/>
          <w:vanish/>
          <w:color w:val="000000"/>
          <w:szCs w:val="22"/>
        </w:rPr>
      </w:pPr>
      <w:bookmarkStart w:id="831" w:name="_Ref410218392"/>
      <w:bookmarkStart w:id="832" w:name="_Toc431493973"/>
      <w:bookmarkStart w:id="833" w:name="_Toc6402872"/>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107</w:t>
      </w:r>
      <w:r w:rsidR="00C506C7" w:rsidRPr="00CB093C">
        <w:rPr>
          <w:rFonts w:ascii="Arial" w:hAnsi="Arial" w:cs="Arial"/>
          <w:noProof/>
          <w:szCs w:val="22"/>
        </w:rPr>
        <w:fldChar w:fldCharType="end"/>
      </w:r>
      <w:bookmarkEnd w:id="831"/>
      <w:r w:rsidRPr="00CB093C">
        <w:rPr>
          <w:rFonts w:ascii="Arial" w:hAnsi="Arial" w:cs="Arial"/>
          <w:szCs w:val="22"/>
        </w:rPr>
        <w:t xml:space="preserve">. </w:t>
      </w:r>
      <w:bookmarkEnd w:id="832"/>
      <w:r w:rsidRPr="00CB093C">
        <w:rPr>
          <w:rFonts w:ascii="Arial" w:hAnsi="Arial" w:cs="Arial"/>
          <w:i/>
          <w:color w:val="000000"/>
          <w:szCs w:val="22"/>
        </w:rPr>
        <w:t>Daily light (yellow line) and 28-day rolling average (orange, bold line) for locations in the northern Wet Tropics.</w:t>
      </w:r>
      <w:bookmarkEnd w:id="833"/>
    </w:p>
    <w:p w14:paraId="668ECAB9" w14:textId="77777777" w:rsidR="00800B15" w:rsidRPr="00CB093C" w:rsidRDefault="00800B15" w:rsidP="002E6139">
      <w:pPr>
        <w:rPr>
          <w:rFonts w:ascii="Arial" w:hAnsi="Arial" w:cs="Arial"/>
          <w:i/>
          <w:color w:val="000000"/>
          <w:szCs w:val="22"/>
        </w:rPr>
      </w:pPr>
    </w:p>
    <w:p w14:paraId="0F0412DF" w14:textId="77777777" w:rsidR="00800B15" w:rsidRPr="00CB093C" w:rsidRDefault="00800B15" w:rsidP="002E6139">
      <w:pPr>
        <w:rPr>
          <w:rFonts w:ascii="Arial" w:hAnsi="Arial" w:cs="Arial"/>
          <w:i/>
          <w:color w:val="000000"/>
          <w:szCs w:val="22"/>
        </w:rPr>
      </w:pPr>
    </w:p>
    <w:p w14:paraId="2A54AB90" w14:textId="77777777" w:rsidR="00800B15" w:rsidRPr="00CB093C" w:rsidRDefault="00800B15" w:rsidP="002E6139">
      <w:pPr>
        <w:rPr>
          <w:rFonts w:ascii="Arial" w:hAnsi="Arial" w:cs="Arial"/>
          <w:i/>
          <w:color w:val="000000"/>
          <w:szCs w:val="22"/>
        </w:rPr>
      </w:pPr>
    </w:p>
    <w:p w14:paraId="56AD5403" w14:textId="7D01FE24" w:rsidR="002E6139" w:rsidRPr="00CB093C" w:rsidRDefault="00205CE6" w:rsidP="002E6139">
      <w:pPr>
        <w:jc w:val="center"/>
        <w:rPr>
          <w:rFonts w:ascii="Arial" w:hAnsi="Arial" w:cs="Arial"/>
          <w:noProof/>
          <w:szCs w:val="22"/>
          <w:lang w:eastAsia="en-AU"/>
        </w:rPr>
      </w:pPr>
      <w:r w:rsidRPr="00CB093C">
        <w:rPr>
          <w:rFonts w:ascii="Arial" w:hAnsi="Arial" w:cs="Arial"/>
          <w:noProof/>
          <w:szCs w:val="22"/>
          <w:lang w:val="en-US"/>
        </w:rPr>
        <w:drawing>
          <wp:inline distT="0" distB="0" distL="0" distR="0" wp14:anchorId="507FB193" wp14:editId="73AC8A5C">
            <wp:extent cx="5759450" cy="1497965"/>
            <wp:effectExtent l="0" t="0" r="0" b="6985"/>
            <wp:docPr id="566" name="Picture 566" descr="Panel of two graphs showing daily light and 28-day rolling average for locations in the southern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 name="WT S DL and 28d av each site.eps"/>
                    <pic:cNvPicPr/>
                  </pic:nvPicPr>
                  <pic:blipFill>
                    <a:blip r:embed="rId194"/>
                    <a:stretch>
                      <a:fillRect/>
                    </a:stretch>
                  </pic:blipFill>
                  <pic:spPr>
                    <a:xfrm>
                      <a:off x="0" y="0"/>
                      <a:ext cx="5759450" cy="1497965"/>
                    </a:xfrm>
                    <a:prstGeom prst="rect">
                      <a:avLst/>
                    </a:prstGeom>
                  </pic:spPr>
                </pic:pic>
              </a:graphicData>
            </a:graphic>
          </wp:inline>
        </w:drawing>
      </w:r>
    </w:p>
    <w:p w14:paraId="1BDAAFF1" w14:textId="50746169" w:rsidR="002E6139" w:rsidRPr="00CB093C" w:rsidRDefault="002E6139" w:rsidP="00DD3BAE">
      <w:pPr>
        <w:rPr>
          <w:rFonts w:ascii="Arial" w:hAnsi="Arial" w:cs="Arial"/>
          <w:i/>
          <w:vanish/>
          <w:color w:val="000000"/>
          <w:szCs w:val="22"/>
        </w:rPr>
      </w:pPr>
      <w:bookmarkStart w:id="834" w:name="_Ref410218397"/>
      <w:bookmarkStart w:id="835" w:name="_Toc431493974"/>
      <w:bookmarkStart w:id="836" w:name="_Toc6402873"/>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108</w:t>
      </w:r>
      <w:r w:rsidR="00C506C7" w:rsidRPr="00CB093C">
        <w:rPr>
          <w:rFonts w:ascii="Arial" w:hAnsi="Arial" w:cs="Arial"/>
          <w:noProof/>
          <w:szCs w:val="22"/>
        </w:rPr>
        <w:fldChar w:fldCharType="end"/>
      </w:r>
      <w:bookmarkEnd w:id="834"/>
      <w:r w:rsidRPr="00CB093C">
        <w:rPr>
          <w:rFonts w:ascii="Arial" w:hAnsi="Arial" w:cs="Arial"/>
          <w:szCs w:val="22"/>
        </w:rPr>
        <w:t xml:space="preserve">. </w:t>
      </w:r>
      <w:r w:rsidRPr="00CB093C">
        <w:rPr>
          <w:rFonts w:ascii="Arial" w:hAnsi="Arial" w:cs="Arial"/>
          <w:i/>
          <w:color w:val="000000"/>
          <w:szCs w:val="22"/>
        </w:rPr>
        <w:t>Daily light (yellow line) and 28-day rolling average (orange, bold line) for locations in the southern Wet Tropics</w:t>
      </w:r>
      <w:bookmarkEnd w:id="835"/>
      <w:r w:rsidRPr="00CB093C">
        <w:rPr>
          <w:rFonts w:ascii="Arial" w:hAnsi="Arial" w:cs="Arial"/>
          <w:i/>
          <w:color w:val="000000"/>
          <w:szCs w:val="22"/>
        </w:rPr>
        <w:t>.</w:t>
      </w:r>
      <w:bookmarkEnd w:id="836"/>
      <w:r w:rsidRPr="00CB093C">
        <w:rPr>
          <w:rFonts w:ascii="Arial" w:hAnsi="Arial" w:cs="Arial"/>
          <w:i/>
          <w:color w:val="000000"/>
          <w:szCs w:val="22"/>
        </w:rPr>
        <w:t xml:space="preserve"> </w:t>
      </w:r>
    </w:p>
    <w:p w14:paraId="2F9C79E8" w14:textId="77777777" w:rsidR="002E6139" w:rsidRPr="00CB093C" w:rsidRDefault="002E6139" w:rsidP="00DD3BAE">
      <w:pPr>
        <w:rPr>
          <w:rFonts w:ascii="Arial" w:hAnsi="Arial" w:cs="Arial"/>
          <w:szCs w:val="22"/>
        </w:rPr>
      </w:pPr>
    </w:p>
    <w:p w14:paraId="0D466FC8" w14:textId="77777777" w:rsidR="00800B15" w:rsidRPr="00CB093C" w:rsidRDefault="00800B15" w:rsidP="00DD3BAE">
      <w:pPr>
        <w:rPr>
          <w:rFonts w:ascii="Arial" w:hAnsi="Arial" w:cs="Arial"/>
          <w:szCs w:val="22"/>
        </w:rPr>
      </w:pPr>
    </w:p>
    <w:p w14:paraId="623B1589" w14:textId="77777777" w:rsidR="00800B15" w:rsidRPr="00CB093C" w:rsidRDefault="00800B15" w:rsidP="00DD3BAE">
      <w:pPr>
        <w:rPr>
          <w:rFonts w:ascii="Arial" w:hAnsi="Arial" w:cs="Arial"/>
          <w:szCs w:val="22"/>
        </w:rPr>
      </w:pPr>
    </w:p>
    <w:p w14:paraId="0FB6065C" w14:textId="77777777" w:rsidR="00800B15" w:rsidRPr="00CB093C" w:rsidRDefault="00800B15" w:rsidP="002E6139">
      <w:pPr>
        <w:rPr>
          <w:rFonts w:ascii="Arial" w:hAnsi="Arial" w:cs="Arial"/>
          <w:szCs w:val="22"/>
        </w:rPr>
      </w:pPr>
    </w:p>
    <w:p w14:paraId="551EA5E0" w14:textId="77777777" w:rsidR="00800B15" w:rsidRPr="00CB093C" w:rsidRDefault="00800B15" w:rsidP="002E6139">
      <w:pPr>
        <w:rPr>
          <w:rFonts w:ascii="Arial" w:hAnsi="Arial" w:cs="Arial"/>
          <w:szCs w:val="22"/>
        </w:rPr>
      </w:pPr>
    </w:p>
    <w:p w14:paraId="13CE73E5" w14:textId="77777777" w:rsidR="00800B15" w:rsidRPr="00CB093C" w:rsidRDefault="00800B15" w:rsidP="002E6139">
      <w:pPr>
        <w:rPr>
          <w:rFonts w:ascii="Arial" w:hAnsi="Arial" w:cs="Arial"/>
          <w:szCs w:val="22"/>
        </w:rPr>
      </w:pPr>
    </w:p>
    <w:p w14:paraId="7240D2C8" w14:textId="77777777" w:rsidR="00800B15" w:rsidRPr="00CB093C" w:rsidRDefault="00800B15" w:rsidP="002E6139">
      <w:pPr>
        <w:rPr>
          <w:rFonts w:ascii="Arial" w:hAnsi="Arial" w:cs="Arial"/>
          <w:szCs w:val="22"/>
        </w:rPr>
      </w:pPr>
    </w:p>
    <w:p w14:paraId="3BE34482" w14:textId="77777777" w:rsidR="00800B15" w:rsidRPr="00CB093C" w:rsidRDefault="00800B15" w:rsidP="002E6139">
      <w:pPr>
        <w:rPr>
          <w:rFonts w:ascii="Arial" w:hAnsi="Arial" w:cs="Arial"/>
          <w:szCs w:val="22"/>
        </w:rPr>
      </w:pPr>
    </w:p>
    <w:p w14:paraId="177DF545" w14:textId="77777777" w:rsidR="00800B15" w:rsidRPr="00CB093C" w:rsidRDefault="00800B15" w:rsidP="002E6139">
      <w:pPr>
        <w:rPr>
          <w:rFonts w:ascii="Arial" w:hAnsi="Arial" w:cs="Arial"/>
          <w:szCs w:val="22"/>
        </w:rPr>
      </w:pPr>
    </w:p>
    <w:p w14:paraId="20FD8C74" w14:textId="00BBB492" w:rsidR="002E6139" w:rsidRPr="00CB093C" w:rsidRDefault="00205CE6" w:rsidP="002E6139">
      <w:pPr>
        <w:jc w:val="center"/>
        <w:rPr>
          <w:rFonts w:ascii="Arial" w:hAnsi="Arial" w:cs="Arial"/>
          <w:szCs w:val="22"/>
        </w:rPr>
      </w:pPr>
      <w:r w:rsidRPr="00CB093C">
        <w:rPr>
          <w:rFonts w:ascii="Arial" w:hAnsi="Arial" w:cs="Arial"/>
          <w:noProof/>
          <w:szCs w:val="22"/>
          <w:lang w:val="en-US"/>
        </w:rPr>
        <w:drawing>
          <wp:inline distT="0" distB="0" distL="0" distR="0" wp14:anchorId="3C0AE45C" wp14:editId="23970E89">
            <wp:extent cx="5759450" cy="3728720"/>
            <wp:effectExtent l="0" t="0" r="0" b="5080"/>
            <wp:docPr id="567" name="Picture 567" descr="Panel of six graphs showing daily light and 28-day rolling average for locations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 name="B DL and 28d av each site.eps"/>
                    <pic:cNvPicPr/>
                  </pic:nvPicPr>
                  <pic:blipFill>
                    <a:blip r:embed="rId195"/>
                    <a:stretch>
                      <a:fillRect/>
                    </a:stretch>
                  </pic:blipFill>
                  <pic:spPr>
                    <a:xfrm>
                      <a:off x="0" y="0"/>
                      <a:ext cx="5759450" cy="3728720"/>
                    </a:xfrm>
                    <a:prstGeom prst="rect">
                      <a:avLst/>
                    </a:prstGeom>
                  </pic:spPr>
                </pic:pic>
              </a:graphicData>
            </a:graphic>
          </wp:inline>
        </w:drawing>
      </w:r>
    </w:p>
    <w:p w14:paraId="7B3122F1" w14:textId="5F69A1E2" w:rsidR="002E6139" w:rsidRPr="00CB093C" w:rsidRDefault="002E6139" w:rsidP="002E6139">
      <w:pPr>
        <w:rPr>
          <w:rFonts w:ascii="Arial" w:hAnsi="Arial" w:cs="Arial"/>
          <w:vanish/>
          <w:color w:val="000000"/>
          <w:szCs w:val="22"/>
        </w:rPr>
      </w:pPr>
      <w:bookmarkStart w:id="837" w:name="_Ref410288144"/>
      <w:bookmarkStart w:id="838" w:name="_Toc431493978"/>
      <w:bookmarkStart w:id="839" w:name="_Toc6402874"/>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109</w:t>
      </w:r>
      <w:r w:rsidR="00C506C7" w:rsidRPr="00CB093C">
        <w:rPr>
          <w:rFonts w:ascii="Arial" w:hAnsi="Arial" w:cs="Arial"/>
          <w:noProof/>
          <w:szCs w:val="22"/>
        </w:rPr>
        <w:fldChar w:fldCharType="end"/>
      </w:r>
      <w:bookmarkEnd w:id="837"/>
      <w:r w:rsidRPr="00CB093C">
        <w:rPr>
          <w:rFonts w:ascii="Arial" w:hAnsi="Arial" w:cs="Arial"/>
          <w:szCs w:val="22"/>
        </w:rPr>
        <w:t xml:space="preserve">. </w:t>
      </w:r>
      <w:r w:rsidRPr="00CB093C">
        <w:rPr>
          <w:rFonts w:ascii="Arial" w:hAnsi="Arial" w:cs="Arial"/>
          <w:i/>
          <w:color w:val="000000"/>
          <w:szCs w:val="22"/>
        </w:rPr>
        <w:t>Daily light (yellow line) and 28-day rolling average (orange, bold line) at locations in the Burdekin region</w:t>
      </w:r>
      <w:bookmarkEnd w:id="838"/>
      <w:r w:rsidRPr="00CB093C">
        <w:rPr>
          <w:rFonts w:ascii="Arial" w:hAnsi="Arial" w:cs="Arial"/>
          <w:i/>
          <w:color w:val="000000"/>
          <w:szCs w:val="22"/>
        </w:rPr>
        <w:t>.</w:t>
      </w:r>
      <w:bookmarkEnd w:id="839"/>
      <w:r w:rsidRPr="00CB093C">
        <w:rPr>
          <w:rFonts w:ascii="Arial" w:hAnsi="Arial" w:cs="Arial"/>
          <w:i/>
          <w:color w:val="000000"/>
          <w:szCs w:val="22"/>
        </w:rPr>
        <w:t xml:space="preserve">  </w:t>
      </w:r>
    </w:p>
    <w:p w14:paraId="56370971" w14:textId="77777777" w:rsidR="00800B15" w:rsidRPr="00CB093C" w:rsidRDefault="00800B15" w:rsidP="002E6139">
      <w:pPr>
        <w:rPr>
          <w:rFonts w:ascii="Arial" w:hAnsi="Arial" w:cs="Arial"/>
          <w:szCs w:val="22"/>
          <w:lang w:val="en-GB"/>
        </w:rPr>
      </w:pPr>
    </w:p>
    <w:p w14:paraId="334A326B" w14:textId="799436B5" w:rsidR="002E6139" w:rsidRPr="00CB093C" w:rsidRDefault="00205CE6" w:rsidP="002E6139">
      <w:pPr>
        <w:keepNext/>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4603C91F" wp14:editId="734E1607">
            <wp:extent cx="5759450" cy="2926080"/>
            <wp:effectExtent l="0" t="0" r="0" b="7620"/>
            <wp:docPr id="568" name="Picture 568" descr="Panel of four graphs showing daily light and 28-day rolling average for locations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 name="MW DL and 28d av each site.eps"/>
                    <pic:cNvPicPr/>
                  </pic:nvPicPr>
                  <pic:blipFill>
                    <a:blip r:embed="rId196"/>
                    <a:stretch>
                      <a:fillRect/>
                    </a:stretch>
                  </pic:blipFill>
                  <pic:spPr>
                    <a:xfrm>
                      <a:off x="0" y="0"/>
                      <a:ext cx="5759450" cy="2926080"/>
                    </a:xfrm>
                    <a:prstGeom prst="rect">
                      <a:avLst/>
                    </a:prstGeom>
                  </pic:spPr>
                </pic:pic>
              </a:graphicData>
            </a:graphic>
          </wp:inline>
        </w:drawing>
      </w:r>
    </w:p>
    <w:p w14:paraId="407D01FF" w14:textId="564F01B2" w:rsidR="002E6139" w:rsidRPr="00CB093C" w:rsidRDefault="002E6139" w:rsidP="002E6139">
      <w:pPr>
        <w:rPr>
          <w:rFonts w:ascii="Arial" w:hAnsi="Arial" w:cs="Arial"/>
          <w:vanish/>
          <w:color w:val="000000"/>
          <w:szCs w:val="22"/>
          <w:specVanish/>
        </w:rPr>
      </w:pPr>
      <w:bookmarkStart w:id="840" w:name="_Ref410298084"/>
      <w:bookmarkStart w:id="841" w:name="_Toc431493981"/>
      <w:bookmarkStart w:id="842" w:name="_Toc6402875"/>
      <w:r w:rsidRPr="00CB093C">
        <w:rPr>
          <w:rFonts w:ascii="Arial" w:hAnsi="Arial" w:cs="Arial"/>
          <w:color w:val="000000"/>
          <w:szCs w:val="22"/>
          <w:lang w:val="en-GB"/>
        </w:rPr>
        <w:t xml:space="preserve">Figure </w:t>
      </w:r>
      <w:r w:rsidR="0073595B" w:rsidRPr="00CB093C">
        <w:rPr>
          <w:rFonts w:ascii="Arial" w:hAnsi="Arial" w:cs="Arial"/>
          <w:color w:val="000000"/>
          <w:szCs w:val="22"/>
          <w:lang w:val="en-GB"/>
        </w:rPr>
        <w:fldChar w:fldCharType="begin"/>
      </w:r>
      <w:r w:rsidR="0073595B" w:rsidRPr="00CB093C">
        <w:rPr>
          <w:rFonts w:ascii="Arial" w:hAnsi="Arial" w:cs="Arial"/>
          <w:color w:val="000000"/>
          <w:szCs w:val="22"/>
          <w:lang w:val="en-GB"/>
        </w:rPr>
        <w:instrText xml:space="preserve"> SEQ Figure \* ARABIC </w:instrText>
      </w:r>
      <w:r w:rsidR="0073595B" w:rsidRPr="00CB093C">
        <w:rPr>
          <w:rFonts w:ascii="Arial" w:hAnsi="Arial" w:cs="Arial"/>
          <w:color w:val="000000"/>
          <w:szCs w:val="22"/>
          <w:lang w:val="en-GB"/>
        </w:rPr>
        <w:fldChar w:fldCharType="separate"/>
      </w:r>
      <w:r w:rsidR="005F00D4">
        <w:rPr>
          <w:rFonts w:ascii="Arial" w:hAnsi="Arial" w:cs="Arial"/>
          <w:noProof/>
          <w:color w:val="000000"/>
          <w:szCs w:val="22"/>
          <w:lang w:val="en-GB"/>
        </w:rPr>
        <w:t>110</w:t>
      </w:r>
      <w:r w:rsidR="0073595B" w:rsidRPr="00CB093C">
        <w:rPr>
          <w:rFonts w:ascii="Arial" w:hAnsi="Arial" w:cs="Arial"/>
          <w:color w:val="000000"/>
          <w:szCs w:val="22"/>
          <w:lang w:val="en-GB"/>
        </w:rPr>
        <w:fldChar w:fldCharType="end"/>
      </w:r>
      <w:bookmarkEnd w:id="840"/>
      <w:r w:rsidRPr="00CB093C">
        <w:rPr>
          <w:rFonts w:ascii="Arial" w:hAnsi="Arial" w:cs="Arial"/>
          <w:color w:val="000000"/>
          <w:szCs w:val="22"/>
          <w:lang w:val="en-GB"/>
        </w:rPr>
        <w:t>.</w:t>
      </w:r>
      <w:r w:rsidRPr="00CB093C">
        <w:rPr>
          <w:rFonts w:ascii="Arial" w:hAnsi="Arial" w:cs="Arial"/>
          <w:i/>
          <w:color w:val="000000"/>
          <w:szCs w:val="22"/>
        </w:rPr>
        <w:t xml:space="preserve"> Daily light (yellow line) and 28-day rolling average (orange, bold line) at </w:t>
      </w:r>
      <w:r w:rsidR="00637325">
        <w:rPr>
          <w:rFonts w:ascii="Arial" w:hAnsi="Arial" w:cs="Arial"/>
          <w:i/>
          <w:color w:val="000000"/>
          <w:szCs w:val="22"/>
        </w:rPr>
        <w:t>Mackay-Whitsunday</w:t>
      </w:r>
      <w:r w:rsidRPr="00CB093C">
        <w:rPr>
          <w:rFonts w:ascii="Arial" w:hAnsi="Arial" w:cs="Arial"/>
          <w:i/>
          <w:color w:val="000000"/>
          <w:szCs w:val="22"/>
        </w:rPr>
        <w:t xml:space="preserve"> habitats.</w:t>
      </w:r>
      <w:bookmarkEnd w:id="841"/>
      <w:bookmarkEnd w:id="842"/>
      <w:r w:rsidRPr="00CB093C">
        <w:rPr>
          <w:rFonts w:ascii="Arial" w:hAnsi="Arial" w:cs="Arial"/>
          <w:color w:val="000000"/>
          <w:szCs w:val="22"/>
        </w:rPr>
        <w:t xml:space="preserve"> </w:t>
      </w:r>
    </w:p>
    <w:p w14:paraId="16C26649" w14:textId="261C8A8E" w:rsidR="002E6139" w:rsidRPr="00CB093C" w:rsidRDefault="002E6139" w:rsidP="002E6139">
      <w:pPr>
        <w:rPr>
          <w:rFonts w:ascii="Arial" w:hAnsi="Arial" w:cs="Arial"/>
          <w:color w:val="000000"/>
          <w:szCs w:val="22"/>
        </w:rPr>
      </w:pPr>
    </w:p>
    <w:p w14:paraId="3ADABF68" w14:textId="77777777" w:rsidR="002E6139" w:rsidRPr="00CB093C" w:rsidRDefault="002E6139" w:rsidP="002E6139">
      <w:pPr>
        <w:rPr>
          <w:rFonts w:ascii="Arial" w:hAnsi="Arial" w:cs="Arial"/>
          <w:color w:val="000000"/>
          <w:szCs w:val="22"/>
        </w:rPr>
      </w:pPr>
    </w:p>
    <w:p w14:paraId="4F0B01E0" w14:textId="23F09025" w:rsidR="002E6139" w:rsidRPr="00CB093C" w:rsidRDefault="00205CE6" w:rsidP="002E6139">
      <w:pPr>
        <w:keepNext/>
        <w:jc w:val="center"/>
        <w:rPr>
          <w:rFonts w:ascii="Arial" w:hAnsi="Arial" w:cs="Arial"/>
          <w:color w:val="000000"/>
          <w:szCs w:val="22"/>
        </w:rPr>
      </w:pPr>
      <w:r w:rsidRPr="00CB093C">
        <w:rPr>
          <w:rFonts w:ascii="Arial" w:hAnsi="Arial" w:cs="Arial"/>
          <w:noProof/>
          <w:color w:val="000000"/>
          <w:szCs w:val="22"/>
          <w:lang w:val="en-US"/>
        </w:rPr>
        <w:drawing>
          <wp:inline distT="0" distB="0" distL="0" distR="0" wp14:anchorId="5ED6913E" wp14:editId="374B66B9">
            <wp:extent cx="5759450" cy="2926080"/>
            <wp:effectExtent l="0" t="0" r="0" b="7620"/>
            <wp:docPr id="569" name="Picture 569" descr="Panel of three graphs showing daily light and 28-day rolling average for locations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 name="F DL and 28d av each site.eps"/>
                    <pic:cNvPicPr/>
                  </pic:nvPicPr>
                  <pic:blipFill>
                    <a:blip r:embed="rId197"/>
                    <a:stretch>
                      <a:fillRect/>
                    </a:stretch>
                  </pic:blipFill>
                  <pic:spPr>
                    <a:xfrm>
                      <a:off x="0" y="0"/>
                      <a:ext cx="5759450" cy="2926080"/>
                    </a:xfrm>
                    <a:prstGeom prst="rect">
                      <a:avLst/>
                    </a:prstGeom>
                  </pic:spPr>
                </pic:pic>
              </a:graphicData>
            </a:graphic>
          </wp:inline>
        </w:drawing>
      </w:r>
    </w:p>
    <w:p w14:paraId="4E5CCA55" w14:textId="0CE7422B" w:rsidR="00222918" w:rsidRPr="00CB093C" w:rsidRDefault="002E6139" w:rsidP="00222918">
      <w:pPr>
        <w:rPr>
          <w:rFonts w:ascii="Arial" w:hAnsi="Arial" w:cs="Arial"/>
          <w:i/>
          <w:vanish/>
          <w:color w:val="000000"/>
          <w:szCs w:val="22"/>
        </w:rPr>
      </w:pPr>
      <w:bookmarkStart w:id="843" w:name="_Ref410307245"/>
      <w:bookmarkStart w:id="844" w:name="_Toc431493982"/>
      <w:bookmarkStart w:id="845" w:name="_Toc6402876"/>
      <w:r w:rsidRPr="00CB093C">
        <w:rPr>
          <w:rFonts w:ascii="Arial" w:hAnsi="Arial" w:cs="Arial"/>
          <w:color w:val="000000"/>
          <w:szCs w:val="22"/>
        </w:rPr>
        <w:t xml:space="preserve">Figure </w:t>
      </w:r>
      <w:r w:rsidR="0073595B" w:rsidRPr="00CB093C">
        <w:rPr>
          <w:rFonts w:ascii="Arial" w:hAnsi="Arial" w:cs="Arial"/>
          <w:color w:val="000000"/>
          <w:szCs w:val="22"/>
        </w:rPr>
        <w:fldChar w:fldCharType="begin"/>
      </w:r>
      <w:r w:rsidR="0073595B" w:rsidRPr="00CB093C">
        <w:rPr>
          <w:rFonts w:ascii="Arial" w:hAnsi="Arial" w:cs="Arial"/>
          <w:color w:val="000000"/>
          <w:szCs w:val="22"/>
        </w:rPr>
        <w:instrText xml:space="preserve"> SEQ Figure \* ARABIC </w:instrText>
      </w:r>
      <w:r w:rsidR="0073595B" w:rsidRPr="00CB093C">
        <w:rPr>
          <w:rFonts w:ascii="Arial" w:hAnsi="Arial" w:cs="Arial"/>
          <w:color w:val="000000"/>
          <w:szCs w:val="22"/>
        </w:rPr>
        <w:fldChar w:fldCharType="separate"/>
      </w:r>
      <w:r w:rsidR="005F00D4">
        <w:rPr>
          <w:rFonts w:ascii="Arial" w:hAnsi="Arial" w:cs="Arial"/>
          <w:noProof/>
          <w:color w:val="000000"/>
          <w:szCs w:val="22"/>
        </w:rPr>
        <w:t>111</w:t>
      </w:r>
      <w:r w:rsidR="0073595B" w:rsidRPr="00CB093C">
        <w:rPr>
          <w:rFonts w:ascii="Arial" w:hAnsi="Arial" w:cs="Arial"/>
          <w:color w:val="000000"/>
          <w:szCs w:val="22"/>
        </w:rPr>
        <w:fldChar w:fldCharType="end"/>
      </w:r>
      <w:bookmarkEnd w:id="843"/>
      <w:r w:rsidRPr="00CB093C">
        <w:rPr>
          <w:rFonts w:ascii="Arial" w:hAnsi="Arial" w:cs="Arial"/>
          <w:color w:val="000000"/>
          <w:szCs w:val="22"/>
        </w:rPr>
        <w:t xml:space="preserve">. </w:t>
      </w:r>
      <w:r w:rsidRPr="00CB093C">
        <w:rPr>
          <w:rFonts w:ascii="Arial" w:hAnsi="Arial" w:cs="Arial"/>
          <w:i/>
          <w:color w:val="000000"/>
          <w:szCs w:val="22"/>
        </w:rPr>
        <w:t xml:space="preserve">Daily light (yellow line) and 28-day rolling average (orange, bold line) </w:t>
      </w:r>
      <w:bookmarkEnd w:id="844"/>
      <w:r w:rsidR="00222918" w:rsidRPr="00CB093C">
        <w:rPr>
          <w:rFonts w:ascii="Arial" w:hAnsi="Arial" w:cs="Arial"/>
          <w:i/>
          <w:color w:val="000000"/>
          <w:szCs w:val="22"/>
        </w:rPr>
        <w:t>at monitoring locations in the Fitzroy NRM region.</w:t>
      </w:r>
      <w:bookmarkEnd w:id="845"/>
      <w:r w:rsidR="00222918" w:rsidRPr="00CB093C">
        <w:rPr>
          <w:rFonts w:ascii="Arial" w:hAnsi="Arial" w:cs="Arial"/>
          <w:i/>
          <w:color w:val="000000"/>
          <w:szCs w:val="22"/>
        </w:rPr>
        <w:t xml:space="preserve"> </w:t>
      </w:r>
    </w:p>
    <w:p w14:paraId="58CAF5DF" w14:textId="40F138F2" w:rsidR="002E6139" w:rsidRPr="00CB093C" w:rsidRDefault="002E6139" w:rsidP="005C65C8">
      <w:pPr>
        <w:rPr>
          <w:rFonts w:ascii="Arial" w:hAnsi="Arial" w:cs="Arial"/>
          <w:color w:val="000000"/>
          <w:szCs w:val="22"/>
        </w:rPr>
      </w:pPr>
    </w:p>
    <w:p w14:paraId="37502158" w14:textId="065C337B" w:rsidR="00205CE6" w:rsidRPr="00CB093C" w:rsidRDefault="00205CE6" w:rsidP="002E6139">
      <w:pPr>
        <w:keepNext/>
        <w:jc w:val="center"/>
        <w:rPr>
          <w:rFonts w:ascii="Arial" w:hAnsi="Arial" w:cs="Arial"/>
          <w:szCs w:val="22"/>
        </w:rPr>
      </w:pPr>
      <w:r w:rsidRPr="00CB093C">
        <w:rPr>
          <w:rFonts w:ascii="Arial" w:hAnsi="Arial" w:cs="Arial"/>
          <w:noProof/>
          <w:szCs w:val="22"/>
          <w:lang w:val="en-US"/>
        </w:rPr>
        <w:drawing>
          <wp:inline distT="0" distB="0" distL="0" distR="0" wp14:anchorId="1A2FA052" wp14:editId="7D9424F4">
            <wp:extent cx="5759450" cy="1497965"/>
            <wp:effectExtent l="0" t="0" r="0" b="6985"/>
            <wp:docPr id="571" name="Picture 571" descr="Two graphs showing daily light and 28-day rolling average for locations in the Burnett Mar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 name="BM Dl and 28d av each site.eps"/>
                    <pic:cNvPicPr/>
                  </pic:nvPicPr>
                  <pic:blipFill>
                    <a:blip r:embed="rId198"/>
                    <a:stretch>
                      <a:fillRect/>
                    </a:stretch>
                  </pic:blipFill>
                  <pic:spPr>
                    <a:xfrm>
                      <a:off x="0" y="0"/>
                      <a:ext cx="5759450" cy="1497965"/>
                    </a:xfrm>
                    <a:prstGeom prst="rect">
                      <a:avLst/>
                    </a:prstGeom>
                  </pic:spPr>
                </pic:pic>
              </a:graphicData>
            </a:graphic>
          </wp:inline>
        </w:drawing>
      </w:r>
    </w:p>
    <w:p w14:paraId="31A5F580" w14:textId="6704B0E4" w:rsidR="001268E0" w:rsidRPr="00CB093C" w:rsidRDefault="002E6139" w:rsidP="00222918">
      <w:pPr>
        <w:rPr>
          <w:rFonts w:ascii="Arial" w:hAnsi="Arial" w:cs="Arial"/>
          <w:i/>
          <w:vanish/>
          <w:color w:val="000000"/>
          <w:szCs w:val="22"/>
        </w:rPr>
      </w:pPr>
      <w:bookmarkStart w:id="846" w:name="_Ref410310520"/>
      <w:bookmarkStart w:id="847" w:name="_Toc431493983"/>
      <w:bookmarkStart w:id="848" w:name="_Toc6402877"/>
      <w:r w:rsidRPr="00CB093C">
        <w:rPr>
          <w:rFonts w:ascii="Arial" w:hAnsi="Arial" w:cs="Arial"/>
          <w:color w:val="000000"/>
          <w:szCs w:val="22"/>
          <w:lang w:val="en-GB"/>
        </w:rPr>
        <w:t xml:space="preserve">Figure </w:t>
      </w:r>
      <w:r w:rsidR="0073595B" w:rsidRPr="00CB093C">
        <w:rPr>
          <w:rFonts w:ascii="Arial" w:hAnsi="Arial" w:cs="Arial"/>
          <w:color w:val="000000"/>
          <w:szCs w:val="22"/>
          <w:lang w:val="en-GB"/>
        </w:rPr>
        <w:fldChar w:fldCharType="begin"/>
      </w:r>
      <w:r w:rsidR="0073595B" w:rsidRPr="00CB093C">
        <w:rPr>
          <w:rFonts w:ascii="Arial" w:hAnsi="Arial" w:cs="Arial"/>
          <w:color w:val="000000"/>
          <w:szCs w:val="22"/>
          <w:lang w:val="en-GB"/>
        </w:rPr>
        <w:instrText xml:space="preserve"> SEQ Figure \* ARABIC </w:instrText>
      </w:r>
      <w:r w:rsidR="0073595B" w:rsidRPr="00CB093C">
        <w:rPr>
          <w:rFonts w:ascii="Arial" w:hAnsi="Arial" w:cs="Arial"/>
          <w:color w:val="000000"/>
          <w:szCs w:val="22"/>
          <w:lang w:val="en-GB"/>
        </w:rPr>
        <w:fldChar w:fldCharType="separate"/>
      </w:r>
      <w:r w:rsidR="005F00D4">
        <w:rPr>
          <w:rFonts w:ascii="Arial" w:hAnsi="Arial" w:cs="Arial"/>
          <w:noProof/>
          <w:color w:val="000000"/>
          <w:szCs w:val="22"/>
          <w:lang w:val="en-GB"/>
        </w:rPr>
        <w:t>112</w:t>
      </w:r>
      <w:r w:rsidR="0073595B" w:rsidRPr="00CB093C">
        <w:rPr>
          <w:rFonts w:ascii="Arial" w:hAnsi="Arial" w:cs="Arial"/>
          <w:color w:val="000000"/>
          <w:szCs w:val="22"/>
          <w:lang w:val="en-GB"/>
        </w:rPr>
        <w:fldChar w:fldCharType="end"/>
      </w:r>
      <w:bookmarkEnd w:id="846"/>
      <w:r w:rsidRPr="00CB093C">
        <w:rPr>
          <w:rFonts w:ascii="Arial" w:hAnsi="Arial" w:cs="Arial"/>
          <w:color w:val="000000"/>
          <w:szCs w:val="22"/>
          <w:lang w:val="en-GB"/>
        </w:rPr>
        <w:t xml:space="preserve">. </w:t>
      </w:r>
      <w:r w:rsidRPr="00CB093C">
        <w:rPr>
          <w:rFonts w:ascii="Arial" w:hAnsi="Arial" w:cs="Arial"/>
          <w:i/>
          <w:color w:val="000000"/>
          <w:szCs w:val="22"/>
        </w:rPr>
        <w:t xml:space="preserve">Daily light (yellow line) and 28-day rolling average (orange, bold line) at monitoring locations in the Burnett Mary NRM </w:t>
      </w:r>
      <w:bookmarkEnd w:id="847"/>
      <w:r w:rsidRPr="00CB093C">
        <w:rPr>
          <w:rFonts w:ascii="Arial" w:hAnsi="Arial" w:cs="Arial"/>
          <w:i/>
          <w:color w:val="000000"/>
          <w:szCs w:val="22"/>
        </w:rPr>
        <w:t>region.</w:t>
      </w:r>
      <w:bookmarkEnd w:id="848"/>
      <w:r w:rsidRPr="00CB093C">
        <w:rPr>
          <w:rFonts w:ascii="Arial" w:hAnsi="Arial" w:cs="Arial"/>
          <w:i/>
          <w:color w:val="000000"/>
          <w:szCs w:val="22"/>
        </w:rPr>
        <w:t xml:space="preserve"> </w:t>
      </w:r>
      <w:r w:rsidR="001268E0" w:rsidRPr="00CB093C">
        <w:rPr>
          <w:rFonts w:ascii="Arial" w:hAnsi="Arial" w:cs="Arial"/>
          <w:color w:val="000000"/>
          <w:szCs w:val="22"/>
          <w:lang w:val="en-GB"/>
        </w:rPr>
        <w:br w:type="page"/>
      </w:r>
    </w:p>
    <w:p w14:paraId="46C7EF90" w14:textId="386F8B5D" w:rsidR="00D93689" w:rsidRPr="00CB093C" w:rsidRDefault="00D93689" w:rsidP="0015509E">
      <w:pPr>
        <w:pStyle w:val="Heading2"/>
        <w:numPr>
          <w:ilvl w:val="0"/>
          <w:numId w:val="0"/>
        </w:numPr>
      </w:pPr>
      <w:bookmarkStart w:id="849" w:name="_Toc11394807"/>
      <w:r w:rsidRPr="00CB093C">
        <w:t xml:space="preserve">Seagrass </w:t>
      </w:r>
      <w:r w:rsidR="00AD77B7" w:rsidRPr="00CB093C">
        <w:t>habitat condition</w:t>
      </w:r>
      <w:bookmarkEnd w:id="849"/>
    </w:p>
    <w:p w14:paraId="26EB8555" w14:textId="737A6948" w:rsidR="00035FDC" w:rsidRPr="00CB093C" w:rsidRDefault="00035FDC" w:rsidP="00D2585E">
      <w:pPr>
        <w:pStyle w:val="Heading3"/>
        <w:numPr>
          <w:ilvl w:val="0"/>
          <w:numId w:val="0"/>
        </w:numPr>
        <w:rPr>
          <w:rFonts w:ascii="Arial" w:hAnsi="Arial" w:cs="Arial"/>
          <w:sz w:val="22"/>
          <w:szCs w:val="22"/>
        </w:rPr>
      </w:pPr>
      <w:bookmarkStart w:id="850" w:name="_Ref511130749"/>
      <w:bookmarkStart w:id="851" w:name="_Ref511131212"/>
      <w:bookmarkStart w:id="852" w:name="_Ref511131430"/>
      <w:bookmarkStart w:id="853" w:name="_Toc11394808"/>
      <w:r w:rsidRPr="00CB093C">
        <w:rPr>
          <w:rFonts w:ascii="Arial" w:hAnsi="Arial" w:cs="Arial"/>
          <w:sz w:val="22"/>
          <w:szCs w:val="22"/>
        </w:rPr>
        <w:t>Sediments composition</w:t>
      </w:r>
      <w:bookmarkEnd w:id="850"/>
      <w:bookmarkEnd w:id="851"/>
      <w:bookmarkEnd w:id="852"/>
      <w:bookmarkEnd w:id="853"/>
    </w:p>
    <w:p w14:paraId="730AE237" w14:textId="03954408" w:rsidR="005B3F55" w:rsidRPr="00CB093C" w:rsidRDefault="005B3F55" w:rsidP="005B3F55">
      <w:pPr>
        <w:rPr>
          <w:rFonts w:ascii="Arial" w:hAnsi="Arial" w:cs="Arial"/>
          <w:szCs w:val="22"/>
          <w:lang w:eastAsia="x-none"/>
        </w:rPr>
      </w:pPr>
    </w:p>
    <w:p w14:paraId="62714448" w14:textId="77777777" w:rsidR="007A38EA" w:rsidRPr="00CB093C" w:rsidRDefault="007A38EA" w:rsidP="007A38EA">
      <w:pPr>
        <w:rPr>
          <w:rFonts w:ascii="Arial" w:hAnsi="Arial" w:cs="Arial"/>
          <w:szCs w:val="22"/>
          <w:lang w:eastAsia="x-none"/>
        </w:rPr>
      </w:pPr>
    </w:p>
    <w:p w14:paraId="3466DFED" w14:textId="729E888D" w:rsidR="00035FDC" w:rsidRPr="00CB093C" w:rsidRDefault="00207564"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46E98ED2" wp14:editId="4BC1C7EB">
            <wp:extent cx="3959968" cy="6826111"/>
            <wp:effectExtent l="0" t="0" r="2540" b="0"/>
            <wp:docPr id="38" name="Picture 38" descr="Set of bar graphs showing sediment grain size composition at reef habitat monitoring sites in the Cape York region each monitoring event from 2003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Y_sediment_reef_2016.png"/>
                    <pic:cNvPicPr/>
                  </pic:nvPicPr>
                  <pic:blipFill>
                    <a:blip r:embed="rId199">
                      <a:extLst>
                        <a:ext uri="{28A0092B-C50C-407E-A947-70E740481C1C}">
                          <a14:useLocalDpi xmlns:a14="http://schemas.microsoft.com/office/drawing/2010/main" val="0"/>
                        </a:ext>
                      </a:extLst>
                    </a:blip>
                    <a:stretch>
                      <a:fillRect/>
                    </a:stretch>
                  </pic:blipFill>
                  <pic:spPr>
                    <a:xfrm>
                      <a:off x="0" y="0"/>
                      <a:ext cx="3959968" cy="6826111"/>
                    </a:xfrm>
                    <a:prstGeom prst="rect">
                      <a:avLst/>
                    </a:prstGeom>
                  </pic:spPr>
                </pic:pic>
              </a:graphicData>
            </a:graphic>
          </wp:inline>
        </w:drawing>
      </w:r>
    </w:p>
    <w:p w14:paraId="69A95CF7" w14:textId="51ECE57F" w:rsidR="00035FDC" w:rsidRPr="00CB093C" w:rsidRDefault="00035FDC" w:rsidP="00035FDC">
      <w:pPr>
        <w:rPr>
          <w:rFonts w:ascii="Arial" w:hAnsi="Arial" w:cs="Arial"/>
          <w:i/>
          <w:vanish/>
          <w:szCs w:val="22"/>
          <w:specVanish/>
        </w:rPr>
      </w:pPr>
      <w:bookmarkStart w:id="854" w:name="_Ref511130629"/>
      <w:bookmarkStart w:id="855" w:name="_Toc6402878"/>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113</w:t>
      </w:r>
      <w:r w:rsidR="00C506C7" w:rsidRPr="00CB093C">
        <w:rPr>
          <w:rFonts w:ascii="Arial" w:hAnsi="Arial" w:cs="Arial"/>
          <w:noProof/>
          <w:szCs w:val="22"/>
        </w:rPr>
        <w:fldChar w:fldCharType="end"/>
      </w:r>
      <w:bookmarkEnd w:id="854"/>
      <w:r w:rsidRPr="00CB093C">
        <w:rPr>
          <w:rFonts w:ascii="Arial" w:hAnsi="Arial" w:cs="Arial"/>
          <w:szCs w:val="22"/>
        </w:rPr>
        <w:t xml:space="preserve">. </w:t>
      </w:r>
      <w:r w:rsidRPr="00CB093C">
        <w:rPr>
          <w:rFonts w:ascii="Arial" w:hAnsi="Arial" w:cs="Arial"/>
          <w:i/>
          <w:szCs w:val="22"/>
        </w:rPr>
        <w:t>Sediment grain size composition at reef habitat monitoring sites in the Cape York region, 2003</w:t>
      </w:r>
      <w:r w:rsidR="005C4C83"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55"/>
    </w:p>
    <w:p w14:paraId="21604FB7" w14:textId="0395D508" w:rsidR="00035FDC" w:rsidRPr="00CB093C" w:rsidRDefault="00035FDC" w:rsidP="00035FDC">
      <w:pPr>
        <w:rPr>
          <w:rFonts w:ascii="Arial" w:hAnsi="Arial" w:cs="Arial"/>
          <w:i/>
          <w:szCs w:val="22"/>
        </w:rPr>
      </w:pPr>
      <w:r w:rsidRPr="00CB093C">
        <w:rPr>
          <w:rFonts w:ascii="Arial" w:hAnsi="Arial" w:cs="Arial"/>
          <w:i/>
          <w:szCs w:val="22"/>
        </w:rPr>
        <w:t xml:space="preserve"> Dashed line is the </w:t>
      </w:r>
      <w:r w:rsidR="003158FC" w:rsidRPr="00CB093C">
        <w:rPr>
          <w:rFonts w:ascii="Arial" w:hAnsi="Arial" w:cs="Arial"/>
          <w:i/>
          <w:szCs w:val="22"/>
        </w:rPr>
        <w:t>Reef</w:t>
      </w:r>
      <w:r w:rsidRPr="00CB093C">
        <w:rPr>
          <w:rFonts w:ascii="Arial" w:hAnsi="Arial" w:cs="Arial"/>
          <w:i/>
          <w:szCs w:val="22"/>
        </w:rPr>
        <w:t xml:space="preserve"> long-term average proportion of mud.</w:t>
      </w:r>
    </w:p>
    <w:p w14:paraId="06DEED1C" w14:textId="77777777" w:rsidR="00035FDC" w:rsidRPr="00CB093C" w:rsidRDefault="00035FDC" w:rsidP="00035FDC">
      <w:pPr>
        <w:rPr>
          <w:rFonts w:ascii="Arial" w:hAnsi="Arial" w:cs="Arial"/>
          <w:i/>
          <w:szCs w:val="22"/>
        </w:rPr>
      </w:pPr>
    </w:p>
    <w:p w14:paraId="6C9C0503" w14:textId="77777777" w:rsidR="005672CD" w:rsidRPr="00CB093C" w:rsidRDefault="005672CD" w:rsidP="00035FDC">
      <w:pPr>
        <w:rPr>
          <w:rFonts w:ascii="Arial" w:hAnsi="Arial" w:cs="Arial"/>
          <w:i/>
          <w:color w:val="000000"/>
          <w:szCs w:val="22"/>
        </w:rPr>
      </w:pPr>
    </w:p>
    <w:p w14:paraId="3879226D" w14:textId="77777777" w:rsidR="005672CD" w:rsidRPr="00CB093C" w:rsidRDefault="005672CD" w:rsidP="00035FDC">
      <w:pPr>
        <w:rPr>
          <w:rFonts w:ascii="Arial" w:hAnsi="Arial" w:cs="Arial"/>
          <w:i/>
          <w:color w:val="000000"/>
          <w:szCs w:val="22"/>
        </w:rPr>
      </w:pPr>
    </w:p>
    <w:p w14:paraId="1A2A7D73" w14:textId="77777777" w:rsidR="005672CD" w:rsidRPr="00CB093C" w:rsidRDefault="005672CD" w:rsidP="00035FDC">
      <w:pPr>
        <w:rPr>
          <w:rFonts w:ascii="Arial" w:hAnsi="Arial" w:cs="Arial"/>
          <w:i/>
          <w:color w:val="000000"/>
          <w:szCs w:val="22"/>
        </w:rPr>
      </w:pPr>
    </w:p>
    <w:p w14:paraId="6B1B740D" w14:textId="77777777" w:rsidR="005672CD" w:rsidRPr="00CB093C" w:rsidRDefault="005672CD" w:rsidP="00035FDC">
      <w:pPr>
        <w:rPr>
          <w:rFonts w:ascii="Arial" w:hAnsi="Arial" w:cs="Arial"/>
          <w:i/>
          <w:color w:val="000000"/>
          <w:szCs w:val="22"/>
        </w:rPr>
      </w:pPr>
    </w:p>
    <w:p w14:paraId="313B058B" w14:textId="218F3A89" w:rsidR="00035FDC" w:rsidRPr="00CB093C" w:rsidRDefault="004006AB" w:rsidP="00035FDC">
      <w:pPr>
        <w:keepNext/>
        <w:widowControl w:val="0"/>
        <w:jc w:val="center"/>
        <w:rPr>
          <w:rFonts w:ascii="Arial" w:hAnsi="Arial" w:cs="Arial"/>
          <w:szCs w:val="22"/>
          <w:lang w:val="en-GB"/>
        </w:rPr>
      </w:pPr>
      <w:r w:rsidRPr="00CB093C">
        <w:rPr>
          <w:rFonts w:ascii="Arial" w:hAnsi="Arial" w:cs="Arial"/>
          <w:noProof/>
          <w:szCs w:val="22"/>
          <w:lang w:val="en-US"/>
        </w:rPr>
        <w:drawing>
          <wp:inline distT="0" distB="0" distL="0" distR="0" wp14:anchorId="0EC55D22" wp14:editId="4C1BC31C">
            <wp:extent cx="4319446" cy="5104799"/>
            <wp:effectExtent l="0" t="0" r="5080" b="635"/>
            <wp:docPr id="57" name="Picture 57" descr="Set of bar graphs showing sediment grain size composition at coastal habitat monitoring sites in the Cape York region each monitoring event from 2013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CY_sediment_coast_2016.png"/>
                    <pic:cNvPicPr/>
                  </pic:nvPicPr>
                  <pic:blipFill>
                    <a:blip r:embed="rId200">
                      <a:extLst>
                        <a:ext uri="{28A0092B-C50C-407E-A947-70E740481C1C}">
                          <a14:useLocalDpi xmlns:a14="http://schemas.microsoft.com/office/drawing/2010/main" val="0"/>
                        </a:ext>
                      </a:extLst>
                    </a:blip>
                    <a:stretch>
                      <a:fillRect/>
                    </a:stretch>
                  </pic:blipFill>
                  <pic:spPr>
                    <a:xfrm>
                      <a:off x="0" y="0"/>
                      <a:ext cx="4319446" cy="5104799"/>
                    </a:xfrm>
                    <a:prstGeom prst="rect">
                      <a:avLst/>
                    </a:prstGeom>
                  </pic:spPr>
                </pic:pic>
              </a:graphicData>
            </a:graphic>
          </wp:inline>
        </w:drawing>
      </w:r>
    </w:p>
    <w:p w14:paraId="40506C14" w14:textId="06DBEAE2" w:rsidR="00035FDC" w:rsidRPr="00CB093C" w:rsidRDefault="00035FDC" w:rsidP="00035FDC">
      <w:pPr>
        <w:rPr>
          <w:rFonts w:ascii="Arial" w:hAnsi="Arial" w:cs="Arial"/>
          <w:i/>
          <w:vanish/>
          <w:szCs w:val="22"/>
          <w:specVanish/>
        </w:rPr>
      </w:pPr>
      <w:bookmarkStart w:id="856" w:name="_Ref511130634"/>
      <w:bookmarkStart w:id="857" w:name="_Toc6402879"/>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114</w:t>
      </w:r>
      <w:r w:rsidR="00C506C7" w:rsidRPr="00CB093C">
        <w:rPr>
          <w:rFonts w:ascii="Arial" w:hAnsi="Arial" w:cs="Arial"/>
          <w:noProof/>
          <w:szCs w:val="22"/>
        </w:rPr>
        <w:fldChar w:fldCharType="end"/>
      </w:r>
      <w:bookmarkEnd w:id="856"/>
      <w:r w:rsidRPr="00CB093C">
        <w:rPr>
          <w:rFonts w:ascii="Arial" w:hAnsi="Arial" w:cs="Arial"/>
          <w:szCs w:val="22"/>
        </w:rPr>
        <w:t xml:space="preserve">. </w:t>
      </w:r>
      <w:r w:rsidRPr="00CB093C">
        <w:rPr>
          <w:rFonts w:ascii="Arial" w:hAnsi="Arial" w:cs="Arial"/>
          <w:i/>
          <w:szCs w:val="22"/>
        </w:rPr>
        <w:t>Sediment grain size composition at coastal habitat monitoring sites in the Cape York region, 201</w:t>
      </w:r>
      <w:r w:rsidR="005C4C83" w:rsidRPr="00CB093C">
        <w:rPr>
          <w:rFonts w:ascii="Arial" w:hAnsi="Arial" w:cs="Arial"/>
          <w:i/>
          <w:szCs w:val="22"/>
        </w:rPr>
        <w:t>0</w:t>
      </w:r>
      <w:r w:rsidR="00126725"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57"/>
    </w:p>
    <w:p w14:paraId="684F1926" w14:textId="20C41376"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3D84B77F" w14:textId="77777777" w:rsidR="00035FDC" w:rsidRPr="00CB093C" w:rsidRDefault="00035FDC" w:rsidP="00035FDC">
      <w:pPr>
        <w:rPr>
          <w:rFonts w:ascii="Arial" w:hAnsi="Arial" w:cs="Arial"/>
          <w:szCs w:val="22"/>
          <w:lang w:val="en-GB"/>
        </w:rPr>
      </w:pPr>
    </w:p>
    <w:p w14:paraId="2780642C" w14:textId="77777777" w:rsidR="00035FDC" w:rsidRPr="00CB093C" w:rsidRDefault="00035FDC" w:rsidP="00035FDC">
      <w:pPr>
        <w:rPr>
          <w:rFonts w:ascii="Arial" w:hAnsi="Arial" w:cs="Arial"/>
          <w:color w:val="000000"/>
          <w:szCs w:val="22"/>
          <w:lang w:val="en-GB"/>
        </w:rPr>
      </w:pPr>
    </w:p>
    <w:p w14:paraId="038FA815" w14:textId="77777777" w:rsidR="00035FDC" w:rsidRPr="00CB093C" w:rsidRDefault="00035FDC" w:rsidP="00035FDC">
      <w:pPr>
        <w:rPr>
          <w:rFonts w:ascii="Arial" w:hAnsi="Arial" w:cs="Arial"/>
          <w:color w:val="000000"/>
          <w:szCs w:val="22"/>
          <w:lang w:val="en-GB"/>
        </w:rPr>
      </w:pPr>
    </w:p>
    <w:p w14:paraId="173FF74F" w14:textId="77777777" w:rsidR="005672CD" w:rsidRPr="00CB093C" w:rsidRDefault="005672CD" w:rsidP="00035FDC">
      <w:pPr>
        <w:rPr>
          <w:rFonts w:ascii="Arial" w:hAnsi="Arial" w:cs="Arial"/>
          <w:color w:val="000000"/>
          <w:szCs w:val="22"/>
          <w:lang w:val="en-GB"/>
        </w:rPr>
      </w:pPr>
    </w:p>
    <w:p w14:paraId="0BFF4A6C" w14:textId="77777777" w:rsidR="005672CD" w:rsidRPr="00CB093C" w:rsidRDefault="005672CD" w:rsidP="00035FDC">
      <w:pPr>
        <w:rPr>
          <w:rFonts w:ascii="Arial" w:hAnsi="Arial" w:cs="Arial"/>
          <w:color w:val="000000"/>
          <w:szCs w:val="22"/>
          <w:lang w:val="en-GB"/>
        </w:rPr>
      </w:pPr>
    </w:p>
    <w:p w14:paraId="5BD6D7F7" w14:textId="77777777" w:rsidR="005672CD" w:rsidRPr="00CB093C" w:rsidRDefault="005672CD" w:rsidP="00035FDC">
      <w:pPr>
        <w:rPr>
          <w:rFonts w:ascii="Arial" w:hAnsi="Arial" w:cs="Arial"/>
          <w:color w:val="000000"/>
          <w:szCs w:val="22"/>
          <w:lang w:val="en-GB"/>
        </w:rPr>
      </w:pPr>
    </w:p>
    <w:p w14:paraId="5C280A8D" w14:textId="77777777" w:rsidR="005672CD" w:rsidRPr="00CB093C" w:rsidRDefault="005672CD" w:rsidP="00035FDC">
      <w:pPr>
        <w:rPr>
          <w:rFonts w:ascii="Arial" w:hAnsi="Arial" w:cs="Arial"/>
          <w:color w:val="000000"/>
          <w:szCs w:val="22"/>
          <w:lang w:val="en-GB"/>
        </w:rPr>
      </w:pPr>
    </w:p>
    <w:p w14:paraId="0729ABAD" w14:textId="77777777" w:rsidR="005672CD" w:rsidRPr="00CB093C" w:rsidRDefault="005672CD" w:rsidP="00035FDC">
      <w:pPr>
        <w:rPr>
          <w:rFonts w:ascii="Arial" w:hAnsi="Arial" w:cs="Arial"/>
          <w:color w:val="000000"/>
          <w:szCs w:val="22"/>
          <w:lang w:val="en-GB"/>
        </w:rPr>
      </w:pPr>
    </w:p>
    <w:p w14:paraId="64ABC744" w14:textId="77777777" w:rsidR="005672CD" w:rsidRPr="00CB093C" w:rsidRDefault="005672CD" w:rsidP="00035FDC">
      <w:pPr>
        <w:rPr>
          <w:rFonts w:ascii="Arial" w:hAnsi="Arial" w:cs="Arial"/>
          <w:color w:val="000000"/>
          <w:szCs w:val="22"/>
          <w:lang w:val="en-GB"/>
        </w:rPr>
      </w:pPr>
    </w:p>
    <w:p w14:paraId="2D08571E" w14:textId="77777777" w:rsidR="005672CD" w:rsidRPr="00CB093C" w:rsidRDefault="005672CD" w:rsidP="00035FDC">
      <w:pPr>
        <w:rPr>
          <w:rFonts w:ascii="Arial" w:hAnsi="Arial" w:cs="Arial"/>
          <w:color w:val="000000"/>
          <w:szCs w:val="22"/>
          <w:lang w:val="en-GB"/>
        </w:rPr>
      </w:pPr>
    </w:p>
    <w:p w14:paraId="3402E474" w14:textId="77777777" w:rsidR="005672CD" w:rsidRPr="00CB093C" w:rsidRDefault="005672CD" w:rsidP="00035FDC">
      <w:pPr>
        <w:rPr>
          <w:rFonts w:ascii="Arial" w:hAnsi="Arial" w:cs="Arial"/>
          <w:color w:val="000000"/>
          <w:szCs w:val="22"/>
          <w:lang w:val="en-GB"/>
        </w:rPr>
      </w:pPr>
    </w:p>
    <w:p w14:paraId="6E0305B6" w14:textId="77777777" w:rsidR="005672CD" w:rsidRPr="00CB093C" w:rsidRDefault="005672CD" w:rsidP="00035FDC">
      <w:pPr>
        <w:rPr>
          <w:rFonts w:ascii="Arial" w:hAnsi="Arial" w:cs="Arial"/>
          <w:color w:val="000000"/>
          <w:szCs w:val="22"/>
          <w:lang w:val="en-GB"/>
        </w:rPr>
      </w:pPr>
    </w:p>
    <w:p w14:paraId="04FF1394" w14:textId="77777777" w:rsidR="005672CD" w:rsidRPr="00CB093C" w:rsidRDefault="005672CD" w:rsidP="00035FDC">
      <w:pPr>
        <w:rPr>
          <w:rFonts w:ascii="Arial" w:hAnsi="Arial" w:cs="Arial"/>
          <w:color w:val="000000"/>
          <w:szCs w:val="22"/>
          <w:lang w:val="en-GB"/>
        </w:rPr>
      </w:pPr>
    </w:p>
    <w:p w14:paraId="392FD4AB" w14:textId="16561BA8" w:rsidR="00035FDC" w:rsidRPr="00CB093C" w:rsidRDefault="004006AB"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006FAEE9" wp14:editId="0D7F9334">
            <wp:extent cx="4320000" cy="5031007"/>
            <wp:effectExtent l="0" t="0" r="4445" b="0"/>
            <wp:docPr id="59" name="Picture 59" descr="Set of bar graphs showing sediment grain size composition at coastal habitat monitoring sites in the Wet Tropics region each monitoring event from 2001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WT_sediment_coast_2016.png"/>
                    <pic:cNvPicPr/>
                  </pic:nvPicPr>
                  <pic:blipFill>
                    <a:blip r:embed="rId201">
                      <a:extLst>
                        <a:ext uri="{28A0092B-C50C-407E-A947-70E740481C1C}">
                          <a14:useLocalDpi xmlns:a14="http://schemas.microsoft.com/office/drawing/2010/main" val="0"/>
                        </a:ext>
                      </a:extLst>
                    </a:blip>
                    <a:stretch>
                      <a:fillRect/>
                    </a:stretch>
                  </pic:blipFill>
                  <pic:spPr>
                    <a:xfrm>
                      <a:off x="0" y="0"/>
                      <a:ext cx="4320000" cy="5031007"/>
                    </a:xfrm>
                    <a:prstGeom prst="rect">
                      <a:avLst/>
                    </a:prstGeom>
                  </pic:spPr>
                </pic:pic>
              </a:graphicData>
            </a:graphic>
          </wp:inline>
        </w:drawing>
      </w:r>
    </w:p>
    <w:p w14:paraId="7AFE6FF2" w14:textId="58852DFB" w:rsidR="00035FDC" w:rsidRPr="00CB093C" w:rsidRDefault="00035FDC" w:rsidP="00035FDC">
      <w:pPr>
        <w:rPr>
          <w:rFonts w:ascii="Arial" w:hAnsi="Arial" w:cs="Arial"/>
          <w:i/>
          <w:vanish/>
          <w:szCs w:val="22"/>
          <w:specVanish/>
        </w:rPr>
      </w:pPr>
      <w:bookmarkStart w:id="858" w:name="_Ref511131260"/>
      <w:bookmarkStart w:id="859" w:name="_Toc6402880"/>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115</w:t>
      </w:r>
      <w:r w:rsidR="00C506C7" w:rsidRPr="00CB093C">
        <w:rPr>
          <w:rFonts w:ascii="Arial" w:hAnsi="Arial" w:cs="Arial"/>
          <w:noProof/>
          <w:szCs w:val="22"/>
        </w:rPr>
        <w:fldChar w:fldCharType="end"/>
      </w:r>
      <w:bookmarkEnd w:id="858"/>
      <w:r w:rsidRPr="00CB093C">
        <w:rPr>
          <w:rFonts w:ascii="Arial" w:hAnsi="Arial" w:cs="Arial"/>
          <w:szCs w:val="22"/>
        </w:rPr>
        <w:t xml:space="preserve">.  </w:t>
      </w:r>
      <w:r w:rsidRPr="00CB093C">
        <w:rPr>
          <w:rFonts w:ascii="Arial" w:hAnsi="Arial" w:cs="Arial"/>
          <w:i/>
          <w:szCs w:val="22"/>
        </w:rPr>
        <w:t>Sediment grain size composition at intertidal coastal habitat monitoring sites in the Wet Tropics region, 2001</w:t>
      </w:r>
      <w:r w:rsidR="00126725"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59"/>
    </w:p>
    <w:p w14:paraId="0E19903A" w14:textId="22197617"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05BEB78C" w14:textId="77777777" w:rsidR="00035FDC" w:rsidRPr="00CB093C" w:rsidRDefault="00035FDC" w:rsidP="00035FDC">
      <w:pPr>
        <w:rPr>
          <w:rFonts w:ascii="Arial" w:hAnsi="Arial" w:cs="Arial"/>
          <w:szCs w:val="22"/>
          <w:lang w:val="en-GB"/>
        </w:rPr>
      </w:pPr>
    </w:p>
    <w:p w14:paraId="489EBD00" w14:textId="77777777" w:rsidR="005672CD" w:rsidRPr="00CB093C" w:rsidRDefault="005672CD" w:rsidP="00035FDC">
      <w:pPr>
        <w:rPr>
          <w:rFonts w:ascii="Arial" w:hAnsi="Arial" w:cs="Arial"/>
          <w:color w:val="000000"/>
          <w:szCs w:val="22"/>
          <w:lang w:val="en-GB"/>
        </w:rPr>
      </w:pPr>
    </w:p>
    <w:p w14:paraId="0CC59799" w14:textId="77777777" w:rsidR="005672CD" w:rsidRPr="00CB093C" w:rsidRDefault="005672CD" w:rsidP="00035FDC">
      <w:pPr>
        <w:rPr>
          <w:rFonts w:ascii="Arial" w:hAnsi="Arial" w:cs="Arial"/>
          <w:color w:val="000000"/>
          <w:szCs w:val="22"/>
          <w:lang w:val="en-GB"/>
        </w:rPr>
      </w:pPr>
    </w:p>
    <w:p w14:paraId="13557FF5" w14:textId="77777777" w:rsidR="005672CD" w:rsidRPr="00CB093C" w:rsidRDefault="005672CD" w:rsidP="00035FDC">
      <w:pPr>
        <w:rPr>
          <w:rFonts w:ascii="Arial" w:hAnsi="Arial" w:cs="Arial"/>
          <w:color w:val="000000"/>
          <w:szCs w:val="22"/>
          <w:lang w:val="en-GB"/>
        </w:rPr>
      </w:pPr>
    </w:p>
    <w:p w14:paraId="521A9665" w14:textId="77777777" w:rsidR="005672CD" w:rsidRPr="00CB093C" w:rsidRDefault="005672CD" w:rsidP="00035FDC">
      <w:pPr>
        <w:rPr>
          <w:rFonts w:ascii="Arial" w:hAnsi="Arial" w:cs="Arial"/>
          <w:color w:val="000000"/>
          <w:szCs w:val="22"/>
          <w:lang w:val="en-GB"/>
        </w:rPr>
      </w:pPr>
    </w:p>
    <w:p w14:paraId="610889F7" w14:textId="77777777" w:rsidR="005672CD" w:rsidRPr="00CB093C" w:rsidRDefault="005672CD" w:rsidP="00035FDC">
      <w:pPr>
        <w:rPr>
          <w:rFonts w:ascii="Arial" w:hAnsi="Arial" w:cs="Arial"/>
          <w:color w:val="000000"/>
          <w:szCs w:val="22"/>
          <w:lang w:val="en-GB"/>
        </w:rPr>
      </w:pPr>
    </w:p>
    <w:p w14:paraId="1FA1AA70" w14:textId="77777777" w:rsidR="005672CD" w:rsidRPr="00CB093C" w:rsidRDefault="005672CD" w:rsidP="00035FDC">
      <w:pPr>
        <w:rPr>
          <w:rFonts w:ascii="Arial" w:hAnsi="Arial" w:cs="Arial"/>
          <w:color w:val="000000"/>
          <w:szCs w:val="22"/>
          <w:lang w:val="en-GB"/>
        </w:rPr>
      </w:pPr>
    </w:p>
    <w:p w14:paraId="18145F22" w14:textId="77777777" w:rsidR="005672CD" w:rsidRPr="00CB093C" w:rsidRDefault="005672CD" w:rsidP="00035FDC">
      <w:pPr>
        <w:rPr>
          <w:rFonts w:ascii="Arial" w:hAnsi="Arial" w:cs="Arial"/>
          <w:color w:val="000000"/>
          <w:szCs w:val="22"/>
          <w:lang w:val="en-GB"/>
        </w:rPr>
      </w:pPr>
    </w:p>
    <w:p w14:paraId="60926A06" w14:textId="77777777" w:rsidR="005672CD" w:rsidRPr="00CB093C" w:rsidRDefault="005672CD" w:rsidP="00035FDC">
      <w:pPr>
        <w:rPr>
          <w:rFonts w:ascii="Arial" w:hAnsi="Arial" w:cs="Arial"/>
          <w:color w:val="000000"/>
          <w:szCs w:val="22"/>
          <w:lang w:val="en-GB"/>
        </w:rPr>
      </w:pPr>
    </w:p>
    <w:p w14:paraId="6BFA5DBD" w14:textId="77777777" w:rsidR="005672CD" w:rsidRPr="00CB093C" w:rsidRDefault="005672CD" w:rsidP="00035FDC">
      <w:pPr>
        <w:rPr>
          <w:rFonts w:ascii="Arial" w:hAnsi="Arial" w:cs="Arial"/>
          <w:color w:val="000000"/>
          <w:szCs w:val="22"/>
          <w:lang w:val="en-GB"/>
        </w:rPr>
      </w:pPr>
    </w:p>
    <w:p w14:paraId="7EEB1BA2" w14:textId="77777777" w:rsidR="005672CD" w:rsidRPr="00CB093C" w:rsidRDefault="005672CD" w:rsidP="00035FDC">
      <w:pPr>
        <w:rPr>
          <w:rFonts w:ascii="Arial" w:hAnsi="Arial" w:cs="Arial"/>
          <w:color w:val="000000"/>
          <w:szCs w:val="22"/>
          <w:lang w:val="en-GB"/>
        </w:rPr>
      </w:pPr>
    </w:p>
    <w:p w14:paraId="1C901F59" w14:textId="77777777" w:rsidR="005672CD" w:rsidRPr="00CB093C" w:rsidRDefault="005672CD" w:rsidP="00035FDC">
      <w:pPr>
        <w:rPr>
          <w:rFonts w:ascii="Arial" w:hAnsi="Arial" w:cs="Arial"/>
          <w:color w:val="000000"/>
          <w:szCs w:val="22"/>
          <w:lang w:val="en-GB"/>
        </w:rPr>
      </w:pPr>
    </w:p>
    <w:p w14:paraId="47CE5E2E" w14:textId="77777777" w:rsidR="005672CD" w:rsidRPr="00CB093C" w:rsidRDefault="005672CD" w:rsidP="00035FDC">
      <w:pPr>
        <w:rPr>
          <w:rFonts w:ascii="Arial" w:hAnsi="Arial" w:cs="Arial"/>
          <w:color w:val="000000"/>
          <w:szCs w:val="22"/>
          <w:lang w:val="en-GB"/>
        </w:rPr>
      </w:pPr>
    </w:p>
    <w:p w14:paraId="00942B5D" w14:textId="378A1ED3" w:rsidR="00035FDC" w:rsidRPr="00CB093C" w:rsidRDefault="004006AB"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48CD471D" wp14:editId="41CC0A05">
            <wp:extent cx="4319508" cy="6271198"/>
            <wp:effectExtent l="0" t="0" r="5080" b="0"/>
            <wp:docPr id="60" name="Picture 60" descr="Set of bar graphs showing sediment grain size composition at intertidal reef habitat monitoring sites in the Wet Tropics region each monitoring event from 2001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WT_sediment_reef_2016.png"/>
                    <pic:cNvPicPr/>
                  </pic:nvPicPr>
                  <pic:blipFill>
                    <a:blip r:embed="rId202">
                      <a:extLst>
                        <a:ext uri="{28A0092B-C50C-407E-A947-70E740481C1C}">
                          <a14:useLocalDpi xmlns:a14="http://schemas.microsoft.com/office/drawing/2010/main" val="0"/>
                        </a:ext>
                      </a:extLst>
                    </a:blip>
                    <a:stretch>
                      <a:fillRect/>
                    </a:stretch>
                  </pic:blipFill>
                  <pic:spPr>
                    <a:xfrm>
                      <a:off x="0" y="0"/>
                      <a:ext cx="4319508" cy="6271198"/>
                    </a:xfrm>
                    <a:prstGeom prst="rect">
                      <a:avLst/>
                    </a:prstGeom>
                  </pic:spPr>
                </pic:pic>
              </a:graphicData>
            </a:graphic>
          </wp:inline>
        </w:drawing>
      </w:r>
    </w:p>
    <w:p w14:paraId="4F50366C" w14:textId="51B3148C" w:rsidR="00035FDC" w:rsidRPr="00CB093C" w:rsidRDefault="00035FDC" w:rsidP="00035FDC">
      <w:pPr>
        <w:rPr>
          <w:rFonts w:ascii="Arial" w:hAnsi="Arial" w:cs="Arial"/>
          <w:i/>
          <w:vanish/>
          <w:szCs w:val="22"/>
          <w:specVanish/>
        </w:rPr>
      </w:pPr>
      <w:bookmarkStart w:id="860" w:name="_Ref511131261"/>
      <w:bookmarkStart w:id="861" w:name="_Toc6402881"/>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116</w:t>
      </w:r>
      <w:r w:rsidR="00C506C7" w:rsidRPr="00CB093C">
        <w:rPr>
          <w:rFonts w:ascii="Arial" w:hAnsi="Arial" w:cs="Arial"/>
          <w:noProof/>
          <w:szCs w:val="22"/>
        </w:rPr>
        <w:fldChar w:fldCharType="end"/>
      </w:r>
      <w:bookmarkEnd w:id="860"/>
      <w:r w:rsidRPr="00CB093C">
        <w:rPr>
          <w:rFonts w:ascii="Arial" w:hAnsi="Arial" w:cs="Arial"/>
          <w:szCs w:val="22"/>
        </w:rPr>
        <w:t xml:space="preserve">.  </w:t>
      </w:r>
      <w:r w:rsidRPr="00CB093C">
        <w:rPr>
          <w:rFonts w:ascii="Arial" w:hAnsi="Arial" w:cs="Arial"/>
          <w:i/>
          <w:szCs w:val="22"/>
        </w:rPr>
        <w:t>Sediment grain size composition at intertidal reef habitat monitoring sites in the Wet Tropics region, 2001</w:t>
      </w:r>
      <w:r w:rsidR="00126725"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61"/>
    </w:p>
    <w:p w14:paraId="5344AA72" w14:textId="73028445"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0C4BBB39" w14:textId="77777777" w:rsidR="00035FDC" w:rsidRPr="00CB093C" w:rsidRDefault="00035FDC" w:rsidP="00035FDC">
      <w:pPr>
        <w:rPr>
          <w:rFonts w:ascii="Arial" w:hAnsi="Arial" w:cs="Arial"/>
          <w:szCs w:val="22"/>
          <w:lang w:val="en-GB"/>
        </w:rPr>
      </w:pPr>
    </w:p>
    <w:p w14:paraId="52FFDCE8" w14:textId="77777777" w:rsidR="005672CD" w:rsidRPr="00CB093C" w:rsidRDefault="005672CD" w:rsidP="00035FDC">
      <w:pPr>
        <w:rPr>
          <w:rFonts w:ascii="Arial" w:hAnsi="Arial" w:cs="Arial"/>
          <w:color w:val="000000"/>
          <w:szCs w:val="22"/>
          <w:lang w:val="en-GB"/>
        </w:rPr>
      </w:pPr>
    </w:p>
    <w:p w14:paraId="3CCA9416" w14:textId="77777777" w:rsidR="005672CD" w:rsidRPr="00CB093C" w:rsidRDefault="005672CD" w:rsidP="00035FDC">
      <w:pPr>
        <w:rPr>
          <w:rFonts w:ascii="Arial" w:hAnsi="Arial" w:cs="Arial"/>
          <w:color w:val="000000"/>
          <w:szCs w:val="22"/>
          <w:lang w:val="en-GB"/>
        </w:rPr>
      </w:pPr>
    </w:p>
    <w:p w14:paraId="429FE7BC" w14:textId="77777777" w:rsidR="005672CD" w:rsidRPr="00CB093C" w:rsidRDefault="005672CD" w:rsidP="00035FDC">
      <w:pPr>
        <w:rPr>
          <w:rFonts w:ascii="Arial" w:hAnsi="Arial" w:cs="Arial"/>
          <w:color w:val="000000"/>
          <w:szCs w:val="22"/>
          <w:lang w:val="en-GB"/>
        </w:rPr>
      </w:pPr>
    </w:p>
    <w:p w14:paraId="0B89E5AD" w14:textId="77777777" w:rsidR="005672CD" w:rsidRPr="00CB093C" w:rsidRDefault="005672CD" w:rsidP="00035FDC">
      <w:pPr>
        <w:rPr>
          <w:rFonts w:ascii="Arial" w:hAnsi="Arial" w:cs="Arial"/>
          <w:color w:val="000000"/>
          <w:szCs w:val="22"/>
          <w:lang w:val="en-GB"/>
        </w:rPr>
      </w:pPr>
    </w:p>
    <w:p w14:paraId="443CD12C" w14:textId="77777777" w:rsidR="005672CD" w:rsidRPr="00CB093C" w:rsidRDefault="005672CD" w:rsidP="00035FDC">
      <w:pPr>
        <w:rPr>
          <w:rFonts w:ascii="Arial" w:hAnsi="Arial" w:cs="Arial"/>
          <w:color w:val="000000"/>
          <w:szCs w:val="22"/>
          <w:lang w:val="en-GB"/>
        </w:rPr>
      </w:pPr>
    </w:p>
    <w:p w14:paraId="6C316F15" w14:textId="77777777" w:rsidR="005672CD" w:rsidRPr="00CB093C" w:rsidRDefault="005672CD" w:rsidP="00035FDC">
      <w:pPr>
        <w:rPr>
          <w:rFonts w:ascii="Arial" w:hAnsi="Arial" w:cs="Arial"/>
          <w:color w:val="000000"/>
          <w:szCs w:val="22"/>
          <w:lang w:val="en-GB"/>
        </w:rPr>
      </w:pPr>
    </w:p>
    <w:p w14:paraId="3F7F5A43" w14:textId="77777777" w:rsidR="005672CD" w:rsidRPr="00CB093C" w:rsidRDefault="005672CD" w:rsidP="00035FDC">
      <w:pPr>
        <w:rPr>
          <w:rFonts w:ascii="Arial" w:hAnsi="Arial" w:cs="Arial"/>
          <w:color w:val="000000"/>
          <w:szCs w:val="22"/>
          <w:lang w:val="en-GB"/>
        </w:rPr>
      </w:pPr>
    </w:p>
    <w:p w14:paraId="505A2B16" w14:textId="0722FE98" w:rsidR="00035FDC" w:rsidRPr="00CB093C" w:rsidRDefault="00E7638A"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648DB0E2" wp14:editId="12245911">
            <wp:extent cx="3959999" cy="3628656"/>
            <wp:effectExtent l="0" t="0" r="2540" b="0"/>
            <wp:docPr id="61" name="Picture 61" descr="Set of bar graphs showing sediment grain size composition at subtidal reef habitat monitoring sites in the Wet Tropics region each monitoring event from 2008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WT_sediment_subtidal_2016.png"/>
                    <pic:cNvPicPr/>
                  </pic:nvPicPr>
                  <pic:blipFill>
                    <a:blip r:embed="rId203">
                      <a:extLst>
                        <a:ext uri="{28A0092B-C50C-407E-A947-70E740481C1C}">
                          <a14:useLocalDpi xmlns:a14="http://schemas.microsoft.com/office/drawing/2010/main" val="0"/>
                        </a:ext>
                      </a:extLst>
                    </a:blip>
                    <a:stretch>
                      <a:fillRect/>
                    </a:stretch>
                  </pic:blipFill>
                  <pic:spPr>
                    <a:xfrm>
                      <a:off x="0" y="0"/>
                      <a:ext cx="3959999" cy="3628656"/>
                    </a:xfrm>
                    <a:prstGeom prst="rect">
                      <a:avLst/>
                    </a:prstGeom>
                  </pic:spPr>
                </pic:pic>
              </a:graphicData>
            </a:graphic>
          </wp:inline>
        </w:drawing>
      </w:r>
    </w:p>
    <w:p w14:paraId="2E33B95E" w14:textId="27CBC875" w:rsidR="00035FDC" w:rsidRPr="00CB093C" w:rsidRDefault="00035FDC" w:rsidP="00035FDC">
      <w:pPr>
        <w:rPr>
          <w:rFonts w:ascii="Arial" w:hAnsi="Arial" w:cs="Arial"/>
          <w:i/>
          <w:vanish/>
          <w:szCs w:val="22"/>
          <w:specVanish/>
        </w:rPr>
      </w:pPr>
      <w:bookmarkStart w:id="862" w:name="_Ref511131267"/>
      <w:bookmarkStart w:id="863" w:name="_Toc6402882"/>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117</w:t>
      </w:r>
      <w:r w:rsidR="00C506C7" w:rsidRPr="00CB093C">
        <w:rPr>
          <w:rFonts w:ascii="Arial" w:hAnsi="Arial" w:cs="Arial"/>
          <w:noProof/>
          <w:szCs w:val="22"/>
        </w:rPr>
        <w:fldChar w:fldCharType="end"/>
      </w:r>
      <w:bookmarkEnd w:id="862"/>
      <w:r w:rsidRPr="00CB093C">
        <w:rPr>
          <w:rFonts w:ascii="Arial" w:hAnsi="Arial" w:cs="Arial"/>
          <w:szCs w:val="22"/>
        </w:rPr>
        <w:t xml:space="preserve">.  </w:t>
      </w:r>
      <w:r w:rsidRPr="00CB093C">
        <w:rPr>
          <w:rFonts w:ascii="Arial" w:hAnsi="Arial" w:cs="Arial"/>
          <w:i/>
          <w:szCs w:val="22"/>
        </w:rPr>
        <w:t>Sediment grain size composition at subtidal reef habitat monitoring sites in the Wet Tropics region, 2008</w:t>
      </w:r>
      <w:r w:rsidR="00126725"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63"/>
    </w:p>
    <w:p w14:paraId="115B24D7" w14:textId="0D3CEF93"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70A10FD7" w14:textId="77777777" w:rsidR="00035FDC" w:rsidRPr="00CB093C" w:rsidRDefault="00035FDC" w:rsidP="00035FDC">
      <w:pPr>
        <w:rPr>
          <w:rFonts w:ascii="Arial" w:hAnsi="Arial" w:cs="Arial"/>
          <w:szCs w:val="22"/>
          <w:lang w:val="en-GB"/>
        </w:rPr>
      </w:pPr>
    </w:p>
    <w:p w14:paraId="13B689E5" w14:textId="77777777" w:rsidR="005672CD" w:rsidRPr="00CB093C" w:rsidRDefault="005672CD" w:rsidP="00035FDC">
      <w:pPr>
        <w:rPr>
          <w:rFonts w:ascii="Arial" w:hAnsi="Arial" w:cs="Arial"/>
          <w:szCs w:val="22"/>
          <w:lang w:val="en-GB"/>
        </w:rPr>
      </w:pPr>
    </w:p>
    <w:p w14:paraId="5CD4C997" w14:textId="77777777" w:rsidR="005672CD" w:rsidRPr="00CB093C" w:rsidRDefault="005672CD" w:rsidP="00035FDC">
      <w:pPr>
        <w:rPr>
          <w:rFonts w:ascii="Arial" w:hAnsi="Arial" w:cs="Arial"/>
          <w:color w:val="000000"/>
          <w:szCs w:val="22"/>
          <w:lang w:val="en-GB"/>
        </w:rPr>
      </w:pPr>
    </w:p>
    <w:p w14:paraId="6A4696EC" w14:textId="77777777" w:rsidR="005672CD" w:rsidRPr="00CB093C" w:rsidRDefault="005672CD" w:rsidP="00035FDC">
      <w:pPr>
        <w:rPr>
          <w:rFonts w:ascii="Arial" w:hAnsi="Arial" w:cs="Arial"/>
          <w:color w:val="000000"/>
          <w:szCs w:val="22"/>
          <w:lang w:val="en-GB"/>
        </w:rPr>
      </w:pPr>
    </w:p>
    <w:p w14:paraId="3118B93F" w14:textId="77777777" w:rsidR="005672CD" w:rsidRPr="00CB093C" w:rsidRDefault="005672CD" w:rsidP="00035FDC">
      <w:pPr>
        <w:rPr>
          <w:rFonts w:ascii="Arial" w:hAnsi="Arial" w:cs="Arial"/>
          <w:color w:val="000000"/>
          <w:szCs w:val="22"/>
          <w:lang w:val="en-GB"/>
        </w:rPr>
      </w:pPr>
    </w:p>
    <w:p w14:paraId="1C8773BD" w14:textId="77777777" w:rsidR="005672CD" w:rsidRPr="00CB093C" w:rsidRDefault="005672CD" w:rsidP="00035FDC">
      <w:pPr>
        <w:rPr>
          <w:rFonts w:ascii="Arial" w:hAnsi="Arial" w:cs="Arial"/>
          <w:color w:val="000000"/>
          <w:szCs w:val="22"/>
          <w:lang w:val="en-GB"/>
        </w:rPr>
      </w:pPr>
    </w:p>
    <w:p w14:paraId="136FE8F0" w14:textId="77777777" w:rsidR="005672CD" w:rsidRPr="00CB093C" w:rsidRDefault="005672CD" w:rsidP="00035FDC">
      <w:pPr>
        <w:rPr>
          <w:rFonts w:ascii="Arial" w:hAnsi="Arial" w:cs="Arial"/>
          <w:color w:val="000000"/>
          <w:szCs w:val="22"/>
          <w:lang w:val="en-GB"/>
        </w:rPr>
      </w:pPr>
    </w:p>
    <w:p w14:paraId="4747F968" w14:textId="77777777" w:rsidR="005672CD" w:rsidRPr="00CB093C" w:rsidRDefault="005672CD" w:rsidP="00035FDC">
      <w:pPr>
        <w:rPr>
          <w:rFonts w:ascii="Arial" w:hAnsi="Arial" w:cs="Arial"/>
          <w:color w:val="000000"/>
          <w:szCs w:val="22"/>
          <w:lang w:val="en-GB"/>
        </w:rPr>
      </w:pPr>
    </w:p>
    <w:p w14:paraId="2F37E9CB" w14:textId="77777777" w:rsidR="005672CD" w:rsidRPr="00CB093C" w:rsidRDefault="005672CD" w:rsidP="00035FDC">
      <w:pPr>
        <w:rPr>
          <w:rFonts w:ascii="Arial" w:hAnsi="Arial" w:cs="Arial"/>
          <w:color w:val="000000"/>
          <w:szCs w:val="22"/>
          <w:lang w:val="en-GB"/>
        </w:rPr>
      </w:pPr>
    </w:p>
    <w:p w14:paraId="0F10D083" w14:textId="77777777" w:rsidR="005672CD" w:rsidRPr="00CB093C" w:rsidRDefault="005672CD" w:rsidP="00035FDC">
      <w:pPr>
        <w:rPr>
          <w:rFonts w:ascii="Arial" w:hAnsi="Arial" w:cs="Arial"/>
          <w:color w:val="000000"/>
          <w:szCs w:val="22"/>
          <w:lang w:val="en-GB"/>
        </w:rPr>
      </w:pPr>
    </w:p>
    <w:p w14:paraId="131BFB2C" w14:textId="77777777" w:rsidR="005672CD" w:rsidRPr="00CB093C" w:rsidRDefault="005672CD" w:rsidP="00035FDC">
      <w:pPr>
        <w:rPr>
          <w:rFonts w:ascii="Arial" w:hAnsi="Arial" w:cs="Arial"/>
          <w:color w:val="000000"/>
          <w:szCs w:val="22"/>
          <w:lang w:val="en-GB"/>
        </w:rPr>
      </w:pPr>
    </w:p>
    <w:p w14:paraId="337F88B3" w14:textId="77777777" w:rsidR="005672CD" w:rsidRPr="00CB093C" w:rsidRDefault="005672CD" w:rsidP="00035FDC">
      <w:pPr>
        <w:rPr>
          <w:rFonts w:ascii="Arial" w:hAnsi="Arial" w:cs="Arial"/>
          <w:color w:val="000000"/>
          <w:szCs w:val="22"/>
          <w:lang w:val="en-GB"/>
        </w:rPr>
      </w:pPr>
    </w:p>
    <w:p w14:paraId="3EABF9F8" w14:textId="77777777" w:rsidR="005672CD" w:rsidRPr="00CB093C" w:rsidRDefault="005672CD" w:rsidP="00035FDC">
      <w:pPr>
        <w:rPr>
          <w:rFonts w:ascii="Arial" w:hAnsi="Arial" w:cs="Arial"/>
          <w:color w:val="000000"/>
          <w:szCs w:val="22"/>
          <w:lang w:val="en-GB"/>
        </w:rPr>
      </w:pPr>
    </w:p>
    <w:p w14:paraId="66A168BF" w14:textId="77777777" w:rsidR="005672CD" w:rsidRPr="00CB093C" w:rsidRDefault="005672CD" w:rsidP="00035FDC">
      <w:pPr>
        <w:rPr>
          <w:rFonts w:ascii="Arial" w:hAnsi="Arial" w:cs="Arial"/>
          <w:color w:val="000000"/>
          <w:szCs w:val="22"/>
          <w:lang w:val="en-GB"/>
        </w:rPr>
      </w:pPr>
    </w:p>
    <w:p w14:paraId="593C566E" w14:textId="77777777" w:rsidR="005672CD" w:rsidRPr="00CB093C" w:rsidRDefault="005672CD" w:rsidP="00035FDC">
      <w:pPr>
        <w:rPr>
          <w:rFonts w:ascii="Arial" w:hAnsi="Arial" w:cs="Arial"/>
          <w:color w:val="000000"/>
          <w:szCs w:val="22"/>
          <w:lang w:val="en-GB"/>
        </w:rPr>
      </w:pPr>
    </w:p>
    <w:p w14:paraId="7ACC9B24" w14:textId="77777777" w:rsidR="005672CD" w:rsidRPr="00CB093C" w:rsidRDefault="005672CD" w:rsidP="00035FDC">
      <w:pPr>
        <w:rPr>
          <w:rFonts w:ascii="Arial" w:hAnsi="Arial" w:cs="Arial"/>
          <w:color w:val="000000"/>
          <w:szCs w:val="22"/>
          <w:lang w:val="en-GB"/>
        </w:rPr>
      </w:pPr>
    </w:p>
    <w:p w14:paraId="1668A479" w14:textId="77777777" w:rsidR="005672CD" w:rsidRPr="00CB093C" w:rsidRDefault="005672CD" w:rsidP="00035FDC">
      <w:pPr>
        <w:rPr>
          <w:rFonts w:ascii="Arial" w:hAnsi="Arial" w:cs="Arial"/>
          <w:color w:val="000000"/>
          <w:szCs w:val="22"/>
          <w:lang w:val="en-GB"/>
        </w:rPr>
      </w:pPr>
    </w:p>
    <w:p w14:paraId="477A7B1E" w14:textId="77777777" w:rsidR="005672CD" w:rsidRPr="00CB093C" w:rsidRDefault="005672CD" w:rsidP="00035FDC">
      <w:pPr>
        <w:rPr>
          <w:rFonts w:ascii="Arial" w:hAnsi="Arial" w:cs="Arial"/>
          <w:color w:val="000000"/>
          <w:szCs w:val="22"/>
          <w:lang w:val="en-GB"/>
        </w:rPr>
      </w:pPr>
    </w:p>
    <w:p w14:paraId="6DE98CBC" w14:textId="0E5EFD23" w:rsidR="00035FDC" w:rsidRPr="00CB093C" w:rsidRDefault="00E7638A"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6D21E30F" wp14:editId="4BAF68CE">
            <wp:extent cx="3959999" cy="4640735"/>
            <wp:effectExtent l="0" t="0" r="2540" b="7620"/>
            <wp:docPr id="62" name="Picture 62" descr="Set of bar graphs showing sediment grain size composition at coastal habitat monitoring sites in the Burdekin region each monitoring event from 2001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B_sediment_coast_2016.png"/>
                    <pic:cNvPicPr/>
                  </pic:nvPicPr>
                  <pic:blipFill>
                    <a:blip r:embed="rId204">
                      <a:extLst>
                        <a:ext uri="{28A0092B-C50C-407E-A947-70E740481C1C}">
                          <a14:useLocalDpi xmlns:a14="http://schemas.microsoft.com/office/drawing/2010/main" val="0"/>
                        </a:ext>
                      </a:extLst>
                    </a:blip>
                    <a:stretch>
                      <a:fillRect/>
                    </a:stretch>
                  </pic:blipFill>
                  <pic:spPr>
                    <a:xfrm>
                      <a:off x="0" y="0"/>
                      <a:ext cx="3959999" cy="4640735"/>
                    </a:xfrm>
                    <a:prstGeom prst="rect">
                      <a:avLst/>
                    </a:prstGeom>
                  </pic:spPr>
                </pic:pic>
              </a:graphicData>
            </a:graphic>
          </wp:inline>
        </w:drawing>
      </w:r>
    </w:p>
    <w:p w14:paraId="33C8FC36" w14:textId="3172EB7C" w:rsidR="00035FDC" w:rsidRPr="00CB093C" w:rsidRDefault="00035FDC" w:rsidP="00035FDC">
      <w:pPr>
        <w:rPr>
          <w:rFonts w:ascii="Arial" w:hAnsi="Arial" w:cs="Arial"/>
          <w:i/>
          <w:vanish/>
          <w:szCs w:val="22"/>
          <w:specVanish/>
        </w:rPr>
      </w:pPr>
      <w:bookmarkStart w:id="864" w:name="_Ref511131469"/>
      <w:bookmarkStart w:id="865" w:name="_Toc6402883"/>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118</w:t>
      </w:r>
      <w:r w:rsidR="00C506C7" w:rsidRPr="00CB093C">
        <w:rPr>
          <w:rFonts w:ascii="Arial" w:hAnsi="Arial" w:cs="Arial"/>
          <w:noProof/>
          <w:szCs w:val="22"/>
        </w:rPr>
        <w:fldChar w:fldCharType="end"/>
      </w:r>
      <w:bookmarkEnd w:id="864"/>
      <w:r w:rsidRPr="00CB093C">
        <w:rPr>
          <w:rFonts w:ascii="Arial" w:hAnsi="Arial" w:cs="Arial"/>
          <w:szCs w:val="22"/>
        </w:rPr>
        <w:t xml:space="preserve">. </w:t>
      </w:r>
      <w:r w:rsidRPr="00CB093C">
        <w:rPr>
          <w:rFonts w:ascii="Arial" w:hAnsi="Arial" w:cs="Arial"/>
          <w:i/>
          <w:szCs w:val="22"/>
        </w:rPr>
        <w:t>Sediment grain size composition at intertidal coastal habitat monitoring sites in the Burdekin region, 2001</w:t>
      </w:r>
      <w:r w:rsidR="00126725"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65"/>
    </w:p>
    <w:p w14:paraId="40807D75" w14:textId="543C39AC"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1C59C32E" w14:textId="26F73FE7" w:rsidR="00035FDC" w:rsidRPr="00CB093C" w:rsidRDefault="00E7638A"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765B54E9" wp14:editId="54CA181F">
            <wp:extent cx="3959998" cy="2507462"/>
            <wp:effectExtent l="0" t="0" r="2540" b="7620"/>
            <wp:docPr id="527" name="Picture 527" descr="Set of bar graphs showing sediment grain size composition at intertidal reef habitat monitoring sites in the Burdekin region each monitoring event from 2004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 name="B_sediment_reef_2016.png"/>
                    <pic:cNvPicPr/>
                  </pic:nvPicPr>
                  <pic:blipFill>
                    <a:blip r:embed="rId205">
                      <a:extLst>
                        <a:ext uri="{28A0092B-C50C-407E-A947-70E740481C1C}">
                          <a14:useLocalDpi xmlns:a14="http://schemas.microsoft.com/office/drawing/2010/main" val="0"/>
                        </a:ext>
                      </a:extLst>
                    </a:blip>
                    <a:stretch>
                      <a:fillRect/>
                    </a:stretch>
                  </pic:blipFill>
                  <pic:spPr>
                    <a:xfrm>
                      <a:off x="0" y="0"/>
                      <a:ext cx="3959998" cy="2507462"/>
                    </a:xfrm>
                    <a:prstGeom prst="rect">
                      <a:avLst/>
                    </a:prstGeom>
                  </pic:spPr>
                </pic:pic>
              </a:graphicData>
            </a:graphic>
          </wp:inline>
        </w:drawing>
      </w:r>
    </w:p>
    <w:p w14:paraId="3AA16EBD" w14:textId="429D4370" w:rsidR="00035FDC" w:rsidRPr="00CB093C" w:rsidRDefault="00035FDC" w:rsidP="00035FDC">
      <w:pPr>
        <w:rPr>
          <w:rFonts w:ascii="Arial" w:hAnsi="Arial" w:cs="Arial"/>
          <w:i/>
          <w:vanish/>
          <w:szCs w:val="22"/>
          <w:specVanish/>
        </w:rPr>
      </w:pPr>
      <w:bookmarkStart w:id="866" w:name="_Ref511131488"/>
      <w:bookmarkStart w:id="867" w:name="_Toc6402884"/>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119</w:t>
      </w:r>
      <w:r w:rsidR="00C506C7" w:rsidRPr="00CB093C">
        <w:rPr>
          <w:rFonts w:ascii="Arial" w:hAnsi="Arial" w:cs="Arial"/>
          <w:noProof/>
          <w:szCs w:val="22"/>
        </w:rPr>
        <w:fldChar w:fldCharType="end"/>
      </w:r>
      <w:bookmarkEnd w:id="866"/>
      <w:r w:rsidRPr="00CB093C">
        <w:rPr>
          <w:rFonts w:ascii="Arial" w:hAnsi="Arial" w:cs="Arial"/>
          <w:szCs w:val="22"/>
        </w:rPr>
        <w:t xml:space="preserve">. </w:t>
      </w:r>
      <w:r w:rsidRPr="00CB093C">
        <w:rPr>
          <w:rFonts w:ascii="Arial" w:hAnsi="Arial" w:cs="Arial"/>
          <w:i/>
          <w:szCs w:val="22"/>
        </w:rPr>
        <w:t>Sediment grain size composition at intertidal reef habitat monitoring sites in the Burdekin region, 2004</w:t>
      </w:r>
      <w:r w:rsidR="00126725"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67"/>
    </w:p>
    <w:p w14:paraId="5E2216E2" w14:textId="551F58BC"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5CD4CE37" w14:textId="77777777" w:rsidR="00035FDC" w:rsidRPr="00CB093C" w:rsidRDefault="00035FDC" w:rsidP="00035FDC">
      <w:pPr>
        <w:rPr>
          <w:rFonts w:ascii="Arial" w:hAnsi="Arial" w:cs="Arial"/>
          <w:szCs w:val="22"/>
          <w:lang w:val="en-GB"/>
        </w:rPr>
      </w:pPr>
    </w:p>
    <w:p w14:paraId="6AF80652" w14:textId="77777777" w:rsidR="00035FDC" w:rsidRPr="00CB093C" w:rsidRDefault="00035FDC" w:rsidP="00035FDC">
      <w:pPr>
        <w:rPr>
          <w:rFonts w:ascii="Arial" w:hAnsi="Arial" w:cs="Arial"/>
          <w:szCs w:val="22"/>
          <w:lang w:val="en-GB"/>
        </w:rPr>
      </w:pPr>
    </w:p>
    <w:p w14:paraId="481758AC" w14:textId="77777777" w:rsidR="00035FDC" w:rsidRPr="00CB093C" w:rsidRDefault="00035FDC" w:rsidP="00035FDC">
      <w:pPr>
        <w:rPr>
          <w:rFonts w:ascii="Arial" w:hAnsi="Arial" w:cs="Arial"/>
          <w:szCs w:val="22"/>
          <w:lang w:val="en-GB"/>
        </w:rPr>
      </w:pPr>
    </w:p>
    <w:p w14:paraId="42B19314" w14:textId="4820F0B8" w:rsidR="00035FDC" w:rsidRPr="00CB093C" w:rsidRDefault="00E7638A"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32BF92B8" wp14:editId="04AF9670">
            <wp:extent cx="3959997" cy="1406005"/>
            <wp:effectExtent l="0" t="0" r="2540" b="3810"/>
            <wp:docPr id="533" name="Picture 533" descr="Set of bar graphs showing sediment grain size composition at subtidal reef habitat monitoring sites in the Burdekin region each monitoring event from 2010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 name="B_sediment_subtidal_2016.png"/>
                    <pic:cNvPicPr/>
                  </pic:nvPicPr>
                  <pic:blipFill>
                    <a:blip r:embed="rId206">
                      <a:extLst>
                        <a:ext uri="{28A0092B-C50C-407E-A947-70E740481C1C}">
                          <a14:useLocalDpi xmlns:a14="http://schemas.microsoft.com/office/drawing/2010/main" val="0"/>
                        </a:ext>
                      </a:extLst>
                    </a:blip>
                    <a:stretch>
                      <a:fillRect/>
                    </a:stretch>
                  </pic:blipFill>
                  <pic:spPr>
                    <a:xfrm>
                      <a:off x="0" y="0"/>
                      <a:ext cx="3959997" cy="1406005"/>
                    </a:xfrm>
                    <a:prstGeom prst="rect">
                      <a:avLst/>
                    </a:prstGeom>
                  </pic:spPr>
                </pic:pic>
              </a:graphicData>
            </a:graphic>
          </wp:inline>
        </w:drawing>
      </w:r>
    </w:p>
    <w:p w14:paraId="316442E1" w14:textId="1DC39E40" w:rsidR="00035FDC" w:rsidRPr="00CB093C" w:rsidRDefault="00035FDC" w:rsidP="00035FDC">
      <w:pPr>
        <w:rPr>
          <w:rFonts w:ascii="Arial" w:hAnsi="Arial" w:cs="Arial"/>
          <w:i/>
          <w:vanish/>
          <w:szCs w:val="22"/>
          <w:specVanish/>
        </w:rPr>
      </w:pPr>
      <w:bookmarkStart w:id="868" w:name="_Ref511131496"/>
      <w:bookmarkStart w:id="869" w:name="_Toc6402885"/>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120</w:t>
      </w:r>
      <w:r w:rsidR="00C506C7" w:rsidRPr="00CB093C">
        <w:rPr>
          <w:rFonts w:ascii="Arial" w:hAnsi="Arial" w:cs="Arial"/>
          <w:noProof/>
          <w:szCs w:val="22"/>
        </w:rPr>
        <w:fldChar w:fldCharType="end"/>
      </w:r>
      <w:bookmarkEnd w:id="868"/>
      <w:r w:rsidRPr="00CB093C">
        <w:rPr>
          <w:rFonts w:ascii="Arial" w:hAnsi="Arial" w:cs="Arial"/>
          <w:szCs w:val="22"/>
        </w:rPr>
        <w:t xml:space="preserve">.  </w:t>
      </w:r>
      <w:r w:rsidRPr="00CB093C">
        <w:rPr>
          <w:rFonts w:ascii="Arial" w:hAnsi="Arial" w:cs="Arial"/>
          <w:i/>
          <w:szCs w:val="22"/>
        </w:rPr>
        <w:t>Sediment grain size composition at subtidal reef habitat monitoring sites in the Burdekin region, 2010</w:t>
      </w:r>
      <w:r w:rsidR="00126725" w:rsidRPr="00CB093C">
        <w:rPr>
          <w:rFonts w:ascii="Arial" w:hAnsi="Arial" w:cs="Arial"/>
          <w:i/>
          <w:szCs w:val="22"/>
        </w:rPr>
        <w:t>–</w:t>
      </w:r>
      <w:r w:rsidRPr="00CB093C">
        <w:rPr>
          <w:rFonts w:ascii="Arial" w:hAnsi="Arial" w:cs="Arial"/>
          <w:i/>
          <w:szCs w:val="22"/>
        </w:rPr>
        <w:t>201</w:t>
      </w:r>
      <w:r w:rsidR="005C65C8" w:rsidRPr="00CB093C">
        <w:rPr>
          <w:rFonts w:ascii="Arial" w:hAnsi="Arial" w:cs="Arial"/>
          <w:i/>
          <w:szCs w:val="22"/>
        </w:rPr>
        <w:t>8</w:t>
      </w:r>
      <w:r w:rsidRPr="00CB093C">
        <w:rPr>
          <w:rFonts w:ascii="Arial" w:hAnsi="Arial" w:cs="Arial"/>
          <w:i/>
          <w:szCs w:val="22"/>
        </w:rPr>
        <w:t>.</w:t>
      </w:r>
      <w:bookmarkEnd w:id="869"/>
    </w:p>
    <w:p w14:paraId="6E6678B1" w14:textId="34F22E0A"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6C311F06" w14:textId="77777777" w:rsidR="00035FDC" w:rsidRPr="00CB093C" w:rsidRDefault="00035FDC" w:rsidP="00035FDC">
      <w:pPr>
        <w:rPr>
          <w:rFonts w:ascii="Arial" w:hAnsi="Arial" w:cs="Arial"/>
          <w:szCs w:val="22"/>
          <w:lang w:val="en-GB"/>
        </w:rPr>
      </w:pPr>
    </w:p>
    <w:p w14:paraId="33802BC8" w14:textId="00940673" w:rsidR="00035FDC" w:rsidRPr="00CB093C" w:rsidRDefault="00E7638A"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49C82D5D" wp14:editId="603A1A2F">
            <wp:extent cx="3959159" cy="2509199"/>
            <wp:effectExtent l="0" t="0" r="3810" b="5715"/>
            <wp:docPr id="535" name="Picture 535" descr="Set of bar graphs showing sediment grain size composition at estuary habitat monitoring sites in the Mackay Whitsunday region each monitoring event from 2005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 name="MW_sediment_estuary_2016.png"/>
                    <pic:cNvPicPr/>
                  </pic:nvPicPr>
                  <pic:blipFill>
                    <a:blip r:embed="rId207">
                      <a:extLst>
                        <a:ext uri="{28A0092B-C50C-407E-A947-70E740481C1C}">
                          <a14:useLocalDpi xmlns:a14="http://schemas.microsoft.com/office/drawing/2010/main" val="0"/>
                        </a:ext>
                      </a:extLst>
                    </a:blip>
                    <a:stretch>
                      <a:fillRect/>
                    </a:stretch>
                  </pic:blipFill>
                  <pic:spPr>
                    <a:xfrm>
                      <a:off x="0" y="0"/>
                      <a:ext cx="3959159" cy="2509199"/>
                    </a:xfrm>
                    <a:prstGeom prst="rect">
                      <a:avLst/>
                    </a:prstGeom>
                  </pic:spPr>
                </pic:pic>
              </a:graphicData>
            </a:graphic>
          </wp:inline>
        </w:drawing>
      </w:r>
    </w:p>
    <w:p w14:paraId="571C6235" w14:textId="480A491E" w:rsidR="00035FDC" w:rsidRPr="00CB093C" w:rsidRDefault="00035FDC" w:rsidP="00035FDC">
      <w:pPr>
        <w:rPr>
          <w:rFonts w:ascii="Arial" w:hAnsi="Arial" w:cs="Arial"/>
          <w:i/>
          <w:vanish/>
          <w:szCs w:val="22"/>
          <w:specVanish/>
        </w:rPr>
      </w:pPr>
      <w:bookmarkStart w:id="870" w:name="_Ref511131656"/>
      <w:bookmarkStart w:id="871" w:name="_Toc6402886"/>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121</w:t>
      </w:r>
      <w:r w:rsidR="00C506C7" w:rsidRPr="00CB093C">
        <w:rPr>
          <w:rFonts w:ascii="Arial" w:hAnsi="Arial" w:cs="Arial"/>
          <w:noProof/>
          <w:szCs w:val="22"/>
        </w:rPr>
        <w:fldChar w:fldCharType="end"/>
      </w:r>
      <w:bookmarkEnd w:id="870"/>
      <w:r w:rsidRPr="00CB093C">
        <w:rPr>
          <w:rFonts w:ascii="Arial" w:hAnsi="Arial" w:cs="Arial"/>
          <w:szCs w:val="22"/>
        </w:rPr>
        <w:t xml:space="preserve">.  </w:t>
      </w:r>
      <w:r w:rsidRPr="00CB093C">
        <w:rPr>
          <w:rFonts w:ascii="Arial" w:hAnsi="Arial" w:cs="Arial"/>
          <w:i/>
          <w:szCs w:val="22"/>
        </w:rPr>
        <w:t xml:space="preserve">Sediment grain size composition at intertidal estuary habitat monitoring sites in the </w:t>
      </w:r>
      <w:r w:rsidR="00637325">
        <w:rPr>
          <w:rFonts w:ascii="Arial" w:hAnsi="Arial" w:cs="Arial"/>
          <w:i/>
          <w:szCs w:val="22"/>
        </w:rPr>
        <w:t>Mackay-Whitsunday</w:t>
      </w:r>
      <w:r w:rsidRPr="00CB093C">
        <w:rPr>
          <w:rFonts w:ascii="Arial" w:hAnsi="Arial" w:cs="Arial"/>
          <w:i/>
          <w:szCs w:val="22"/>
        </w:rPr>
        <w:t xml:space="preserve"> region, 2005</w:t>
      </w:r>
      <w:r w:rsidR="00126725" w:rsidRPr="00CB093C">
        <w:rPr>
          <w:rFonts w:ascii="Arial" w:hAnsi="Arial" w:cs="Arial"/>
          <w:i/>
          <w:szCs w:val="22"/>
        </w:rPr>
        <w:t>–</w:t>
      </w:r>
      <w:r w:rsidRPr="00CB093C">
        <w:rPr>
          <w:rFonts w:ascii="Arial" w:hAnsi="Arial" w:cs="Arial"/>
          <w:i/>
          <w:szCs w:val="22"/>
        </w:rPr>
        <w:t>201</w:t>
      </w:r>
      <w:r w:rsidR="00460435" w:rsidRPr="00CB093C">
        <w:rPr>
          <w:rFonts w:ascii="Arial" w:hAnsi="Arial" w:cs="Arial"/>
          <w:i/>
          <w:szCs w:val="22"/>
        </w:rPr>
        <w:t>8</w:t>
      </w:r>
      <w:r w:rsidRPr="00CB093C">
        <w:rPr>
          <w:rFonts w:ascii="Arial" w:hAnsi="Arial" w:cs="Arial"/>
          <w:i/>
          <w:szCs w:val="22"/>
        </w:rPr>
        <w:t>.</w:t>
      </w:r>
      <w:bookmarkEnd w:id="871"/>
    </w:p>
    <w:p w14:paraId="76F08130" w14:textId="3D9F498C"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03990AE6" w14:textId="77777777" w:rsidR="00035FDC" w:rsidRPr="00CB093C" w:rsidRDefault="00035FDC" w:rsidP="00035FDC">
      <w:pPr>
        <w:rPr>
          <w:rFonts w:ascii="Arial" w:hAnsi="Arial" w:cs="Arial"/>
          <w:szCs w:val="22"/>
          <w:lang w:val="en-GB"/>
        </w:rPr>
      </w:pPr>
    </w:p>
    <w:p w14:paraId="2143C1CB" w14:textId="77777777" w:rsidR="00035FDC" w:rsidRPr="00CB093C" w:rsidRDefault="00035FDC" w:rsidP="00035FDC">
      <w:pPr>
        <w:rPr>
          <w:rFonts w:ascii="Arial" w:hAnsi="Arial" w:cs="Arial"/>
          <w:color w:val="000000"/>
          <w:szCs w:val="22"/>
          <w:lang w:val="en-GB"/>
        </w:rPr>
      </w:pPr>
    </w:p>
    <w:p w14:paraId="40DBAB64" w14:textId="77777777" w:rsidR="00D676C3" w:rsidRPr="00CB093C" w:rsidRDefault="00D676C3" w:rsidP="00035FDC">
      <w:pPr>
        <w:rPr>
          <w:rFonts w:ascii="Arial" w:hAnsi="Arial" w:cs="Arial"/>
          <w:color w:val="000000"/>
          <w:szCs w:val="22"/>
          <w:lang w:val="en-GB"/>
        </w:rPr>
      </w:pPr>
    </w:p>
    <w:p w14:paraId="464AF8B0" w14:textId="77777777" w:rsidR="00D676C3" w:rsidRPr="00CB093C" w:rsidRDefault="00D676C3" w:rsidP="00035FDC">
      <w:pPr>
        <w:rPr>
          <w:rFonts w:ascii="Arial" w:hAnsi="Arial" w:cs="Arial"/>
          <w:color w:val="000000"/>
          <w:szCs w:val="22"/>
          <w:lang w:val="en-GB"/>
        </w:rPr>
      </w:pPr>
    </w:p>
    <w:p w14:paraId="45335E37" w14:textId="77777777" w:rsidR="00D676C3" w:rsidRPr="00CB093C" w:rsidRDefault="00D676C3" w:rsidP="00035FDC">
      <w:pPr>
        <w:rPr>
          <w:rFonts w:ascii="Arial" w:hAnsi="Arial" w:cs="Arial"/>
          <w:color w:val="000000"/>
          <w:szCs w:val="22"/>
          <w:lang w:val="en-GB"/>
        </w:rPr>
      </w:pPr>
    </w:p>
    <w:p w14:paraId="5EB23B7F" w14:textId="77777777" w:rsidR="00D676C3" w:rsidRPr="00CB093C" w:rsidRDefault="00D676C3" w:rsidP="00035FDC">
      <w:pPr>
        <w:rPr>
          <w:rFonts w:ascii="Arial" w:hAnsi="Arial" w:cs="Arial"/>
          <w:color w:val="000000"/>
          <w:szCs w:val="22"/>
          <w:lang w:val="en-GB"/>
        </w:rPr>
      </w:pPr>
    </w:p>
    <w:p w14:paraId="76A156F8" w14:textId="77777777" w:rsidR="00D676C3" w:rsidRPr="00CB093C" w:rsidRDefault="00D676C3" w:rsidP="00035FDC">
      <w:pPr>
        <w:rPr>
          <w:rFonts w:ascii="Arial" w:hAnsi="Arial" w:cs="Arial"/>
          <w:color w:val="000000"/>
          <w:szCs w:val="22"/>
          <w:lang w:val="en-GB"/>
        </w:rPr>
      </w:pPr>
    </w:p>
    <w:p w14:paraId="26924E26" w14:textId="77777777" w:rsidR="00D676C3" w:rsidRPr="00CB093C" w:rsidRDefault="00D676C3" w:rsidP="00035FDC">
      <w:pPr>
        <w:rPr>
          <w:rFonts w:ascii="Arial" w:hAnsi="Arial" w:cs="Arial"/>
          <w:color w:val="000000"/>
          <w:szCs w:val="22"/>
          <w:lang w:val="en-GB"/>
        </w:rPr>
      </w:pPr>
    </w:p>
    <w:p w14:paraId="55CCCA6A" w14:textId="77777777" w:rsidR="00D676C3" w:rsidRPr="00CB093C" w:rsidRDefault="00D676C3" w:rsidP="00035FDC">
      <w:pPr>
        <w:rPr>
          <w:rFonts w:ascii="Arial" w:hAnsi="Arial" w:cs="Arial"/>
          <w:color w:val="000000"/>
          <w:szCs w:val="22"/>
          <w:lang w:val="en-GB"/>
        </w:rPr>
      </w:pPr>
    </w:p>
    <w:p w14:paraId="2C7E30B5" w14:textId="77777777" w:rsidR="00D676C3" w:rsidRPr="00CB093C" w:rsidRDefault="00D676C3" w:rsidP="00035FDC">
      <w:pPr>
        <w:rPr>
          <w:rFonts w:ascii="Arial" w:hAnsi="Arial" w:cs="Arial"/>
          <w:color w:val="000000"/>
          <w:szCs w:val="22"/>
          <w:lang w:val="en-GB"/>
        </w:rPr>
      </w:pPr>
    </w:p>
    <w:p w14:paraId="001F4E53" w14:textId="77777777" w:rsidR="00D676C3" w:rsidRPr="00CB093C" w:rsidRDefault="00D676C3" w:rsidP="00035FDC">
      <w:pPr>
        <w:rPr>
          <w:rFonts w:ascii="Arial" w:hAnsi="Arial" w:cs="Arial"/>
          <w:color w:val="000000"/>
          <w:szCs w:val="22"/>
          <w:lang w:val="en-GB"/>
        </w:rPr>
      </w:pPr>
    </w:p>
    <w:p w14:paraId="4C0C6CF7" w14:textId="77777777" w:rsidR="00D676C3" w:rsidRPr="00CB093C" w:rsidRDefault="00D676C3" w:rsidP="00035FDC">
      <w:pPr>
        <w:rPr>
          <w:rFonts w:ascii="Arial" w:hAnsi="Arial" w:cs="Arial"/>
          <w:color w:val="000000"/>
          <w:szCs w:val="22"/>
          <w:lang w:val="en-GB"/>
        </w:rPr>
      </w:pPr>
    </w:p>
    <w:p w14:paraId="590F1026" w14:textId="77777777" w:rsidR="00D676C3" w:rsidRPr="00CB093C" w:rsidRDefault="00D676C3" w:rsidP="00035FDC">
      <w:pPr>
        <w:rPr>
          <w:rFonts w:ascii="Arial" w:hAnsi="Arial" w:cs="Arial"/>
          <w:color w:val="000000"/>
          <w:szCs w:val="22"/>
          <w:lang w:val="en-GB"/>
        </w:rPr>
      </w:pPr>
    </w:p>
    <w:p w14:paraId="3F6E50FA" w14:textId="56160C2E" w:rsidR="00035FDC" w:rsidRPr="00CB093C" w:rsidRDefault="00C46CF9"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26DE13A9" wp14:editId="13601ABD">
            <wp:extent cx="3959985" cy="4676399"/>
            <wp:effectExtent l="0" t="0" r="2540" b="0"/>
            <wp:docPr id="539" name="Picture 539" descr="Set of bar graphs showing sediment grain size composition at coastal habitat monitoring sites in the Mackay Whitsunday region each monitoring event from 1999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 name="MW_sediment_coast_2016.png"/>
                    <pic:cNvPicPr/>
                  </pic:nvPicPr>
                  <pic:blipFill>
                    <a:blip r:embed="rId208">
                      <a:extLst>
                        <a:ext uri="{28A0092B-C50C-407E-A947-70E740481C1C}">
                          <a14:useLocalDpi xmlns:a14="http://schemas.microsoft.com/office/drawing/2010/main" val="0"/>
                        </a:ext>
                      </a:extLst>
                    </a:blip>
                    <a:stretch>
                      <a:fillRect/>
                    </a:stretch>
                  </pic:blipFill>
                  <pic:spPr>
                    <a:xfrm>
                      <a:off x="0" y="0"/>
                      <a:ext cx="3959985" cy="4676399"/>
                    </a:xfrm>
                    <a:prstGeom prst="rect">
                      <a:avLst/>
                    </a:prstGeom>
                  </pic:spPr>
                </pic:pic>
              </a:graphicData>
            </a:graphic>
          </wp:inline>
        </w:drawing>
      </w:r>
    </w:p>
    <w:p w14:paraId="0625648F" w14:textId="158169F8" w:rsidR="00035FDC" w:rsidRPr="00CB093C" w:rsidRDefault="00035FDC" w:rsidP="00035FDC">
      <w:pPr>
        <w:rPr>
          <w:rFonts w:ascii="Arial" w:hAnsi="Arial" w:cs="Arial"/>
          <w:i/>
          <w:vanish/>
          <w:szCs w:val="22"/>
          <w:specVanish/>
        </w:rPr>
      </w:pPr>
      <w:bookmarkStart w:id="872" w:name="_Ref511131673"/>
      <w:bookmarkStart w:id="873" w:name="_Toc6402887"/>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122</w:t>
      </w:r>
      <w:r w:rsidR="00C506C7" w:rsidRPr="00CB093C">
        <w:rPr>
          <w:rFonts w:ascii="Arial" w:hAnsi="Arial" w:cs="Arial"/>
          <w:noProof/>
          <w:szCs w:val="22"/>
        </w:rPr>
        <w:fldChar w:fldCharType="end"/>
      </w:r>
      <w:bookmarkEnd w:id="872"/>
      <w:r w:rsidRPr="00CB093C">
        <w:rPr>
          <w:rFonts w:ascii="Arial" w:hAnsi="Arial" w:cs="Arial"/>
          <w:szCs w:val="22"/>
        </w:rPr>
        <w:t xml:space="preserve">.  </w:t>
      </w:r>
      <w:r w:rsidRPr="00CB093C">
        <w:rPr>
          <w:rFonts w:ascii="Arial" w:hAnsi="Arial" w:cs="Arial"/>
          <w:i/>
          <w:szCs w:val="22"/>
        </w:rPr>
        <w:t xml:space="preserve">Sediment grain size composition at intertidal coastal habitat monitoring sites in the </w:t>
      </w:r>
      <w:r w:rsidR="00637325">
        <w:rPr>
          <w:rFonts w:ascii="Arial" w:hAnsi="Arial" w:cs="Arial"/>
          <w:i/>
          <w:szCs w:val="22"/>
        </w:rPr>
        <w:t>Mackay-Whitsunday</w:t>
      </w:r>
      <w:r w:rsidRPr="00CB093C">
        <w:rPr>
          <w:rFonts w:ascii="Arial" w:hAnsi="Arial" w:cs="Arial"/>
          <w:i/>
          <w:szCs w:val="22"/>
        </w:rPr>
        <w:t xml:space="preserve"> region, 1999</w:t>
      </w:r>
      <w:r w:rsidR="003158FC" w:rsidRPr="00CB093C">
        <w:rPr>
          <w:rFonts w:ascii="Arial" w:hAnsi="Arial" w:cs="Arial"/>
          <w:i/>
          <w:szCs w:val="22"/>
        </w:rPr>
        <w:t>–2</w:t>
      </w:r>
      <w:r w:rsidR="005C4C83" w:rsidRPr="00CB093C">
        <w:rPr>
          <w:rFonts w:ascii="Arial" w:hAnsi="Arial" w:cs="Arial"/>
          <w:i/>
          <w:szCs w:val="22"/>
        </w:rPr>
        <w:t>0</w:t>
      </w:r>
      <w:r w:rsidRPr="00CB093C">
        <w:rPr>
          <w:rFonts w:ascii="Arial" w:hAnsi="Arial" w:cs="Arial"/>
          <w:i/>
          <w:szCs w:val="22"/>
        </w:rPr>
        <w:t>1</w:t>
      </w:r>
      <w:r w:rsidR="00460435" w:rsidRPr="00CB093C">
        <w:rPr>
          <w:rFonts w:ascii="Arial" w:hAnsi="Arial" w:cs="Arial"/>
          <w:i/>
          <w:szCs w:val="22"/>
        </w:rPr>
        <w:t>8</w:t>
      </w:r>
      <w:r w:rsidRPr="00CB093C">
        <w:rPr>
          <w:rFonts w:ascii="Arial" w:hAnsi="Arial" w:cs="Arial"/>
          <w:i/>
          <w:szCs w:val="22"/>
        </w:rPr>
        <w:t>.</w:t>
      </w:r>
      <w:bookmarkEnd w:id="873"/>
    </w:p>
    <w:p w14:paraId="638F7E57" w14:textId="6DD37A37"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12EEB8E2" w14:textId="7762D7B1" w:rsidR="00035FDC" w:rsidRPr="00CB093C" w:rsidRDefault="00C46CF9"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25F9A1E1" wp14:editId="328F5CD8">
            <wp:extent cx="3959998" cy="2507462"/>
            <wp:effectExtent l="0" t="0" r="2540" b="7620"/>
            <wp:docPr id="540" name="Picture 540" descr="Set of bar graphs showing sediment grain size composition at intertidal reef habitat monitoring sites in the Mackay Whitsunday region each monitoring event from 2007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 name="HM_sediment_reef_2016.png"/>
                    <pic:cNvPicPr/>
                  </pic:nvPicPr>
                  <pic:blipFill>
                    <a:blip r:embed="rId209">
                      <a:extLst>
                        <a:ext uri="{28A0092B-C50C-407E-A947-70E740481C1C}">
                          <a14:useLocalDpi xmlns:a14="http://schemas.microsoft.com/office/drawing/2010/main" val="0"/>
                        </a:ext>
                      </a:extLst>
                    </a:blip>
                    <a:stretch>
                      <a:fillRect/>
                    </a:stretch>
                  </pic:blipFill>
                  <pic:spPr>
                    <a:xfrm>
                      <a:off x="0" y="0"/>
                      <a:ext cx="3959998" cy="2507462"/>
                    </a:xfrm>
                    <a:prstGeom prst="rect">
                      <a:avLst/>
                    </a:prstGeom>
                  </pic:spPr>
                </pic:pic>
              </a:graphicData>
            </a:graphic>
          </wp:inline>
        </w:drawing>
      </w:r>
    </w:p>
    <w:p w14:paraId="6B377171" w14:textId="729DAE90" w:rsidR="00035FDC" w:rsidRPr="00CB093C" w:rsidRDefault="00035FDC" w:rsidP="00035FDC">
      <w:pPr>
        <w:rPr>
          <w:rFonts w:ascii="Arial" w:hAnsi="Arial" w:cs="Arial"/>
          <w:i/>
          <w:vanish/>
          <w:szCs w:val="22"/>
          <w:specVanish/>
        </w:rPr>
      </w:pPr>
      <w:bookmarkStart w:id="874" w:name="_Ref511131682"/>
      <w:bookmarkStart w:id="875" w:name="_Toc6402888"/>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123</w:t>
      </w:r>
      <w:r w:rsidR="00C506C7" w:rsidRPr="00CB093C">
        <w:rPr>
          <w:rFonts w:ascii="Arial" w:hAnsi="Arial" w:cs="Arial"/>
          <w:noProof/>
          <w:szCs w:val="22"/>
        </w:rPr>
        <w:fldChar w:fldCharType="end"/>
      </w:r>
      <w:bookmarkEnd w:id="874"/>
      <w:r w:rsidRPr="00CB093C">
        <w:rPr>
          <w:rFonts w:ascii="Arial" w:hAnsi="Arial" w:cs="Arial"/>
          <w:szCs w:val="22"/>
        </w:rPr>
        <w:t xml:space="preserve">.  </w:t>
      </w:r>
      <w:r w:rsidRPr="00CB093C">
        <w:rPr>
          <w:rFonts w:ascii="Arial" w:hAnsi="Arial" w:cs="Arial"/>
          <w:i/>
          <w:szCs w:val="22"/>
        </w:rPr>
        <w:t xml:space="preserve">Sediment grain size composition at intertidal reef habitat monitoring sites in the </w:t>
      </w:r>
      <w:r w:rsidR="00637325">
        <w:rPr>
          <w:rFonts w:ascii="Arial" w:hAnsi="Arial" w:cs="Arial"/>
          <w:i/>
          <w:szCs w:val="22"/>
        </w:rPr>
        <w:t>Mackay-Whitsunday</w:t>
      </w:r>
      <w:r w:rsidRPr="00CB093C">
        <w:rPr>
          <w:rFonts w:ascii="Arial" w:hAnsi="Arial" w:cs="Arial"/>
          <w:i/>
          <w:szCs w:val="22"/>
        </w:rPr>
        <w:t xml:space="preserve"> region, 2007</w:t>
      </w:r>
      <w:r w:rsidR="003158FC" w:rsidRPr="00CB093C">
        <w:rPr>
          <w:rFonts w:ascii="Arial" w:hAnsi="Arial" w:cs="Arial"/>
          <w:i/>
          <w:szCs w:val="22"/>
        </w:rPr>
        <w:t>–20</w:t>
      </w:r>
      <w:r w:rsidRPr="00CB093C">
        <w:rPr>
          <w:rFonts w:ascii="Arial" w:hAnsi="Arial" w:cs="Arial"/>
          <w:i/>
          <w:szCs w:val="22"/>
        </w:rPr>
        <w:t>1</w:t>
      </w:r>
      <w:r w:rsidR="00460435" w:rsidRPr="00CB093C">
        <w:rPr>
          <w:rFonts w:ascii="Arial" w:hAnsi="Arial" w:cs="Arial"/>
          <w:i/>
          <w:szCs w:val="22"/>
        </w:rPr>
        <w:t>8</w:t>
      </w:r>
      <w:r w:rsidRPr="00CB093C">
        <w:rPr>
          <w:rFonts w:ascii="Arial" w:hAnsi="Arial" w:cs="Arial"/>
          <w:i/>
          <w:szCs w:val="22"/>
        </w:rPr>
        <w:t>.</w:t>
      </w:r>
      <w:bookmarkEnd w:id="875"/>
    </w:p>
    <w:p w14:paraId="4907F6DC" w14:textId="77C3935B"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519624AC" w14:textId="77777777" w:rsidR="00035FDC" w:rsidRPr="00CB093C" w:rsidRDefault="00035FDC" w:rsidP="00035FDC">
      <w:pPr>
        <w:rPr>
          <w:rFonts w:ascii="Arial" w:hAnsi="Arial" w:cs="Arial"/>
          <w:szCs w:val="22"/>
        </w:rPr>
      </w:pPr>
    </w:p>
    <w:p w14:paraId="0809B0A8" w14:textId="77777777" w:rsidR="00035FDC" w:rsidRPr="00CB093C" w:rsidRDefault="00035FDC" w:rsidP="00035FDC">
      <w:pPr>
        <w:rPr>
          <w:rFonts w:ascii="Arial" w:hAnsi="Arial" w:cs="Arial"/>
          <w:color w:val="000000"/>
          <w:szCs w:val="22"/>
          <w:lang w:val="en-GB"/>
        </w:rPr>
      </w:pPr>
    </w:p>
    <w:p w14:paraId="76CACC28" w14:textId="1F7741AA" w:rsidR="00035FDC" w:rsidRPr="00CB093C" w:rsidRDefault="00C46CF9"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3D1EEA01" wp14:editId="1A076F11">
            <wp:extent cx="3959159" cy="2509199"/>
            <wp:effectExtent l="0" t="0" r="3810" b="5715"/>
            <wp:docPr id="541" name="Picture 541" descr="Set of bar graphs showing sediment grain size composition at estaury habitat monitoring sites in the Fitzroy region each monitoring event from 2005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F_sediment_estuary_2016.png"/>
                    <pic:cNvPicPr/>
                  </pic:nvPicPr>
                  <pic:blipFill>
                    <a:blip r:embed="rId210">
                      <a:extLst>
                        <a:ext uri="{28A0092B-C50C-407E-A947-70E740481C1C}">
                          <a14:useLocalDpi xmlns:a14="http://schemas.microsoft.com/office/drawing/2010/main" val="0"/>
                        </a:ext>
                      </a:extLst>
                    </a:blip>
                    <a:stretch>
                      <a:fillRect/>
                    </a:stretch>
                  </pic:blipFill>
                  <pic:spPr>
                    <a:xfrm>
                      <a:off x="0" y="0"/>
                      <a:ext cx="3959159" cy="2509199"/>
                    </a:xfrm>
                    <a:prstGeom prst="rect">
                      <a:avLst/>
                    </a:prstGeom>
                  </pic:spPr>
                </pic:pic>
              </a:graphicData>
            </a:graphic>
          </wp:inline>
        </w:drawing>
      </w:r>
    </w:p>
    <w:p w14:paraId="5D072466" w14:textId="719B07B0" w:rsidR="00035FDC" w:rsidRPr="00CB093C" w:rsidRDefault="00035FDC" w:rsidP="00035FDC">
      <w:pPr>
        <w:rPr>
          <w:rFonts w:ascii="Arial" w:hAnsi="Arial" w:cs="Arial"/>
          <w:i/>
          <w:vanish/>
          <w:szCs w:val="22"/>
          <w:specVanish/>
        </w:rPr>
      </w:pPr>
      <w:bookmarkStart w:id="876" w:name="_Ref511131821"/>
      <w:bookmarkStart w:id="877" w:name="_Toc6402889"/>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124</w:t>
      </w:r>
      <w:r w:rsidR="00C506C7" w:rsidRPr="00CB093C">
        <w:rPr>
          <w:rFonts w:ascii="Arial" w:hAnsi="Arial" w:cs="Arial"/>
          <w:noProof/>
          <w:szCs w:val="22"/>
        </w:rPr>
        <w:fldChar w:fldCharType="end"/>
      </w:r>
      <w:bookmarkEnd w:id="876"/>
      <w:r w:rsidRPr="00CB093C">
        <w:rPr>
          <w:rFonts w:ascii="Arial" w:hAnsi="Arial" w:cs="Arial"/>
          <w:szCs w:val="22"/>
        </w:rPr>
        <w:t xml:space="preserve">.  </w:t>
      </w:r>
      <w:r w:rsidRPr="00CB093C">
        <w:rPr>
          <w:rFonts w:ascii="Arial" w:hAnsi="Arial" w:cs="Arial"/>
          <w:i/>
          <w:szCs w:val="22"/>
        </w:rPr>
        <w:t>Sediment grain size composition at intertidal estuary habitat monitoring sites in the Fitzroy region, 2005</w:t>
      </w:r>
      <w:r w:rsidR="005C4C83" w:rsidRPr="00CB093C">
        <w:rPr>
          <w:rFonts w:ascii="Arial" w:hAnsi="Arial" w:cs="Arial"/>
          <w:i/>
          <w:szCs w:val="22"/>
        </w:rPr>
        <w:t>–</w:t>
      </w:r>
      <w:r w:rsidRPr="00CB093C">
        <w:rPr>
          <w:rFonts w:ascii="Arial" w:hAnsi="Arial" w:cs="Arial"/>
          <w:i/>
          <w:szCs w:val="22"/>
        </w:rPr>
        <w:t>201</w:t>
      </w:r>
      <w:r w:rsidR="00460435" w:rsidRPr="00CB093C">
        <w:rPr>
          <w:rFonts w:ascii="Arial" w:hAnsi="Arial" w:cs="Arial"/>
          <w:i/>
          <w:szCs w:val="22"/>
        </w:rPr>
        <w:t>8</w:t>
      </w:r>
      <w:r w:rsidRPr="00CB093C">
        <w:rPr>
          <w:rFonts w:ascii="Arial" w:hAnsi="Arial" w:cs="Arial"/>
          <w:i/>
          <w:szCs w:val="22"/>
        </w:rPr>
        <w:t>.</w:t>
      </w:r>
      <w:bookmarkEnd w:id="877"/>
    </w:p>
    <w:p w14:paraId="760C3F48" w14:textId="0216D1FD"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4EE4B261" w14:textId="77777777" w:rsidR="00035FDC" w:rsidRPr="00CB093C" w:rsidRDefault="00035FDC" w:rsidP="00035FDC">
      <w:pPr>
        <w:rPr>
          <w:rFonts w:ascii="Arial" w:hAnsi="Arial" w:cs="Arial"/>
          <w:szCs w:val="22"/>
          <w:lang w:val="en-GB"/>
        </w:rPr>
      </w:pPr>
    </w:p>
    <w:p w14:paraId="369C0B94" w14:textId="0CE69C0E" w:rsidR="00035FDC" w:rsidRPr="00CB093C" w:rsidRDefault="00C46CF9"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05FD70A0" wp14:editId="49B262D3">
            <wp:extent cx="3959943" cy="2512799"/>
            <wp:effectExtent l="0" t="0" r="2540" b="1905"/>
            <wp:docPr id="542" name="Picture 542" descr="Set of bar graphs showing sediment grain size composition at coastal habitat monitoring sites in the Fitzroy region each monitoring event from 2005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F_sediment_coast_2016.png"/>
                    <pic:cNvPicPr/>
                  </pic:nvPicPr>
                  <pic:blipFill>
                    <a:blip r:embed="rId211">
                      <a:extLst>
                        <a:ext uri="{28A0092B-C50C-407E-A947-70E740481C1C}">
                          <a14:useLocalDpi xmlns:a14="http://schemas.microsoft.com/office/drawing/2010/main" val="0"/>
                        </a:ext>
                      </a:extLst>
                    </a:blip>
                    <a:stretch>
                      <a:fillRect/>
                    </a:stretch>
                  </pic:blipFill>
                  <pic:spPr>
                    <a:xfrm>
                      <a:off x="0" y="0"/>
                      <a:ext cx="3959943" cy="2512799"/>
                    </a:xfrm>
                    <a:prstGeom prst="rect">
                      <a:avLst/>
                    </a:prstGeom>
                  </pic:spPr>
                </pic:pic>
              </a:graphicData>
            </a:graphic>
          </wp:inline>
        </w:drawing>
      </w:r>
    </w:p>
    <w:p w14:paraId="1B750C87" w14:textId="1D5AEE1A" w:rsidR="00035FDC" w:rsidRPr="00CB093C" w:rsidRDefault="00035FDC" w:rsidP="00035FDC">
      <w:pPr>
        <w:rPr>
          <w:rFonts w:ascii="Arial" w:hAnsi="Arial" w:cs="Arial"/>
          <w:i/>
          <w:vanish/>
          <w:szCs w:val="22"/>
          <w:specVanish/>
        </w:rPr>
      </w:pPr>
      <w:bookmarkStart w:id="878" w:name="_Ref511131832"/>
      <w:bookmarkStart w:id="879" w:name="_Toc6402890"/>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125</w:t>
      </w:r>
      <w:r w:rsidR="00C506C7" w:rsidRPr="00CB093C">
        <w:rPr>
          <w:rFonts w:ascii="Arial" w:hAnsi="Arial" w:cs="Arial"/>
          <w:noProof/>
          <w:szCs w:val="22"/>
        </w:rPr>
        <w:fldChar w:fldCharType="end"/>
      </w:r>
      <w:bookmarkEnd w:id="878"/>
      <w:r w:rsidRPr="00CB093C">
        <w:rPr>
          <w:rFonts w:ascii="Arial" w:hAnsi="Arial" w:cs="Arial"/>
          <w:szCs w:val="22"/>
        </w:rPr>
        <w:t xml:space="preserve">.  </w:t>
      </w:r>
      <w:r w:rsidRPr="00CB093C">
        <w:rPr>
          <w:rFonts w:ascii="Arial" w:hAnsi="Arial" w:cs="Arial"/>
          <w:i/>
          <w:szCs w:val="22"/>
        </w:rPr>
        <w:t>Sediment grain size composition at intertidal coastal habitat monitoring sites in the Fitzroy region, 2005</w:t>
      </w:r>
      <w:r w:rsidR="005C4C83" w:rsidRPr="00CB093C">
        <w:rPr>
          <w:rFonts w:ascii="Arial" w:hAnsi="Arial" w:cs="Arial"/>
          <w:i/>
          <w:szCs w:val="22"/>
        </w:rPr>
        <w:t>–</w:t>
      </w:r>
      <w:r w:rsidRPr="00CB093C">
        <w:rPr>
          <w:rFonts w:ascii="Arial" w:hAnsi="Arial" w:cs="Arial"/>
          <w:i/>
          <w:szCs w:val="22"/>
        </w:rPr>
        <w:t>201</w:t>
      </w:r>
      <w:r w:rsidR="00460435" w:rsidRPr="00CB093C">
        <w:rPr>
          <w:rFonts w:ascii="Arial" w:hAnsi="Arial" w:cs="Arial"/>
          <w:i/>
          <w:szCs w:val="22"/>
        </w:rPr>
        <w:t>8</w:t>
      </w:r>
      <w:r w:rsidRPr="00CB093C">
        <w:rPr>
          <w:rFonts w:ascii="Arial" w:hAnsi="Arial" w:cs="Arial"/>
          <w:i/>
          <w:szCs w:val="22"/>
        </w:rPr>
        <w:t>.</w:t>
      </w:r>
      <w:bookmarkEnd w:id="879"/>
    </w:p>
    <w:p w14:paraId="746E4FC3" w14:textId="6B00E9C4"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46F6D8EF" w14:textId="77777777" w:rsidR="00035FDC" w:rsidRPr="00CB093C" w:rsidRDefault="00035FDC" w:rsidP="00035FDC">
      <w:pPr>
        <w:rPr>
          <w:rFonts w:ascii="Arial" w:hAnsi="Arial" w:cs="Arial"/>
          <w:szCs w:val="22"/>
          <w:lang w:val="en-GB"/>
        </w:rPr>
      </w:pPr>
    </w:p>
    <w:p w14:paraId="31EB58A6" w14:textId="77777777" w:rsidR="00D676C3" w:rsidRPr="00CB093C" w:rsidRDefault="00D676C3" w:rsidP="00035FDC">
      <w:pPr>
        <w:rPr>
          <w:rFonts w:ascii="Arial" w:hAnsi="Arial" w:cs="Arial"/>
          <w:color w:val="000000"/>
          <w:szCs w:val="22"/>
          <w:lang w:val="en-GB"/>
        </w:rPr>
      </w:pPr>
    </w:p>
    <w:p w14:paraId="2CB49FCA" w14:textId="77777777" w:rsidR="00D676C3" w:rsidRPr="00CB093C" w:rsidRDefault="00D676C3" w:rsidP="00035FDC">
      <w:pPr>
        <w:rPr>
          <w:rFonts w:ascii="Arial" w:hAnsi="Arial" w:cs="Arial"/>
          <w:color w:val="000000"/>
          <w:szCs w:val="22"/>
          <w:lang w:val="en-GB"/>
        </w:rPr>
      </w:pPr>
    </w:p>
    <w:p w14:paraId="2862C6CD" w14:textId="77777777" w:rsidR="00D676C3" w:rsidRPr="00CB093C" w:rsidRDefault="00D676C3" w:rsidP="00035FDC">
      <w:pPr>
        <w:rPr>
          <w:rFonts w:ascii="Arial" w:hAnsi="Arial" w:cs="Arial"/>
          <w:color w:val="000000"/>
          <w:szCs w:val="22"/>
          <w:lang w:val="en-GB"/>
        </w:rPr>
      </w:pPr>
    </w:p>
    <w:p w14:paraId="707165B6" w14:textId="77777777" w:rsidR="00D676C3" w:rsidRPr="00CB093C" w:rsidRDefault="00D676C3" w:rsidP="00035FDC">
      <w:pPr>
        <w:rPr>
          <w:rFonts w:ascii="Arial" w:hAnsi="Arial" w:cs="Arial"/>
          <w:color w:val="000000"/>
          <w:szCs w:val="22"/>
          <w:lang w:val="en-GB"/>
        </w:rPr>
      </w:pPr>
    </w:p>
    <w:p w14:paraId="4957DCA5" w14:textId="77777777" w:rsidR="00D676C3" w:rsidRPr="00CB093C" w:rsidRDefault="00D676C3" w:rsidP="00035FDC">
      <w:pPr>
        <w:rPr>
          <w:rFonts w:ascii="Arial" w:hAnsi="Arial" w:cs="Arial"/>
          <w:color w:val="000000"/>
          <w:szCs w:val="22"/>
          <w:lang w:val="en-GB"/>
        </w:rPr>
      </w:pPr>
    </w:p>
    <w:p w14:paraId="4AB88493" w14:textId="77777777" w:rsidR="00D676C3" w:rsidRPr="00CB093C" w:rsidRDefault="00D676C3" w:rsidP="00035FDC">
      <w:pPr>
        <w:rPr>
          <w:rFonts w:ascii="Arial" w:hAnsi="Arial" w:cs="Arial"/>
          <w:color w:val="000000"/>
          <w:szCs w:val="22"/>
          <w:lang w:val="en-GB"/>
        </w:rPr>
      </w:pPr>
    </w:p>
    <w:p w14:paraId="23C2E50E" w14:textId="77777777" w:rsidR="00D676C3" w:rsidRPr="00CB093C" w:rsidRDefault="00D676C3" w:rsidP="00035FDC">
      <w:pPr>
        <w:rPr>
          <w:rFonts w:ascii="Arial" w:hAnsi="Arial" w:cs="Arial"/>
          <w:color w:val="000000"/>
          <w:szCs w:val="22"/>
          <w:lang w:val="en-GB"/>
        </w:rPr>
      </w:pPr>
    </w:p>
    <w:p w14:paraId="06DA01E9" w14:textId="77777777" w:rsidR="00D676C3" w:rsidRPr="00CB093C" w:rsidRDefault="00D676C3" w:rsidP="00035FDC">
      <w:pPr>
        <w:rPr>
          <w:rFonts w:ascii="Arial" w:hAnsi="Arial" w:cs="Arial"/>
          <w:color w:val="000000"/>
          <w:szCs w:val="22"/>
          <w:lang w:val="en-GB"/>
        </w:rPr>
      </w:pPr>
    </w:p>
    <w:p w14:paraId="7488077B" w14:textId="77777777" w:rsidR="00D676C3" w:rsidRPr="00CB093C" w:rsidRDefault="00D676C3" w:rsidP="00035FDC">
      <w:pPr>
        <w:rPr>
          <w:rFonts w:ascii="Arial" w:hAnsi="Arial" w:cs="Arial"/>
          <w:color w:val="000000"/>
          <w:szCs w:val="22"/>
          <w:lang w:val="en-GB"/>
        </w:rPr>
      </w:pPr>
    </w:p>
    <w:p w14:paraId="2193F099" w14:textId="77777777" w:rsidR="00D676C3" w:rsidRPr="00CB093C" w:rsidRDefault="00D676C3" w:rsidP="00035FDC">
      <w:pPr>
        <w:rPr>
          <w:rFonts w:ascii="Arial" w:hAnsi="Arial" w:cs="Arial"/>
          <w:color w:val="000000"/>
          <w:szCs w:val="22"/>
          <w:lang w:val="en-GB"/>
        </w:rPr>
      </w:pPr>
    </w:p>
    <w:p w14:paraId="06ED34A6" w14:textId="11DEC636" w:rsidR="00035FDC" w:rsidRPr="00CB093C" w:rsidRDefault="006157A5"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2A66D2B8" wp14:editId="790A3450">
            <wp:extent cx="3959998" cy="2507462"/>
            <wp:effectExtent l="0" t="0" r="2540" b="7620"/>
            <wp:docPr id="543" name="Picture 543" descr="Set of bar graphs showing sediment grain size composition at intertidal reef habitat monitoring sites in the Fitzroy region each monitoring event from 2007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F_sediment_reef_2016.png"/>
                    <pic:cNvPicPr/>
                  </pic:nvPicPr>
                  <pic:blipFill>
                    <a:blip r:embed="rId212">
                      <a:extLst>
                        <a:ext uri="{28A0092B-C50C-407E-A947-70E740481C1C}">
                          <a14:useLocalDpi xmlns:a14="http://schemas.microsoft.com/office/drawing/2010/main" val="0"/>
                        </a:ext>
                      </a:extLst>
                    </a:blip>
                    <a:stretch>
                      <a:fillRect/>
                    </a:stretch>
                  </pic:blipFill>
                  <pic:spPr>
                    <a:xfrm>
                      <a:off x="0" y="0"/>
                      <a:ext cx="3959998" cy="2507462"/>
                    </a:xfrm>
                    <a:prstGeom prst="rect">
                      <a:avLst/>
                    </a:prstGeom>
                  </pic:spPr>
                </pic:pic>
              </a:graphicData>
            </a:graphic>
          </wp:inline>
        </w:drawing>
      </w:r>
    </w:p>
    <w:p w14:paraId="55098664" w14:textId="3EC95F0C" w:rsidR="00035FDC" w:rsidRPr="00CB093C" w:rsidRDefault="00035FDC" w:rsidP="00035FDC">
      <w:pPr>
        <w:rPr>
          <w:rFonts w:ascii="Arial" w:hAnsi="Arial" w:cs="Arial"/>
          <w:i/>
          <w:vanish/>
          <w:szCs w:val="22"/>
          <w:specVanish/>
        </w:rPr>
      </w:pPr>
      <w:bookmarkStart w:id="880" w:name="_Ref511131835"/>
      <w:bookmarkStart w:id="881" w:name="_Toc6402891"/>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126</w:t>
      </w:r>
      <w:r w:rsidR="00C506C7" w:rsidRPr="00CB093C">
        <w:rPr>
          <w:rFonts w:ascii="Arial" w:hAnsi="Arial" w:cs="Arial"/>
          <w:noProof/>
          <w:szCs w:val="22"/>
        </w:rPr>
        <w:fldChar w:fldCharType="end"/>
      </w:r>
      <w:bookmarkEnd w:id="880"/>
      <w:r w:rsidRPr="00CB093C">
        <w:rPr>
          <w:rFonts w:ascii="Arial" w:hAnsi="Arial" w:cs="Arial"/>
          <w:szCs w:val="22"/>
        </w:rPr>
        <w:t xml:space="preserve">.  </w:t>
      </w:r>
      <w:r w:rsidRPr="00CB093C">
        <w:rPr>
          <w:rFonts w:ascii="Arial" w:hAnsi="Arial" w:cs="Arial"/>
          <w:i/>
          <w:szCs w:val="22"/>
        </w:rPr>
        <w:t>Sediment grain size composition at intertidal reef habitat monitoring sites in the Fitzroy region, 2007</w:t>
      </w:r>
      <w:r w:rsidR="005C4C83" w:rsidRPr="00CB093C">
        <w:rPr>
          <w:rFonts w:ascii="Arial" w:hAnsi="Arial" w:cs="Arial"/>
          <w:i/>
          <w:szCs w:val="22"/>
        </w:rPr>
        <w:t>–</w:t>
      </w:r>
      <w:r w:rsidRPr="00CB093C">
        <w:rPr>
          <w:rFonts w:ascii="Arial" w:hAnsi="Arial" w:cs="Arial"/>
          <w:i/>
          <w:szCs w:val="22"/>
        </w:rPr>
        <w:t>201</w:t>
      </w:r>
      <w:r w:rsidR="00460435" w:rsidRPr="00CB093C">
        <w:rPr>
          <w:rFonts w:ascii="Arial" w:hAnsi="Arial" w:cs="Arial"/>
          <w:i/>
          <w:szCs w:val="22"/>
        </w:rPr>
        <w:t>8</w:t>
      </w:r>
      <w:r w:rsidRPr="00CB093C">
        <w:rPr>
          <w:rFonts w:ascii="Arial" w:hAnsi="Arial" w:cs="Arial"/>
          <w:i/>
          <w:szCs w:val="22"/>
        </w:rPr>
        <w:t>.</w:t>
      </w:r>
      <w:bookmarkEnd w:id="881"/>
    </w:p>
    <w:p w14:paraId="69758C1B" w14:textId="48966FB4" w:rsidR="00035FDC" w:rsidRPr="00CB093C" w:rsidRDefault="00035FDC" w:rsidP="00035FDC">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5D8CE995" w14:textId="5E76EEE1" w:rsidR="00035FDC" w:rsidRPr="00CB093C" w:rsidRDefault="006157A5" w:rsidP="00035FDC">
      <w:pPr>
        <w:keepNext/>
        <w:widowControl w:val="0"/>
        <w:spacing w:after="0"/>
        <w:jc w:val="center"/>
        <w:rPr>
          <w:rFonts w:ascii="Arial" w:hAnsi="Arial" w:cs="Arial"/>
          <w:szCs w:val="22"/>
          <w:lang w:val="en-GB"/>
        </w:rPr>
      </w:pPr>
      <w:r w:rsidRPr="00CB093C">
        <w:rPr>
          <w:rFonts w:ascii="Arial" w:hAnsi="Arial" w:cs="Arial"/>
          <w:noProof/>
          <w:szCs w:val="22"/>
          <w:lang w:val="en-US"/>
        </w:rPr>
        <w:drawing>
          <wp:inline distT="0" distB="0" distL="0" distR="0" wp14:anchorId="13B70748" wp14:editId="56256284">
            <wp:extent cx="3959999" cy="4667462"/>
            <wp:effectExtent l="0" t="0" r="2540" b="0"/>
            <wp:docPr id="80" name="Picture 80" descr="Set of bar graphs showing sediment grain size composition at estuary habitat monitoring sites in the Burnett Mary region each monitoring event from 1999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BM_sediment_estuary_2016.png"/>
                    <pic:cNvPicPr/>
                  </pic:nvPicPr>
                  <pic:blipFill>
                    <a:blip r:embed="rId213">
                      <a:extLst>
                        <a:ext uri="{28A0092B-C50C-407E-A947-70E740481C1C}">
                          <a14:useLocalDpi xmlns:a14="http://schemas.microsoft.com/office/drawing/2010/main" val="0"/>
                        </a:ext>
                      </a:extLst>
                    </a:blip>
                    <a:stretch>
                      <a:fillRect/>
                    </a:stretch>
                  </pic:blipFill>
                  <pic:spPr>
                    <a:xfrm>
                      <a:off x="0" y="0"/>
                      <a:ext cx="3959999" cy="4667462"/>
                    </a:xfrm>
                    <a:prstGeom prst="rect">
                      <a:avLst/>
                    </a:prstGeom>
                  </pic:spPr>
                </pic:pic>
              </a:graphicData>
            </a:graphic>
          </wp:inline>
        </w:drawing>
      </w:r>
    </w:p>
    <w:p w14:paraId="01E9EA0D" w14:textId="34B764DF" w:rsidR="00035FDC" w:rsidRPr="00CB093C" w:rsidRDefault="00035FDC" w:rsidP="00035FDC">
      <w:pPr>
        <w:rPr>
          <w:rFonts w:ascii="Arial" w:hAnsi="Arial" w:cs="Arial"/>
          <w:i/>
          <w:vanish/>
          <w:szCs w:val="22"/>
          <w:specVanish/>
        </w:rPr>
      </w:pPr>
      <w:bookmarkStart w:id="882" w:name="_Ref461779411"/>
      <w:bookmarkStart w:id="883" w:name="_Toc6402892"/>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127</w:t>
      </w:r>
      <w:r w:rsidR="00C506C7" w:rsidRPr="00CB093C">
        <w:rPr>
          <w:rFonts w:ascii="Arial" w:hAnsi="Arial" w:cs="Arial"/>
          <w:noProof/>
          <w:szCs w:val="22"/>
        </w:rPr>
        <w:fldChar w:fldCharType="end"/>
      </w:r>
      <w:bookmarkEnd w:id="882"/>
      <w:r w:rsidRPr="00CB093C">
        <w:rPr>
          <w:rFonts w:ascii="Arial" w:hAnsi="Arial" w:cs="Arial"/>
          <w:szCs w:val="22"/>
        </w:rPr>
        <w:t xml:space="preserve">.  </w:t>
      </w:r>
      <w:r w:rsidRPr="00CB093C">
        <w:rPr>
          <w:rFonts w:ascii="Arial" w:hAnsi="Arial" w:cs="Arial"/>
          <w:i/>
          <w:szCs w:val="22"/>
        </w:rPr>
        <w:t>Sediment grain size composition at intertidal estuary habitat monitoring sites in the Burnett Mary region, 1999</w:t>
      </w:r>
      <w:r w:rsidR="005C4C83" w:rsidRPr="00CB093C">
        <w:rPr>
          <w:rFonts w:ascii="Arial" w:hAnsi="Arial" w:cs="Arial"/>
          <w:i/>
          <w:szCs w:val="22"/>
        </w:rPr>
        <w:t>–</w:t>
      </w:r>
      <w:r w:rsidRPr="00CB093C">
        <w:rPr>
          <w:rFonts w:ascii="Arial" w:hAnsi="Arial" w:cs="Arial"/>
          <w:i/>
          <w:szCs w:val="22"/>
        </w:rPr>
        <w:t>201</w:t>
      </w:r>
      <w:r w:rsidR="00460435" w:rsidRPr="00CB093C">
        <w:rPr>
          <w:rFonts w:ascii="Arial" w:hAnsi="Arial" w:cs="Arial"/>
          <w:i/>
          <w:szCs w:val="22"/>
        </w:rPr>
        <w:t>8</w:t>
      </w:r>
      <w:r w:rsidRPr="00CB093C">
        <w:rPr>
          <w:rFonts w:ascii="Arial" w:hAnsi="Arial" w:cs="Arial"/>
          <w:i/>
          <w:szCs w:val="22"/>
        </w:rPr>
        <w:t>.</w:t>
      </w:r>
      <w:bookmarkEnd w:id="883"/>
    </w:p>
    <w:p w14:paraId="05C49DF0" w14:textId="40851BE4" w:rsidR="00035FDC" w:rsidRPr="00CB093C" w:rsidRDefault="00035FDC" w:rsidP="00035FDC">
      <w:pPr>
        <w:rPr>
          <w:rFonts w:ascii="Arial" w:hAnsi="Arial" w:cs="Arial"/>
          <w:i/>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5FF0963A" w14:textId="0D74897B" w:rsidR="00B8016C" w:rsidRPr="00CB093C" w:rsidRDefault="00B8016C" w:rsidP="00035FDC">
      <w:pPr>
        <w:rPr>
          <w:rFonts w:ascii="Arial" w:hAnsi="Arial" w:cs="Arial"/>
          <w:szCs w:val="22"/>
        </w:rPr>
      </w:pPr>
    </w:p>
    <w:p w14:paraId="74580CF2" w14:textId="77777777" w:rsidR="005A2405" w:rsidRPr="00CB093C" w:rsidRDefault="00B8016C" w:rsidP="005A2405">
      <w:pPr>
        <w:keepNext/>
        <w:jc w:val="center"/>
        <w:rPr>
          <w:rFonts w:ascii="Arial" w:hAnsi="Arial" w:cs="Arial"/>
          <w:szCs w:val="22"/>
        </w:rPr>
      </w:pPr>
      <w:r w:rsidRPr="00CB093C">
        <w:rPr>
          <w:rFonts w:ascii="Arial" w:hAnsi="Arial" w:cs="Arial"/>
          <w:noProof/>
          <w:szCs w:val="22"/>
          <w:lang w:val="en-US"/>
        </w:rPr>
        <w:drawing>
          <wp:inline distT="0" distB="0" distL="0" distR="0" wp14:anchorId="0E613A8B" wp14:editId="3EE19436">
            <wp:extent cx="3959159" cy="2509200"/>
            <wp:effectExtent l="0" t="0" r="3810" b="5715"/>
            <wp:docPr id="8" name="Picture 8" descr="Set of bar graphs showing sediment grain size composition at coastal habitat monitoring sites in the Burnett Mary region each monitoring event from 1999 t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M_sediment_coast_2017.png"/>
                    <pic:cNvPicPr/>
                  </pic:nvPicPr>
                  <pic:blipFill>
                    <a:blip r:embed="rId214">
                      <a:extLst>
                        <a:ext uri="{28A0092B-C50C-407E-A947-70E740481C1C}">
                          <a14:useLocalDpi xmlns:a14="http://schemas.microsoft.com/office/drawing/2010/main" val="0"/>
                        </a:ext>
                      </a:extLst>
                    </a:blip>
                    <a:stretch>
                      <a:fillRect/>
                    </a:stretch>
                  </pic:blipFill>
                  <pic:spPr>
                    <a:xfrm>
                      <a:off x="0" y="0"/>
                      <a:ext cx="3959159" cy="2509200"/>
                    </a:xfrm>
                    <a:prstGeom prst="rect">
                      <a:avLst/>
                    </a:prstGeom>
                  </pic:spPr>
                </pic:pic>
              </a:graphicData>
            </a:graphic>
          </wp:inline>
        </w:drawing>
      </w:r>
    </w:p>
    <w:p w14:paraId="1B814D12" w14:textId="3813B176" w:rsidR="005A2405" w:rsidRPr="00CB093C" w:rsidRDefault="005A2405" w:rsidP="005A2405">
      <w:pPr>
        <w:rPr>
          <w:rFonts w:ascii="Arial" w:hAnsi="Arial" w:cs="Arial"/>
          <w:i/>
          <w:vanish/>
          <w:szCs w:val="22"/>
          <w:specVanish/>
        </w:rPr>
      </w:pPr>
      <w:bookmarkStart w:id="884" w:name="_Ref511132115"/>
      <w:bookmarkStart w:id="885" w:name="_Toc6402893"/>
      <w:r w:rsidRPr="00CB093C">
        <w:rPr>
          <w:rFonts w:ascii="Arial" w:hAnsi="Arial" w:cs="Arial"/>
          <w:szCs w:val="22"/>
        </w:rPr>
        <w:t xml:space="preserve">Figure </w:t>
      </w:r>
      <w:r w:rsidR="00C506C7" w:rsidRPr="00CB093C">
        <w:rPr>
          <w:rFonts w:ascii="Arial" w:hAnsi="Arial" w:cs="Arial"/>
          <w:noProof/>
          <w:szCs w:val="22"/>
        </w:rPr>
        <w:fldChar w:fldCharType="begin"/>
      </w:r>
      <w:r w:rsidR="00C506C7" w:rsidRPr="00CB093C">
        <w:rPr>
          <w:rFonts w:ascii="Arial" w:hAnsi="Arial" w:cs="Arial"/>
          <w:noProof/>
          <w:szCs w:val="22"/>
        </w:rPr>
        <w:instrText xml:space="preserve"> SEQ Figure \* ARABIC </w:instrText>
      </w:r>
      <w:r w:rsidR="00C506C7" w:rsidRPr="00CB093C">
        <w:rPr>
          <w:rFonts w:ascii="Arial" w:hAnsi="Arial" w:cs="Arial"/>
          <w:noProof/>
          <w:szCs w:val="22"/>
        </w:rPr>
        <w:fldChar w:fldCharType="separate"/>
      </w:r>
      <w:r w:rsidR="005F00D4">
        <w:rPr>
          <w:rFonts w:ascii="Arial" w:hAnsi="Arial" w:cs="Arial"/>
          <w:noProof/>
          <w:szCs w:val="22"/>
        </w:rPr>
        <w:t>128</w:t>
      </w:r>
      <w:r w:rsidR="00C506C7" w:rsidRPr="00CB093C">
        <w:rPr>
          <w:rFonts w:ascii="Arial" w:hAnsi="Arial" w:cs="Arial"/>
          <w:noProof/>
          <w:szCs w:val="22"/>
        </w:rPr>
        <w:fldChar w:fldCharType="end"/>
      </w:r>
      <w:bookmarkEnd w:id="884"/>
      <w:r w:rsidRPr="00CB093C">
        <w:rPr>
          <w:rFonts w:ascii="Arial" w:hAnsi="Arial" w:cs="Arial"/>
          <w:szCs w:val="22"/>
        </w:rPr>
        <w:t xml:space="preserve">. </w:t>
      </w:r>
      <w:r w:rsidRPr="00CB093C">
        <w:rPr>
          <w:rFonts w:ascii="Arial" w:hAnsi="Arial" w:cs="Arial"/>
          <w:i/>
          <w:szCs w:val="22"/>
        </w:rPr>
        <w:t>Sediment grain size composition at intertidal coastal habitat monitoring sites in the Burnett Mary region, 1999</w:t>
      </w:r>
      <w:r w:rsidR="005C4C83" w:rsidRPr="00CB093C">
        <w:rPr>
          <w:rFonts w:ascii="Arial" w:hAnsi="Arial" w:cs="Arial"/>
          <w:i/>
          <w:szCs w:val="22"/>
        </w:rPr>
        <w:t>–</w:t>
      </w:r>
      <w:r w:rsidRPr="00CB093C">
        <w:rPr>
          <w:rFonts w:ascii="Arial" w:hAnsi="Arial" w:cs="Arial"/>
          <w:i/>
          <w:szCs w:val="22"/>
        </w:rPr>
        <w:t>201</w:t>
      </w:r>
      <w:r w:rsidR="00460435" w:rsidRPr="00CB093C">
        <w:rPr>
          <w:rFonts w:ascii="Arial" w:hAnsi="Arial" w:cs="Arial"/>
          <w:i/>
          <w:szCs w:val="22"/>
        </w:rPr>
        <w:t>8</w:t>
      </w:r>
      <w:r w:rsidRPr="00CB093C">
        <w:rPr>
          <w:rFonts w:ascii="Arial" w:hAnsi="Arial" w:cs="Arial"/>
          <w:i/>
          <w:szCs w:val="22"/>
        </w:rPr>
        <w:t>.</w:t>
      </w:r>
      <w:bookmarkEnd w:id="885"/>
    </w:p>
    <w:p w14:paraId="4ACAF266" w14:textId="080D7B41" w:rsidR="00B8016C" w:rsidRPr="00CB093C" w:rsidRDefault="005A2405" w:rsidP="005A2405">
      <w:pPr>
        <w:rPr>
          <w:rFonts w:ascii="Arial" w:hAnsi="Arial" w:cs="Arial"/>
          <w:szCs w:val="22"/>
        </w:rPr>
      </w:pPr>
      <w:r w:rsidRPr="00CB093C">
        <w:rPr>
          <w:rFonts w:ascii="Arial" w:hAnsi="Arial" w:cs="Arial"/>
          <w:i/>
          <w:szCs w:val="22"/>
        </w:rPr>
        <w:t xml:space="preserve"> Dashed line is the </w:t>
      </w:r>
      <w:r w:rsidR="00F206BF" w:rsidRPr="00CB093C">
        <w:rPr>
          <w:rFonts w:ascii="Arial" w:hAnsi="Arial" w:cs="Arial"/>
          <w:i/>
          <w:szCs w:val="22"/>
        </w:rPr>
        <w:t>Reef</w:t>
      </w:r>
      <w:r w:rsidRPr="00CB093C">
        <w:rPr>
          <w:rFonts w:ascii="Arial" w:hAnsi="Arial" w:cs="Arial"/>
          <w:i/>
          <w:szCs w:val="22"/>
        </w:rPr>
        <w:t xml:space="preserve"> long-term average proportion of mud.</w:t>
      </w:r>
    </w:p>
    <w:p w14:paraId="52DB7EC2" w14:textId="77777777" w:rsidR="00B8016C" w:rsidRPr="00CB093C" w:rsidRDefault="00B8016C" w:rsidP="00035FDC">
      <w:pPr>
        <w:rPr>
          <w:rFonts w:ascii="Arial" w:hAnsi="Arial" w:cs="Arial"/>
          <w:szCs w:val="22"/>
        </w:rPr>
      </w:pPr>
    </w:p>
    <w:p w14:paraId="6AC2D854" w14:textId="77777777" w:rsidR="00902825" w:rsidRPr="00CB093C" w:rsidRDefault="00902825">
      <w:pPr>
        <w:spacing w:before="0" w:after="0"/>
        <w:rPr>
          <w:rFonts w:ascii="Arial" w:hAnsi="Arial" w:cs="Arial"/>
          <w:color w:val="000000"/>
          <w:szCs w:val="22"/>
        </w:rPr>
      </w:pPr>
      <w:r w:rsidRPr="00CB093C">
        <w:rPr>
          <w:rFonts w:ascii="Arial" w:hAnsi="Arial" w:cs="Arial"/>
          <w:color w:val="000000"/>
          <w:szCs w:val="22"/>
        </w:rPr>
        <w:br w:type="page"/>
      </w:r>
    </w:p>
    <w:p w14:paraId="4FF1FC96" w14:textId="77777777" w:rsidR="00902825" w:rsidRPr="00CB093C" w:rsidRDefault="00902825" w:rsidP="00620C8B">
      <w:pPr>
        <w:rPr>
          <w:rFonts w:ascii="Arial" w:hAnsi="Arial" w:cs="Arial"/>
          <w:color w:val="000000"/>
          <w:szCs w:val="22"/>
        </w:rPr>
      </w:pPr>
    </w:p>
    <w:p w14:paraId="1173D9D1" w14:textId="77777777" w:rsidR="00902825" w:rsidRPr="00CB093C" w:rsidRDefault="00902825" w:rsidP="00620C8B">
      <w:pPr>
        <w:rPr>
          <w:rFonts w:ascii="Arial" w:hAnsi="Arial" w:cs="Arial"/>
          <w:color w:val="000000"/>
          <w:szCs w:val="22"/>
        </w:rPr>
      </w:pPr>
    </w:p>
    <w:p w14:paraId="2477D9CE" w14:textId="77777777" w:rsidR="00902825" w:rsidRPr="00CB093C" w:rsidRDefault="00902825" w:rsidP="00620C8B">
      <w:pPr>
        <w:rPr>
          <w:rFonts w:ascii="Arial" w:hAnsi="Arial" w:cs="Arial"/>
          <w:color w:val="000000"/>
          <w:szCs w:val="22"/>
        </w:rPr>
      </w:pPr>
    </w:p>
    <w:p w14:paraId="24EB7420" w14:textId="77777777" w:rsidR="00902825" w:rsidRPr="00CB093C" w:rsidRDefault="00902825" w:rsidP="00620C8B">
      <w:pPr>
        <w:rPr>
          <w:rFonts w:ascii="Arial" w:hAnsi="Arial" w:cs="Arial"/>
          <w:color w:val="000000"/>
          <w:szCs w:val="22"/>
        </w:rPr>
      </w:pPr>
    </w:p>
    <w:p w14:paraId="77D2C39E" w14:textId="77777777" w:rsidR="00902825" w:rsidRPr="00CB093C" w:rsidRDefault="00902825" w:rsidP="00620C8B">
      <w:pPr>
        <w:rPr>
          <w:rFonts w:ascii="Arial" w:hAnsi="Arial" w:cs="Arial"/>
          <w:color w:val="000000"/>
          <w:szCs w:val="22"/>
        </w:rPr>
      </w:pPr>
    </w:p>
    <w:p w14:paraId="6BA775FD" w14:textId="77777777" w:rsidR="00902825" w:rsidRPr="00CB093C" w:rsidRDefault="00902825" w:rsidP="00620C8B">
      <w:pPr>
        <w:rPr>
          <w:rFonts w:ascii="Arial" w:hAnsi="Arial" w:cs="Arial"/>
          <w:color w:val="000000"/>
          <w:szCs w:val="22"/>
        </w:rPr>
      </w:pPr>
    </w:p>
    <w:p w14:paraId="126652D7" w14:textId="77777777" w:rsidR="00620C8B" w:rsidRPr="00CB093C" w:rsidRDefault="00620C8B" w:rsidP="0015509E">
      <w:pPr>
        <w:pStyle w:val="Heading1"/>
        <w:numPr>
          <w:ilvl w:val="0"/>
          <w:numId w:val="6"/>
        </w:numPr>
      </w:pPr>
      <w:bookmarkStart w:id="886" w:name="_Ref511310034"/>
      <w:bookmarkStart w:id="887" w:name="_Toc11394809"/>
      <w:r w:rsidRPr="00CB093C">
        <w:t>Results of statistical analysis</w:t>
      </w:r>
      <w:bookmarkEnd w:id="886"/>
      <w:bookmarkEnd w:id="887"/>
    </w:p>
    <w:p w14:paraId="7A84B32E" w14:textId="77777777" w:rsidR="00902825" w:rsidRPr="00CB093C" w:rsidRDefault="00902825" w:rsidP="00902825">
      <w:pPr>
        <w:rPr>
          <w:rFonts w:ascii="Arial" w:hAnsi="Arial" w:cs="Arial"/>
          <w:szCs w:val="22"/>
        </w:rPr>
      </w:pPr>
    </w:p>
    <w:p w14:paraId="53A68886" w14:textId="77777777" w:rsidR="00306220" w:rsidRPr="00CB093C" w:rsidRDefault="00306220" w:rsidP="00306220">
      <w:pPr>
        <w:pStyle w:val="BodyText"/>
        <w:spacing w:before="240" w:after="240"/>
        <w:rPr>
          <w:rFonts w:ascii="Arial" w:hAnsi="Arial" w:cs="Arial"/>
        </w:rPr>
      </w:pPr>
    </w:p>
    <w:p w14:paraId="36D061AF" w14:textId="77777777" w:rsidR="00306220" w:rsidRPr="00CB093C" w:rsidRDefault="00306220" w:rsidP="00306220">
      <w:pPr>
        <w:rPr>
          <w:rFonts w:ascii="Arial" w:hAnsi="Arial" w:cs="Arial"/>
          <w:color w:val="000000"/>
          <w:szCs w:val="22"/>
        </w:rPr>
        <w:sectPr w:rsidR="00306220" w:rsidRPr="00CB093C">
          <w:pgSz w:w="11906" w:h="16838"/>
          <w:pgMar w:top="1440" w:right="1440" w:bottom="1440" w:left="1440" w:header="708" w:footer="708" w:gutter="0"/>
          <w:cols w:space="708"/>
          <w:docGrid w:linePitch="360"/>
        </w:sectPr>
      </w:pPr>
    </w:p>
    <w:p w14:paraId="4C5502CC" w14:textId="6E3A79ED" w:rsidR="00BB7DFF" w:rsidRPr="00CB093C" w:rsidRDefault="00BB7DFF" w:rsidP="00BB7DFF">
      <w:pPr>
        <w:pStyle w:val="Caption"/>
        <w:jc w:val="center"/>
        <w:rPr>
          <w:rFonts w:ascii="Arial" w:hAnsi="Arial" w:cs="Arial"/>
          <w:i/>
          <w:iCs/>
          <w:vanish/>
          <w:color w:val="000000"/>
          <w:szCs w:val="22"/>
          <w:specVanish/>
        </w:rPr>
      </w:pPr>
      <w:bookmarkStart w:id="888" w:name="_Ref511310045"/>
      <w:bookmarkStart w:id="889" w:name="_Toc516053482"/>
      <w:bookmarkStart w:id="890" w:name="_Toc5616051"/>
      <w:r w:rsidRPr="00CB093C">
        <w:rPr>
          <w:rFonts w:ascii="Arial" w:hAnsi="Arial" w:cs="Arial"/>
          <w:szCs w:val="22"/>
        </w:rPr>
        <w:t xml:space="preserve">Table </w:t>
      </w:r>
      <w:r w:rsidRPr="00CB093C">
        <w:rPr>
          <w:rFonts w:ascii="Arial" w:hAnsi="Arial" w:cs="Arial"/>
          <w:szCs w:val="22"/>
        </w:rPr>
        <w:fldChar w:fldCharType="begin"/>
      </w:r>
      <w:r w:rsidRPr="00CB093C">
        <w:rPr>
          <w:rFonts w:ascii="Arial" w:hAnsi="Arial" w:cs="Arial"/>
          <w:szCs w:val="22"/>
        </w:rPr>
        <w:instrText xml:space="preserve"> SEQ Table \* ARABIC </w:instrText>
      </w:r>
      <w:r w:rsidRPr="00CB093C">
        <w:rPr>
          <w:rFonts w:ascii="Arial" w:hAnsi="Arial" w:cs="Arial"/>
          <w:szCs w:val="22"/>
        </w:rPr>
        <w:fldChar w:fldCharType="separate"/>
      </w:r>
      <w:r w:rsidR="005F00D4">
        <w:rPr>
          <w:rFonts w:ascii="Arial" w:hAnsi="Arial" w:cs="Arial"/>
          <w:noProof/>
          <w:szCs w:val="22"/>
        </w:rPr>
        <w:t>23</w:t>
      </w:r>
      <w:r w:rsidRPr="00CB093C">
        <w:rPr>
          <w:rFonts w:ascii="Arial" w:hAnsi="Arial" w:cs="Arial"/>
          <w:szCs w:val="22"/>
        </w:rPr>
        <w:fldChar w:fldCharType="end"/>
      </w:r>
      <w:bookmarkEnd w:id="888"/>
      <w:r w:rsidRPr="00CB093C">
        <w:rPr>
          <w:rFonts w:ascii="Arial" w:hAnsi="Arial" w:cs="Arial"/>
          <w:szCs w:val="22"/>
        </w:rPr>
        <w:t xml:space="preserve">. </w:t>
      </w:r>
      <w:bookmarkStart w:id="891" w:name="_Toc487023257"/>
      <w:r w:rsidRPr="00CB093C">
        <w:rPr>
          <w:rFonts w:ascii="Arial" w:hAnsi="Arial" w:cs="Arial"/>
          <w:i/>
          <w:szCs w:val="22"/>
        </w:rPr>
        <w:t>Results of</w:t>
      </w:r>
      <w:r w:rsidRPr="00CB093C">
        <w:rPr>
          <w:rFonts w:ascii="Arial" w:hAnsi="Arial" w:cs="Arial"/>
          <w:szCs w:val="22"/>
        </w:rPr>
        <w:t xml:space="preserve"> </w:t>
      </w:r>
      <w:r w:rsidRPr="00CB093C">
        <w:rPr>
          <w:rFonts w:ascii="Arial" w:hAnsi="Arial" w:cs="Arial"/>
          <w:i/>
          <w:szCs w:val="22"/>
        </w:rPr>
        <w:t>Mann­Kendall analysis to assess if there was a significant trend (decline or increase) over time in seagrass abundance (</w:t>
      </w:r>
      <w:r w:rsidR="00882B72" w:rsidRPr="00CB093C">
        <w:rPr>
          <w:rFonts w:ascii="Arial" w:hAnsi="Arial" w:cs="Arial"/>
          <w:i/>
          <w:szCs w:val="22"/>
        </w:rPr>
        <w:t>%</w:t>
      </w:r>
      <w:r w:rsidRPr="00CB093C">
        <w:rPr>
          <w:rFonts w:ascii="Arial" w:hAnsi="Arial" w:cs="Arial"/>
          <w:i/>
          <w:szCs w:val="22"/>
        </w:rPr>
        <w:t xml:space="preserve"> cover).</w:t>
      </w:r>
      <w:bookmarkEnd w:id="889"/>
      <w:bookmarkEnd w:id="891"/>
      <w:bookmarkEnd w:id="890"/>
    </w:p>
    <w:p w14:paraId="745936BB" w14:textId="77777777" w:rsidR="00BB7DFF" w:rsidRPr="00CB093C" w:rsidRDefault="00BB7DFF" w:rsidP="00BB7DFF">
      <w:pPr>
        <w:pStyle w:val="Caption"/>
        <w:keepNext/>
        <w:jc w:val="center"/>
        <w:rPr>
          <w:rFonts w:ascii="Arial" w:hAnsi="Arial" w:cs="Arial"/>
          <w:szCs w:val="22"/>
        </w:rPr>
      </w:pPr>
      <w:r w:rsidRPr="00CB093C">
        <w:rPr>
          <w:rFonts w:ascii="Arial" w:hAnsi="Arial" w:cs="Arial"/>
          <w:i/>
          <w:szCs w:val="22"/>
        </w:rPr>
        <w:t>The reported output of the tests performed are Kendall’s tau coefficient (Kendall-τ), the two-sided p-value (significant at α = 0.05 in bold), the Sen’s slope (showing the sign and strength of the trend – including confidence intervals if significant) and the long-term trend.</w:t>
      </w:r>
    </w:p>
    <w:tbl>
      <w:tblPr>
        <w:tblW w:w="12984" w:type="dxa"/>
        <w:jc w:val="center"/>
        <w:tblLayout w:type="fixed"/>
        <w:tblLook w:val="04A0" w:firstRow="1" w:lastRow="0" w:firstColumn="1" w:lastColumn="0" w:noHBand="0" w:noVBand="1"/>
      </w:tblPr>
      <w:tblGrid>
        <w:gridCol w:w="2028"/>
        <w:gridCol w:w="1874"/>
        <w:gridCol w:w="720"/>
        <w:gridCol w:w="1078"/>
        <w:gridCol w:w="1068"/>
        <w:gridCol w:w="519"/>
        <w:gridCol w:w="1078"/>
        <w:gridCol w:w="1076"/>
        <w:gridCol w:w="2475"/>
        <w:gridCol w:w="1068"/>
      </w:tblGrid>
      <w:tr w:rsidR="00BB7DFF" w:rsidRPr="00CB093C" w14:paraId="4DB68889" w14:textId="77777777" w:rsidTr="00BE5D0E">
        <w:trPr>
          <w:cantSplit/>
          <w:trHeight w:val="312"/>
          <w:tblHeader/>
          <w:jc w:val="center"/>
        </w:trPr>
        <w:tc>
          <w:tcPr>
            <w:tcW w:w="2028" w:type="dxa"/>
            <w:tcBorders>
              <w:top w:val="single" w:sz="4" w:space="0" w:color="auto"/>
              <w:bottom w:val="single" w:sz="4" w:space="0" w:color="auto"/>
            </w:tcBorders>
            <w:shd w:val="clear" w:color="000000" w:fill="C0C0C0"/>
            <w:noWrap/>
            <w:vAlign w:val="center"/>
            <w:hideMark/>
          </w:tcPr>
          <w:p w14:paraId="1D958FFC"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NRM region</w:t>
            </w:r>
          </w:p>
        </w:tc>
        <w:tc>
          <w:tcPr>
            <w:tcW w:w="1874" w:type="dxa"/>
            <w:tcBorders>
              <w:top w:val="single" w:sz="4" w:space="0" w:color="auto"/>
              <w:bottom w:val="single" w:sz="4" w:space="0" w:color="auto"/>
            </w:tcBorders>
            <w:shd w:val="clear" w:color="000000" w:fill="C0C0C0"/>
            <w:noWrap/>
            <w:vAlign w:val="center"/>
            <w:hideMark/>
          </w:tcPr>
          <w:p w14:paraId="0DC16754"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Habitat</w:t>
            </w:r>
          </w:p>
        </w:tc>
        <w:tc>
          <w:tcPr>
            <w:tcW w:w="720" w:type="dxa"/>
            <w:tcBorders>
              <w:top w:val="single" w:sz="4" w:space="0" w:color="auto"/>
              <w:bottom w:val="single" w:sz="4" w:space="0" w:color="auto"/>
            </w:tcBorders>
            <w:shd w:val="clear" w:color="000000" w:fill="C0C0C0"/>
            <w:noWrap/>
            <w:vAlign w:val="center"/>
            <w:hideMark/>
          </w:tcPr>
          <w:p w14:paraId="4FA5BE8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Site</w:t>
            </w:r>
          </w:p>
        </w:tc>
        <w:tc>
          <w:tcPr>
            <w:tcW w:w="1078" w:type="dxa"/>
            <w:tcBorders>
              <w:top w:val="single" w:sz="4" w:space="0" w:color="auto"/>
              <w:bottom w:val="single" w:sz="4" w:space="0" w:color="auto"/>
            </w:tcBorders>
            <w:shd w:val="clear" w:color="000000" w:fill="C0C0C0"/>
            <w:vAlign w:val="center"/>
          </w:tcPr>
          <w:p w14:paraId="248A5586"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First Year</w:t>
            </w:r>
          </w:p>
        </w:tc>
        <w:tc>
          <w:tcPr>
            <w:tcW w:w="1068" w:type="dxa"/>
            <w:tcBorders>
              <w:top w:val="single" w:sz="4" w:space="0" w:color="auto"/>
              <w:bottom w:val="single" w:sz="4" w:space="0" w:color="auto"/>
            </w:tcBorders>
            <w:shd w:val="clear" w:color="000000" w:fill="C0C0C0"/>
            <w:vAlign w:val="center"/>
          </w:tcPr>
          <w:p w14:paraId="69FFB66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Last Year</w:t>
            </w:r>
          </w:p>
        </w:tc>
        <w:tc>
          <w:tcPr>
            <w:tcW w:w="519" w:type="dxa"/>
            <w:tcBorders>
              <w:top w:val="single" w:sz="4" w:space="0" w:color="auto"/>
              <w:bottom w:val="single" w:sz="4" w:space="0" w:color="auto"/>
            </w:tcBorders>
            <w:shd w:val="clear" w:color="000000" w:fill="C0C0C0"/>
            <w:vAlign w:val="center"/>
          </w:tcPr>
          <w:p w14:paraId="1205FE51" w14:textId="77777777" w:rsidR="00BB7DFF" w:rsidRPr="00CB093C" w:rsidRDefault="00BB7DFF" w:rsidP="00BE5D0E">
            <w:pPr>
              <w:pStyle w:val="BodyText"/>
              <w:spacing w:after="0"/>
              <w:jc w:val="center"/>
              <w:rPr>
                <w:rFonts w:ascii="Arial" w:hAnsi="Arial" w:cs="Arial"/>
                <w:b/>
                <w:i/>
                <w:color w:val="000000"/>
              </w:rPr>
            </w:pPr>
            <w:r w:rsidRPr="00CB093C">
              <w:rPr>
                <w:rFonts w:ascii="Arial" w:hAnsi="Arial" w:cs="Arial"/>
                <w:b/>
                <w:i/>
                <w:color w:val="000000"/>
              </w:rPr>
              <w:t>n</w:t>
            </w:r>
          </w:p>
        </w:tc>
        <w:tc>
          <w:tcPr>
            <w:tcW w:w="1078" w:type="dxa"/>
            <w:tcBorders>
              <w:top w:val="single" w:sz="4" w:space="0" w:color="auto"/>
              <w:bottom w:val="single" w:sz="4" w:space="0" w:color="auto"/>
            </w:tcBorders>
            <w:shd w:val="clear" w:color="000000" w:fill="C0C0C0"/>
            <w:noWrap/>
            <w:vAlign w:val="center"/>
            <w:hideMark/>
          </w:tcPr>
          <w:p w14:paraId="0AFA1BEE"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i/>
                <w:color w:val="000000"/>
              </w:rPr>
              <w:t>Kendall-τ</w:t>
            </w:r>
          </w:p>
        </w:tc>
        <w:tc>
          <w:tcPr>
            <w:tcW w:w="1076" w:type="dxa"/>
            <w:tcBorders>
              <w:top w:val="single" w:sz="4" w:space="0" w:color="auto"/>
              <w:bottom w:val="single" w:sz="4" w:space="0" w:color="auto"/>
            </w:tcBorders>
            <w:shd w:val="clear" w:color="000000" w:fill="C0C0C0"/>
            <w:noWrap/>
            <w:vAlign w:val="center"/>
            <w:hideMark/>
          </w:tcPr>
          <w:p w14:paraId="380E3D46" w14:textId="77777777" w:rsidR="00BB7DFF" w:rsidRPr="00CB093C" w:rsidRDefault="00BB7DFF" w:rsidP="00BE5D0E">
            <w:pPr>
              <w:pStyle w:val="BodyText"/>
              <w:spacing w:after="0"/>
              <w:jc w:val="center"/>
              <w:rPr>
                <w:rFonts w:ascii="Arial" w:hAnsi="Arial" w:cs="Arial"/>
                <w:b/>
                <w:i/>
                <w:color w:val="000000"/>
              </w:rPr>
            </w:pPr>
            <w:r w:rsidRPr="00CB093C">
              <w:rPr>
                <w:rFonts w:ascii="Arial" w:hAnsi="Arial" w:cs="Arial"/>
                <w:b/>
                <w:i/>
                <w:color w:val="000000"/>
              </w:rPr>
              <w:t>p</w:t>
            </w:r>
          </w:p>
          <w:p w14:paraId="155168A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(2-sided)</w:t>
            </w:r>
          </w:p>
        </w:tc>
        <w:tc>
          <w:tcPr>
            <w:tcW w:w="2475" w:type="dxa"/>
            <w:tcBorders>
              <w:top w:val="single" w:sz="4" w:space="0" w:color="auto"/>
              <w:bottom w:val="single" w:sz="4" w:space="0" w:color="auto"/>
            </w:tcBorders>
            <w:shd w:val="clear" w:color="000000" w:fill="C0C0C0"/>
            <w:noWrap/>
            <w:vAlign w:val="center"/>
            <w:hideMark/>
          </w:tcPr>
          <w:p w14:paraId="6F293179"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Sen’s slope</w:t>
            </w:r>
          </w:p>
          <w:p w14:paraId="1A5BE87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(confidence interval)</w:t>
            </w:r>
          </w:p>
        </w:tc>
        <w:tc>
          <w:tcPr>
            <w:tcW w:w="1068" w:type="dxa"/>
            <w:tcBorders>
              <w:top w:val="single" w:sz="4" w:space="0" w:color="auto"/>
              <w:bottom w:val="single" w:sz="4" w:space="0" w:color="auto"/>
            </w:tcBorders>
            <w:shd w:val="clear" w:color="000000" w:fill="C0C0C0"/>
            <w:noWrap/>
            <w:vAlign w:val="center"/>
            <w:hideMark/>
          </w:tcPr>
          <w:p w14:paraId="52F2F53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trend</w:t>
            </w:r>
          </w:p>
        </w:tc>
      </w:tr>
      <w:tr w:rsidR="00BB7DFF" w:rsidRPr="00CB093C" w14:paraId="29903BC0" w14:textId="77777777" w:rsidTr="00BE5D0E">
        <w:trPr>
          <w:cantSplit/>
          <w:trHeight w:val="312"/>
          <w:jc w:val="center"/>
        </w:trPr>
        <w:tc>
          <w:tcPr>
            <w:tcW w:w="2028" w:type="dxa"/>
            <w:vMerge w:val="restart"/>
            <w:tcBorders>
              <w:top w:val="single" w:sz="4" w:space="0" w:color="auto"/>
            </w:tcBorders>
            <w:shd w:val="clear" w:color="auto" w:fill="E7F3F4"/>
            <w:noWrap/>
            <w:vAlign w:val="center"/>
          </w:tcPr>
          <w:p w14:paraId="6EA0E122"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Cape York</w:t>
            </w:r>
          </w:p>
        </w:tc>
        <w:tc>
          <w:tcPr>
            <w:tcW w:w="1874" w:type="dxa"/>
            <w:vMerge w:val="restart"/>
            <w:tcBorders>
              <w:top w:val="single" w:sz="4" w:space="0" w:color="auto"/>
            </w:tcBorders>
            <w:shd w:val="clear" w:color="auto" w:fill="E7F3F4"/>
            <w:noWrap/>
            <w:vAlign w:val="center"/>
            <w:hideMark/>
          </w:tcPr>
          <w:p w14:paraId="2CE9CEBD"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coastal intertidal</w:t>
            </w:r>
          </w:p>
        </w:tc>
        <w:tc>
          <w:tcPr>
            <w:tcW w:w="720" w:type="dxa"/>
            <w:tcBorders>
              <w:top w:val="single" w:sz="4" w:space="0" w:color="auto"/>
            </w:tcBorders>
            <w:shd w:val="clear" w:color="auto" w:fill="E7F3F4"/>
            <w:noWrap/>
            <w:vAlign w:val="center"/>
            <w:hideMark/>
          </w:tcPr>
          <w:p w14:paraId="20ACE60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BY1</w:t>
            </w:r>
          </w:p>
        </w:tc>
        <w:tc>
          <w:tcPr>
            <w:tcW w:w="1078" w:type="dxa"/>
            <w:tcBorders>
              <w:top w:val="single" w:sz="4" w:space="0" w:color="auto"/>
            </w:tcBorders>
            <w:shd w:val="clear" w:color="auto" w:fill="E7F3F4"/>
            <w:vAlign w:val="center"/>
          </w:tcPr>
          <w:p w14:paraId="24016B5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top w:val="single" w:sz="4" w:space="0" w:color="auto"/>
            </w:tcBorders>
            <w:shd w:val="clear" w:color="auto" w:fill="E7F3F4"/>
            <w:vAlign w:val="center"/>
          </w:tcPr>
          <w:p w14:paraId="657ED4E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tcBorders>
            <w:shd w:val="clear" w:color="auto" w:fill="E7F3F4"/>
            <w:vAlign w:val="center"/>
          </w:tcPr>
          <w:p w14:paraId="4DBB3B0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w:t>
            </w:r>
          </w:p>
        </w:tc>
        <w:tc>
          <w:tcPr>
            <w:tcW w:w="1078" w:type="dxa"/>
            <w:tcBorders>
              <w:top w:val="single" w:sz="4" w:space="0" w:color="auto"/>
            </w:tcBorders>
            <w:shd w:val="clear" w:color="auto" w:fill="E7F3F4"/>
            <w:noWrap/>
            <w:vAlign w:val="bottom"/>
            <w:hideMark/>
          </w:tcPr>
          <w:p w14:paraId="22D528F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0.244</w:t>
            </w:r>
          </w:p>
        </w:tc>
        <w:tc>
          <w:tcPr>
            <w:tcW w:w="1076" w:type="dxa"/>
            <w:tcBorders>
              <w:top w:val="single" w:sz="4" w:space="0" w:color="auto"/>
            </w:tcBorders>
            <w:shd w:val="clear" w:color="auto" w:fill="E7F3F4"/>
            <w:noWrap/>
            <w:vAlign w:val="bottom"/>
            <w:hideMark/>
          </w:tcPr>
          <w:p w14:paraId="6691F50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0.3711</w:t>
            </w:r>
          </w:p>
        </w:tc>
        <w:tc>
          <w:tcPr>
            <w:tcW w:w="2475" w:type="dxa"/>
            <w:tcBorders>
              <w:top w:val="single" w:sz="4" w:space="0" w:color="auto"/>
            </w:tcBorders>
            <w:shd w:val="clear" w:color="auto" w:fill="E7F3F4"/>
            <w:noWrap/>
            <w:vAlign w:val="bottom"/>
            <w:hideMark/>
          </w:tcPr>
          <w:p w14:paraId="08730C0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0.798</w:t>
            </w:r>
          </w:p>
        </w:tc>
        <w:tc>
          <w:tcPr>
            <w:tcW w:w="1068" w:type="dxa"/>
            <w:tcBorders>
              <w:top w:val="single" w:sz="4" w:space="0" w:color="auto"/>
            </w:tcBorders>
            <w:shd w:val="clear" w:color="auto" w:fill="E7F3F4"/>
            <w:noWrap/>
            <w:vAlign w:val="center"/>
          </w:tcPr>
          <w:p w14:paraId="40A2332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072A3205" w14:textId="77777777" w:rsidTr="00BE5D0E">
        <w:trPr>
          <w:cantSplit/>
          <w:trHeight w:val="312"/>
          <w:jc w:val="center"/>
        </w:trPr>
        <w:tc>
          <w:tcPr>
            <w:tcW w:w="2028" w:type="dxa"/>
            <w:vMerge/>
            <w:shd w:val="clear" w:color="auto" w:fill="E7F3F4"/>
            <w:noWrap/>
            <w:vAlign w:val="center"/>
          </w:tcPr>
          <w:p w14:paraId="1D510886"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E7F3F4"/>
            <w:noWrap/>
            <w:vAlign w:val="center"/>
            <w:hideMark/>
          </w:tcPr>
          <w:p w14:paraId="48C0B301"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239FFB4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BY2</w:t>
            </w:r>
          </w:p>
        </w:tc>
        <w:tc>
          <w:tcPr>
            <w:tcW w:w="1078" w:type="dxa"/>
            <w:tcBorders>
              <w:bottom w:val="single" w:sz="4" w:space="0" w:color="auto"/>
            </w:tcBorders>
            <w:shd w:val="clear" w:color="auto" w:fill="E7F3F4"/>
            <w:vAlign w:val="center"/>
          </w:tcPr>
          <w:p w14:paraId="4B781C2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bottom w:val="single" w:sz="4" w:space="0" w:color="auto"/>
            </w:tcBorders>
            <w:shd w:val="clear" w:color="auto" w:fill="E7F3F4"/>
            <w:vAlign w:val="center"/>
          </w:tcPr>
          <w:p w14:paraId="59DBD41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E7F3F4"/>
            <w:vAlign w:val="center"/>
          </w:tcPr>
          <w:p w14:paraId="61642F6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w:t>
            </w:r>
          </w:p>
        </w:tc>
        <w:tc>
          <w:tcPr>
            <w:tcW w:w="1078" w:type="dxa"/>
            <w:tcBorders>
              <w:bottom w:val="single" w:sz="4" w:space="0" w:color="auto"/>
            </w:tcBorders>
            <w:shd w:val="clear" w:color="auto" w:fill="E7F3F4"/>
            <w:noWrap/>
            <w:vAlign w:val="bottom"/>
            <w:hideMark/>
          </w:tcPr>
          <w:p w14:paraId="5B7A587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0.511</w:t>
            </w:r>
          </w:p>
        </w:tc>
        <w:tc>
          <w:tcPr>
            <w:tcW w:w="1076" w:type="dxa"/>
            <w:tcBorders>
              <w:bottom w:val="single" w:sz="4" w:space="0" w:color="auto"/>
            </w:tcBorders>
            <w:shd w:val="clear" w:color="auto" w:fill="E7F3F4"/>
            <w:noWrap/>
            <w:vAlign w:val="bottom"/>
            <w:hideMark/>
          </w:tcPr>
          <w:p w14:paraId="7FA14205"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0.0491</w:t>
            </w:r>
          </w:p>
        </w:tc>
        <w:tc>
          <w:tcPr>
            <w:tcW w:w="2475" w:type="dxa"/>
            <w:tcBorders>
              <w:bottom w:val="single" w:sz="4" w:space="0" w:color="auto"/>
            </w:tcBorders>
            <w:shd w:val="clear" w:color="auto" w:fill="E7F3F4"/>
            <w:noWrap/>
            <w:vAlign w:val="bottom"/>
            <w:hideMark/>
          </w:tcPr>
          <w:p w14:paraId="686EA3C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 xml:space="preserve">0.962 </w:t>
            </w:r>
            <w:r w:rsidRPr="00CB093C">
              <w:rPr>
                <w:rFonts w:ascii="Arial" w:hAnsi="Arial" w:cs="Arial"/>
                <w:color w:val="000000"/>
              </w:rPr>
              <w:t>(0.027 to 2.103)</w:t>
            </w:r>
          </w:p>
        </w:tc>
        <w:tc>
          <w:tcPr>
            <w:tcW w:w="1068" w:type="dxa"/>
            <w:tcBorders>
              <w:bottom w:val="single" w:sz="4" w:space="0" w:color="auto"/>
            </w:tcBorders>
            <w:shd w:val="clear" w:color="auto" w:fill="E7F3F4"/>
            <w:noWrap/>
            <w:vAlign w:val="center"/>
          </w:tcPr>
          <w:p w14:paraId="778D6A0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increase</w:t>
            </w:r>
          </w:p>
        </w:tc>
      </w:tr>
      <w:tr w:rsidR="00BB7DFF" w:rsidRPr="00CB093C" w14:paraId="5B7EADD4" w14:textId="77777777" w:rsidTr="00BE5D0E">
        <w:trPr>
          <w:cantSplit/>
          <w:trHeight w:val="312"/>
          <w:jc w:val="center"/>
        </w:trPr>
        <w:tc>
          <w:tcPr>
            <w:tcW w:w="2028" w:type="dxa"/>
            <w:vMerge/>
            <w:shd w:val="clear" w:color="auto" w:fill="E7F3F4"/>
            <w:noWrap/>
            <w:vAlign w:val="center"/>
          </w:tcPr>
          <w:p w14:paraId="78CD8D67"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E7F3F4"/>
            <w:noWrap/>
            <w:vAlign w:val="center"/>
          </w:tcPr>
          <w:p w14:paraId="00B6B357"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tcBorders>
            <w:shd w:val="clear" w:color="auto" w:fill="E7F3F4"/>
            <w:noWrap/>
            <w:vAlign w:val="center"/>
            <w:hideMark/>
          </w:tcPr>
          <w:p w14:paraId="7C0ABB1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SR1</w:t>
            </w:r>
          </w:p>
        </w:tc>
        <w:tc>
          <w:tcPr>
            <w:tcW w:w="1078" w:type="dxa"/>
            <w:tcBorders>
              <w:top w:val="single" w:sz="4" w:space="0" w:color="auto"/>
            </w:tcBorders>
            <w:shd w:val="clear" w:color="auto" w:fill="E7F3F4"/>
            <w:vAlign w:val="center"/>
          </w:tcPr>
          <w:p w14:paraId="42B83AD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top w:val="single" w:sz="4" w:space="0" w:color="auto"/>
            </w:tcBorders>
            <w:shd w:val="clear" w:color="auto" w:fill="E7F3F4"/>
            <w:vAlign w:val="center"/>
          </w:tcPr>
          <w:p w14:paraId="30B56B0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tcBorders>
            <w:shd w:val="clear" w:color="auto" w:fill="E7F3F4"/>
            <w:vAlign w:val="center"/>
          </w:tcPr>
          <w:p w14:paraId="3AD78BC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8</w:t>
            </w:r>
          </w:p>
        </w:tc>
        <w:tc>
          <w:tcPr>
            <w:tcW w:w="1078" w:type="dxa"/>
            <w:tcBorders>
              <w:top w:val="single" w:sz="4" w:space="0" w:color="auto"/>
            </w:tcBorders>
            <w:shd w:val="clear" w:color="auto" w:fill="E7F3F4"/>
            <w:noWrap/>
            <w:vAlign w:val="bottom"/>
            <w:hideMark/>
          </w:tcPr>
          <w:p w14:paraId="7A1995B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-0.500</w:t>
            </w:r>
          </w:p>
        </w:tc>
        <w:tc>
          <w:tcPr>
            <w:tcW w:w="1076" w:type="dxa"/>
            <w:tcBorders>
              <w:top w:val="single" w:sz="4" w:space="0" w:color="auto"/>
            </w:tcBorders>
            <w:shd w:val="clear" w:color="auto" w:fill="E7F3F4"/>
            <w:noWrap/>
            <w:vAlign w:val="bottom"/>
            <w:hideMark/>
          </w:tcPr>
          <w:p w14:paraId="4291CAE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0.1078</w:t>
            </w:r>
          </w:p>
        </w:tc>
        <w:tc>
          <w:tcPr>
            <w:tcW w:w="2475" w:type="dxa"/>
            <w:tcBorders>
              <w:top w:val="single" w:sz="4" w:space="0" w:color="auto"/>
            </w:tcBorders>
            <w:shd w:val="clear" w:color="auto" w:fill="E7F3F4"/>
            <w:noWrap/>
            <w:vAlign w:val="bottom"/>
            <w:hideMark/>
          </w:tcPr>
          <w:p w14:paraId="6E21BA9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-0.848</w:t>
            </w:r>
          </w:p>
        </w:tc>
        <w:tc>
          <w:tcPr>
            <w:tcW w:w="1068" w:type="dxa"/>
            <w:tcBorders>
              <w:top w:val="single" w:sz="4" w:space="0" w:color="auto"/>
            </w:tcBorders>
            <w:shd w:val="clear" w:color="auto" w:fill="E7F3F4"/>
            <w:noWrap/>
            <w:vAlign w:val="center"/>
            <w:hideMark/>
          </w:tcPr>
          <w:p w14:paraId="1EFFEEF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3E4FBA8" w14:textId="77777777" w:rsidTr="00BE5D0E">
        <w:trPr>
          <w:cantSplit/>
          <w:trHeight w:val="312"/>
          <w:jc w:val="center"/>
        </w:trPr>
        <w:tc>
          <w:tcPr>
            <w:tcW w:w="2028" w:type="dxa"/>
            <w:vMerge/>
            <w:shd w:val="clear" w:color="auto" w:fill="E7F3F4"/>
            <w:noWrap/>
            <w:vAlign w:val="center"/>
          </w:tcPr>
          <w:p w14:paraId="25DF77C8"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tcPr>
          <w:p w14:paraId="0902FE5D"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52E4ECE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SR2</w:t>
            </w:r>
          </w:p>
        </w:tc>
        <w:tc>
          <w:tcPr>
            <w:tcW w:w="1078" w:type="dxa"/>
            <w:tcBorders>
              <w:bottom w:val="single" w:sz="4" w:space="0" w:color="auto"/>
            </w:tcBorders>
            <w:shd w:val="clear" w:color="auto" w:fill="E7F3F4"/>
            <w:vAlign w:val="center"/>
          </w:tcPr>
          <w:p w14:paraId="33625AA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bottom w:val="single" w:sz="4" w:space="0" w:color="auto"/>
            </w:tcBorders>
            <w:shd w:val="clear" w:color="auto" w:fill="E7F3F4"/>
            <w:vAlign w:val="center"/>
          </w:tcPr>
          <w:p w14:paraId="5F3D6E1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E7F3F4"/>
            <w:vAlign w:val="center"/>
          </w:tcPr>
          <w:p w14:paraId="52B67BD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8</w:t>
            </w:r>
          </w:p>
        </w:tc>
        <w:tc>
          <w:tcPr>
            <w:tcW w:w="1078" w:type="dxa"/>
            <w:tcBorders>
              <w:bottom w:val="single" w:sz="4" w:space="0" w:color="auto"/>
            </w:tcBorders>
            <w:shd w:val="clear" w:color="auto" w:fill="E7F3F4"/>
            <w:noWrap/>
            <w:vAlign w:val="bottom"/>
            <w:hideMark/>
          </w:tcPr>
          <w:p w14:paraId="3DB9EC7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0.143</w:t>
            </w:r>
          </w:p>
        </w:tc>
        <w:tc>
          <w:tcPr>
            <w:tcW w:w="1076" w:type="dxa"/>
            <w:tcBorders>
              <w:bottom w:val="single" w:sz="4" w:space="0" w:color="auto"/>
            </w:tcBorders>
            <w:shd w:val="clear" w:color="auto" w:fill="E7F3F4"/>
            <w:noWrap/>
            <w:vAlign w:val="bottom"/>
            <w:hideMark/>
          </w:tcPr>
          <w:p w14:paraId="20B1EA7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0.7105</w:t>
            </w:r>
          </w:p>
        </w:tc>
        <w:tc>
          <w:tcPr>
            <w:tcW w:w="2475" w:type="dxa"/>
            <w:tcBorders>
              <w:bottom w:val="single" w:sz="4" w:space="0" w:color="auto"/>
            </w:tcBorders>
            <w:shd w:val="clear" w:color="auto" w:fill="E7F3F4"/>
            <w:noWrap/>
            <w:vAlign w:val="bottom"/>
            <w:hideMark/>
          </w:tcPr>
          <w:p w14:paraId="647C075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0.131</w:t>
            </w:r>
          </w:p>
        </w:tc>
        <w:tc>
          <w:tcPr>
            <w:tcW w:w="1068" w:type="dxa"/>
            <w:tcBorders>
              <w:bottom w:val="single" w:sz="4" w:space="0" w:color="auto"/>
            </w:tcBorders>
            <w:shd w:val="clear" w:color="auto" w:fill="E7F3F4"/>
            <w:noWrap/>
            <w:vAlign w:val="center"/>
            <w:hideMark/>
          </w:tcPr>
          <w:p w14:paraId="0533162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6DFF6FA" w14:textId="77777777" w:rsidTr="00BE5D0E">
        <w:trPr>
          <w:cantSplit/>
          <w:trHeight w:val="312"/>
          <w:jc w:val="center"/>
        </w:trPr>
        <w:tc>
          <w:tcPr>
            <w:tcW w:w="2028" w:type="dxa"/>
            <w:vMerge/>
            <w:shd w:val="clear" w:color="auto" w:fill="E7F3F4"/>
            <w:noWrap/>
            <w:vAlign w:val="center"/>
          </w:tcPr>
          <w:p w14:paraId="529725AF" w14:textId="77777777" w:rsidR="00BB7DFF" w:rsidRPr="00CB093C" w:rsidRDefault="00BB7DFF" w:rsidP="00BE5D0E">
            <w:pPr>
              <w:pStyle w:val="BodyText"/>
              <w:spacing w:after="0"/>
              <w:jc w:val="left"/>
              <w:rPr>
                <w:rFonts w:ascii="Arial" w:hAnsi="Arial" w:cs="Arial"/>
                <w:color w:val="000000"/>
              </w:rPr>
            </w:pPr>
          </w:p>
        </w:tc>
        <w:tc>
          <w:tcPr>
            <w:tcW w:w="1874" w:type="dxa"/>
            <w:vMerge w:val="restart"/>
            <w:tcBorders>
              <w:top w:val="single" w:sz="4" w:space="0" w:color="auto"/>
            </w:tcBorders>
            <w:shd w:val="clear" w:color="auto" w:fill="E7F3F4"/>
            <w:noWrap/>
            <w:vAlign w:val="center"/>
          </w:tcPr>
          <w:p w14:paraId="0B8D999F"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coastal subtidal</w:t>
            </w:r>
          </w:p>
        </w:tc>
        <w:tc>
          <w:tcPr>
            <w:tcW w:w="720" w:type="dxa"/>
            <w:tcBorders>
              <w:top w:val="single" w:sz="4" w:space="0" w:color="auto"/>
            </w:tcBorders>
            <w:shd w:val="clear" w:color="auto" w:fill="E7F3F4"/>
            <w:noWrap/>
            <w:vAlign w:val="center"/>
          </w:tcPr>
          <w:p w14:paraId="524B239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LR1</w:t>
            </w:r>
          </w:p>
        </w:tc>
        <w:tc>
          <w:tcPr>
            <w:tcW w:w="1078" w:type="dxa"/>
            <w:tcBorders>
              <w:top w:val="single" w:sz="4" w:space="0" w:color="auto"/>
            </w:tcBorders>
            <w:shd w:val="clear" w:color="auto" w:fill="E7F3F4"/>
            <w:vAlign w:val="center"/>
          </w:tcPr>
          <w:p w14:paraId="27A0D52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2015</w:t>
            </w:r>
          </w:p>
        </w:tc>
        <w:tc>
          <w:tcPr>
            <w:tcW w:w="1068" w:type="dxa"/>
            <w:tcBorders>
              <w:top w:val="single" w:sz="4" w:space="0" w:color="auto"/>
            </w:tcBorders>
            <w:shd w:val="clear" w:color="auto" w:fill="E7F3F4"/>
            <w:vAlign w:val="center"/>
          </w:tcPr>
          <w:p w14:paraId="601E4B0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tcBorders>
            <w:shd w:val="clear" w:color="auto" w:fill="E7F3F4"/>
            <w:vAlign w:val="center"/>
          </w:tcPr>
          <w:p w14:paraId="053224A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w:t>
            </w:r>
          </w:p>
        </w:tc>
        <w:tc>
          <w:tcPr>
            <w:tcW w:w="1078" w:type="dxa"/>
            <w:tcBorders>
              <w:top w:val="single" w:sz="4" w:space="0" w:color="auto"/>
            </w:tcBorders>
            <w:shd w:val="clear" w:color="auto" w:fill="E7F3F4"/>
            <w:noWrap/>
            <w:vAlign w:val="bottom"/>
          </w:tcPr>
          <w:p w14:paraId="6FB559A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-0.333</w:t>
            </w:r>
          </w:p>
        </w:tc>
        <w:tc>
          <w:tcPr>
            <w:tcW w:w="1076" w:type="dxa"/>
            <w:tcBorders>
              <w:top w:val="single" w:sz="4" w:space="0" w:color="auto"/>
            </w:tcBorders>
            <w:shd w:val="clear" w:color="auto" w:fill="E7F3F4"/>
            <w:noWrap/>
            <w:vAlign w:val="bottom"/>
          </w:tcPr>
          <w:p w14:paraId="1B3D825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1.0000</w:t>
            </w:r>
          </w:p>
        </w:tc>
        <w:tc>
          <w:tcPr>
            <w:tcW w:w="2475" w:type="dxa"/>
            <w:tcBorders>
              <w:top w:val="single" w:sz="4" w:space="0" w:color="auto"/>
            </w:tcBorders>
            <w:shd w:val="clear" w:color="auto" w:fill="E7F3F4"/>
            <w:noWrap/>
            <w:vAlign w:val="bottom"/>
          </w:tcPr>
          <w:p w14:paraId="21BCE95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-3.376</w:t>
            </w:r>
          </w:p>
        </w:tc>
        <w:tc>
          <w:tcPr>
            <w:tcW w:w="1068" w:type="dxa"/>
            <w:tcBorders>
              <w:top w:val="single" w:sz="4" w:space="0" w:color="auto"/>
            </w:tcBorders>
            <w:shd w:val="clear" w:color="auto" w:fill="E7F3F4"/>
            <w:noWrap/>
            <w:vAlign w:val="center"/>
          </w:tcPr>
          <w:p w14:paraId="675083D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784CA4B5" w14:textId="77777777" w:rsidTr="00BE5D0E">
        <w:trPr>
          <w:cantSplit/>
          <w:trHeight w:val="312"/>
          <w:jc w:val="center"/>
        </w:trPr>
        <w:tc>
          <w:tcPr>
            <w:tcW w:w="2028" w:type="dxa"/>
            <w:vMerge/>
            <w:shd w:val="clear" w:color="auto" w:fill="E7F3F4"/>
            <w:noWrap/>
            <w:vAlign w:val="center"/>
          </w:tcPr>
          <w:p w14:paraId="29129D0E"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tcPr>
          <w:p w14:paraId="4A1FD975"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tcPr>
          <w:p w14:paraId="42E6404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LR2</w:t>
            </w:r>
          </w:p>
        </w:tc>
        <w:tc>
          <w:tcPr>
            <w:tcW w:w="1078" w:type="dxa"/>
            <w:tcBorders>
              <w:bottom w:val="single" w:sz="4" w:space="0" w:color="auto"/>
            </w:tcBorders>
            <w:shd w:val="clear" w:color="auto" w:fill="E7F3F4"/>
            <w:vAlign w:val="center"/>
          </w:tcPr>
          <w:p w14:paraId="163C0D4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2015</w:t>
            </w:r>
          </w:p>
        </w:tc>
        <w:tc>
          <w:tcPr>
            <w:tcW w:w="1068" w:type="dxa"/>
            <w:tcBorders>
              <w:bottom w:val="single" w:sz="4" w:space="0" w:color="auto"/>
            </w:tcBorders>
            <w:shd w:val="clear" w:color="auto" w:fill="E7F3F4"/>
            <w:vAlign w:val="center"/>
          </w:tcPr>
          <w:p w14:paraId="18D531F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E7F3F4"/>
            <w:vAlign w:val="center"/>
          </w:tcPr>
          <w:p w14:paraId="45EA587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w:t>
            </w:r>
          </w:p>
        </w:tc>
        <w:tc>
          <w:tcPr>
            <w:tcW w:w="1078" w:type="dxa"/>
            <w:tcBorders>
              <w:bottom w:val="single" w:sz="4" w:space="0" w:color="auto"/>
            </w:tcBorders>
            <w:shd w:val="clear" w:color="auto" w:fill="E7F3F4"/>
            <w:noWrap/>
            <w:vAlign w:val="bottom"/>
          </w:tcPr>
          <w:p w14:paraId="4A50027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-1.000</w:t>
            </w:r>
          </w:p>
        </w:tc>
        <w:tc>
          <w:tcPr>
            <w:tcW w:w="1076" w:type="dxa"/>
            <w:tcBorders>
              <w:bottom w:val="single" w:sz="4" w:space="0" w:color="auto"/>
            </w:tcBorders>
            <w:shd w:val="clear" w:color="auto" w:fill="E7F3F4"/>
            <w:noWrap/>
            <w:vAlign w:val="bottom"/>
          </w:tcPr>
          <w:p w14:paraId="7A7AEB5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0.2963</w:t>
            </w:r>
          </w:p>
        </w:tc>
        <w:tc>
          <w:tcPr>
            <w:tcW w:w="2475" w:type="dxa"/>
            <w:tcBorders>
              <w:bottom w:val="single" w:sz="4" w:space="0" w:color="auto"/>
            </w:tcBorders>
            <w:shd w:val="clear" w:color="auto" w:fill="E7F3F4"/>
            <w:noWrap/>
            <w:vAlign w:val="bottom"/>
          </w:tcPr>
          <w:p w14:paraId="58A3423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-16.635</w:t>
            </w:r>
          </w:p>
        </w:tc>
        <w:tc>
          <w:tcPr>
            <w:tcW w:w="1068" w:type="dxa"/>
            <w:tcBorders>
              <w:bottom w:val="single" w:sz="4" w:space="0" w:color="auto"/>
            </w:tcBorders>
            <w:shd w:val="clear" w:color="auto" w:fill="E7F3F4"/>
            <w:noWrap/>
            <w:vAlign w:val="center"/>
          </w:tcPr>
          <w:p w14:paraId="0A30417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FA85AC2" w14:textId="77777777" w:rsidTr="00BE5D0E">
        <w:trPr>
          <w:cantSplit/>
          <w:trHeight w:val="312"/>
          <w:jc w:val="center"/>
        </w:trPr>
        <w:tc>
          <w:tcPr>
            <w:tcW w:w="2028" w:type="dxa"/>
            <w:vMerge/>
            <w:shd w:val="clear" w:color="auto" w:fill="E7F3F4"/>
            <w:noWrap/>
            <w:vAlign w:val="center"/>
          </w:tcPr>
          <w:p w14:paraId="2F57A738" w14:textId="77777777" w:rsidR="00BB7DFF" w:rsidRPr="00CB093C" w:rsidRDefault="00BB7DFF" w:rsidP="00BE5D0E">
            <w:pPr>
              <w:pStyle w:val="BodyText"/>
              <w:spacing w:after="0"/>
              <w:jc w:val="left"/>
              <w:rPr>
                <w:rFonts w:ascii="Arial" w:hAnsi="Arial" w:cs="Arial"/>
                <w:color w:val="000000"/>
              </w:rPr>
            </w:pPr>
          </w:p>
        </w:tc>
        <w:tc>
          <w:tcPr>
            <w:tcW w:w="1874" w:type="dxa"/>
            <w:vMerge w:val="restart"/>
            <w:tcBorders>
              <w:top w:val="single" w:sz="4" w:space="0" w:color="auto"/>
              <w:bottom w:val="single" w:sz="4" w:space="0" w:color="auto"/>
            </w:tcBorders>
            <w:shd w:val="clear" w:color="auto" w:fill="E7F3F4"/>
            <w:noWrap/>
            <w:vAlign w:val="center"/>
            <w:hideMark/>
          </w:tcPr>
          <w:p w14:paraId="50B6E5BC"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reef intertidal</w:t>
            </w:r>
          </w:p>
        </w:tc>
        <w:tc>
          <w:tcPr>
            <w:tcW w:w="720" w:type="dxa"/>
            <w:tcBorders>
              <w:top w:val="single" w:sz="4" w:space="0" w:color="auto"/>
            </w:tcBorders>
            <w:shd w:val="clear" w:color="auto" w:fill="E7F3F4"/>
            <w:noWrap/>
            <w:vAlign w:val="center"/>
            <w:hideMark/>
          </w:tcPr>
          <w:p w14:paraId="139847B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AP1</w:t>
            </w:r>
          </w:p>
        </w:tc>
        <w:tc>
          <w:tcPr>
            <w:tcW w:w="1078" w:type="dxa"/>
            <w:tcBorders>
              <w:top w:val="single" w:sz="4" w:space="0" w:color="auto"/>
            </w:tcBorders>
            <w:shd w:val="clear" w:color="auto" w:fill="E7F3F4"/>
            <w:vAlign w:val="center"/>
          </w:tcPr>
          <w:p w14:paraId="54034EC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2003</w:t>
            </w:r>
          </w:p>
        </w:tc>
        <w:tc>
          <w:tcPr>
            <w:tcW w:w="1068" w:type="dxa"/>
            <w:tcBorders>
              <w:top w:val="single" w:sz="4" w:space="0" w:color="auto"/>
            </w:tcBorders>
            <w:shd w:val="clear" w:color="auto" w:fill="E7F3F4"/>
            <w:vAlign w:val="center"/>
          </w:tcPr>
          <w:p w14:paraId="1DF3183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tcBorders>
            <w:shd w:val="clear" w:color="auto" w:fill="E7F3F4"/>
            <w:vAlign w:val="center"/>
          </w:tcPr>
          <w:p w14:paraId="11F3E41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35</w:t>
            </w:r>
          </w:p>
        </w:tc>
        <w:tc>
          <w:tcPr>
            <w:tcW w:w="1078" w:type="dxa"/>
            <w:tcBorders>
              <w:top w:val="single" w:sz="4" w:space="0" w:color="auto"/>
            </w:tcBorders>
            <w:shd w:val="clear" w:color="auto" w:fill="E7F3F4"/>
            <w:noWrap/>
            <w:vAlign w:val="bottom"/>
            <w:hideMark/>
          </w:tcPr>
          <w:p w14:paraId="548253D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-0.459</w:t>
            </w:r>
          </w:p>
        </w:tc>
        <w:tc>
          <w:tcPr>
            <w:tcW w:w="1076" w:type="dxa"/>
            <w:tcBorders>
              <w:top w:val="single" w:sz="4" w:space="0" w:color="auto"/>
            </w:tcBorders>
            <w:shd w:val="clear" w:color="auto" w:fill="E7F3F4"/>
            <w:noWrap/>
            <w:vAlign w:val="bottom"/>
            <w:hideMark/>
          </w:tcPr>
          <w:p w14:paraId="26D676B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0.0001</w:t>
            </w:r>
          </w:p>
        </w:tc>
        <w:tc>
          <w:tcPr>
            <w:tcW w:w="2475" w:type="dxa"/>
            <w:tcBorders>
              <w:top w:val="single" w:sz="4" w:space="0" w:color="auto"/>
            </w:tcBorders>
            <w:shd w:val="clear" w:color="auto" w:fill="E7F3F4"/>
            <w:noWrap/>
            <w:vAlign w:val="bottom"/>
            <w:hideMark/>
          </w:tcPr>
          <w:p w14:paraId="0C95BCCD"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-0.533</w:t>
            </w:r>
            <w:r w:rsidRPr="00CB093C">
              <w:rPr>
                <w:rFonts w:ascii="Arial" w:hAnsi="Arial" w:cs="Arial"/>
                <w:color w:val="000000"/>
              </w:rPr>
              <w:t xml:space="preserve"> (-0.763 to -0.283)</w:t>
            </w:r>
          </w:p>
        </w:tc>
        <w:tc>
          <w:tcPr>
            <w:tcW w:w="1068" w:type="dxa"/>
            <w:tcBorders>
              <w:top w:val="single" w:sz="4" w:space="0" w:color="auto"/>
            </w:tcBorders>
            <w:shd w:val="clear" w:color="auto" w:fill="E7F3F4"/>
            <w:noWrap/>
            <w:vAlign w:val="center"/>
            <w:hideMark/>
          </w:tcPr>
          <w:p w14:paraId="6778C848"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2CD6B686" w14:textId="77777777" w:rsidTr="00BE5D0E">
        <w:trPr>
          <w:cantSplit/>
          <w:trHeight w:val="312"/>
          <w:jc w:val="center"/>
        </w:trPr>
        <w:tc>
          <w:tcPr>
            <w:tcW w:w="2028" w:type="dxa"/>
            <w:vMerge/>
            <w:shd w:val="clear" w:color="auto" w:fill="E7F3F4"/>
            <w:noWrap/>
            <w:vAlign w:val="center"/>
          </w:tcPr>
          <w:p w14:paraId="18AE8DD6"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tcPr>
          <w:p w14:paraId="7B83F78C"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10BCA78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AP2</w:t>
            </w:r>
          </w:p>
        </w:tc>
        <w:tc>
          <w:tcPr>
            <w:tcW w:w="1078" w:type="dxa"/>
            <w:tcBorders>
              <w:bottom w:val="single" w:sz="4" w:space="0" w:color="auto"/>
            </w:tcBorders>
            <w:shd w:val="clear" w:color="auto" w:fill="E7F3F4"/>
            <w:vAlign w:val="center"/>
          </w:tcPr>
          <w:p w14:paraId="3073AEA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bottom w:val="single" w:sz="4" w:space="0" w:color="auto"/>
            </w:tcBorders>
            <w:shd w:val="clear" w:color="auto" w:fill="E7F3F4"/>
            <w:vAlign w:val="center"/>
          </w:tcPr>
          <w:p w14:paraId="60FFF08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E7F3F4"/>
            <w:vAlign w:val="center"/>
          </w:tcPr>
          <w:p w14:paraId="55BAEC7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24</w:t>
            </w:r>
          </w:p>
        </w:tc>
        <w:tc>
          <w:tcPr>
            <w:tcW w:w="1078" w:type="dxa"/>
            <w:tcBorders>
              <w:bottom w:val="single" w:sz="4" w:space="0" w:color="auto"/>
            </w:tcBorders>
            <w:shd w:val="clear" w:color="auto" w:fill="E7F3F4"/>
            <w:noWrap/>
            <w:vAlign w:val="bottom"/>
            <w:hideMark/>
          </w:tcPr>
          <w:p w14:paraId="7F0E7C6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-0.022</w:t>
            </w:r>
          </w:p>
        </w:tc>
        <w:tc>
          <w:tcPr>
            <w:tcW w:w="1076" w:type="dxa"/>
            <w:tcBorders>
              <w:bottom w:val="single" w:sz="4" w:space="0" w:color="auto"/>
            </w:tcBorders>
            <w:shd w:val="clear" w:color="auto" w:fill="E7F3F4"/>
            <w:noWrap/>
            <w:vAlign w:val="bottom"/>
            <w:hideMark/>
          </w:tcPr>
          <w:p w14:paraId="69C6655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0.9013</w:t>
            </w:r>
          </w:p>
        </w:tc>
        <w:tc>
          <w:tcPr>
            <w:tcW w:w="2475" w:type="dxa"/>
            <w:tcBorders>
              <w:bottom w:val="single" w:sz="4" w:space="0" w:color="auto"/>
            </w:tcBorders>
            <w:shd w:val="clear" w:color="auto" w:fill="E7F3F4"/>
            <w:noWrap/>
            <w:vAlign w:val="bottom"/>
            <w:hideMark/>
          </w:tcPr>
          <w:p w14:paraId="7B2A74D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-0.030</w:t>
            </w:r>
          </w:p>
        </w:tc>
        <w:tc>
          <w:tcPr>
            <w:tcW w:w="1068" w:type="dxa"/>
            <w:tcBorders>
              <w:bottom w:val="single" w:sz="4" w:space="0" w:color="auto"/>
            </w:tcBorders>
            <w:shd w:val="clear" w:color="auto" w:fill="E7F3F4"/>
            <w:noWrap/>
            <w:vAlign w:val="center"/>
            <w:hideMark/>
          </w:tcPr>
          <w:p w14:paraId="26D0A1A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42293A0E" w14:textId="77777777" w:rsidTr="00BE5D0E">
        <w:trPr>
          <w:cantSplit/>
          <w:trHeight w:val="312"/>
          <w:jc w:val="center"/>
        </w:trPr>
        <w:tc>
          <w:tcPr>
            <w:tcW w:w="2028" w:type="dxa"/>
            <w:vMerge/>
            <w:shd w:val="clear" w:color="auto" w:fill="E7F3F4"/>
            <w:noWrap/>
            <w:vAlign w:val="center"/>
          </w:tcPr>
          <w:p w14:paraId="4424FC42"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hideMark/>
          </w:tcPr>
          <w:p w14:paraId="59EE580D"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tcBorders>
            <w:shd w:val="clear" w:color="auto" w:fill="E7F3F4"/>
            <w:noWrap/>
            <w:vAlign w:val="center"/>
            <w:hideMark/>
          </w:tcPr>
          <w:p w14:paraId="27B4D00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FR1</w:t>
            </w:r>
          </w:p>
        </w:tc>
        <w:tc>
          <w:tcPr>
            <w:tcW w:w="1078" w:type="dxa"/>
            <w:tcBorders>
              <w:top w:val="single" w:sz="4" w:space="0" w:color="auto"/>
            </w:tcBorders>
            <w:shd w:val="clear" w:color="auto" w:fill="E7F3F4"/>
            <w:vAlign w:val="center"/>
          </w:tcPr>
          <w:p w14:paraId="5E9D663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top w:val="single" w:sz="4" w:space="0" w:color="auto"/>
            </w:tcBorders>
            <w:shd w:val="clear" w:color="auto" w:fill="E7F3F4"/>
            <w:vAlign w:val="center"/>
          </w:tcPr>
          <w:p w14:paraId="57667B3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tcBorders>
            <w:shd w:val="clear" w:color="auto" w:fill="E7F3F4"/>
            <w:vAlign w:val="center"/>
          </w:tcPr>
          <w:p w14:paraId="1191817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9</w:t>
            </w:r>
          </w:p>
        </w:tc>
        <w:tc>
          <w:tcPr>
            <w:tcW w:w="1078" w:type="dxa"/>
            <w:tcBorders>
              <w:top w:val="single" w:sz="4" w:space="0" w:color="auto"/>
            </w:tcBorders>
            <w:shd w:val="clear" w:color="auto" w:fill="E7F3F4"/>
            <w:noWrap/>
            <w:vAlign w:val="bottom"/>
            <w:hideMark/>
          </w:tcPr>
          <w:p w14:paraId="161F6FB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-0.366</w:t>
            </w:r>
          </w:p>
        </w:tc>
        <w:tc>
          <w:tcPr>
            <w:tcW w:w="1076" w:type="dxa"/>
            <w:tcBorders>
              <w:top w:val="single" w:sz="4" w:space="0" w:color="auto"/>
            </w:tcBorders>
            <w:shd w:val="clear" w:color="auto" w:fill="E7F3F4"/>
            <w:noWrap/>
            <w:vAlign w:val="bottom"/>
            <w:hideMark/>
          </w:tcPr>
          <w:p w14:paraId="4F0DAB0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0.2084</w:t>
            </w:r>
          </w:p>
        </w:tc>
        <w:tc>
          <w:tcPr>
            <w:tcW w:w="2475" w:type="dxa"/>
            <w:tcBorders>
              <w:top w:val="single" w:sz="4" w:space="0" w:color="auto"/>
            </w:tcBorders>
            <w:shd w:val="clear" w:color="auto" w:fill="E7F3F4"/>
            <w:noWrap/>
            <w:vAlign w:val="bottom"/>
            <w:hideMark/>
          </w:tcPr>
          <w:p w14:paraId="5A6611F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-0.424</w:t>
            </w:r>
          </w:p>
        </w:tc>
        <w:tc>
          <w:tcPr>
            <w:tcW w:w="1068" w:type="dxa"/>
            <w:tcBorders>
              <w:top w:val="single" w:sz="4" w:space="0" w:color="auto"/>
            </w:tcBorders>
            <w:shd w:val="clear" w:color="auto" w:fill="E7F3F4"/>
            <w:noWrap/>
            <w:vAlign w:val="center"/>
          </w:tcPr>
          <w:p w14:paraId="18CB167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3A8496E4" w14:textId="77777777" w:rsidTr="00BE5D0E">
        <w:trPr>
          <w:cantSplit/>
          <w:trHeight w:val="312"/>
          <w:jc w:val="center"/>
        </w:trPr>
        <w:tc>
          <w:tcPr>
            <w:tcW w:w="2028" w:type="dxa"/>
            <w:vMerge/>
            <w:shd w:val="clear" w:color="auto" w:fill="E7F3F4"/>
            <w:noWrap/>
            <w:vAlign w:val="center"/>
          </w:tcPr>
          <w:p w14:paraId="42A503BA"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tcPr>
          <w:p w14:paraId="4F8CCBD7"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6774C5B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FR2</w:t>
            </w:r>
          </w:p>
        </w:tc>
        <w:tc>
          <w:tcPr>
            <w:tcW w:w="1078" w:type="dxa"/>
            <w:tcBorders>
              <w:bottom w:val="single" w:sz="4" w:space="0" w:color="auto"/>
            </w:tcBorders>
            <w:shd w:val="clear" w:color="auto" w:fill="E7F3F4"/>
            <w:vAlign w:val="center"/>
          </w:tcPr>
          <w:p w14:paraId="05D178F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bottom w:val="single" w:sz="4" w:space="0" w:color="auto"/>
            </w:tcBorders>
            <w:shd w:val="clear" w:color="auto" w:fill="E7F3F4"/>
            <w:vAlign w:val="center"/>
          </w:tcPr>
          <w:p w14:paraId="501B394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E7F3F4"/>
            <w:vAlign w:val="center"/>
          </w:tcPr>
          <w:p w14:paraId="3F7161E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8</w:t>
            </w:r>
          </w:p>
        </w:tc>
        <w:tc>
          <w:tcPr>
            <w:tcW w:w="1078" w:type="dxa"/>
            <w:tcBorders>
              <w:bottom w:val="single" w:sz="4" w:space="0" w:color="auto"/>
            </w:tcBorders>
            <w:shd w:val="clear" w:color="auto" w:fill="E7F3F4"/>
            <w:noWrap/>
            <w:vAlign w:val="bottom"/>
            <w:hideMark/>
          </w:tcPr>
          <w:p w14:paraId="7BC610E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-0.286</w:t>
            </w:r>
          </w:p>
        </w:tc>
        <w:tc>
          <w:tcPr>
            <w:tcW w:w="1076" w:type="dxa"/>
            <w:tcBorders>
              <w:bottom w:val="single" w:sz="4" w:space="0" w:color="auto"/>
            </w:tcBorders>
            <w:shd w:val="clear" w:color="auto" w:fill="E7F3F4"/>
            <w:noWrap/>
            <w:vAlign w:val="bottom"/>
            <w:hideMark/>
          </w:tcPr>
          <w:p w14:paraId="7883E91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0.3865</w:t>
            </w:r>
          </w:p>
        </w:tc>
        <w:tc>
          <w:tcPr>
            <w:tcW w:w="2475" w:type="dxa"/>
            <w:tcBorders>
              <w:bottom w:val="single" w:sz="4" w:space="0" w:color="auto"/>
            </w:tcBorders>
            <w:shd w:val="clear" w:color="auto" w:fill="E7F3F4"/>
            <w:noWrap/>
            <w:vAlign w:val="bottom"/>
            <w:hideMark/>
          </w:tcPr>
          <w:p w14:paraId="779178B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-1.510</w:t>
            </w:r>
          </w:p>
        </w:tc>
        <w:tc>
          <w:tcPr>
            <w:tcW w:w="1068" w:type="dxa"/>
            <w:tcBorders>
              <w:bottom w:val="single" w:sz="4" w:space="0" w:color="auto"/>
            </w:tcBorders>
            <w:shd w:val="clear" w:color="auto" w:fill="E7F3F4"/>
            <w:noWrap/>
            <w:vAlign w:val="center"/>
          </w:tcPr>
          <w:p w14:paraId="22D0ACD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51D35F30" w14:textId="77777777" w:rsidTr="00BE5D0E">
        <w:trPr>
          <w:cantSplit/>
          <w:trHeight w:val="312"/>
          <w:jc w:val="center"/>
        </w:trPr>
        <w:tc>
          <w:tcPr>
            <w:tcW w:w="2028" w:type="dxa"/>
            <w:vMerge/>
            <w:shd w:val="clear" w:color="auto" w:fill="E7F3F4"/>
            <w:noWrap/>
            <w:vAlign w:val="center"/>
          </w:tcPr>
          <w:p w14:paraId="0B9D854B"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tcPr>
          <w:p w14:paraId="350F4744"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tcBorders>
            <w:shd w:val="clear" w:color="auto" w:fill="E7F3F4"/>
            <w:noWrap/>
            <w:vAlign w:val="center"/>
            <w:hideMark/>
          </w:tcPr>
          <w:p w14:paraId="262DDE50"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ST1</w:t>
            </w:r>
          </w:p>
        </w:tc>
        <w:tc>
          <w:tcPr>
            <w:tcW w:w="1078" w:type="dxa"/>
            <w:tcBorders>
              <w:top w:val="single" w:sz="4" w:space="0" w:color="auto"/>
            </w:tcBorders>
            <w:shd w:val="clear" w:color="auto" w:fill="E7F3F4"/>
            <w:vAlign w:val="center"/>
          </w:tcPr>
          <w:p w14:paraId="48B6580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top w:val="single" w:sz="4" w:space="0" w:color="auto"/>
            </w:tcBorders>
            <w:shd w:val="clear" w:color="auto" w:fill="E7F3F4"/>
            <w:vAlign w:val="center"/>
          </w:tcPr>
          <w:p w14:paraId="165C3B3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tcBorders>
            <w:shd w:val="clear" w:color="auto" w:fill="E7F3F4"/>
            <w:vAlign w:val="center"/>
          </w:tcPr>
          <w:p w14:paraId="6B58A70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w:t>
            </w:r>
          </w:p>
        </w:tc>
        <w:tc>
          <w:tcPr>
            <w:tcW w:w="1078" w:type="dxa"/>
            <w:tcBorders>
              <w:top w:val="single" w:sz="4" w:space="0" w:color="auto"/>
            </w:tcBorders>
            <w:shd w:val="clear" w:color="auto" w:fill="E7F3F4"/>
            <w:noWrap/>
            <w:vAlign w:val="bottom"/>
            <w:hideMark/>
          </w:tcPr>
          <w:p w14:paraId="430D005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0.511</w:t>
            </w:r>
          </w:p>
        </w:tc>
        <w:tc>
          <w:tcPr>
            <w:tcW w:w="1076" w:type="dxa"/>
            <w:tcBorders>
              <w:top w:val="single" w:sz="4" w:space="0" w:color="auto"/>
            </w:tcBorders>
            <w:shd w:val="clear" w:color="auto" w:fill="E7F3F4"/>
            <w:noWrap/>
            <w:vAlign w:val="bottom"/>
            <w:hideMark/>
          </w:tcPr>
          <w:p w14:paraId="64D34EBD"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0.0491</w:t>
            </w:r>
          </w:p>
        </w:tc>
        <w:tc>
          <w:tcPr>
            <w:tcW w:w="2475" w:type="dxa"/>
            <w:tcBorders>
              <w:top w:val="single" w:sz="4" w:space="0" w:color="auto"/>
            </w:tcBorders>
            <w:shd w:val="clear" w:color="auto" w:fill="E7F3F4"/>
            <w:noWrap/>
            <w:vAlign w:val="bottom"/>
            <w:hideMark/>
          </w:tcPr>
          <w:p w14:paraId="1980A4E5"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0.643 (</w:t>
            </w:r>
            <w:r w:rsidRPr="00CB093C">
              <w:rPr>
                <w:rFonts w:ascii="Arial" w:hAnsi="Arial" w:cs="Arial"/>
                <w:color w:val="000000"/>
              </w:rPr>
              <w:t>0.091 to 1.212)</w:t>
            </w:r>
          </w:p>
        </w:tc>
        <w:tc>
          <w:tcPr>
            <w:tcW w:w="1068" w:type="dxa"/>
            <w:tcBorders>
              <w:top w:val="single" w:sz="4" w:space="0" w:color="auto"/>
            </w:tcBorders>
            <w:shd w:val="clear" w:color="auto" w:fill="E7F3F4"/>
            <w:noWrap/>
            <w:vAlign w:val="center"/>
          </w:tcPr>
          <w:p w14:paraId="77429ECF"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Increase</w:t>
            </w:r>
          </w:p>
        </w:tc>
      </w:tr>
      <w:tr w:rsidR="00BB7DFF" w:rsidRPr="00CB093C" w14:paraId="74640676" w14:textId="77777777" w:rsidTr="00BE5D0E">
        <w:trPr>
          <w:cantSplit/>
          <w:trHeight w:val="312"/>
          <w:jc w:val="center"/>
        </w:trPr>
        <w:tc>
          <w:tcPr>
            <w:tcW w:w="2028" w:type="dxa"/>
            <w:vMerge/>
            <w:shd w:val="clear" w:color="auto" w:fill="E7F3F4"/>
            <w:noWrap/>
            <w:vAlign w:val="center"/>
          </w:tcPr>
          <w:p w14:paraId="34F7952C"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tcPr>
          <w:p w14:paraId="19227F92"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5B84BB8F"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ST2</w:t>
            </w:r>
          </w:p>
        </w:tc>
        <w:tc>
          <w:tcPr>
            <w:tcW w:w="1078" w:type="dxa"/>
            <w:tcBorders>
              <w:bottom w:val="single" w:sz="4" w:space="0" w:color="auto"/>
            </w:tcBorders>
            <w:shd w:val="clear" w:color="auto" w:fill="E7F3F4"/>
            <w:vAlign w:val="center"/>
          </w:tcPr>
          <w:p w14:paraId="0E1C4DA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bottom w:val="single" w:sz="4" w:space="0" w:color="auto"/>
            </w:tcBorders>
            <w:shd w:val="clear" w:color="auto" w:fill="E7F3F4"/>
            <w:vAlign w:val="center"/>
          </w:tcPr>
          <w:p w14:paraId="6EDB6D9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E7F3F4"/>
            <w:vAlign w:val="center"/>
          </w:tcPr>
          <w:p w14:paraId="7308DC2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w:t>
            </w:r>
          </w:p>
        </w:tc>
        <w:tc>
          <w:tcPr>
            <w:tcW w:w="1078" w:type="dxa"/>
            <w:tcBorders>
              <w:bottom w:val="single" w:sz="4" w:space="0" w:color="auto"/>
            </w:tcBorders>
            <w:shd w:val="clear" w:color="auto" w:fill="E7F3F4"/>
            <w:noWrap/>
            <w:vAlign w:val="bottom"/>
            <w:hideMark/>
          </w:tcPr>
          <w:p w14:paraId="35F1AB8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0.674</w:t>
            </w:r>
          </w:p>
        </w:tc>
        <w:tc>
          <w:tcPr>
            <w:tcW w:w="1076" w:type="dxa"/>
            <w:tcBorders>
              <w:bottom w:val="single" w:sz="4" w:space="0" w:color="auto"/>
            </w:tcBorders>
            <w:shd w:val="clear" w:color="auto" w:fill="E7F3F4"/>
            <w:noWrap/>
            <w:vAlign w:val="bottom"/>
            <w:hideMark/>
          </w:tcPr>
          <w:p w14:paraId="134EA6F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0.0092</w:t>
            </w:r>
          </w:p>
        </w:tc>
        <w:tc>
          <w:tcPr>
            <w:tcW w:w="2475" w:type="dxa"/>
            <w:tcBorders>
              <w:bottom w:val="single" w:sz="4" w:space="0" w:color="auto"/>
            </w:tcBorders>
            <w:shd w:val="clear" w:color="auto" w:fill="E7F3F4"/>
            <w:noWrap/>
            <w:vAlign w:val="bottom"/>
            <w:hideMark/>
          </w:tcPr>
          <w:p w14:paraId="4B68702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 xml:space="preserve">0.591 </w:t>
            </w:r>
            <w:r w:rsidRPr="00CB093C">
              <w:rPr>
                <w:rFonts w:ascii="Arial" w:hAnsi="Arial" w:cs="Arial"/>
                <w:color w:val="000000"/>
              </w:rPr>
              <w:t>(0429 to 1.065)</w:t>
            </w:r>
          </w:p>
        </w:tc>
        <w:tc>
          <w:tcPr>
            <w:tcW w:w="1068" w:type="dxa"/>
            <w:tcBorders>
              <w:bottom w:val="single" w:sz="4" w:space="0" w:color="auto"/>
            </w:tcBorders>
            <w:shd w:val="clear" w:color="auto" w:fill="E7F3F4"/>
            <w:noWrap/>
            <w:vAlign w:val="center"/>
            <w:hideMark/>
          </w:tcPr>
          <w:p w14:paraId="00A27B6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increase</w:t>
            </w:r>
          </w:p>
        </w:tc>
      </w:tr>
      <w:tr w:rsidR="00BB7DFF" w:rsidRPr="00CB093C" w14:paraId="03FD7DD5" w14:textId="77777777" w:rsidTr="00BE5D0E">
        <w:trPr>
          <w:cantSplit/>
          <w:trHeight w:val="312"/>
          <w:jc w:val="center"/>
        </w:trPr>
        <w:tc>
          <w:tcPr>
            <w:tcW w:w="2028" w:type="dxa"/>
            <w:vMerge/>
            <w:shd w:val="clear" w:color="auto" w:fill="E7F3F4"/>
            <w:noWrap/>
            <w:vAlign w:val="center"/>
          </w:tcPr>
          <w:p w14:paraId="3C58CEFC"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tcPr>
          <w:p w14:paraId="36097124"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bottom w:val="single" w:sz="4" w:space="0" w:color="auto"/>
            </w:tcBorders>
            <w:shd w:val="clear" w:color="auto" w:fill="E7F3F4"/>
            <w:noWrap/>
            <w:vAlign w:val="center"/>
            <w:hideMark/>
          </w:tcPr>
          <w:p w14:paraId="2346328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YY1</w:t>
            </w:r>
          </w:p>
        </w:tc>
        <w:tc>
          <w:tcPr>
            <w:tcW w:w="1078" w:type="dxa"/>
            <w:tcBorders>
              <w:top w:val="single" w:sz="4" w:space="0" w:color="auto"/>
              <w:bottom w:val="single" w:sz="4" w:space="0" w:color="auto"/>
            </w:tcBorders>
            <w:shd w:val="clear" w:color="auto" w:fill="E7F3F4"/>
            <w:vAlign w:val="center"/>
          </w:tcPr>
          <w:p w14:paraId="570CD3E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top w:val="single" w:sz="4" w:space="0" w:color="auto"/>
              <w:bottom w:val="single" w:sz="4" w:space="0" w:color="auto"/>
            </w:tcBorders>
            <w:shd w:val="clear" w:color="auto" w:fill="E7F3F4"/>
            <w:vAlign w:val="center"/>
          </w:tcPr>
          <w:p w14:paraId="22296E7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2014</w:t>
            </w:r>
          </w:p>
        </w:tc>
        <w:tc>
          <w:tcPr>
            <w:tcW w:w="519" w:type="dxa"/>
            <w:tcBorders>
              <w:top w:val="single" w:sz="4" w:space="0" w:color="auto"/>
              <w:bottom w:val="single" w:sz="4" w:space="0" w:color="auto"/>
            </w:tcBorders>
            <w:shd w:val="clear" w:color="auto" w:fill="E7F3F4"/>
            <w:vAlign w:val="center"/>
          </w:tcPr>
          <w:p w14:paraId="2A7F1A7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w:t>
            </w:r>
          </w:p>
        </w:tc>
        <w:tc>
          <w:tcPr>
            <w:tcW w:w="1078" w:type="dxa"/>
            <w:tcBorders>
              <w:top w:val="single" w:sz="4" w:space="0" w:color="auto"/>
              <w:bottom w:val="single" w:sz="4" w:space="0" w:color="auto"/>
            </w:tcBorders>
            <w:shd w:val="clear" w:color="auto" w:fill="E7F3F4"/>
            <w:noWrap/>
            <w:vAlign w:val="bottom"/>
            <w:hideMark/>
          </w:tcPr>
          <w:p w14:paraId="6926A47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0.333</w:t>
            </w:r>
          </w:p>
        </w:tc>
        <w:tc>
          <w:tcPr>
            <w:tcW w:w="1076" w:type="dxa"/>
            <w:tcBorders>
              <w:top w:val="single" w:sz="4" w:space="0" w:color="auto"/>
              <w:bottom w:val="single" w:sz="4" w:space="0" w:color="auto"/>
            </w:tcBorders>
            <w:shd w:val="clear" w:color="auto" w:fill="E7F3F4"/>
            <w:noWrap/>
            <w:vAlign w:val="bottom"/>
            <w:hideMark/>
          </w:tcPr>
          <w:p w14:paraId="0A80384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1.0000</w:t>
            </w:r>
          </w:p>
        </w:tc>
        <w:tc>
          <w:tcPr>
            <w:tcW w:w="2475" w:type="dxa"/>
            <w:tcBorders>
              <w:top w:val="single" w:sz="4" w:space="0" w:color="auto"/>
              <w:bottom w:val="single" w:sz="4" w:space="0" w:color="auto"/>
            </w:tcBorders>
            <w:shd w:val="clear" w:color="auto" w:fill="E7F3F4"/>
            <w:noWrap/>
            <w:vAlign w:val="bottom"/>
            <w:hideMark/>
          </w:tcPr>
          <w:p w14:paraId="73FBEDD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1.045</w:t>
            </w:r>
          </w:p>
        </w:tc>
        <w:tc>
          <w:tcPr>
            <w:tcW w:w="1068" w:type="dxa"/>
            <w:tcBorders>
              <w:top w:val="single" w:sz="4" w:space="0" w:color="auto"/>
              <w:bottom w:val="single" w:sz="4" w:space="0" w:color="auto"/>
            </w:tcBorders>
            <w:shd w:val="clear" w:color="auto" w:fill="E7F3F4"/>
            <w:noWrap/>
            <w:vAlign w:val="center"/>
          </w:tcPr>
          <w:p w14:paraId="22DFEFC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52DDEE2B" w14:textId="77777777" w:rsidTr="00BE5D0E">
        <w:trPr>
          <w:cantSplit/>
          <w:trHeight w:val="312"/>
          <w:jc w:val="center"/>
        </w:trPr>
        <w:tc>
          <w:tcPr>
            <w:tcW w:w="2028" w:type="dxa"/>
            <w:tcBorders>
              <w:bottom w:val="single" w:sz="4" w:space="0" w:color="auto"/>
            </w:tcBorders>
            <w:shd w:val="clear" w:color="auto" w:fill="E7F3F4"/>
            <w:noWrap/>
            <w:vAlign w:val="center"/>
          </w:tcPr>
          <w:p w14:paraId="2ED10921"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bottom w:val="single" w:sz="4" w:space="0" w:color="auto"/>
            </w:tcBorders>
            <w:shd w:val="clear" w:color="auto" w:fill="D9D9D9" w:themeFill="background1" w:themeFillShade="D9"/>
            <w:noWrap/>
            <w:vAlign w:val="center"/>
          </w:tcPr>
          <w:p w14:paraId="24580C09"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60D26EF6" w14:textId="77777777" w:rsidR="00BB7DFF" w:rsidRPr="00CB093C" w:rsidRDefault="00BB7DFF" w:rsidP="00BE5D0E">
            <w:pPr>
              <w:pStyle w:val="BodyText"/>
              <w:spacing w:after="0"/>
              <w:jc w:val="center"/>
              <w:rPr>
                <w:rFonts w:ascii="Arial" w:hAnsi="Arial" w:cs="Arial"/>
                <w:color w:val="000000"/>
              </w:rPr>
            </w:pPr>
          </w:p>
        </w:tc>
        <w:tc>
          <w:tcPr>
            <w:tcW w:w="1078" w:type="dxa"/>
            <w:tcBorders>
              <w:top w:val="single" w:sz="4" w:space="0" w:color="auto"/>
              <w:bottom w:val="single" w:sz="4" w:space="0" w:color="auto"/>
            </w:tcBorders>
            <w:shd w:val="clear" w:color="auto" w:fill="D9D9D9" w:themeFill="background1" w:themeFillShade="D9"/>
            <w:vAlign w:val="center"/>
          </w:tcPr>
          <w:p w14:paraId="03F7CE5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2003</w:t>
            </w:r>
          </w:p>
        </w:tc>
        <w:tc>
          <w:tcPr>
            <w:tcW w:w="1068" w:type="dxa"/>
            <w:tcBorders>
              <w:top w:val="single" w:sz="4" w:space="0" w:color="auto"/>
              <w:bottom w:val="single" w:sz="4" w:space="0" w:color="auto"/>
            </w:tcBorders>
            <w:shd w:val="clear" w:color="auto" w:fill="D9D9D9" w:themeFill="background1" w:themeFillShade="D9"/>
            <w:vAlign w:val="center"/>
          </w:tcPr>
          <w:p w14:paraId="54B322C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bottom w:val="single" w:sz="4" w:space="0" w:color="auto"/>
            </w:tcBorders>
            <w:shd w:val="clear" w:color="auto" w:fill="D9D9D9" w:themeFill="background1" w:themeFillShade="D9"/>
            <w:vAlign w:val="center"/>
          </w:tcPr>
          <w:p w14:paraId="7749802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36</w:t>
            </w:r>
          </w:p>
        </w:tc>
        <w:tc>
          <w:tcPr>
            <w:tcW w:w="1078" w:type="dxa"/>
            <w:tcBorders>
              <w:top w:val="single" w:sz="4" w:space="0" w:color="auto"/>
              <w:bottom w:val="single" w:sz="4" w:space="0" w:color="auto"/>
            </w:tcBorders>
            <w:shd w:val="clear" w:color="auto" w:fill="D9D9D9" w:themeFill="background1" w:themeFillShade="D9"/>
            <w:noWrap/>
            <w:vAlign w:val="center"/>
          </w:tcPr>
          <w:p w14:paraId="59C67F4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-0.365</w:t>
            </w:r>
          </w:p>
        </w:tc>
        <w:tc>
          <w:tcPr>
            <w:tcW w:w="1076" w:type="dxa"/>
            <w:tcBorders>
              <w:top w:val="single" w:sz="4" w:space="0" w:color="auto"/>
              <w:bottom w:val="single" w:sz="4" w:space="0" w:color="auto"/>
            </w:tcBorders>
            <w:shd w:val="clear" w:color="auto" w:fill="D9D9D9" w:themeFill="background1" w:themeFillShade="D9"/>
            <w:noWrap/>
            <w:vAlign w:val="center"/>
          </w:tcPr>
          <w:p w14:paraId="2F0CE337"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0.0018</w:t>
            </w:r>
          </w:p>
        </w:tc>
        <w:tc>
          <w:tcPr>
            <w:tcW w:w="2475" w:type="dxa"/>
            <w:tcBorders>
              <w:top w:val="single" w:sz="4" w:space="0" w:color="auto"/>
              <w:bottom w:val="single" w:sz="4" w:space="0" w:color="auto"/>
            </w:tcBorders>
            <w:shd w:val="clear" w:color="auto" w:fill="D9D9D9" w:themeFill="background1" w:themeFillShade="D9"/>
            <w:noWrap/>
            <w:vAlign w:val="center"/>
          </w:tcPr>
          <w:p w14:paraId="1C757F76" w14:textId="77777777" w:rsidR="00BB7DFF" w:rsidRPr="00CB093C" w:rsidRDefault="00BB7DFF" w:rsidP="00BE5D0E">
            <w:pPr>
              <w:spacing w:before="0" w:after="0"/>
              <w:jc w:val="center"/>
              <w:rPr>
                <w:rFonts w:ascii="Arial" w:hAnsi="Arial" w:cs="Arial"/>
                <w:b/>
                <w:color w:val="000000"/>
                <w:szCs w:val="22"/>
              </w:rPr>
            </w:pPr>
            <w:r w:rsidRPr="00CB093C">
              <w:rPr>
                <w:rFonts w:ascii="Arial" w:hAnsi="Arial" w:cs="Arial"/>
                <w:b/>
                <w:color w:val="000000"/>
                <w:szCs w:val="22"/>
              </w:rPr>
              <w:t xml:space="preserve">-0.321 </w:t>
            </w:r>
            <w:r w:rsidRPr="00CB093C">
              <w:rPr>
                <w:rFonts w:ascii="Arial" w:hAnsi="Arial" w:cs="Arial"/>
                <w:color w:val="000000"/>
                <w:szCs w:val="22"/>
              </w:rPr>
              <w:t>(-0.448 to -0.097)</w:t>
            </w:r>
          </w:p>
        </w:tc>
        <w:tc>
          <w:tcPr>
            <w:tcW w:w="1068" w:type="dxa"/>
            <w:tcBorders>
              <w:top w:val="single" w:sz="4" w:space="0" w:color="auto"/>
              <w:bottom w:val="single" w:sz="4" w:space="0" w:color="auto"/>
            </w:tcBorders>
            <w:shd w:val="clear" w:color="auto" w:fill="D9D9D9" w:themeFill="background1" w:themeFillShade="D9"/>
            <w:noWrap/>
            <w:vAlign w:val="center"/>
          </w:tcPr>
          <w:p w14:paraId="62A79A7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decrease</w:t>
            </w:r>
          </w:p>
        </w:tc>
      </w:tr>
      <w:tr w:rsidR="00BB7DFF" w:rsidRPr="00CB093C" w14:paraId="4BE9AF54" w14:textId="77777777" w:rsidTr="00BE5D0E">
        <w:trPr>
          <w:cantSplit/>
          <w:trHeight w:val="312"/>
          <w:jc w:val="center"/>
        </w:trPr>
        <w:tc>
          <w:tcPr>
            <w:tcW w:w="2028" w:type="dxa"/>
            <w:vMerge w:val="restart"/>
            <w:tcBorders>
              <w:top w:val="single" w:sz="4" w:space="0" w:color="auto"/>
            </w:tcBorders>
            <w:shd w:val="clear" w:color="auto" w:fill="F3F9FA"/>
            <w:noWrap/>
            <w:vAlign w:val="center"/>
            <w:hideMark/>
          </w:tcPr>
          <w:p w14:paraId="2706DC23"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Wet Tropics</w:t>
            </w:r>
          </w:p>
        </w:tc>
        <w:tc>
          <w:tcPr>
            <w:tcW w:w="1874" w:type="dxa"/>
            <w:vMerge w:val="restart"/>
            <w:tcBorders>
              <w:top w:val="single" w:sz="4" w:space="0" w:color="auto"/>
            </w:tcBorders>
            <w:shd w:val="clear" w:color="auto" w:fill="F3F9FA"/>
            <w:noWrap/>
            <w:vAlign w:val="center"/>
            <w:hideMark/>
          </w:tcPr>
          <w:p w14:paraId="4D37EF80"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coastal intertidal</w:t>
            </w:r>
          </w:p>
        </w:tc>
        <w:tc>
          <w:tcPr>
            <w:tcW w:w="720" w:type="dxa"/>
            <w:tcBorders>
              <w:top w:val="single" w:sz="4" w:space="0" w:color="auto"/>
            </w:tcBorders>
            <w:shd w:val="clear" w:color="auto" w:fill="F3F9FA"/>
            <w:noWrap/>
            <w:vAlign w:val="center"/>
            <w:hideMark/>
          </w:tcPr>
          <w:p w14:paraId="75EBD198"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LB1</w:t>
            </w:r>
          </w:p>
        </w:tc>
        <w:tc>
          <w:tcPr>
            <w:tcW w:w="1078" w:type="dxa"/>
            <w:tcBorders>
              <w:top w:val="single" w:sz="4" w:space="0" w:color="auto"/>
            </w:tcBorders>
            <w:shd w:val="clear" w:color="auto" w:fill="F3F9FA"/>
            <w:vAlign w:val="center"/>
          </w:tcPr>
          <w:p w14:paraId="72D4BB1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top w:val="single" w:sz="4" w:space="0" w:color="auto"/>
            </w:tcBorders>
            <w:shd w:val="clear" w:color="auto" w:fill="F3F9FA"/>
            <w:vAlign w:val="center"/>
          </w:tcPr>
          <w:p w14:paraId="661A396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1718C20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40</w:t>
            </w:r>
          </w:p>
        </w:tc>
        <w:tc>
          <w:tcPr>
            <w:tcW w:w="1078" w:type="dxa"/>
            <w:tcBorders>
              <w:top w:val="single" w:sz="4" w:space="0" w:color="auto"/>
            </w:tcBorders>
            <w:shd w:val="clear" w:color="auto" w:fill="F3F9FA"/>
            <w:noWrap/>
            <w:vAlign w:val="bottom"/>
            <w:hideMark/>
          </w:tcPr>
          <w:p w14:paraId="2BD7E3A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-0.607</w:t>
            </w:r>
          </w:p>
        </w:tc>
        <w:tc>
          <w:tcPr>
            <w:tcW w:w="1076" w:type="dxa"/>
            <w:tcBorders>
              <w:top w:val="single" w:sz="4" w:space="0" w:color="auto"/>
            </w:tcBorders>
            <w:shd w:val="clear" w:color="auto" w:fill="F3F9FA"/>
            <w:noWrap/>
            <w:vAlign w:val="bottom"/>
            <w:hideMark/>
          </w:tcPr>
          <w:p w14:paraId="1444589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0.0097</w:t>
            </w:r>
          </w:p>
        </w:tc>
        <w:tc>
          <w:tcPr>
            <w:tcW w:w="2475" w:type="dxa"/>
            <w:tcBorders>
              <w:top w:val="single" w:sz="4" w:space="0" w:color="auto"/>
            </w:tcBorders>
            <w:shd w:val="clear" w:color="auto" w:fill="F3F9FA"/>
            <w:noWrap/>
            <w:vAlign w:val="bottom"/>
            <w:hideMark/>
          </w:tcPr>
          <w:p w14:paraId="1D07DFDE"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-0.049</w:t>
            </w:r>
            <w:r w:rsidRPr="00CB093C">
              <w:rPr>
                <w:rFonts w:ascii="Arial" w:hAnsi="Arial" w:cs="Arial"/>
                <w:color w:val="000000"/>
              </w:rPr>
              <w:t xml:space="preserve"> (-0.133 to -0.013)</w:t>
            </w:r>
          </w:p>
        </w:tc>
        <w:tc>
          <w:tcPr>
            <w:tcW w:w="1068" w:type="dxa"/>
            <w:tcBorders>
              <w:top w:val="single" w:sz="4" w:space="0" w:color="auto"/>
            </w:tcBorders>
            <w:shd w:val="clear" w:color="auto" w:fill="F3F9FA"/>
            <w:noWrap/>
            <w:vAlign w:val="center"/>
            <w:hideMark/>
          </w:tcPr>
          <w:p w14:paraId="52240BE8"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45B012F6" w14:textId="77777777" w:rsidTr="00BE5D0E">
        <w:trPr>
          <w:cantSplit/>
          <w:trHeight w:val="312"/>
          <w:jc w:val="center"/>
        </w:trPr>
        <w:tc>
          <w:tcPr>
            <w:tcW w:w="2028" w:type="dxa"/>
            <w:vMerge/>
            <w:shd w:val="clear" w:color="auto" w:fill="F3F9FA"/>
            <w:noWrap/>
            <w:vAlign w:val="center"/>
          </w:tcPr>
          <w:p w14:paraId="5EF80081"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F3F9FA"/>
            <w:noWrap/>
            <w:vAlign w:val="center"/>
          </w:tcPr>
          <w:p w14:paraId="6B3850A4"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6A7AA67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LB2</w:t>
            </w:r>
          </w:p>
        </w:tc>
        <w:tc>
          <w:tcPr>
            <w:tcW w:w="1078" w:type="dxa"/>
            <w:tcBorders>
              <w:bottom w:val="single" w:sz="4" w:space="0" w:color="auto"/>
            </w:tcBorders>
            <w:shd w:val="clear" w:color="auto" w:fill="F3F9FA"/>
            <w:vAlign w:val="center"/>
          </w:tcPr>
          <w:p w14:paraId="7E517CB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bottom w:val="single" w:sz="4" w:space="0" w:color="auto"/>
            </w:tcBorders>
            <w:shd w:val="clear" w:color="auto" w:fill="F3F9FA"/>
            <w:vAlign w:val="center"/>
          </w:tcPr>
          <w:p w14:paraId="172B90D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7D605FD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39</w:t>
            </w:r>
          </w:p>
        </w:tc>
        <w:tc>
          <w:tcPr>
            <w:tcW w:w="1078" w:type="dxa"/>
            <w:tcBorders>
              <w:bottom w:val="single" w:sz="4" w:space="0" w:color="auto"/>
            </w:tcBorders>
            <w:shd w:val="clear" w:color="auto" w:fill="F3F9FA"/>
            <w:noWrap/>
            <w:vAlign w:val="bottom"/>
            <w:hideMark/>
          </w:tcPr>
          <w:p w14:paraId="7549D634"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-0.438</w:t>
            </w:r>
          </w:p>
        </w:tc>
        <w:tc>
          <w:tcPr>
            <w:tcW w:w="1076" w:type="dxa"/>
            <w:tcBorders>
              <w:bottom w:val="single" w:sz="4" w:space="0" w:color="auto"/>
            </w:tcBorders>
            <w:shd w:val="clear" w:color="auto" w:fill="F3F9FA"/>
            <w:noWrap/>
            <w:vAlign w:val="bottom"/>
            <w:hideMark/>
          </w:tcPr>
          <w:p w14:paraId="2CAB8918"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0.0538</w:t>
            </w:r>
          </w:p>
        </w:tc>
        <w:tc>
          <w:tcPr>
            <w:tcW w:w="2475" w:type="dxa"/>
            <w:tcBorders>
              <w:bottom w:val="single" w:sz="4" w:space="0" w:color="auto"/>
            </w:tcBorders>
            <w:shd w:val="clear" w:color="auto" w:fill="F3F9FA"/>
            <w:noWrap/>
            <w:vAlign w:val="bottom"/>
            <w:hideMark/>
          </w:tcPr>
          <w:p w14:paraId="4BB72F77"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-0.047</w:t>
            </w:r>
            <w:r w:rsidRPr="00CB093C">
              <w:rPr>
                <w:rFonts w:ascii="Arial" w:hAnsi="Arial" w:cs="Arial"/>
                <w:color w:val="000000"/>
              </w:rPr>
              <w:t xml:space="preserve"> (-0.108 to -0.0004)</w:t>
            </w:r>
          </w:p>
        </w:tc>
        <w:tc>
          <w:tcPr>
            <w:tcW w:w="1068" w:type="dxa"/>
            <w:tcBorders>
              <w:bottom w:val="single" w:sz="4" w:space="0" w:color="auto"/>
            </w:tcBorders>
            <w:shd w:val="clear" w:color="auto" w:fill="F3F9FA"/>
            <w:noWrap/>
            <w:vAlign w:val="center"/>
            <w:hideMark/>
          </w:tcPr>
          <w:p w14:paraId="4DA4C896"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167A124D" w14:textId="77777777" w:rsidTr="00BE5D0E">
        <w:trPr>
          <w:cantSplit/>
          <w:trHeight w:val="312"/>
          <w:jc w:val="center"/>
        </w:trPr>
        <w:tc>
          <w:tcPr>
            <w:tcW w:w="2028" w:type="dxa"/>
            <w:vMerge/>
            <w:shd w:val="clear" w:color="auto" w:fill="F3F9FA"/>
            <w:noWrap/>
            <w:vAlign w:val="center"/>
          </w:tcPr>
          <w:p w14:paraId="0ED4337F"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F3F9FA"/>
            <w:noWrap/>
            <w:vAlign w:val="center"/>
          </w:tcPr>
          <w:p w14:paraId="7DC85797"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tcBorders>
            <w:shd w:val="clear" w:color="auto" w:fill="F3F9FA"/>
            <w:noWrap/>
            <w:vAlign w:val="center"/>
            <w:hideMark/>
          </w:tcPr>
          <w:p w14:paraId="09D52E8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YP1</w:t>
            </w:r>
          </w:p>
        </w:tc>
        <w:tc>
          <w:tcPr>
            <w:tcW w:w="1078" w:type="dxa"/>
            <w:tcBorders>
              <w:top w:val="single" w:sz="4" w:space="0" w:color="auto"/>
            </w:tcBorders>
            <w:shd w:val="clear" w:color="auto" w:fill="F3F9FA"/>
            <w:vAlign w:val="center"/>
          </w:tcPr>
          <w:p w14:paraId="526594A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2000</w:t>
            </w:r>
          </w:p>
        </w:tc>
        <w:tc>
          <w:tcPr>
            <w:tcW w:w="1068" w:type="dxa"/>
            <w:tcBorders>
              <w:top w:val="single" w:sz="4" w:space="0" w:color="auto"/>
            </w:tcBorders>
            <w:shd w:val="clear" w:color="auto" w:fill="F3F9FA"/>
            <w:vAlign w:val="center"/>
          </w:tcPr>
          <w:p w14:paraId="1E05A92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5A383EF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69</w:t>
            </w:r>
          </w:p>
        </w:tc>
        <w:tc>
          <w:tcPr>
            <w:tcW w:w="1078" w:type="dxa"/>
            <w:tcBorders>
              <w:top w:val="single" w:sz="4" w:space="0" w:color="auto"/>
            </w:tcBorders>
            <w:shd w:val="clear" w:color="auto" w:fill="F3F9FA"/>
            <w:noWrap/>
            <w:vAlign w:val="bottom"/>
            <w:hideMark/>
          </w:tcPr>
          <w:p w14:paraId="3AD4BA9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0.052</w:t>
            </w:r>
          </w:p>
        </w:tc>
        <w:tc>
          <w:tcPr>
            <w:tcW w:w="1076" w:type="dxa"/>
            <w:tcBorders>
              <w:top w:val="single" w:sz="4" w:space="0" w:color="auto"/>
            </w:tcBorders>
            <w:shd w:val="clear" w:color="auto" w:fill="F3F9FA"/>
            <w:noWrap/>
            <w:vAlign w:val="bottom"/>
            <w:hideMark/>
          </w:tcPr>
          <w:p w14:paraId="0E05F39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0.7274</w:t>
            </w:r>
          </w:p>
        </w:tc>
        <w:tc>
          <w:tcPr>
            <w:tcW w:w="2475" w:type="dxa"/>
            <w:tcBorders>
              <w:top w:val="single" w:sz="4" w:space="0" w:color="auto"/>
            </w:tcBorders>
            <w:shd w:val="clear" w:color="auto" w:fill="F3F9FA"/>
            <w:noWrap/>
            <w:vAlign w:val="bottom"/>
            <w:hideMark/>
          </w:tcPr>
          <w:p w14:paraId="155DBF9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0.042</w:t>
            </w:r>
          </w:p>
        </w:tc>
        <w:tc>
          <w:tcPr>
            <w:tcW w:w="1068" w:type="dxa"/>
            <w:tcBorders>
              <w:top w:val="single" w:sz="4" w:space="0" w:color="auto"/>
            </w:tcBorders>
            <w:shd w:val="clear" w:color="auto" w:fill="F3F9FA"/>
            <w:noWrap/>
            <w:vAlign w:val="center"/>
          </w:tcPr>
          <w:p w14:paraId="488AF8D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28A8FE2E" w14:textId="77777777" w:rsidTr="00BE5D0E">
        <w:trPr>
          <w:cantSplit/>
          <w:trHeight w:val="312"/>
          <w:jc w:val="center"/>
        </w:trPr>
        <w:tc>
          <w:tcPr>
            <w:tcW w:w="2028" w:type="dxa"/>
            <w:vMerge/>
            <w:shd w:val="clear" w:color="auto" w:fill="F3F9FA"/>
            <w:noWrap/>
            <w:vAlign w:val="center"/>
          </w:tcPr>
          <w:p w14:paraId="641CC98B"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F3F9FA"/>
            <w:noWrap/>
            <w:vAlign w:val="center"/>
          </w:tcPr>
          <w:p w14:paraId="3F6CD4D4"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4D2DA21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YP2</w:t>
            </w:r>
          </w:p>
        </w:tc>
        <w:tc>
          <w:tcPr>
            <w:tcW w:w="1078" w:type="dxa"/>
            <w:tcBorders>
              <w:bottom w:val="single" w:sz="4" w:space="0" w:color="auto"/>
            </w:tcBorders>
            <w:shd w:val="clear" w:color="auto" w:fill="F3F9FA"/>
            <w:vAlign w:val="center"/>
          </w:tcPr>
          <w:p w14:paraId="6AB0BE8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2001</w:t>
            </w:r>
          </w:p>
        </w:tc>
        <w:tc>
          <w:tcPr>
            <w:tcW w:w="1068" w:type="dxa"/>
            <w:tcBorders>
              <w:bottom w:val="single" w:sz="4" w:space="0" w:color="auto"/>
            </w:tcBorders>
            <w:shd w:val="clear" w:color="auto" w:fill="F3F9FA"/>
            <w:vAlign w:val="center"/>
          </w:tcPr>
          <w:p w14:paraId="1989F6E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5CD25FD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65</w:t>
            </w:r>
          </w:p>
        </w:tc>
        <w:tc>
          <w:tcPr>
            <w:tcW w:w="1078" w:type="dxa"/>
            <w:tcBorders>
              <w:bottom w:val="single" w:sz="4" w:space="0" w:color="auto"/>
            </w:tcBorders>
            <w:shd w:val="clear" w:color="auto" w:fill="F3F9FA"/>
            <w:noWrap/>
            <w:vAlign w:val="bottom"/>
            <w:hideMark/>
          </w:tcPr>
          <w:p w14:paraId="0DB3F6C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0.070</w:t>
            </w:r>
          </w:p>
        </w:tc>
        <w:tc>
          <w:tcPr>
            <w:tcW w:w="1076" w:type="dxa"/>
            <w:tcBorders>
              <w:bottom w:val="single" w:sz="4" w:space="0" w:color="auto"/>
            </w:tcBorders>
            <w:shd w:val="clear" w:color="auto" w:fill="F3F9FA"/>
            <w:noWrap/>
            <w:vAlign w:val="bottom"/>
            <w:hideMark/>
          </w:tcPr>
          <w:p w14:paraId="4C0FF0B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0.5390</w:t>
            </w:r>
          </w:p>
        </w:tc>
        <w:tc>
          <w:tcPr>
            <w:tcW w:w="2475" w:type="dxa"/>
            <w:tcBorders>
              <w:bottom w:val="single" w:sz="4" w:space="0" w:color="auto"/>
            </w:tcBorders>
            <w:shd w:val="clear" w:color="auto" w:fill="F3F9FA"/>
            <w:noWrap/>
            <w:vAlign w:val="bottom"/>
            <w:hideMark/>
          </w:tcPr>
          <w:p w14:paraId="1A915E1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0.040</w:t>
            </w:r>
          </w:p>
        </w:tc>
        <w:tc>
          <w:tcPr>
            <w:tcW w:w="1068" w:type="dxa"/>
            <w:tcBorders>
              <w:bottom w:val="single" w:sz="4" w:space="0" w:color="auto"/>
            </w:tcBorders>
            <w:shd w:val="clear" w:color="auto" w:fill="F3F9FA"/>
            <w:noWrap/>
            <w:vAlign w:val="center"/>
          </w:tcPr>
          <w:p w14:paraId="55D35D2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36A616C7" w14:textId="77777777" w:rsidTr="00BE5D0E">
        <w:trPr>
          <w:cantSplit/>
          <w:trHeight w:val="312"/>
          <w:jc w:val="center"/>
        </w:trPr>
        <w:tc>
          <w:tcPr>
            <w:tcW w:w="2028" w:type="dxa"/>
            <w:vMerge/>
            <w:shd w:val="clear" w:color="auto" w:fill="F3F9FA"/>
            <w:noWrap/>
            <w:vAlign w:val="center"/>
          </w:tcPr>
          <w:p w14:paraId="762BE4DA" w14:textId="77777777" w:rsidR="00BB7DFF" w:rsidRPr="00CB093C" w:rsidRDefault="00BB7DFF" w:rsidP="00BE5D0E">
            <w:pPr>
              <w:pStyle w:val="BodyText"/>
              <w:spacing w:after="0"/>
              <w:jc w:val="left"/>
              <w:rPr>
                <w:rFonts w:ascii="Arial" w:hAnsi="Arial" w:cs="Arial"/>
                <w:color w:val="000000"/>
              </w:rPr>
            </w:pPr>
          </w:p>
        </w:tc>
        <w:tc>
          <w:tcPr>
            <w:tcW w:w="1874" w:type="dxa"/>
            <w:vMerge w:val="restart"/>
            <w:tcBorders>
              <w:top w:val="single" w:sz="4" w:space="0" w:color="auto"/>
            </w:tcBorders>
            <w:shd w:val="clear" w:color="auto" w:fill="F3F9FA"/>
            <w:noWrap/>
            <w:vAlign w:val="center"/>
            <w:hideMark/>
          </w:tcPr>
          <w:p w14:paraId="0CF77D9A"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reef intertidal</w:t>
            </w:r>
          </w:p>
        </w:tc>
        <w:tc>
          <w:tcPr>
            <w:tcW w:w="720" w:type="dxa"/>
            <w:tcBorders>
              <w:top w:val="single" w:sz="4" w:space="0" w:color="auto"/>
            </w:tcBorders>
            <w:shd w:val="clear" w:color="auto" w:fill="F3F9FA"/>
            <w:noWrap/>
            <w:vAlign w:val="center"/>
            <w:hideMark/>
          </w:tcPr>
          <w:p w14:paraId="0D9A40E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DI1</w:t>
            </w:r>
          </w:p>
        </w:tc>
        <w:tc>
          <w:tcPr>
            <w:tcW w:w="1078" w:type="dxa"/>
            <w:tcBorders>
              <w:top w:val="single" w:sz="4" w:space="0" w:color="auto"/>
            </w:tcBorders>
            <w:shd w:val="clear" w:color="auto" w:fill="F3F9FA"/>
            <w:vAlign w:val="center"/>
          </w:tcPr>
          <w:p w14:paraId="71B8D47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2007</w:t>
            </w:r>
          </w:p>
        </w:tc>
        <w:tc>
          <w:tcPr>
            <w:tcW w:w="1068" w:type="dxa"/>
            <w:tcBorders>
              <w:top w:val="single" w:sz="4" w:space="0" w:color="auto"/>
            </w:tcBorders>
            <w:shd w:val="clear" w:color="auto" w:fill="F3F9FA"/>
            <w:vAlign w:val="center"/>
          </w:tcPr>
          <w:p w14:paraId="5ABB4D9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5E9D7A6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32</w:t>
            </w:r>
          </w:p>
        </w:tc>
        <w:tc>
          <w:tcPr>
            <w:tcW w:w="1078" w:type="dxa"/>
            <w:tcBorders>
              <w:top w:val="single" w:sz="4" w:space="0" w:color="auto"/>
            </w:tcBorders>
            <w:shd w:val="clear" w:color="auto" w:fill="F3F9FA"/>
            <w:noWrap/>
            <w:vAlign w:val="bottom"/>
            <w:hideMark/>
          </w:tcPr>
          <w:p w14:paraId="5A6D3FE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-0.218</w:t>
            </w:r>
          </w:p>
        </w:tc>
        <w:tc>
          <w:tcPr>
            <w:tcW w:w="1076" w:type="dxa"/>
            <w:tcBorders>
              <w:top w:val="single" w:sz="4" w:space="0" w:color="auto"/>
            </w:tcBorders>
            <w:shd w:val="clear" w:color="auto" w:fill="F3F9FA"/>
            <w:noWrap/>
            <w:vAlign w:val="bottom"/>
            <w:hideMark/>
          </w:tcPr>
          <w:p w14:paraId="2C3A024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0.3793</w:t>
            </w:r>
          </w:p>
        </w:tc>
        <w:tc>
          <w:tcPr>
            <w:tcW w:w="2475" w:type="dxa"/>
            <w:tcBorders>
              <w:top w:val="single" w:sz="4" w:space="0" w:color="auto"/>
            </w:tcBorders>
            <w:shd w:val="clear" w:color="auto" w:fill="F3F9FA"/>
            <w:noWrap/>
            <w:vAlign w:val="bottom"/>
            <w:hideMark/>
          </w:tcPr>
          <w:p w14:paraId="4876F4F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-0.155</w:t>
            </w:r>
          </w:p>
        </w:tc>
        <w:tc>
          <w:tcPr>
            <w:tcW w:w="1068" w:type="dxa"/>
            <w:tcBorders>
              <w:top w:val="single" w:sz="4" w:space="0" w:color="auto"/>
            </w:tcBorders>
            <w:shd w:val="clear" w:color="auto" w:fill="F3F9FA"/>
            <w:noWrap/>
            <w:vAlign w:val="center"/>
          </w:tcPr>
          <w:p w14:paraId="16A0ECB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360DC58E" w14:textId="77777777" w:rsidTr="00BE5D0E">
        <w:trPr>
          <w:cantSplit/>
          <w:trHeight w:val="312"/>
          <w:jc w:val="center"/>
        </w:trPr>
        <w:tc>
          <w:tcPr>
            <w:tcW w:w="2028" w:type="dxa"/>
            <w:vMerge/>
            <w:shd w:val="clear" w:color="auto" w:fill="F3F9FA"/>
            <w:noWrap/>
            <w:vAlign w:val="center"/>
          </w:tcPr>
          <w:p w14:paraId="1CC49228"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F3F9FA"/>
            <w:noWrap/>
            <w:vAlign w:val="center"/>
          </w:tcPr>
          <w:p w14:paraId="3C27D569"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5F32DE8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DI2</w:t>
            </w:r>
          </w:p>
        </w:tc>
        <w:tc>
          <w:tcPr>
            <w:tcW w:w="1078" w:type="dxa"/>
            <w:tcBorders>
              <w:bottom w:val="single" w:sz="4" w:space="0" w:color="auto"/>
            </w:tcBorders>
            <w:shd w:val="clear" w:color="auto" w:fill="F3F9FA"/>
            <w:vAlign w:val="center"/>
          </w:tcPr>
          <w:p w14:paraId="3D90DD6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2007</w:t>
            </w:r>
          </w:p>
        </w:tc>
        <w:tc>
          <w:tcPr>
            <w:tcW w:w="1068" w:type="dxa"/>
            <w:tcBorders>
              <w:bottom w:val="single" w:sz="4" w:space="0" w:color="auto"/>
            </w:tcBorders>
            <w:shd w:val="clear" w:color="auto" w:fill="F3F9FA"/>
            <w:vAlign w:val="center"/>
          </w:tcPr>
          <w:p w14:paraId="7989AC6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31A6CC6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32</w:t>
            </w:r>
          </w:p>
        </w:tc>
        <w:tc>
          <w:tcPr>
            <w:tcW w:w="1078" w:type="dxa"/>
            <w:tcBorders>
              <w:bottom w:val="single" w:sz="4" w:space="0" w:color="auto"/>
            </w:tcBorders>
            <w:shd w:val="clear" w:color="auto" w:fill="F3F9FA"/>
            <w:noWrap/>
            <w:vAlign w:val="bottom"/>
            <w:hideMark/>
          </w:tcPr>
          <w:p w14:paraId="66FD144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-0.192</w:t>
            </w:r>
          </w:p>
        </w:tc>
        <w:tc>
          <w:tcPr>
            <w:tcW w:w="1076" w:type="dxa"/>
            <w:tcBorders>
              <w:bottom w:val="single" w:sz="4" w:space="0" w:color="auto"/>
            </w:tcBorders>
            <w:shd w:val="clear" w:color="auto" w:fill="F3F9FA"/>
            <w:noWrap/>
            <w:vAlign w:val="bottom"/>
            <w:hideMark/>
          </w:tcPr>
          <w:p w14:paraId="1600388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0.4304</w:t>
            </w:r>
          </w:p>
        </w:tc>
        <w:tc>
          <w:tcPr>
            <w:tcW w:w="2475" w:type="dxa"/>
            <w:tcBorders>
              <w:bottom w:val="single" w:sz="4" w:space="0" w:color="auto"/>
            </w:tcBorders>
            <w:shd w:val="clear" w:color="auto" w:fill="F3F9FA"/>
            <w:noWrap/>
            <w:vAlign w:val="bottom"/>
            <w:hideMark/>
          </w:tcPr>
          <w:p w14:paraId="2186084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-0.167</w:t>
            </w:r>
          </w:p>
        </w:tc>
        <w:tc>
          <w:tcPr>
            <w:tcW w:w="1068" w:type="dxa"/>
            <w:tcBorders>
              <w:bottom w:val="single" w:sz="4" w:space="0" w:color="auto"/>
            </w:tcBorders>
            <w:shd w:val="clear" w:color="auto" w:fill="F3F9FA"/>
            <w:noWrap/>
            <w:vAlign w:val="center"/>
          </w:tcPr>
          <w:p w14:paraId="2DF89F8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34A4A948" w14:textId="77777777" w:rsidTr="00BE5D0E">
        <w:trPr>
          <w:cantSplit/>
          <w:trHeight w:val="312"/>
          <w:jc w:val="center"/>
        </w:trPr>
        <w:tc>
          <w:tcPr>
            <w:tcW w:w="2028" w:type="dxa"/>
            <w:vMerge/>
            <w:shd w:val="clear" w:color="auto" w:fill="F3F9FA"/>
            <w:noWrap/>
            <w:vAlign w:val="center"/>
          </w:tcPr>
          <w:p w14:paraId="4960B08D"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F3F9FA"/>
            <w:noWrap/>
            <w:vAlign w:val="center"/>
          </w:tcPr>
          <w:p w14:paraId="1D61F481"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tcBorders>
            <w:shd w:val="clear" w:color="auto" w:fill="F3F9FA"/>
            <w:noWrap/>
            <w:vAlign w:val="center"/>
            <w:hideMark/>
          </w:tcPr>
          <w:p w14:paraId="51EDC63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GI1</w:t>
            </w:r>
          </w:p>
        </w:tc>
        <w:tc>
          <w:tcPr>
            <w:tcW w:w="1078" w:type="dxa"/>
            <w:tcBorders>
              <w:top w:val="single" w:sz="4" w:space="0" w:color="auto"/>
            </w:tcBorders>
            <w:shd w:val="clear" w:color="auto" w:fill="F3F9FA"/>
            <w:vAlign w:val="center"/>
          </w:tcPr>
          <w:p w14:paraId="29D90AA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2001</w:t>
            </w:r>
          </w:p>
        </w:tc>
        <w:tc>
          <w:tcPr>
            <w:tcW w:w="1068" w:type="dxa"/>
            <w:tcBorders>
              <w:top w:val="single" w:sz="4" w:space="0" w:color="auto"/>
            </w:tcBorders>
            <w:shd w:val="clear" w:color="auto" w:fill="F3F9FA"/>
            <w:vAlign w:val="center"/>
          </w:tcPr>
          <w:p w14:paraId="067ACC7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3002A74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67</w:t>
            </w:r>
          </w:p>
        </w:tc>
        <w:tc>
          <w:tcPr>
            <w:tcW w:w="1078" w:type="dxa"/>
            <w:tcBorders>
              <w:top w:val="single" w:sz="4" w:space="0" w:color="auto"/>
            </w:tcBorders>
            <w:shd w:val="clear" w:color="auto" w:fill="F3F9FA"/>
            <w:noWrap/>
            <w:vAlign w:val="bottom"/>
            <w:hideMark/>
          </w:tcPr>
          <w:p w14:paraId="70D74107"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-0.102</w:t>
            </w:r>
          </w:p>
        </w:tc>
        <w:tc>
          <w:tcPr>
            <w:tcW w:w="1076" w:type="dxa"/>
            <w:tcBorders>
              <w:top w:val="single" w:sz="4" w:space="0" w:color="auto"/>
            </w:tcBorders>
            <w:shd w:val="clear" w:color="auto" w:fill="F3F9FA"/>
            <w:noWrap/>
            <w:vAlign w:val="bottom"/>
            <w:hideMark/>
          </w:tcPr>
          <w:p w14:paraId="0CE69046"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0.2234</w:t>
            </w:r>
          </w:p>
        </w:tc>
        <w:tc>
          <w:tcPr>
            <w:tcW w:w="2475" w:type="dxa"/>
            <w:tcBorders>
              <w:top w:val="single" w:sz="4" w:space="0" w:color="auto"/>
            </w:tcBorders>
            <w:shd w:val="clear" w:color="auto" w:fill="F3F9FA"/>
            <w:noWrap/>
            <w:vAlign w:val="bottom"/>
            <w:hideMark/>
          </w:tcPr>
          <w:p w14:paraId="0439821C"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-0.065</w:t>
            </w:r>
          </w:p>
        </w:tc>
        <w:tc>
          <w:tcPr>
            <w:tcW w:w="1068" w:type="dxa"/>
            <w:tcBorders>
              <w:top w:val="single" w:sz="4" w:space="0" w:color="auto"/>
            </w:tcBorders>
            <w:shd w:val="clear" w:color="auto" w:fill="F3F9FA"/>
            <w:noWrap/>
            <w:vAlign w:val="center"/>
            <w:hideMark/>
          </w:tcPr>
          <w:p w14:paraId="2D4113E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no trend</w:t>
            </w:r>
          </w:p>
        </w:tc>
      </w:tr>
      <w:tr w:rsidR="00BB7DFF" w:rsidRPr="00CB093C" w14:paraId="38444ED0" w14:textId="77777777" w:rsidTr="00BE5D0E">
        <w:trPr>
          <w:cantSplit/>
          <w:trHeight w:val="312"/>
          <w:jc w:val="center"/>
        </w:trPr>
        <w:tc>
          <w:tcPr>
            <w:tcW w:w="2028" w:type="dxa"/>
            <w:vMerge/>
            <w:shd w:val="clear" w:color="auto" w:fill="F3F9FA"/>
            <w:noWrap/>
            <w:vAlign w:val="center"/>
          </w:tcPr>
          <w:p w14:paraId="2BFF0361"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F3F9FA"/>
            <w:noWrap/>
            <w:vAlign w:val="center"/>
          </w:tcPr>
          <w:p w14:paraId="71315A01"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0D56DA4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GI2</w:t>
            </w:r>
          </w:p>
        </w:tc>
        <w:tc>
          <w:tcPr>
            <w:tcW w:w="1078" w:type="dxa"/>
            <w:tcBorders>
              <w:bottom w:val="single" w:sz="4" w:space="0" w:color="auto"/>
            </w:tcBorders>
            <w:shd w:val="clear" w:color="auto" w:fill="F3F9FA"/>
            <w:vAlign w:val="center"/>
          </w:tcPr>
          <w:p w14:paraId="5801218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bottom w:val="single" w:sz="4" w:space="0" w:color="auto"/>
            </w:tcBorders>
            <w:shd w:val="clear" w:color="auto" w:fill="F3F9FA"/>
            <w:vAlign w:val="center"/>
          </w:tcPr>
          <w:p w14:paraId="3E6FE6F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65FBC6E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53</w:t>
            </w:r>
          </w:p>
        </w:tc>
        <w:tc>
          <w:tcPr>
            <w:tcW w:w="1078" w:type="dxa"/>
            <w:tcBorders>
              <w:bottom w:val="single" w:sz="4" w:space="0" w:color="auto"/>
            </w:tcBorders>
            <w:shd w:val="clear" w:color="auto" w:fill="F3F9FA"/>
            <w:noWrap/>
            <w:vAlign w:val="bottom"/>
            <w:hideMark/>
          </w:tcPr>
          <w:p w14:paraId="07096DF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-0.028</w:t>
            </w:r>
          </w:p>
        </w:tc>
        <w:tc>
          <w:tcPr>
            <w:tcW w:w="1076" w:type="dxa"/>
            <w:tcBorders>
              <w:bottom w:val="single" w:sz="4" w:space="0" w:color="auto"/>
            </w:tcBorders>
            <w:shd w:val="clear" w:color="auto" w:fill="F3F9FA"/>
            <w:noWrap/>
            <w:vAlign w:val="bottom"/>
            <w:hideMark/>
          </w:tcPr>
          <w:p w14:paraId="0FCCA0D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0.7707</w:t>
            </w:r>
          </w:p>
        </w:tc>
        <w:tc>
          <w:tcPr>
            <w:tcW w:w="2475" w:type="dxa"/>
            <w:tcBorders>
              <w:bottom w:val="single" w:sz="4" w:space="0" w:color="auto"/>
            </w:tcBorders>
            <w:shd w:val="clear" w:color="auto" w:fill="F3F9FA"/>
            <w:noWrap/>
            <w:vAlign w:val="bottom"/>
            <w:hideMark/>
          </w:tcPr>
          <w:p w14:paraId="3842C7C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-0.028</w:t>
            </w:r>
          </w:p>
        </w:tc>
        <w:tc>
          <w:tcPr>
            <w:tcW w:w="1068" w:type="dxa"/>
            <w:tcBorders>
              <w:bottom w:val="single" w:sz="4" w:space="0" w:color="auto"/>
            </w:tcBorders>
            <w:shd w:val="clear" w:color="auto" w:fill="F3F9FA"/>
            <w:noWrap/>
            <w:vAlign w:val="center"/>
          </w:tcPr>
          <w:p w14:paraId="74F6B9D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52943361" w14:textId="77777777" w:rsidTr="00BE5D0E">
        <w:trPr>
          <w:cantSplit/>
          <w:trHeight w:val="312"/>
          <w:jc w:val="center"/>
        </w:trPr>
        <w:tc>
          <w:tcPr>
            <w:tcW w:w="2028" w:type="dxa"/>
            <w:vMerge/>
            <w:shd w:val="clear" w:color="auto" w:fill="F3F9FA"/>
            <w:noWrap/>
            <w:vAlign w:val="center"/>
          </w:tcPr>
          <w:p w14:paraId="2F905602"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F3F9FA"/>
            <w:noWrap/>
            <w:vAlign w:val="center"/>
          </w:tcPr>
          <w:p w14:paraId="4F405967"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bottom w:val="single" w:sz="4" w:space="0" w:color="auto"/>
            </w:tcBorders>
            <w:shd w:val="clear" w:color="auto" w:fill="F3F9FA"/>
            <w:noWrap/>
            <w:vAlign w:val="center"/>
            <w:hideMark/>
          </w:tcPr>
          <w:p w14:paraId="72B2939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GO1</w:t>
            </w:r>
          </w:p>
        </w:tc>
        <w:tc>
          <w:tcPr>
            <w:tcW w:w="1078" w:type="dxa"/>
            <w:tcBorders>
              <w:top w:val="single" w:sz="4" w:space="0" w:color="auto"/>
              <w:bottom w:val="single" w:sz="4" w:space="0" w:color="auto"/>
            </w:tcBorders>
            <w:shd w:val="clear" w:color="auto" w:fill="F3F9FA"/>
            <w:vAlign w:val="center"/>
          </w:tcPr>
          <w:p w14:paraId="47D5EE0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2008</w:t>
            </w:r>
          </w:p>
        </w:tc>
        <w:tc>
          <w:tcPr>
            <w:tcW w:w="1068" w:type="dxa"/>
            <w:tcBorders>
              <w:top w:val="single" w:sz="4" w:space="0" w:color="auto"/>
              <w:bottom w:val="single" w:sz="4" w:space="0" w:color="auto"/>
            </w:tcBorders>
            <w:shd w:val="clear" w:color="auto" w:fill="F3F9FA"/>
            <w:vAlign w:val="center"/>
          </w:tcPr>
          <w:p w14:paraId="7518CC3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2016</w:t>
            </w:r>
          </w:p>
        </w:tc>
        <w:tc>
          <w:tcPr>
            <w:tcW w:w="519" w:type="dxa"/>
            <w:tcBorders>
              <w:top w:val="single" w:sz="4" w:space="0" w:color="auto"/>
              <w:bottom w:val="single" w:sz="4" w:space="0" w:color="auto"/>
            </w:tcBorders>
            <w:shd w:val="clear" w:color="auto" w:fill="F3F9FA"/>
            <w:vAlign w:val="center"/>
          </w:tcPr>
          <w:p w14:paraId="535F661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7</w:t>
            </w:r>
          </w:p>
        </w:tc>
        <w:tc>
          <w:tcPr>
            <w:tcW w:w="1078" w:type="dxa"/>
            <w:tcBorders>
              <w:top w:val="single" w:sz="4" w:space="0" w:color="auto"/>
              <w:bottom w:val="single" w:sz="4" w:space="0" w:color="auto"/>
            </w:tcBorders>
            <w:shd w:val="clear" w:color="auto" w:fill="F3F9FA"/>
            <w:noWrap/>
            <w:vAlign w:val="bottom"/>
            <w:hideMark/>
          </w:tcPr>
          <w:p w14:paraId="0DDC9A5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-0.429</w:t>
            </w:r>
          </w:p>
        </w:tc>
        <w:tc>
          <w:tcPr>
            <w:tcW w:w="1076" w:type="dxa"/>
            <w:tcBorders>
              <w:top w:val="single" w:sz="4" w:space="0" w:color="auto"/>
              <w:bottom w:val="single" w:sz="4" w:space="0" w:color="auto"/>
            </w:tcBorders>
            <w:shd w:val="clear" w:color="auto" w:fill="F3F9FA"/>
            <w:noWrap/>
            <w:vAlign w:val="bottom"/>
            <w:hideMark/>
          </w:tcPr>
          <w:p w14:paraId="6319932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0.2296</w:t>
            </w:r>
          </w:p>
        </w:tc>
        <w:tc>
          <w:tcPr>
            <w:tcW w:w="2475" w:type="dxa"/>
            <w:tcBorders>
              <w:top w:val="single" w:sz="4" w:space="0" w:color="auto"/>
              <w:bottom w:val="single" w:sz="4" w:space="0" w:color="auto"/>
            </w:tcBorders>
            <w:shd w:val="clear" w:color="auto" w:fill="F3F9FA"/>
            <w:noWrap/>
            <w:vAlign w:val="bottom"/>
            <w:hideMark/>
          </w:tcPr>
          <w:p w14:paraId="672E5A8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-1.682</w:t>
            </w:r>
          </w:p>
        </w:tc>
        <w:tc>
          <w:tcPr>
            <w:tcW w:w="1068" w:type="dxa"/>
            <w:tcBorders>
              <w:top w:val="single" w:sz="4" w:space="0" w:color="auto"/>
              <w:bottom w:val="single" w:sz="4" w:space="0" w:color="auto"/>
            </w:tcBorders>
            <w:shd w:val="clear" w:color="auto" w:fill="F3F9FA"/>
            <w:noWrap/>
            <w:vAlign w:val="center"/>
          </w:tcPr>
          <w:p w14:paraId="78543C2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41A104AA" w14:textId="77777777" w:rsidTr="00BE5D0E">
        <w:trPr>
          <w:cantSplit/>
          <w:trHeight w:val="312"/>
          <w:jc w:val="center"/>
        </w:trPr>
        <w:tc>
          <w:tcPr>
            <w:tcW w:w="2028" w:type="dxa"/>
            <w:vMerge/>
            <w:shd w:val="clear" w:color="auto" w:fill="F3F9FA"/>
            <w:noWrap/>
            <w:vAlign w:val="center"/>
          </w:tcPr>
          <w:p w14:paraId="1A83E549"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F3F9FA"/>
            <w:noWrap/>
            <w:vAlign w:val="center"/>
          </w:tcPr>
          <w:p w14:paraId="50FFDB37"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bottom w:val="single" w:sz="4" w:space="0" w:color="auto"/>
            </w:tcBorders>
            <w:shd w:val="clear" w:color="auto" w:fill="F3F9FA"/>
            <w:noWrap/>
            <w:vAlign w:val="center"/>
            <w:hideMark/>
          </w:tcPr>
          <w:p w14:paraId="0289A194"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LI1</w:t>
            </w:r>
          </w:p>
        </w:tc>
        <w:tc>
          <w:tcPr>
            <w:tcW w:w="1078" w:type="dxa"/>
            <w:tcBorders>
              <w:top w:val="single" w:sz="4" w:space="0" w:color="auto"/>
              <w:bottom w:val="single" w:sz="4" w:space="0" w:color="auto"/>
            </w:tcBorders>
            <w:shd w:val="clear" w:color="auto" w:fill="F3F9FA"/>
            <w:vAlign w:val="center"/>
          </w:tcPr>
          <w:p w14:paraId="7508610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2008</w:t>
            </w:r>
          </w:p>
        </w:tc>
        <w:tc>
          <w:tcPr>
            <w:tcW w:w="1068" w:type="dxa"/>
            <w:tcBorders>
              <w:top w:val="single" w:sz="4" w:space="0" w:color="auto"/>
              <w:bottom w:val="single" w:sz="4" w:space="0" w:color="auto"/>
            </w:tcBorders>
            <w:shd w:val="clear" w:color="auto" w:fill="F3F9FA"/>
            <w:vAlign w:val="center"/>
          </w:tcPr>
          <w:p w14:paraId="5D7E9D6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bottom w:val="single" w:sz="4" w:space="0" w:color="auto"/>
            </w:tcBorders>
            <w:shd w:val="clear" w:color="auto" w:fill="F3F9FA"/>
            <w:vAlign w:val="center"/>
          </w:tcPr>
          <w:p w14:paraId="5D69B68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35</w:t>
            </w:r>
          </w:p>
        </w:tc>
        <w:tc>
          <w:tcPr>
            <w:tcW w:w="1078" w:type="dxa"/>
            <w:tcBorders>
              <w:top w:val="single" w:sz="4" w:space="0" w:color="auto"/>
              <w:bottom w:val="single" w:sz="4" w:space="0" w:color="auto"/>
            </w:tcBorders>
            <w:shd w:val="clear" w:color="auto" w:fill="F3F9FA"/>
            <w:noWrap/>
            <w:vAlign w:val="bottom"/>
            <w:hideMark/>
          </w:tcPr>
          <w:p w14:paraId="3B8B929C"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-0.489</w:t>
            </w:r>
          </w:p>
        </w:tc>
        <w:tc>
          <w:tcPr>
            <w:tcW w:w="1076" w:type="dxa"/>
            <w:tcBorders>
              <w:top w:val="single" w:sz="4" w:space="0" w:color="auto"/>
              <w:bottom w:val="single" w:sz="4" w:space="0" w:color="auto"/>
            </w:tcBorders>
            <w:shd w:val="clear" w:color="auto" w:fill="F3F9FA"/>
            <w:noWrap/>
            <w:vAlign w:val="bottom"/>
            <w:hideMark/>
          </w:tcPr>
          <w:p w14:paraId="74844E66"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&lt;0.0001</w:t>
            </w:r>
          </w:p>
        </w:tc>
        <w:tc>
          <w:tcPr>
            <w:tcW w:w="2475" w:type="dxa"/>
            <w:tcBorders>
              <w:top w:val="single" w:sz="4" w:space="0" w:color="auto"/>
              <w:bottom w:val="single" w:sz="4" w:space="0" w:color="auto"/>
            </w:tcBorders>
            <w:shd w:val="clear" w:color="auto" w:fill="F3F9FA"/>
            <w:noWrap/>
            <w:vAlign w:val="bottom"/>
            <w:hideMark/>
          </w:tcPr>
          <w:p w14:paraId="12C0963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-0.206 (</w:t>
            </w:r>
            <w:r w:rsidRPr="00CB093C">
              <w:rPr>
                <w:rFonts w:ascii="Arial" w:hAnsi="Arial" w:cs="Arial"/>
                <w:color w:val="000000"/>
              </w:rPr>
              <w:t>-0.363 to -0.107)</w:t>
            </w:r>
          </w:p>
        </w:tc>
        <w:tc>
          <w:tcPr>
            <w:tcW w:w="1068" w:type="dxa"/>
            <w:tcBorders>
              <w:top w:val="single" w:sz="4" w:space="0" w:color="auto"/>
              <w:bottom w:val="single" w:sz="4" w:space="0" w:color="auto"/>
            </w:tcBorders>
            <w:shd w:val="clear" w:color="auto" w:fill="F3F9FA"/>
            <w:noWrap/>
            <w:vAlign w:val="center"/>
            <w:hideMark/>
          </w:tcPr>
          <w:p w14:paraId="014EA87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13C3DA84" w14:textId="77777777" w:rsidTr="00BE5D0E">
        <w:trPr>
          <w:cantSplit/>
          <w:trHeight w:val="312"/>
          <w:jc w:val="center"/>
        </w:trPr>
        <w:tc>
          <w:tcPr>
            <w:tcW w:w="2028" w:type="dxa"/>
            <w:vMerge/>
            <w:shd w:val="clear" w:color="auto" w:fill="F3F9FA"/>
            <w:noWrap/>
            <w:vAlign w:val="center"/>
          </w:tcPr>
          <w:p w14:paraId="593CD323" w14:textId="77777777" w:rsidR="00BB7DFF" w:rsidRPr="00CB093C" w:rsidRDefault="00BB7DFF" w:rsidP="00BE5D0E">
            <w:pPr>
              <w:pStyle w:val="BodyText"/>
              <w:spacing w:after="0"/>
              <w:jc w:val="left"/>
              <w:rPr>
                <w:rFonts w:ascii="Arial" w:hAnsi="Arial" w:cs="Arial"/>
                <w:color w:val="000000"/>
              </w:rPr>
            </w:pPr>
          </w:p>
        </w:tc>
        <w:tc>
          <w:tcPr>
            <w:tcW w:w="1874" w:type="dxa"/>
            <w:vMerge w:val="restart"/>
            <w:tcBorders>
              <w:top w:val="single" w:sz="4" w:space="0" w:color="auto"/>
              <w:bottom w:val="single" w:sz="4" w:space="0" w:color="auto"/>
            </w:tcBorders>
            <w:shd w:val="clear" w:color="auto" w:fill="F3F9FA"/>
            <w:noWrap/>
            <w:vAlign w:val="center"/>
            <w:hideMark/>
          </w:tcPr>
          <w:p w14:paraId="0D7CC1CE"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reef subtidal</w:t>
            </w:r>
          </w:p>
        </w:tc>
        <w:tc>
          <w:tcPr>
            <w:tcW w:w="720" w:type="dxa"/>
            <w:tcBorders>
              <w:top w:val="single" w:sz="4" w:space="0" w:color="auto"/>
            </w:tcBorders>
            <w:shd w:val="clear" w:color="auto" w:fill="F3F9FA"/>
            <w:noWrap/>
            <w:vAlign w:val="center"/>
            <w:hideMark/>
          </w:tcPr>
          <w:p w14:paraId="0623B86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DI3</w:t>
            </w:r>
          </w:p>
        </w:tc>
        <w:tc>
          <w:tcPr>
            <w:tcW w:w="1078" w:type="dxa"/>
            <w:tcBorders>
              <w:top w:val="single" w:sz="4" w:space="0" w:color="auto"/>
            </w:tcBorders>
            <w:shd w:val="clear" w:color="auto" w:fill="F3F9FA"/>
            <w:vAlign w:val="center"/>
          </w:tcPr>
          <w:p w14:paraId="2365321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2008</w:t>
            </w:r>
          </w:p>
        </w:tc>
        <w:tc>
          <w:tcPr>
            <w:tcW w:w="1068" w:type="dxa"/>
            <w:tcBorders>
              <w:top w:val="single" w:sz="4" w:space="0" w:color="auto"/>
            </w:tcBorders>
            <w:shd w:val="clear" w:color="auto" w:fill="F3F9FA"/>
            <w:vAlign w:val="center"/>
          </w:tcPr>
          <w:p w14:paraId="7C3F4F7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23D810B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38</w:t>
            </w:r>
          </w:p>
        </w:tc>
        <w:tc>
          <w:tcPr>
            <w:tcW w:w="1078" w:type="dxa"/>
            <w:tcBorders>
              <w:top w:val="single" w:sz="4" w:space="0" w:color="auto"/>
            </w:tcBorders>
            <w:shd w:val="clear" w:color="auto" w:fill="F3F9FA"/>
            <w:noWrap/>
            <w:vAlign w:val="bottom"/>
            <w:hideMark/>
          </w:tcPr>
          <w:p w14:paraId="33056AB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-0.142</w:t>
            </w:r>
          </w:p>
        </w:tc>
        <w:tc>
          <w:tcPr>
            <w:tcW w:w="1076" w:type="dxa"/>
            <w:tcBorders>
              <w:top w:val="single" w:sz="4" w:space="0" w:color="auto"/>
            </w:tcBorders>
            <w:shd w:val="clear" w:color="auto" w:fill="F3F9FA"/>
            <w:noWrap/>
            <w:vAlign w:val="bottom"/>
            <w:hideMark/>
          </w:tcPr>
          <w:p w14:paraId="71DC819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0.4420</w:t>
            </w:r>
          </w:p>
        </w:tc>
        <w:tc>
          <w:tcPr>
            <w:tcW w:w="2475" w:type="dxa"/>
            <w:tcBorders>
              <w:top w:val="single" w:sz="4" w:space="0" w:color="auto"/>
            </w:tcBorders>
            <w:shd w:val="clear" w:color="auto" w:fill="F3F9FA"/>
            <w:noWrap/>
            <w:vAlign w:val="bottom"/>
            <w:hideMark/>
          </w:tcPr>
          <w:p w14:paraId="336563A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-0.021</w:t>
            </w:r>
          </w:p>
        </w:tc>
        <w:tc>
          <w:tcPr>
            <w:tcW w:w="1068" w:type="dxa"/>
            <w:tcBorders>
              <w:top w:val="single" w:sz="4" w:space="0" w:color="auto"/>
            </w:tcBorders>
            <w:shd w:val="clear" w:color="auto" w:fill="F3F9FA"/>
            <w:noWrap/>
            <w:vAlign w:val="center"/>
            <w:hideMark/>
          </w:tcPr>
          <w:p w14:paraId="53AC4AF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6D8EE91" w14:textId="77777777" w:rsidTr="00BE5D0E">
        <w:trPr>
          <w:cantSplit/>
          <w:trHeight w:val="312"/>
          <w:jc w:val="center"/>
        </w:trPr>
        <w:tc>
          <w:tcPr>
            <w:tcW w:w="2028" w:type="dxa"/>
            <w:vMerge/>
            <w:shd w:val="clear" w:color="auto" w:fill="F3F9FA"/>
            <w:noWrap/>
            <w:vAlign w:val="center"/>
          </w:tcPr>
          <w:p w14:paraId="5BA2C10F"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F3F9FA"/>
            <w:noWrap/>
            <w:vAlign w:val="center"/>
            <w:hideMark/>
          </w:tcPr>
          <w:p w14:paraId="0DD544C1" w14:textId="77777777" w:rsidR="00BB7DFF" w:rsidRPr="00CB093C" w:rsidRDefault="00BB7DFF" w:rsidP="00BE5D0E">
            <w:pPr>
              <w:pStyle w:val="BodyText"/>
              <w:spacing w:after="0"/>
              <w:jc w:val="left"/>
              <w:rPr>
                <w:rFonts w:ascii="Arial" w:hAnsi="Arial" w:cs="Arial"/>
                <w:color w:val="000000"/>
              </w:rPr>
            </w:pPr>
          </w:p>
        </w:tc>
        <w:tc>
          <w:tcPr>
            <w:tcW w:w="720" w:type="dxa"/>
            <w:shd w:val="clear" w:color="auto" w:fill="F3F9FA"/>
            <w:noWrap/>
            <w:vAlign w:val="center"/>
            <w:hideMark/>
          </w:tcPr>
          <w:p w14:paraId="49BB4D98"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GI3</w:t>
            </w:r>
          </w:p>
        </w:tc>
        <w:tc>
          <w:tcPr>
            <w:tcW w:w="1078" w:type="dxa"/>
            <w:shd w:val="clear" w:color="auto" w:fill="F3F9FA"/>
            <w:vAlign w:val="center"/>
          </w:tcPr>
          <w:p w14:paraId="319CA3E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2008</w:t>
            </w:r>
          </w:p>
        </w:tc>
        <w:tc>
          <w:tcPr>
            <w:tcW w:w="1068" w:type="dxa"/>
            <w:shd w:val="clear" w:color="auto" w:fill="F3F9FA"/>
            <w:vAlign w:val="center"/>
          </w:tcPr>
          <w:p w14:paraId="6147922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shd w:val="clear" w:color="auto" w:fill="F3F9FA"/>
            <w:vAlign w:val="center"/>
          </w:tcPr>
          <w:p w14:paraId="11BFC55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37</w:t>
            </w:r>
          </w:p>
        </w:tc>
        <w:tc>
          <w:tcPr>
            <w:tcW w:w="1078" w:type="dxa"/>
            <w:shd w:val="clear" w:color="auto" w:fill="F3F9FA"/>
            <w:noWrap/>
            <w:vAlign w:val="bottom"/>
            <w:hideMark/>
          </w:tcPr>
          <w:p w14:paraId="05020076"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-0.441</w:t>
            </w:r>
          </w:p>
        </w:tc>
        <w:tc>
          <w:tcPr>
            <w:tcW w:w="1076" w:type="dxa"/>
            <w:shd w:val="clear" w:color="auto" w:fill="F3F9FA"/>
            <w:noWrap/>
            <w:vAlign w:val="bottom"/>
            <w:hideMark/>
          </w:tcPr>
          <w:p w14:paraId="38D85348"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0.0012</w:t>
            </w:r>
          </w:p>
        </w:tc>
        <w:tc>
          <w:tcPr>
            <w:tcW w:w="2475" w:type="dxa"/>
            <w:shd w:val="clear" w:color="auto" w:fill="F3F9FA"/>
            <w:noWrap/>
            <w:vAlign w:val="bottom"/>
            <w:hideMark/>
          </w:tcPr>
          <w:p w14:paraId="5DFFD5A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 xml:space="preserve">-0.735 </w:t>
            </w:r>
            <w:r w:rsidRPr="00CB093C">
              <w:rPr>
                <w:rFonts w:ascii="Arial" w:hAnsi="Arial" w:cs="Arial"/>
                <w:color w:val="000000"/>
              </w:rPr>
              <w:t>(-1.081 to -0.424)</w:t>
            </w:r>
          </w:p>
        </w:tc>
        <w:tc>
          <w:tcPr>
            <w:tcW w:w="1068" w:type="dxa"/>
            <w:shd w:val="clear" w:color="auto" w:fill="F3F9FA"/>
            <w:noWrap/>
            <w:vAlign w:val="center"/>
          </w:tcPr>
          <w:p w14:paraId="3AB397F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decrease</w:t>
            </w:r>
          </w:p>
        </w:tc>
      </w:tr>
      <w:tr w:rsidR="00BB7DFF" w:rsidRPr="00CB093C" w14:paraId="64DEAE77" w14:textId="77777777" w:rsidTr="00BE5D0E">
        <w:trPr>
          <w:cantSplit/>
          <w:trHeight w:val="312"/>
          <w:jc w:val="center"/>
        </w:trPr>
        <w:tc>
          <w:tcPr>
            <w:tcW w:w="2028" w:type="dxa"/>
            <w:vMerge/>
            <w:shd w:val="clear" w:color="auto" w:fill="F3F9FA"/>
            <w:noWrap/>
            <w:vAlign w:val="center"/>
          </w:tcPr>
          <w:p w14:paraId="1B44E760"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F3F9FA"/>
            <w:noWrap/>
            <w:vAlign w:val="center"/>
            <w:hideMark/>
          </w:tcPr>
          <w:p w14:paraId="3D6D1847"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1D4943C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LI2</w:t>
            </w:r>
          </w:p>
        </w:tc>
        <w:tc>
          <w:tcPr>
            <w:tcW w:w="1078" w:type="dxa"/>
            <w:tcBorders>
              <w:bottom w:val="single" w:sz="4" w:space="0" w:color="auto"/>
            </w:tcBorders>
            <w:shd w:val="clear" w:color="auto" w:fill="F3F9FA"/>
            <w:vAlign w:val="center"/>
          </w:tcPr>
          <w:p w14:paraId="1EBAA11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2008</w:t>
            </w:r>
          </w:p>
        </w:tc>
        <w:tc>
          <w:tcPr>
            <w:tcW w:w="1068" w:type="dxa"/>
            <w:tcBorders>
              <w:bottom w:val="single" w:sz="4" w:space="0" w:color="auto"/>
            </w:tcBorders>
            <w:shd w:val="clear" w:color="auto" w:fill="F3F9FA"/>
            <w:vAlign w:val="center"/>
          </w:tcPr>
          <w:p w14:paraId="78C2706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565F0E1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35</w:t>
            </w:r>
          </w:p>
        </w:tc>
        <w:tc>
          <w:tcPr>
            <w:tcW w:w="1078" w:type="dxa"/>
            <w:tcBorders>
              <w:bottom w:val="single" w:sz="4" w:space="0" w:color="auto"/>
            </w:tcBorders>
            <w:shd w:val="clear" w:color="auto" w:fill="F3F9FA"/>
            <w:noWrap/>
            <w:vAlign w:val="bottom"/>
            <w:hideMark/>
          </w:tcPr>
          <w:p w14:paraId="17AC46C6"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-0.017</w:t>
            </w:r>
          </w:p>
        </w:tc>
        <w:tc>
          <w:tcPr>
            <w:tcW w:w="1076" w:type="dxa"/>
            <w:tcBorders>
              <w:bottom w:val="single" w:sz="4" w:space="0" w:color="auto"/>
            </w:tcBorders>
            <w:shd w:val="clear" w:color="auto" w:fill="F3F9FA"/>
            <w:noWrap/>
            <w:vAlign w:val="bottom"/>
            <w:hideMark/>
          </w:tcPr>
          <w:p w14:paraId="4723D92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0.8983</w:t>
            </w:r>
          </w:p>
        </w:tc>
        <w:tc>
          <w:tcPr>
            <w:tcW w:w="2475" w:type="dxa"/>
            <w:tcBorders>
              <w:bottom w:val="single" w:sz="4" w:space="0" w:color="auto"/>
            </w:tcBorders>
            <w:shd w:val="clear" w:color="auto" w:fill="F3F9FA"/>
            <w:noWrap/>
            <w:vAlign w:val="bottom"/>
            <w:hideMark/>
          </w:tcPr>
          <w:p w14:paraId="454F2C26"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-0.005</w:t>
            </w:r>
          </w:p>
        </w:tc>
        <w:tc>
          <w:tcPr>
            <w:tcW w:w="1068" w:type="dxa"/>
            <w:tcBorders>
              <w:bottom w:val="single" w:sz="4" w:space="0" w:color="auto"/>
            </w:tcBorders>
            <w:shd w:val="clear" w:color="auto" w:fill="F3F9FA"/>
            <w:noWrap/>
            <w:vAlign w:val="center"/>
            <w:hideMark/>
          </w:tcPr>
          <w:p w14:paraId="095D8C5E"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no trend</w:t>
            </w:r>
          </w:p>
        </w:tc>
      </w:tr>
      <w:tr w:rsidR="00BB7DFF" w:rsidRPr="00CB093C" w14:paraId="7D1FB87F" w14:textId="77777777" w:rsidTr="00BE5D0E">
        <w:trPr>
          <w:cantSplit/>
          <w:trHeight w:val="312"/>
          <w:jc w:val="center"/>
        </w:trPr>
        <w:tc>
          <w:tcPr>
            <w:tcW w:w="2028" w:type="dxa"/>
            <w:tcBorders>
              <w:bottom w:val="single" w:sz="4" w:space="0" w:color="auto"/>
            </w:tcBorders>
            <w:shd w:val="clear" w:color="auto" w:fill="F3F9FA"/>
            <w:noWrap/>
            <w:vAlign w:val="center"/>
          </w:tcPr>
          <w:p w14:paraId="4DD7ED89"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bottom w:val="single" w:sz="4" w:space="0" w:color="auto"/>
            </w:tcBorders>
            <w:shd w:val="clear" w:color="auto" w:fill="D9D9D9" w:themeFill="background1" w:themeFillShade="D9"/>
            <w:noWrap/>
            <w:vAlign w:val="center"/>
          </w:tcPr>
          <w:p w14:paraId="6FC08698"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47F86FA7" w14:textId="77777777" w:rsidR="00BB7DFF" w:rsidRPr="00CB093C" w:rsidRDefault="00BB7DFF" w:rsidP="00BE5D0E">
            <w:pPr>
              <w:pStyle w:val="BodyText"/>
              <w:spacing w:after="0"/>
              <w:jc w:val="center"/>
              <w:rPr>
                <w:rFonts w:ascii="Arial" w:hAnsi="Arial" w:cs="Arial"/>
                <w:b/>
                <w:color w:val="000000"/>
              </w:rPr>
            </w:pPr>
          </w:p>
        </w:tc>
        <w:tc>
          <w:tcPr>
            <w:tcW w:w="1078" w:type="dxa"/>
            <w:tcBorders>
              <w:top w:val="single" w:sz="4" w:space="0" w:color="auto"/>
              <w:bottom w:val="single" w:sz="4" w:space="0" w:color="auto"/>
            </w:tcBorders>
            <w:shd w:val="clear" w:color="auto" w:fill="D9D9D9" w:themeFill="background1" w:themeFillShade="D9"/>
            <w:vAlign w:val="center"/>
          </w:tcPr>
          <w:p w14:paraId="20E02C0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2000</w:t>
            </w:r>
          </w:p>
        </w:tc>
        <w:tc>
          <w:tcPr>
            <w:tcW w:w="1068" w:type="dxa"/>
            <w:tcBorders>
              <w:top w:val="single" w:sz="4" w:space="0" w:color="auto"/>
              <w:bottom w:val="single" w:sz="4" w:space="0" w:color="auto"/>
            </w:tcBorders>
            <w:shd w:val="clear" w:color="auto" w:fill="D9D9D9" w:themeFill="background1" w:themeFillShade="D9"/>
            <w:vAlign w:val="center"/>
          </w:tcPr>
          <w:p w14:paraId="530560D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bottom w:val="single" w:sz="4" w:space="0" w:color="auto"/>
            </w:tcBorders>
            <w:shd w:val="clear" w:color="auto" w:fill="D9D9D9" w:themeFill="background1" w:themeFillShade="D9"/>
            <w:vAlign w:val="center"/>
          </w:tcPr>
          <w:p w14:paraId="10609AE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72</w:t>
            </w:r>
          </w:p>
        </w:tc>
        <w:tc>
          <w:tcPr>
            <w:tcW w:w="1078" w:type="dxa"/>
            <w:tcBorders>
              <w:top w:val="single" w:sz="4" w:space="0" w:color="auto"/>
              <w:bottom w:val="single" w:sz="4" w:space="0" w:color="auto"/>
            </w:tcBorders>
            <w:shd w:val="clear" w:color="auto" w:fill="D9D9D9" w:themeFill="background1" w:themeFillShade="D9"/>
            <w:noWrap/>
            <w:vAlign w:val="bottom"/>
          </w:tcPr>
          <w:p w14:paraId="652278DC"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-0.175</w:t>
            </w:r>
          </w:p>
        </w:tc>
        <w:tc>
          <w:tcPr>
            <w:tcW w:w="1076" w:type="dxa"/>
            <w:tcBorders>
              <w:top w:val="single" w:sz="4" w:space="0" w:color="auto"/>
              <w:bottom w:val="single" w:sz="4" w:space="0" w:color="auto"/>
            </w:tcBorders>
            <w:shd w:val="clear" w:color="auto" w:fill="D9D9D9" w:themeFill="background1" w:themeFillShade="D9"/>
            <w:noWrap/>
            <w:vAlign w:val="bottom"/>
          </w:tcPr>
          <w:p w14:paraId="768388EE"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0.03</w:t>
            </w:r>
          </w:p>
        </w:tc>
        <w:tc>
          <w:tcPr>
            <w:tcW w:w="2475" w:type="dxa"/>
            <w:tcBorders>
              <w:top w:val="single" w:sz="4" w:space="0" w:color="auto"/>
              <w:bottom w:val="single" w:sz="4" w:space="0" w:color="auto"/>
            </w:tcBorders>
            <w:shd w:val="clear" w:color="auto" w:fill="D9D9D9" w:themeFill="background1" w:themeFillShade="D9"/>
            <w:noWrap/>
            <w:vAlign w:val="bottom"/>
          </w:tcPr>
          <w:p w14:paraId="2F28F9B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-0.11</w:t>
            </w:r>
            <w:r w:rsidRPr="00CB093C">
              <w:rPr>
                <w:rFonts w:ascii="Arial" w:hAnsi="Arial" w:cs="Arial"/>
                <w:color w:val="000000"/>
              </w:rPr>
              <w:t xml:space="preserve"> (-0.2 to -0.011)</w:t>
            </w:r>
          </w:p>
        </w:tc>
        <w:tc>
          <w:tcPr>
            <w:tcW w:w="1068" w:type="dxa"/>
            <w:tcBorders>
              <w:top w:val="single" w:sz="4" w:space="0" w:color="auto"/>
              <w:bottom w:val="single" w:sz="4" w:space="0" w:color="auto"/>
            </w:tcBorders>
            <w:shd w:val="clear" w:color="auto" w:fill="D9D9D9" w:themeFill="background1" w:themeFillShade="D9"/>
            <w:noWrap/>
            <w:vAlign w:val="center"/>
          </w:tcPr>
          <w:p w14:paraId="5200A0A5"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239DB6B9" w14:textId="77777777" w:rsidTr="00BE5D0E">
        <w:trPr>
          <w:cantSplit/>
          <w:trHeight w:val="312"/>
          <w:jc w:val="center"/>
        </w:trPr>
        <w:tc>
          <w:tcPr>
            <w:tcW w:w="2028" w:type="dxa"/>
            <w:vMerge w:val="restart"/>
            <w:tcBorders>
              <w:top w:val="single" w:sz="4" w:space="0" w:color="auto"/>
            </w:tcBorders>
            <w:shd w:val="clear" w:color="auto" w:fill="E7F3F4"/>
            <w:noWrap/>
            <w:vAlign w:val="center"/>
            <w:hideMark/>
          </w:tcPr>
          <w:p w14:paraId="44F5E92E"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Burdekin</w:t>
            </w:r>
          </w:p>
        </w:tc>
        <w:tc>
          <w:tcPr>
            <w:tcW w:w="1874" w:type="dxa"/>
            <w:vMerge w:val="restart"/>
            <w:tcBorders>
              <w:top w:val="single" w:sz="4" w:space="0" w:color="auto"/>
            </w:tcBorders>
            <w:shd w:val="clear" w:color="auto" w:fill="E7F3F4"/>
            <w:noWrap/>
            <w:vAlign w:val="center"/>
            <w:hideMark/>
          </w:tcPr>
          <w:p w14:paraId="28FF6C18"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coastal intertidal</w:t>
            </w:r>
          </w:p>
        </w:tc>
        <w:tc>
          <w:tcPr>
            <w:tcW w:w="720" w:type="dxa"/>
            <w:tcBorders>
              <w:top w:val="single" w:sz="4" w:space="0" w:color="auto"/>
            </w:tcBorders>
            <w:shd w:val="clear" w:color="auto" w:fill="E7F3F4"/>
            <w:noWrap/>
            <w:vAlign w:val="center"/>
            <w:hideMark/>
          </w:tcPr>
          <w:p w14:paraId="69E29B2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BB1</w:t>
            </w:r>
          </w:p>
        </w:tc>
        <w:tc>
          <w:tcPr>
            <w:tcW w:w="1078" w:type="dxa"/>
            <w:tcBorders>
              <w:top w:val="single" w:sz="4" w:space="0" w:color="auto"/>
            </w:tcBorders>
            <w:shd w:val="clear" w:color="auto" w:fill="E7F3F4"/>
            <w:vAlign w:val="center"/>
          </w:tcPr>
          <w:p w14:paraId="3566F71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2002</w:t>
            </w:r>
          </w:p>
        </w:tc>
        <w:tc>
          <w:tcPr>
            <w:tcW w:w="1068" w:type="dxa"/>
            <w:tcBorders>
              <w:top w:val="single" w:sz="4" w:space="0" w:color="auto"/>
            </w:tcBorders>
            <w:shd w:val="clear" w:color="auto" w:fill="E7F3F4"/>
            <w:vAlign w:val="center"/>
          </w:tcPr>
          <w:p w14:paraId="4A230C7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E7F3F4"/>
            <w:vAlign w:val="center"/>
          </w:tcPr>
          <w:p w14:paraId="3DA237E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59</w:t>
            </w:r>
          </w:p>
        </w:tc>
        <w:tc>
          <w:tcPr>
            <w:tcW w:w="1078" w:type="dxa"/>
            <w:tcBorders>
              <w:top w:val="single" w:sz="4" w:space="0" w:color="auto"/>
            </w:tcBorders>
            <w:shd w:val="clear" w:color="auto" w:fill="E7F3F4"/>
            <w:noWrap/>
            <w:vAlign w:val="bottom"/>
            <w:hideMark/>
          </w:tcPr>
          <w:p w14:paraId="134675E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0.027</w:t>
            </w:r>
          </w:p>
        </w:tc>
        <w:tc>
          <w:tcPr>
            <w:tcW w:w="1076" w:type="dxa"/>
            <w:tcBorders>
              <w:top w:val="single" w:sz="4" w:space="0" w:color="auto"/>
            </w:tcBorders>
            <w:shd w:val="clear" w:color="auto" w:fill="E7F3F4"/>
            <w:noWrap/>
            <w:vAlign w:val="center"/>
            <w:hideMark/>
          </w:tcPr>
          <w:p w14:paraId="1124E2A0" w14:textId="77777777" w:rsidR="00BB7DFF" w:rsidRPr="00CB093C" w:rsidRDefault="00BB7DFF" w:rsidP="00BE5D0E">
            <w:pPr>
              <w:spacing w:before="0" w:after="0"/>
              <w:jc w:val="center"/>
              <w:rPr>
                <w:rFonts w:ascii="Arial" w:hAnsi="Arial" w:cs="Arial"/>
                <w:color w:val="000000"/>
                <w:szCs w:val="22"/>
              </w:rPr>
            </w:pPr>
            <w:r w:rsidRPr="00CB093C">
              <w:rPr>
                <w:rFonts w:ascii="Arial" w:hAnsi="Arial" w:cs="Arial"/>
                <w:color w:val="000000"/>
                <w:szCs w:val="22"/>
              </w:rPr>
              <w:t>0.8918</w:t>
            </w:r>
          </w:p>
        </w:tc>
        <w:tc>
          <w:tcPr>
            <w:tcW w:w="2475" w:type="dxa"/>
            <w:tcBorders>
              <w:top w:val="single" w:sz="4" w:space="0" w:color="auto"/>
            </w:tcBorders>
            <w:shd w:val="clear" w:color="auto" w:fill="E7F3F4"/>
            <w:noWrap/>
            <w:vAlign w:val="center"/>
            <w:hideMark/>
          </w:tcPr>
          <w:p w14:paraId="4F16DC35" w14:textId="77777777" w:rsidR="00BB7DFF" w:rsidRPr="00CB093C" w:rsidRDefault="00BB7DFF" w:rsidP="00BE5D0E">
            <w:pPr>
              <w:spacing w:before="0" w:after="0"/>
              <w:jc w:val="center"/>
              <w:rPr>
                <w:rFonts w:ascii="Arial" w:hAnsi="Arial" w:cs="Arial"/>
                <w:color w:val="000000"/>
                <w:szCs w:val="22"/>
              </w:rPr>
            </w:pPr>
            <w:r w:rsidRPr="00CB093C">
              <w:rPr>
                <w:rFonts w:ascii="Arial" w:hAnsi="Arial" w:cs="Arial"/>
                <w:color w:val="000000"/>
                <w:szCs w:val="22"/>
              </w:rPr>
              <w:t>0.024</w:t>
            </w:r>
          </w:p>
        </w:tc>
        <w:tc>
          <w:tcPr>
            <w:tcW w:w="1068" w:type="dxa"/>
            <w:tcBorders>
              <w:top w:val="single" w:sz="4" w:space="0" w:color="auto"/>
            </w:tcBorders>
            <w:shd w:val="clear" w:color="auto" w:fill="E7F3F4"/>
            <w:noWrap/>
            <w:vAlign w:val="center"/>
          </w:tcPr>
          <w:p w14:paraId="3B0AAD0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BCE0E32" w14:textId="77777777" w:rsidTr="00BE5D0E">
        <w:trPr>
          <w:cantSplit/>
          <w:trHeight w:val="312"/>
          <w:jc w:val="center"/>
        </w:trPr>
        <w:tc>
          <w:tcPr>
            <w:tcW w:w="2028" w:type="dxa"/>
            <w:vMerge/>
            <w:shd w:val="clear" w:color="auto" w:fill="E7F3F4"/>
            <w:noWrap/>
            <w:vAlign w:val="center"/>
          </w:tcPr>
          <w:p w14:paraId="7477995E"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E7F3F4"/>
            <w:noWrap/>
            <w:vAlign w:val="center"/>
          </w:tcPr>
          <w:p w14:paraId="2B4393E6" w14:textId="77777777" w:rsidR="00BB7DFF" w:rsidRPr="00CB093C" w:rsidRDefault="00BB7DFF" w:rsidP="00BE5D0E">
            <w:pPr>
              <w:pStyle w:val="BodyText"/>
              <w:spacing w:after="0"/>
              <w:jc w:val="left"/>
              <w:rPr>
                <w:rFonts w:ascii="Arial" w:hAnsi="Arial" w:cs="Arial"/>
                <w:color w:val="000000"/>
              </w:rPr>
            </w:pPr>
          </w:p>
        </w:tc>
        <w:tc>
          <w:tcPr>
            <w:tcW w:w="720" w:type="dxa"/>
            <w:shd w:val="clear" w:color="auto" w:fill="E7F3F4"/>
            <w:noWrap/>
            <w:vAlign w:val="center"/>
            <w:hideMark/>
          </w:tcPr>
          <w:p w14:paraId="5A8DB5F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SB1</w:t>
            </w:r>
          </w:p>
        </w:tc>
        <w:tc>
          <w:tcPr>
            <w:tcW w:w="1078" w:type="dxa"/>
            <w:shd w:val="clear" w:color="auto" w:fill="E7F3F4"/>
            <w:vAlign w:val="center"/>
          </w:tcPr>
          <w:p w14:paraId="098BD08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2001</w:t>
            </w:r>
          </w:p>
        </w:tc>
        <w:tc>
          <w:tcPr>
            <w:tcW w:w="1068" w:type="dxa"/>
            <w:shd w:val="clear" w:color="auto" w:fill="E7F3F4"/>
            <w:vAlign w:val="center"/>
          </w:tcPr>
          <w:p w14:paraId="53CAA8A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shd w:val="clear" w:color="auto" w:fill="E7F3F4"/>
            <w:vAlign w:val="center"/>
          </w:tcPr>
          <w:p w14:paraId="20B5B71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65</w:t>
            </w:r>
          </w:p>
        </w:tc>
        <w:tc>
          <w:tcPr>
            <w:tcW w:w="1078" w:type="dxa"/>
            <w:shd w:val="clear" w:color="auto" w:fill="E7F3F4"/>
            <w:noWrap/>
            <w:vAlign w:val="bottom"/>
            <w:hideMark/>
          </w:tcPr>
          <w:p w14:paraId="763D905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-0.025</w:t>
            </w:r>
          </w:p>
        </w:tc>
        <w:tc>
          <w:tcPr>
            <w:tcW w:w="1076" w:type="dxa"/>
            <w:shd w:val="clear" w:color="auto" w:fill="E7F3F4"/>
            <w:noWrap/>
            <w:vAlign w:val="bottom"/>
            <w:hideMark/>
          </w:tcPr>
          <w:p w14:paraId="32D7798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0.8808</w:t>
            </w:r>
          </w:p>
        </w:tc>
        <w:tc>
          <w:tcPr>
            <w:tcW w:w="2475" w:type="dxa"/>
            <w:shd w:val="clear" w:color="auto" w:fill="E7F3F4"/>
            <w:noWrap/>
            <w:vAlign w:val="bottom"/>
            <w:hideMark/>
          </w:tcPr>
          <w:p w14:paraId="0F5D155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-0.022</w:t>
            </w:r>
          </w:p>
        </w:tc>
        <w:tc>
          <w:tcPr>
            <w:tcW w:w="1068" w:type="dxa"/>
            <w:shd w:val="clear" w:color="auto" w:fill="E7F3F4"/>
            <w:noWrap/>
            <w:vAlign w:val="center"/>
            <w:hideMark/>
          </w:tcPr>
          <w:p w14:paraId="01079AE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47474690" w14:textId="77777777" w:rsidTr="00BE5D0E">
        <w:trPr>
          <w:cantSplit/>
          <w:trHeight w:val="312"/>
          <w:jc w:val="center"/>
        </w:trPr>
        <w:tc>
          <w:tcPr>
            <w:tcW w:w="2028" w:type="dxa"/>
            <w:vMerge/>
            <w:shd w:val="clear" w:color="auto" w:fill="E7F3F4"/>
            <w:noWrap/>
            <w:vAlign w:val="center"/>
          </w:tcPr>
          <w:p w14:paraId="4B03672F"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E7F3F4"/>
            <w:noWrap/>
            <w:vAlign w:val="center"/>
          </w:tcPr>
          <w:p w14:paraId="5C9A654E"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2A2D40C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SB2</w:t>
            </w:r>
          </w:p>
        </w:tc>
        <w:tc>
          <w:tcPr>
            <w:tcW w:w="1078" w:type="dxa"/>
            <w:tcBorders>
              <w:bottom w:val="single" w:sz="4" w:space="0" w:color="auto"/>
            </w:tcBorders>
            <w:shd w:val="clear" w:color="auto" w:fill="E7F3F4"/>
            <w:vAlign w:val="center"/>
          </w:tcPr>
          <w:p w14:paraId="251B955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2001</w:t>
            </w:r>
          </w:p>
        </w:tc>
        <w:tc>
          <w:tcPr>
            <w:tcW w:w="1068" w:type="dxa"/>
            <w:tcBorders>
              <w:bottom w:val="single" w:sz="4" w:space="0" w:color="auto"/>
            </w:tcBorders>
            <w:shd w:val="clear" w:color="auto" w:fill="E7F3F4"/>
            <w:vAlign w:val="center"/>
          </w:tcPr>
          <w:p w14:paraId="2E3C420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E7F3F4"/>
            <w:vAlign w:val="center"/>
          </w:tcPr>
          <w:p w14:paraId="58BD0AA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64</w:t>
            </w:r>
          </w:p>
        </w:tc>
        <w:tc>
          <w:tcPr>
            <w:tcW w:w="1078" w:type="dxa"/>
            <w:tcBorders>
              <w:bottom w:val="single" w:sz="4" w:space="0" w:color="auto"/>
            </w:tcBorders>
            <w:shd w:val="clear" w:color="auto" w:fill="E7F3F4"/>
            <w:noWrap/>
            <w:vAlign w:val="bottom"/>
            <w:hideMark/>
          </w:tcPr>
          <w:p w14:paraId="674FD21C"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-0.217</w:t>
            </w:r>
          </w:p>
        </w:tc>
        <w:tc>
          <w:tcPr>
            <w:tcW w:w="1076" w:type="dxa"/>
            <w:tcBorders>
              <w:bottom w:val="single" w:sz="4" w:space="0" w:color="auto"/>
            </w:tcBorders>
            <w:shd w:val="clear" w:color="auto" w:fill="E7F3F4"/>
            <w:noWrap/>
            <w:vAlign w:val="bottom"/>
            <w:hideMark/>
          </w:tcPr>
          <w:p w14:paraId="7C3C63A5"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0.1181</w:t>
            </w:r>
          </w:p>
        </w:tc>
        <w:tc>
          <w:tcPr>
            <w:tcW w:w="2475" w:type="dxa"/>
            <w:tcBorders>
              <w:bottom w:val="single" w:sz="4" w:space="0" w:color="auto"/>
            </w:tcBorders>
            <w:shd w:val="clear" w:color="auto" w:fill="E7F3F4"/>
            <w:noWrap/>
            <w:vAlign w:val="bottom"/>
            <w:hideMark/>
          </w:tcPr>
          <w:p w14:paraId="33C7AB3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-0.221</w:t>
            </w:r>
          </w:p>
        </w:tc>
        <w:tc>
          <w:tcPr>
            <w:tcW w:w="1068" w:type="dxa"/>
            <w:tcBorders>
              <w:bottom w:val="single" w:sz="4" w:space="0" w:color="auto"/>
            </w:tcBorders>
            <w:shd w:val="clear" w:color="auto" w:fill="E7F3F4"/>
            <w:noWrap/>
            <w:vAlign w:val="center"/>
            <w:hideMark/>
          </w:tcPr>
          <w:p w14:paraId="0E00945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64DBABE1" w14:textId="77777777" w:rsidTr="00BE5D0E">
        <w:trPr>
          <w:cantSplit/>
          <w:trHeight w:val="312"/>
          <w:jc w:val="center"/>
        </w:trPr>
        <w:tc>
          <w:tcPr>
            <w:tcW w:w="2028" w:type="dxa"/>
            <w:vMerge/>
            <w:shd w:val="clear" w:color="auto" w:fill="E7F3F4"/>
            <w:noWrap/>
            <w:vAlign w:val="center"/>
          </w:tcPr>
          <w:p w14:paraId="146AD94F"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E7F3F4"/>
            <w:noWrap/>
            <w:vAlign w:val="center"/>
          </w:tcPr>
          <w:p w14:paraId="621F5AC1"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tcBorders>
            <w:shd w:val="clear" w:color="auto" w:fill="E7F3F4"/>
            <w:noWrap/>
            <w:vAlign w:val="center"/>
            <w:hideMark/>
          </w:tcPr>
          <w:p w14:paraId="67E97AA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JR1</w:t>
            </w:r>
          </w:p>
        </w:tc>
        <w:tc>
          <w:tcPr>
            <w:tcW w:w="1078" w:type="dxa"/>
            <w:tcBorders>
              <w:top w:val="single" w:sz="4" w:space="0" w:color="auto"/>
            </w:tcBorders>
            <w:shd w:val="clear" w:color="auto" w:fill="E7F3F4"/>
            <w:vAlign w:val="center"/>
          </w:tcPr>
          <w:p w14:paraId="031318A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top w:val="single" w:sz="4" w:space="0" w:color="auto"/>
            </w:tcBorders>
            <w:shd w:val="clear" w:color="auto" w:fill="E7F3F4"/>
            <w:vAlign w:val="center"/>
          </w:tcPr>
          <w:p w14:paraId="0EA5C38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E7F3F4"/>
            <w:vAlign w:val="center"/>
          </w:tcPr>
          <w:p w14:paraId="084A7AA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13</w:t>
            </w:r>
          </w:p>
        </w:tc>
        <w:tc>
          <w:tcPr>
            <w:tcW w:w="1078" w:type="dxa"/>
            <w:tcBorders>
              <w:top w:val="single" w:sz="4" w:space="0" w:color="auto"/>
            </w:tcBorders>
            <w:shd w:val="clear" w:color="auto" w:fill="E7F3F4"/>
            <w:noWrap/>
            <w:vAlign w:val="bottom"/>
            <w:hideMark/>
          </w:tcPr>
          <w:p w14:paraId="2C50C930"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0.385</w:t>
            </w:r>
          </w:p>
        </w:tc>
        <w:tc>
          <w:tcPr>
            <w:tcW w:w="1076" w:type="dxa"/>
            <w:tcBorders>
              <w:top w:val="single" w:sz="4" w:space="0" w:color="auto"/>
            </w:tcBorders>
            <w:shd w:val="clear" w:color="auto" w:fill="E7F3F4"/>
            <w:noWrap/>
            <w:vAlign w:val="bottom"/>
            <w:hideMark/>
          </w:tcPr>
          <w:p w14:paraId="324312D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0.0769</w:t>
            </w:r>
          </w:p>
        </w:tc>
        <w:tc>
          <w:tcPr>
            <w:tcW w:w="2475" w:type="dxa"/>
            <w:tcBorders>
              <w:top w:val="single" w:sz="4" w:space="0" w:color="auto"/>
            </w:tcBorders>
            <w:shd w:val="clear" w:color="auto" w:fill="E7F3F4"/>
            <w:noWrap/>
            <w:vAlign w:val="bottom"/>
            <w:hideMark/>
          </w:tcPr>
          <w:p w14:paraId="5236011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2.768</w:t>
            </w:r>
          </w:p>
        </w:tc>
        <w:tc>
          <w:tcPr>
            <w:tcW w:w="1068" w:type="dxa"/>
            <w:tcBorders>
              <w:top w:val="single" w:sz="4" w:space="0" w:color="auto"/>
            </w:tcBorders>
            <w:shd w:val="clear" w:color="auto" w:fill="E7F3F4"/>
            <w:noWrap/>
            <w:vAlign w:val="center"/>
            <w:hideMark/>
          </w:tcPr>
          <w:p w14:paraId="7CD3CFE6"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no trend</w:t>
            </w:r>
          </w:p>
        </w:tc>
      </w:tr>
      <w:tr w:rsidR="00BB7DFF" w:rsidRPr="00CB093C" w14:paraId="6C80FD29" w14:textId="77777777" w:rsidTr="00BE5D0E">
        <w:trPr>
          <w:cantSplit/>
          <w:trHeight w:val="312"/>
          <w:jc w:val="center"/>
        </w:trPr>
        <w:tc>
          <w:tcPr>
            <w:tcW w:w="2028" w:type="dxa"/>
            <w:vMerge/>
            <w:shd w:val="clear" w:color="auto" w:fill="E7F3F4"/>
            <w:noWrap/>
            <w:vAlign w:val="center"/>
          </w:tcPr>
          <w:p w14:paraId="5A5DC45B"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tcPr>
          <w:p w14:paraId="5A42CD4B"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4FCAA836"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JR2</w:t>
            </w:r>
          </w:p>
        </w:tc>
        <w:tc>
          <w:tcPr>
            <w:tcW w:w="1078" w:type="dxa"/>
            <w:tcBorders>
              <w:bottom w:val="single" w:sz="4" w:space="0" w:color="auto"/>
            </w:tcBorders>
            <w:shd w:val="clear" w:color="auto" w:fill="E7F3F4"/>
            <w:vAlign w:val="center"/>
          </w:tcPr>
          <w:p w14:paraId="2CA4040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2012</w:t>
            </w:r>
          </w:p>
        </w:tc>
        <w:tc>
          <w:tcPr>
            <w:tcW w:w="1068" w:type="dxa"/>
            <w:tcBorders>
              <w:bottom w:val="single" w:sz="4" w:space="0" w:color="auto"/>
            </w:tcBorders>
            <w:shd w:val="clear" w:color="auto" w:fill="E7F3F4"/>
            <w:vAlign w:val="center"/>
          </w:tcPr>
          <w:p w14:paraId="2B3B1CF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E7F3F4"/>
            <w:vAlign w:val="center"/>
          </w:tcPr>
          <w:p w14:paraId="15D21D5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12</w:t>
            </w:r>
          </w:p>
        </w:tc>
        <w:tc>
          <w:tcPr>
            <w:tcW w:w="1078" w:type="dxa"/>
            <w:tcBorders>
              <w:bottom w:val="single" w:sz="4" w:space="0" w:color="auto"/>
            </w:tcBorders>
            <w:shd w:val="clear" w:color="auto" w:fill="E7F3F4"/>
            <w:noWrap/>
            <w:vAlign w:val="bottom"/>
            <w:hideMark/>
          </w:tcPr>
          <w:p w14:paraId="38BBAF7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0.758</w:t>
            </w:r>
          </w:p>
        </w:tc>
        <w:tc>
          <w:tcPr>
            <w:tcW w:w="1076" w:type="dxa"/>
            <w:tcBorders>
              <w:bottom w:val="single" w:sz="4" w:space="0" w:color="auto"/>
            </w:tcBorders>
            <w:shd w:val="clear" w:color="auto" w:fill="E7F3F4"/>
            <w:noWrap/>
            <w:vAlign w:val="bottom"/>
            <w:hideMark/>
          </w:tcPr>
          <w:p w14:paraId="1347A940"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0.0008</w:t>
            </w:r>
          </w:p>
        </w:tc>
        <w:tc>
          <w:tcPr>
            <w:tcW w:w="2475" w:type="dxa"/>
            <w:tcBorders>
              <w:bottom w:val="single" w:sz="4" w:space="0" w:color="auto"/>
            </w:tcBorders>
            <w:shd w:val="clear" w:color="auto" w:fill="E7F3F4"/>
            <w:noWrap/>
            <w:vAlign w:val="bottom"/>
            <w:hideMark/>
          </w:tcPr>
          <w:p w14:paraId="3F34AC2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4.038</w:t>
            </w:r>
            <w:r w:rsidRPr="00CB093C">
              <w:rPr>
                <w:rFonts w:ascii="Arial" w:hAnsi="Arial" w:cs="Arial"/>
                <w:color w:val="000000"/>
              </w:rPr>
              <w:t xml:space="preserve"> (2.317 to 7.585)</w:t>
            </w:r>
          </w:p>
        </w:tc>
        <w:tc>
          <w:tcPr>
            <w:tcW w:w="1068" w:type="dxa"/>
            <w:tcBorders>
              <w:bottom w:val="single" w:sz="4" w:space="0" w:color="auto"/>
            </w:tcBorders>
            <w:shd w:val="clear" w:color="auto" w:fill="E7F3F4"/>
            <w:noWrap/>
            <w:vAlign w:val="center"/>
            <w:hideMark/>
          </w:tcPr>
          <w:p w14:paraId="62BC4A7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increase</w:t>
            </w:r>
          </w:p>
        </w:tc>
      </w:tr>
      <w:tr w:rsidR="00BB7DFF" w:rsidRPr="00CB093C" w14:paraId="3F0CD283" w14:textId="77777777" w:rsidTr="00BE5D0E">
        <w:trPr>
          <w:cantSplit/>
          <w:trHeight w:val="312"/>
          <w:jc w:val="center"/>
        </w:trPr>
        <w:tc>
          <w:tcPr>
            <w:tcW w:w="2028" w:type="dxa"/>
            <w:vMerge/>
            <w:shd w:val="clear" w:color="auto" w:fill="E7F3F4"/>
            <w:noWrap/>
            <w:vAlign w:val="center"/>
          </w:tcPr>
          <w:p w14:paraId="2B7CF080" w14:textId="77777777" w:rsidR="00BB7DFF" w:rsidRPr="00CB093C" w:rsidRDefault="00BB7DFF" w:rsidP="00BE5D0E">
            <w:pPr>
              <w:pStyle w:val="BodyText"/>
              <w:spacing w:after="0"/>
              <w:jc w:val="left"/>
              <w:rPr>
                <w:rFonts w:ascii="Arial" w:hAnsi="Arial" w:cs="Arial"/>
                <w:color w:val="000000"/>
              </w:rPr>
            </w:pPr>
          </w:p>
        </w:tc>
        <w:tc>
          <w:tcPr>
            <w:tcW w:w="1874" w:type="dxa"/>
            <w:vMerge w:val="restart"/>
            <w:tcBorders>
              <w:top w:val="single" w:sz="4" w:space="0" w:color="auto"/>
            </w:tcBorders>
            <w:shd w:val="clear" w:color="auto" w:fill="E7F3F4"/>
            <w:noWrap/>
            <w:vAlign w:val="center"/>
            <w:hideMark/>
          </w:tcPr>
          <w:p w14:paraId="732339D6"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reef intertidal</w:t>
            </w:r>
          </w:p>
        </w:tc>
        <w:tc>
          <w:tcPr>
            <w:tcW w:w="720" w:type="dxa"/>
            <w:tcBorders>
              <w:top w:val="single" w:sz="4" w:space="0" w:color="auto"/>
            </w:tcBorders>
            <w:shd w:val="clear" w:color="auto" w:fill="E7F3F4"/>
            <w:noWrap/>
            <w:vAlign w:val="center"/>
            <w:hideMark/>
          </w:tcPr>
          <w:p w14:paraId="296EB0B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MI1</w:t>
            </w:r>
          </w:p>
        </w:tc>
        <w:tc>
          <w:tcPr>
            <w:tcW w:w="1078" w:type="dxa"/>
            <w:tcBorders>
              <w:top w:val="single" w:sz="4" w:space="0" w:color="auto"/>
            </w:tcBorders>
            <w:shd w:val="clear" w:color="auto" w:fill="E7F3F4"/>
            <w:vAlign w:val="center"/>
          </w:tcPr>
          <w:p w14:paraId="167D4A2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top w:val="single" w:sz="4" w:space="0" w:color="auto"/>
            </w:tcBorders>
            <w:shd w:val="clear" w:color="auto" w:fill="E7F3F4"/>
            <w:vAlign w:val="center"/>
          </w:tcPr>
          <w:p w14:paraId="5F92511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E7F3F4"/>
            <w:vAlign w:val="center"/>
          </w:tcPr>
          <w:p w14:paraId="0B3DF5E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52</w:t>
            </w:r>
          </w:p>
        </w:tc>
        <w:tc>
          <w:tcPr>
            <w:tcW w:w="1078" w:type="dxa"/>
            <w:tcBorders>
              <w:top w:val="single" w:sz="4" w:space="0" w:color="auto"/>
            </w:tcBorders>
            <w:shd w:val="clear" w:color="auto" w:fill="E7F3F4"/>
            <w:noWrap/>
            <w:vAlign w:val="bottom"/>
            <w:hideMark/>
          </w:tcPr>
          <w:p w14:paraId="630EDC15"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-0.162</w:t>
            </w:r>
          </w:p>
        </w:tc>
        <w:tc>
          <w:tcPr>
            <w:tcW w:w="1076" w:type="dxa"/>
            <w:tcBorders>
              <w:top w:val="single" w:sz="4" w:space="0" w:color="auto"/>
            </w:tcBorders>
            <w:shd w:val="clear" w:color="auto" w:fill="E7F3F4"/>
            <w:noWrap/>
            <w:vAlign w:val="bottom"/>
            <w:hideMark/>
          </w:tcPr>
          <w:p w14:paraId="4C1DEA9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0.4333</w:t>
            </w:r>
          </w:p>
        </w:tc>
        <w:tc>
          <w:tcPr>
            <w:tcW w:w="2475" w:type="dxa"/>
            <w:tcBorders>
              <w:top w:val="single" w:sz="4" w:space="0" w:color="auto"/>
            </w:tcBorders>
            <w:shd w:val="clear" w:color="auto" w:fill="E7F3F4"/>
            <w:noWrap/>
            <w:vAlign w:val="bottom"/>
            <w:hideMark/>
          </w:tcPr>
          <w:p w14:paraId="32BCADD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-0.222</w:t>
            </w:r>
          </w:p>
        </w:tc>
        <w:tc>
          <w:tcPr>
            <w:tcW w:w="1068" w:type="dxa"/>
            <w:tcBorders>
              <w:top w:val="single" w:sz="4" w:space="0" w:color="auto"/>
            </w:tcBorders>
            <w:shd w:val="clear" w:color="auto" w:fill="E7F3F4"/>
            <w:noWrap/>
            <w:vAlign w:val="center"/>
            <w:hideMark/>
          </w:tcPr>
          <w:p w14:paraId="0B650F68"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no trend</w:t>
            </w:r>
          </w:p>
        </w:tc>
      </w:tr>
      <w:tr w:rsidR="00BB7DFF" w:rsidRPr="00CB093C" w14:paraId="7C88130A" w14:textId="77777777" w:rsidTr="00BE5D0E">
        <w:trPr>
          <w:cantSplit/>
          <w:trHeight w:val="312"/>
          <w:jc w:val="center"/>
        </w:trPr>
        <w:tc>
          <w:tcPr>
            <w:tcW w:w="2028" w:type="dxa"/>
            <w:vMerge/>
            <w:shd w:val="clear" w:color="auto" w:fill="E7F3F4"/>
            <w:noWrap/>
            <w:vAlign w:val="center"/>
          </w:tcPr>
          <w:p w14:paraId="69F4BB3D"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E7F3F4"/>
            <w:noWrap/>
            <w:vAlign w:val="center"/>
          </w:tcPr>
          <w:p w14:paraId="6CBFF038"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1A6F851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MI2</w:t>
            </w:r>
          </w:p>
        </w:tc>
        <w:tc>
          <w:tcPr>
            <w:tcW w:w="1078" w:type="dxa"/>
            <w:tcBorders>
              <w:bottom w:val="single" w:sz="4" w:space="0" w:color="auto"/>
            </w:tcBorders>
            <w:shd w:val="clear" w:color="auto" w:fill="E7F3F4"/>
            <w:vAlign w:val="center"/>
          </w:tcPr>
          <w:p w14:paraId="43526B3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bottom w:val="single" w:sz="4" w:space="0" w:color="auto"/>
            </w:tcBorders>
            <w:shd w:val="clear" w:color="auto" w:fill="E7F3F4"/>
            <w:vAlign w:val="center"/>
          </w:tcPr>
          <w:p w14:paraId="4BE9353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E7F3F4"/>
            <w:vAlign w:val="center"/>
          </w:tcPr>
          <w:p w14:paraId="4CAA627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50</w:t>
            </w:r>
          </w:p>
        </w:tc>
        <w:tc>
          <w:tcPr>
            <w:tcW w:w="1078" w:type="dxa"/>
            <w:tcBorders>
              <w:bottom w:val="single" w:sz="4" w:space="0" w:color="auto"/>
            </w:tcBorders>
            <w:shd w:val="clear" w:color="auto" w:fill="E7F3F4"/>
            <w:noWrap/>
            <w:vAlign w:val="bottom"/>
            <w:hideMark/>
          </w:tcPr>
          <w:p w14:paraId="3F8FEB2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-0.112</w:t>
            </w:r>
          </w:p>
        </w:tc>
        <w:tc>
          <w:tcPr>
            <w:tcW w:w="1076" w:type="dxa"/>
            <w:tcBorders>
              <w:bottom w:val="single" w:sz="4" w:space="0" w:color="auto"/>
            </w:tcBorders>
            <w:shd w:val="clear" w:color="auto" w:fill="E7F3F4"/>
            <w:noWrap/>
            <w:vAlign w:val="bottom"/>
            <w:hideMark/>
          </w:tcPr>
          <w:p w14:paraId="0F3E4B4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0.3612</w:t>
            </w:r>
          </w:p>
        </w:tc>
        <w:tc>
          <w:tcPr>
            <w:tcW w:w="2475" w:type="dxa"/>
            <w:tcBorders>
              <w:bottom w:val="single" w:sz="4" w:space="0" w:color="auto"/>
            </w:tcBorders>
            <w:shd w:val="clear" w:color="auto" w:fill="E7F3F4"/>
            <w:noWrap/>
            <w:vAlign w:val="bottom"/>
            <w:hideMark/>
          </w:tcPr>
          <w:p w14:paraId="63D9ED0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-0.191</w:t>
            </w:r>
          </w:p>
        </w:tc>
        <w:tc>
          <w:tcPr>
            <w:tcW w:w="1068" w:type="dxa"/>
            <w:tcBorders>
              <w:bottom w:val="single" w:sz="4" w:space="0" w:color="auto"/>
            </w:tcBorders>
            <w:shd w:val="clear" w:color="auto" w:fill="E7F3F4"/>
            <w:noWrap/>
            <w:vAlign w:val="center"/>
            <w:hideMark/>
          </w:tcPr>
          <w:p w14:paraId="3A662AE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0747BB0" w14:textId="77777777" w:rsidTr="00BE5D0E">
        <w:trPr>
          <w:cantSplit/>
          <w:trHeight w:val="312"/>
          <w:jc w:val="center"/>
        </w:trPr>
        <w:tc>
          <w:tcPr>
            <w:tcW w:w="2028" w:type="dxa"/>
            <w:vMerge/>
            <w:shd w:val="clear" w:color="auto" w:fill="E7F3F4"/>
            <w:noWrap/>
            <w:vAlign w:val="center"/>
          </w:tcPr>
          <w:p w14:paraId="0B4F58E7"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bottom w:val="single" w:sz="4" w:space="0" w:color="auto"/>
            </w:tcBorders>
            <w:shd w:val="clear" w:color="auto" w:fill="E7F3F4"/>
            <w:noWrap/>
            <w:vAlign w:val="center"/>
          </w:tcPr>
          <w:p w14:paraId="7E12498A"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reef subtidal</w:t>
            </w:r>
          </w:p>
        </w:tc>
        <w:tc>
          <w:tcPr>
            <w:tcW w:w="720" w:type="dxa"/>
            <w:tcBorders>
              <w:top w:val="single" w:sz="4" w:space="0" w:color="auto"/>
              <w:bottom w:val="single" w:sz="4" w:space="0" w:color="auto"/>
            </w:tcBorders>
            <w:shd w:val="clear" w:color="auto" w:fill="E7F3F4"/>
            <w:noWrap/>
            <w:vAlign w:val="center"/>
            <w:hideMark/>
          </w:tcPr>
          <w:p w14:paraId="1E9C391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MI3</w:t>
            </w:r>
          </w:p>
        </w:tc>
        <w:tc>
          <w:tcPr>
            <w:tcW w:w="1078" w:type="dxa"/>
            <w:tcBorders>
              <w:top w:val="single" w:sz="4" w:space="0" w:color="auto"/>
              <w:bottom w:val="single" w:sz="4" w:space="0" w:color="auto"/>
            </w:tcBorders>
            <w:shd w:val="clear" w:color="auto" w:fill="E7F3F4"/>
            <w:vAlign w:val="center"/>
          </w:tcPr>
          <w:p w14:paraId="6A4791F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2008</w:t>
            </w:r>
          </w:p>
        </w:tc>
        <w:tc>
          <w:tcPr>
            <w:tcW w:w="1068" w:type="dxa"/>
            <w:tcBorders>
              <w:top w:val="single" w:sz="4" w:space="0" w:color="auto"/>
              <w:bottom w:val="single" w:sz="4" w:space="0" w:color="auto"/>
            </w:tcBorders>
            <w:shd w:val="clear" w:color="auto" w:fill="E7F3F4"/>
            <w:vAlign w:val="center"/>
          </w:tcPr>
          <w:p w14:paraId="56B732F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bottom w:val="single" w:sz="4" w:space="0" w:color="auto"/>
            </w:tcBorders>
            <w:shd w:val="clear" w:color="auto" w:fill="E7F3F4"/>
            <w:vAlign w:val="center"/>
          </w:tcPr>
          <w:p w14:paraId="4D2B8BE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41</w:t>
            </w:r>
          </w:p>
        </w:tc>
        <w:tc>
          <w:tcPr>
            <w:tcW w:w="1078" w:type="dxa"/>
            <w:tcBorders>
              <w:top w:val="single" w:sz="4" w:space="0" w:color="auto"/>
              <w:bottom w:val="single" w:sz="4" w:space="0" w:color="auto"/>
            </w:tcBorders>
            <w:shd w:val="clear" w:color="auto" w:fill="E7F3F4"/>
            <w:noWrap/>
            <w:vAlign w:val="bottom"/>
            <w:hideMark/>
          </w:tcPr>
          <w:p w14:paraId="1AA2995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0.239</w:t>
            </w:r>
          </w:p>
        </w:tc>
        <w:tc>
          <w:tcPr>
            <w:tcW w:w="1076" w:type="dxa"/>
            <w:tcBorders>
              <w:top w:val="single" w:sz="4" w:space="0" w:color="auto"/>
              <w:bottom w:val="single" w:sz="4" w:space="0" w:color="auto"/>
            </w:tcBorders>
            <w:shd w:val="clear" w:color="auto" w:fill="E7F3F4"/>
            <w:noWrap/>
            <w:vAlign w:val="bottom"/>
            <w:hideMark/>
          </w:tcPr>
          <w:p w14:paraId="6AE0C36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0.1746</w:t>
            </w:r>
          </w:p>
        </w:tc>
        <w:tc>
          <w:tcPr>
            <w:tcW w:w="2475" w:type="dxa"/>
            <w:tcBorders>
              <w:top w:val="single" w:sz="4" w:space="0" w:color="auto"/>
              <w:bottom w:val="single" w:sz="4" w:space="0" w:color="auto"/>
            </w:tcBorders>
            <w:shd w:val="clear" w:color="auto" w:fill="E7F3F4"/>
            <w:noWrap/>
            <w:vAlign w:val="bottom"/>
            <w:hideMark/>
          </w:tcPr>
          <w:p w14:paraId="4BB5B789"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0.607</w:t>
            </w:r>
          </w:p>
        </w:tc>
        <w:tc>
          <w:tcPr>
            <w:tcW w:w="1068" w:type="dxa"/>
            <w:tcBorders>
              <w:top w:val="single" w:sz="4" w:space="0" w:color="auto"/>
              <w:bottom w:val="single" w:sz="4" w:space="0" w:color="auto"/>
            </w:tcBorders>
            <w:shd w:val="clear" w:color="auto" w:fill="E7F3F4"/>
            <w:noWrap/>
            <w:vAlign w:val="center"/>
            <w:hideMark/>
          </w:tcPr>
          <w:p w14:paraId="154EF0B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no trend</w:t>
            </w:r>
          </w:p>
        </w:tc>
      </w:tr>
      <w:tr w:rsidR="00BB7DFF" w:rsidRPr="00CB093C" w14:paraId="001A33C2" w14:textId="77777777" w:rsidTr="00BE5D0E">
        <w:trPr>
          <w:cantSplit/>
          <w:trHeight w:val="312"/>
          <w:jc w:val="center"/>
        </w:trPr>
        <w:tc>
          <w:tcPr>
            <w:tcW w:w="2028" w:type="dxa"/>
            <w:tcBorders>
              <w:bottom w:val="single" w:sz="4" w:space="0" w:color="auto"/>
            </w:tcBorders>
            <w:shd w:val="clear" w:color="auto" w:fill="E7F3F4"/>
            <w:noWrap/>
            <w:vAlign w:val="center"/>
          </w:tcPr>
          <w:p w14:paraId="5FB9CA0E"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bottom w:val="single" w:sz="4" w:space="0" w:color="auto"/>
            </w:tcBorders>
            <w:shd w:val="clear" w:color="auto" w:fill="D9D9D9" w:themeFill="background1" w:themeFillShade="D9"/>
            <w:noWrap/>
            <w:vAlign w:val="center"/>
          </w:tcPr>
          <w:p w14:paraId="758960FC"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325AA4F3" w14:textId="77777777" w:rsidR="00BB7DFF" w:rsidRPr="00CB093C" w:rsidRDefault="00BB7DFF" w:rsidP="00BE5D0E">
            <w:pPr>
              <w:pStyle w:val="BodyText"/>
              <w:spacing w:after="0"/>
              <w:jc w:val="center"/>
              <w:rPr>
                <w:rFonts w:ascii="Arial" w:hAnsi="Arial" w:cs="Arial"/>
                <w:b/>
                <w:color w:val="000000"/>
              </w:rPr>
            </w:pPr>
          </w:p>
        </w:tc>
        <w:tc>
          <w:tcPr>
            <w:tcW w:w="1078" w:type="dxa"/>
            <w:tcBorders>
              <w:top w:val="single" w:sz="4" w:space="0" w:color="auto"/>
              <w:bottom w:val="single" w:sz="4" w:space="0" w:color="auto"/>
            </w:tcBorders>
            <w:shd w:val="clear" w:color="auto" w:fill="D9D9D9" w:themeFill="background1" w:themeFillShade="D9"/>
            <w:vAlign w:val="center"/>
          </w:tcPr>
          <w:p w14:paraId="5A76CC6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2001</w:t>
            </w:r>
          </w:p>
        </w:tc>
        <w:tc>
          <w:tcPr>
            <w:tcW w:w="1068" w:type="dxa"/>
            <w:tcBorders>
              <w:top w:val="single" w:sz="4" w:space="0" w:color="auto"/>
              <w:bottom w:val="single" w:sz="4" w:space="0" w:color="auto"/>
            </w:tcBorders>
            <w:shd w:val="clear" w:color="auto" w:fill="D9D9D9" w:themeFill="background1" w:themeFillShade="D9"/>
            <w:vAlign w:val="center"/>
          </w:tcPr>
          <w:p w14:paraId="1A8D5CB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bottom w:val="single" w:sz="4" w:space="0" w:color="auto"/>
            </w:tcBorders>
            <w:shd w:val="clear" w:color="auto" w:fill="D9D9D9" w:themeFill="background1" w:themeFillShade="D9"/>
            <w:vAlign w:val="center"/>
          </w:tcPr>
          <w:p w14:paraId="3C2BDB7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68</w:t>
            </w:r>
          </w:p>
        </w:tc>
        <w:tc>
          <w:tcPr>
            <w:tcW w:w="1078" w:type="dxa"/>
            <w:tcBorders>
              <w:top w:val="single" w:sz="4" w:space="0" w:color="auto"/>
              <w:bottom w:val="single" w:sz="4" w:space="0" w:color="auto"/>
            </w:tcBorders>
            <w:shd w:val="clear" w:color="auto" w:fill="D9D9D9" w:themeFill="background1" w:themeFillShade="D9"/>
            <w:noWrap/>
            <w:vAlign w:val="center"/>
          </w:tcPr>
          <w:p w14:paraId="7990048D"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0.04</w:t>
            </w:r>
          </w:p>
        </w:tc>
        <w:tc>
          <w:tcPr>
            <w:tcW w:w="1076" w:type="dxa"/>
            <w:tcBorders>
              <w:top w:val="single" w:sz="4" w:space="0" w:color="auto"/>
              <w:bottom w:val="single" w:sz="4" w:space="0" w:color="auto"/>
            </w:tcBorders>
            <w:shd w:val="clear" w:color="auto" w:fill="D9D9D9" w:themeFill="background1" w:themeFillShade="D9"/>
            <w:noWrap/>
            <w:vAlign w:val="center"/>
          </w:tcPr>
          <w:p w14:paraId="250B93A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0.772</w:t>
            </w:r>
          </w:p>
        </w:tc>
        <w:tc>
          <w:tcPr>
            <w:tcW w:w="2475" w:type="dxa"/>
            <w:tcBorders>
              <w:top w:val="single" w:sz="4" w:space="0" w:color="auto"/>
              <w:bottom w:val="single" w:sz="4" w:space="0" w:color="auto"/>
            </w:tcBorders>
            <w:shd w:val="clear" w:color="auto" w:fill="D9D9D9" w:themeFill="background1" w:themeFillShade="D9"/>
            <w:noWrap/>
            <w:vAlign w:val="center"/>
          </w:tcPr>
          <w:p w14:paraId="482B4B7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0.035</w:t>
            </w:r>
          </w:p>
        </w:tc>
        <w:tc>
          <w:tcPr>
            <w:tcW w:w="1068" w:type="dxa"/>
            <w:tcBorders>
              <w:top w:val="single" w:sz="4" w:space="0" w:color="auto"/>
              <w:bottom w:val="single" w:sz="4" w:space="0" w:color="auto"/>
            </w:tcBorders>
            <w:shd w:val="clear" w:color="auto" w:fill="D9D9D9" w:themeFill="background1" w:themeFillShade="D9"/>
            <w:noWrap/>
            <w:vAlign w:val="center"/>
          </w:tcPr>
          <w:p w14:paraId="3FFA4AF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no trend</w:t>
            </w:r>
          </w:p>
        </w:tc>
      </w:tr>
      <w:tr w:rsidR="00BB7DFF" w:rsidRPr="00CB093C" w14:paraId="25A31195" w14:textId="77777777" w:rsidTr="00BE5D0E">
        <w:trPr>
          <w:cantSplit/>
          <w:trHeight w:val="312"/>
          <w:jc w:val="center"/>
        </w:trPr>
        <w:tc>
          <w:tcPr>
            <w:tcW w:w="2028" w:type="dxa"/>
            <w:vMerge w:val="restart"/>
            <w:tcBorders>
              <w:top w:val="single" w:sz="4" w:space="0" w:color="auto"/>
            </w:tcBorders>
            <w:shd w:val="clear" w:color="auto" w:fill="F3F9FA"/>
            <w:noWrap/>
            <w:vAlign w:val="center"/>
          </w:tcPr>
          <w:p w14:paraId="08404709" w14:textId="0E06D96F" w:rsidR="00BB7DFF" w:rsidRPr="00CB093C" w:rsidRDefault="00637325" w:rsidP="00BE5D0E">
            <w:pPr>
              <w:pStyle w:val="BodyText"/>
              <w:spacing w:after="0"/>
              <w:jc w:val="left"/>
              <w:rPr>
                <w:rFonts w:ascii="Arial" w:hAnsi="Arial" w:cs="Arial"/>
                <w:color w:val="000000"/>
              </w:rPr>
            </w:pPr>
            <w:r>
              <w:rPr>
                <w:rFonts w:ascii="Arial" w:hAnsi="Arial" w:cs="Arial"/>
                <w:color w:val="000000"/>
              </w:rPr>
              <w:t>Mackay-Whitsunday</w:t>
            </w:r>
          </w:p>
        </w:tc>
        <w:tc>
          <w:tcPr>
            <w:tcW w:w="1874" w:type="dxa"/>
            <w:tcBorders>
              <w:top w:val="single" w:sz="4" w:space="0" w:color="auto"/>
            </w:tcBorders>
            <w:shd w:val="clear" w:color="auto" w:fill="F3F9FA"/>
            <w:noWrap/>
            <w:vAlign w:val="center"/>
            <w:hideMark/>
          </w:tcPr>
          <w:p w14:paraId="24F1E888"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estuarine intertidal</w:t>
            </w:r>
          </w:p>
        </w:tc>
        <w:tc>
          <w:tcPr>
            <w:tcW w:w="720" w:type="dxa"/>
            <w:tcBorders>
              <w:top w:val="single" w:sz="4" w:space="0" w:color="auto"/>
            </w:tcBorders>
            <w:shd w:val="clear" w:color="auto" w:fill="F3F9FA"/>
            <w:noWrap/>
            <w:vAlign w:val="center"/>
            <w:hideMark/>
          </w:tcPr>
          <w:p w14:paraId="6F727D7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SI1</w:t>
            </w:r>
          </w:p>
        </w:tc>
        <w:tc>
          <w:tcPr>
            <w:tcW w:w="1078" w:type="dxa"/>
            <w:tcBorders>
              <w:top w:val="single" w:sz="4" w:space="0" w:color="auto"/>
            </w:tcBorders>
            <w:shd w:val="clear" w:color="auto" w:fill="F3F9FA"/>
            <w:vAlign w:val="center"/>
          </w:tcPr>
          <w:p w14:paraId="1644278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top w:val="single" w:sz="4" w:space="0" w:color="auto"/>
            </w:tcBorders>
            <w:shd w:val="clear" w:color="auto" w:fill="F3F9FA"/>
            <w:vAlign w:val="center"/>
          </w:tcPr>
          <w:p w14:paraId="4FADD18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5A4C975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31</w:t>
            </w:r>
          </w:p>
        </w:tc>
        <w:tc>
          <w:tcPr>
            <w:tcW w:w="1078" w:type="dxa"/>
            <w:tcBorders>
              <w:top w:val="single" w:sz="4" w:space="0" w:color="auto"/>
            </w:tcBorders>
            <w:shd w:val="clear" w:color="auto" w:fill="F3F9FA"/>
            <w:noWrap/>
            <w:vAlign w:val="bottom"/>
            <w:hideMark/>
          </w:tcPr>
          <w:p w14:paraId="4757AAC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-0.161</w:t>
            </w:r>
          </w:p>
        </w:tc>
        <w:tc>
          <w:tcPr>
            <w:tcW w:w="1076" w:type="dxa"/>
            <w:tcBorders>
              <w:top w:val="single" w:sz="4" w:space="0" w:color="auto"/>
            </w:tcBorders>
            <w:shd w:val="clear" w:color="auto" w:fill="F3F9FA"/>
            <w:noWrap/>
            <w:vAlign w:val="bottom"/>
            <w:hideMark/>
          </w:tcPr>
          <w:p w14:paraId="093F153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0.2085</w:t>
            </w:r>
          </w:p>
        </w:tc>
        <w:tc>
          <w:tcPr>
            <w:tcW w:w="2475" w:type="dxa"/>
            <w:tcBorders>
              <w:top w:val="single" w:sz="4" w:space="0" w:color="auto"/>
            </w:tcBorders>
            <w:shd w:val="clear" w:color="auto" w:fill="F3F9FA"/>
            <w:noWrap/>
            <w:vAlign w:val="bottom"/>
            <w:hideMark/>
          </w:tcPr>
          <w:p w14:paraId="541CD98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-0.160</w:t>
            </w:r>
          </w:p>
        </w:tc>
        <w:tc>
          <w:tcPr>
            <w:tcW w:w="1068" w:type="dxa"/>
            <w:tcBorders>
              <w:top w:val="single" w:sz="4" w:space="0" w:color="auto"/>
            </w:tcBorders>
            <w:shd w:val="clear" w:color="auto" w:fill="F3F9FA"/>
            <w:noWrap/>
            <w:vAlign w:val="center"/>
          </w:tcPr>
          <w:p w14:paraId="71D2235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666634B" w14:textId="77777777" w:rsidTr="00BE5D0E">
        <w:trPr>
          <w:cantSplit/>
          <w:trHeight w:val="312"/>
          <w:jc w:val="center"/>
        </w:trPr>
        <w:tc>
          <w:tcPr>
            <w:tcW w:w="2028" w:type="dxa"/>
            <w:vMerge/>
            <w:shd w:val="clear" w:color="auto" w:fill="F3F9FA"/>
            <w:noWrap/>
            <w:vAlign w:val="center"/>
          </w:tcPr>
          <w:p w14:paraId="7BE64B88" w14:textId="77777777" w:rsidR="00BB7DFF" w:rsidRPr="00CB093C" w:rsidRDefault="00BB7DFF" w:rsidP="00BE5D0E">
            <w:pPr>
              <w:pStyle w:val="BodyText"/>
              <w:spacing w:after="0"/>
              <w:jc w:val="left"/>
              <w:rPr>
                <w:rFonts w:ascii="Arial" w:hAnsi="Arial" w:cs="Arial"/>
                <w:color w:val="000000"/>
              </w:rPr>
            </w:pPr>
          </w:p>
        </w:tc>
        <w:tc>
          <w:tcPr>
            <w:tcW w:w="1874" w:type="dxa"/>
            <w:tcBorders>
              <w:bottom w:val="single" w:sz="4" w:space="0" w:color="auto"/>
            </w:tcBorders>
            <w:shd w:val="clear" w:color="auto" w:fill="F3F9FA"/>
            <w:noWrap/>
            <w:vAlign w:val="center"/>
            <w:hideMark/>
          </w:tcPr>
          <w:p w14:paraId="4CEC8868"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2939DC1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SI2</w:t>
            </w:r>
          </w:p>
        </w:tc>
        <w:tc>
          <w:tcPr>
            <w:tcW w:w="1078" w:type="dxa"/>
            <w:tcBorders>
              <w:bottom w:val="single" w:sz="4" w:space="0" w:color="auto"/>
            </w:tcBorders>
            <w:shd w:val="clear" w:color="auto" w:fill="F3F9FA"/>
            <w:vAlign w:val="center"/>
          </w:tcPr>
          <w:p w14:paraId="2BBE38A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bottom w:val="single" w:sz="4" w:space="0" w:color="auto"/>
            </w:tcBorders>
            <w:shd w:val="clear" w:color="auto" w:fill="F3F9FA"/>
            <w:vAlign w:val="center"/>
          </w:tcPr>
          <w:p w14:paraId="3B910D2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46B275D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26</w:t>
            </w:r>
          </w:p>
        </w:tc>
        <w:tc>
          <w:tcPr>
            <w:tcW w:w="1078" w:type="dxa"/>
            <w:tcBorders>
              <w:bottom w:val="single" w:sz="4" w:space="0" w:color="auto"/>
            </w:tcBorders>
            <w:shd w:val="clear" w:color="auto" w:fill="F3F9FA"/>
            <w:noWrap/>
            <w:vAlign w:val="bottom"/>
            <w:hideMark/>
          </w:tcPr>
          <w:p w14:paraId="4760CAA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0.052</w:t>
            </w:r>
          </w:p>
        </w:tc>
        <w:tc>
          <w:tcPr>
            <w:tcW w:w="1076" w:type="dxa"/>
            <w:tcBorders>
              <w:bottom w:val="single" w:sz="4" w:space="0" w:color="auto"/>
            </w:tcBorders>
            <w:shd w:val="clear" w:color="auto" w:fill="F3F9FA"/>
            <w:noWrap/>
            <w:vAlign w:val="bottom"/>
            <w:hideMark/>
          </w:tcPr>
          <w:p w14:paraId="674B059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0.7243</w:t>
            </w:r>
          </w:p>
        </w:tc>
        <w:tc>
          <w:tcPr>
            <w:tcW w:w="2475" w:type="dxa"/>
            <w:tcBorders>
              <w:bottom w:val="single" w:sz="4" w:space="0" w:color="auto"/>
            </w:tcBorders>
            <w:shd w:val="clear" w:color="auto" w:fill="F3F9FA"/>
            <w:noWrap/>
            <w:vAlign w:val="bottom"/>
            <w:hideMark/>
          </w:tcPr>
          <w:p w14:paraId="4422500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0.034</w:t>
            </w:r>
          </w:p>
        </w:tc>
        <w:tc>
          <w:tcPr>
            <w:tcW w:w="1068" w:type="dxa"/>
            <w:tcBorders>
              <w:bottom w:val="single" w:sz="4" w:space="0" w:color="auto"/>
            </w:tcBorders>
            <w:shd w:val="clear" w:color="auto" w:fill="F3F9FA"/>
            <w:noWrap/>
            <w:vAlign w:val="center"/>
          </w:tcPr>
          <w:p w14:paraId="736575D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29C30526" w14:textId="77777777" w:rsidTr="00BE5D0E">
        <w:trPr>
          <w:cantSplit/>
          <w:trHeight w:val="312"/>
          <w:jc w:val="center"/>
        </w:trPr>
        <w:tc>
          <w:tcPr>
            <w:tcW w:w="2028" w:type="dxa"/>
            <w:vMerge/>
            <w:shd w:val="clear" w:color="auto" w:fill="F3F9FA"/>
            <w:noWrap/>
            <w:vAlign w:val="center"/>
          </w:tcPr>
          <w:p w14:paraId="70FBF1E9"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tcBorders>
            <w:shd w:val="clear" w:color="auto" w:fill="F3F9FA"/>
            <w:noWrap/>
            <w:vAlign w:val="center"/>
            <w:hideMark/>
          </w:tcPr>
          <w:p w14:paraId="0C7C644B"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coastal intertidal</w:t>
            </w:r>
          </w:p>
        </w:tc>
        <w:tc>
          <w:tcPr>
            <w:tcW w:w="720" w:type="dxa"/>
            <w:tcBorders>
              <w:top w:val="single" w:sz="4" w:space="0" w:color="auto"/>
            </w:tcBorders>
            <w:shd w:val="clear" w:color="auto" w:fill="F3F9FA"/>
            <w:noWrap/>
            <w:vAlign w:val="center"/>
            <w:hideMark/>
          </w:tcPr>
          <w:p w14:paraId="1B20536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MP2</w:t>
            </w:r>
          </w:p>
        </w:tc>
        <w:tc>
          <w:tcPr>
            <w:tcW w:w="1078" w:type="dxa"/>
            <w:tcBorders>
              <w:top w:val="single" w:sz="4" w:space="0" w:color="auto"/>
            </w:tcBorders>
            <w:shd w:val="clear" w:color="auto" w:fill="F3F9FA"/>
            <w:vAlign w:val="center"/>
          </w:tcPr>
          <w:p w14:paraId="422CA58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2000</w:t>
            </w:r>
          </w:p>
        </w:tc>
        <w:tc>
          <w:tcPr>
            <w:tcW w:w="1068" w:type="dxa"/>
            <w:tcBorders>
              <w:top w:val="single" w:sz="4" w:space="0" w:color="auto"/>
            </w:tcBorders>
            <w:shd w:val="clear" w:color="auto" w:fill="F3F9FA"/>
            <w:vAlign w:val="center"/>
          </w:tcPr>
          <w:p w14:paraId="45D729B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6A6782F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38</w:t>
            </w:r>
          </w:p>
        </w:tc>
        <w:tc>
          <w:tcPr>
            <w:tcW w:w="1078" w:type="dxa"/>
            <w:tcBorders>
              <w:top w:val="single" w:sz="4" w:space="0" w:color="auto"/>
            </w:tcBorders>
            <w:shd w:val="clear" w:color="auto" w:fill="F3F9FA"/>
            <w:noWrap/>
            <w:vAlign w:val="bottom"/>
            <w:hideMark/>
          </w:tcPr>
          <w:p w14:paraId="2017BD0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0.211</w:t>
            </w:r>
          </w:p>
        </w:tc>
        <w:tc>
          <w:tcPr>
            <w:tcW w:w="1076" w:type="dxa"/>
            <w:tcBorders>
              <w:top w:val="single" w:sz="4" w:space="0" w:color="auto"/>
            </w:tcBorders>
            <w:shd w:val="clear" w:color="auto" w:fill="F3F9FA"/>
            <w:noWrap/>
            <w:vAlign w:val="bottom"/>
            <w:hideMark/>
          </w:tcPr>
          <w:p w14:paraId="49BCA9F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0.0646</w:t>
            </w:r>
          </w:p>
        </w:tc>
        <w:tc>
          <w:tcPr>
            <w:tcW w:w="2475" w:type="dxa"/>
            <w:tcBorders>
              <w:top w:val="single" w:sz="4" w:space="0" w:color="auto"/>
            </w:tcBorders>
            <w:shd w:val="clear" w:color="auto" w:fill="F3F9FA"/>
            <w:noWrap/>
            <w:vAlign w:val="bottom"/>
            <w:hideMark/>
          </w:tcPr>
          <w:p w14:paraId="65D02C9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0.204</w:t>
            </w:r>
          </w:p>
        </w:tc>
        <w:tc>
          <w:tcPr>
            <w:tcW w:w="1068" w:type="dxa"/>
            <w:tcBorders>
              <w:top w:val="single" w:sz="4" w:space="0" w:color="auto"/>
            </w:tcBorders>
            <w:shd w:val="clear" w:color="auto" w:fill="F3F9FA"/>
            <w:noWrap/>
            <w:vAlign w:val="center"/>
          </w:tcPr>
          <w:p w14:paraId="7E4B4C8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47457D8" w14:textId="77777777" w:rsidTr="00BE5D0E">
        <w:trPr>
          <w:cantSplit/>
          <w:trHeight w:val="312"/>
          <w:jc w:val="center"/>
        </w:trPr>
        <w:tc>
          <w:tcPr>
            <w:tcW w:w="2028" w:type="dxa"/>
            <w:vMerge/>
            <w:shd w:val="clear" w:color="auto" w:fill="F3F9FA"/>
            <w:noWrap/>
            <w:vAlign w:val="center"/>
          </w:tcPr>
          <w:p w14:paraId="39A94844" w14:textId="77777777" w:rsidR="00BB7DFF" w:rsidRPr="00CB093C" w:rsidRDefault="00BB7DFF" w:rsidP="00BE5D0E">
            <w:pPr>
              <w:pStyle w:val="BodyText"/>
              <w:spacing w:after="0"/>
              <w:jc w:val="left"/>
              <w:rPr>
                <w:rFonts w:ascii="Arial" w:hAnsi="Arial" w:cs="Arial"/>
                <w:color w:val="000000"/>
              </w:rPr>
            </w:pPr>
          </w:p>
        </w:tc>
        <w:tc>
          <w:tcPr>
            <w:tcW w:w="1874" w:type="dxa"/>
            <w:shd w:val="clear" w:color="auto" w:fill="F3F9FA"/>
            <w:noWrap/>
            <w:vAlign w:val="center"/>
          </w:tcPr>
          <w:p w14:paraId="2E461ACB"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527E992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MP3</w:t>
            </w:r>
          </w:p>
        </w:tc>
        <w:tc>
          <w:tcPr>
            <w:tcW w:w="1078" w:type="dxa"/>
            <w:tcBorders>
              <w:bottom w:val="single" w:sz="4" w:space="0" w:color="auto"/>
            </w:tcBorders>
            <w:shd w:val="clear" w:color="auto" w:fill="F3F9FA"/>
            <w:vAlign w:val="center"/>
          </w:tcPr>
          <w:p w14:paraId="5DC6BBA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2000</w:t>
            </w:r>
          </w:p>
        </w:tc>
        <w:tc>
          <w:tcPr>
            <w:tcW w:w="1068" w:type="dxa"/>
            <w:tcBorders>
              <w:bottom w:val="single" w:sz="4" w:space="0" w:color="auto"/>
            </w:tcBorders>
            <w:shd w:val="clear" w:color="auto" w:fill="F3F9FA"/>
            <w:vAlign w:val="center"/>
          </w:tcPr>
          <w:p w14:paraId="2C1A800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0FAECF3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36</w:t>
            </w:r>
          </w:p>
        </w:tc>
        <w:tc>
          <w:tcPr>
            <w:tcW w:w="1078" w:type="dxa"/>
            <w:tcBorders>
              <w:bottom w:val="single" w:sz="4" w:space="0" w:color="auto"/>
            </w:tcBorders>
            <w:shd w:val="clear" w:color="auto" w:fill="F3F9FA"/>
            <w:noWrap/>
            <w:vAlign w:val="bottom"/>
            <w:hideMark/>
          </w:tcPr>
          <w:p w14:paraId="404FFA5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0.108</w:t>
            </w:r>
          </w:p>
        </w:tc>
        <w:tc>
          <w:tcPr>
            <w:tcW w:w="1076" w:type="dxa"/>
            <w:tcBorders>
              <w:bottom w:val="single" w:sz="4" w:space="0" w:color="auto"/>
            </w:tcBorders>
            <w:shd w:val="clear" w:color="auto" w:fill="F3F9FA"/>
            <w:noWrap/>
            <w:vAlign w:val="bottom"/>
            <w:hideMark/>
          </w:tcPr>
          <w:p w14:paraId="5743F6D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0.3615</w:t>
            </w:r>
          </w:p>
        </w:tc>
        <w:tc>
          <w:tcPr>
            <w:tcW w:w="2475" w:type="dxa"/>
            <w:tcBorders>
              <w:bottom w:val="single" w:sz="4" w:space="0" w:color="auto"/>
            </w:tcBorders>
            <w:shd w:val="clear" w:color="auto" w:fill="F3F9FA"/>
            <w:noWrap/>
            <w:vAlign w:val="bottom"/>
            <w:hideMark/>
          </w:tcPr>
          <w:p w14:paraId="6562172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0.064</w:t>
            </w:r>
          </w:p>
        </w:tc>
        <w:tc>
          <w:tcPr>
            <w:tcW w:w="1068" w:type="dxa"/>
            <w:tcBorders>
              <w:bottom w:val="single" w:sz="4" w:space="0" w:color="auto"/>
            </w:tcBorders>
            <w:shd w:val="clear" w:color="auto" w:fill="F3F9FA"/>
            <w:noWrap/>
            <w:vAlign w:val="center"/>
          </w:tcPr>
          <w:p w14:paraId="7F2047E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280E4E93" w14:textId="77777777" w:rsidTr="00BE5D0E">
        <w:trPr>
          <w:cantSplit/>
          <w:trHeight w:val="312"/>
          <w:jc w:val="center"/>
        </w:trPr>
        <w:tc>
          <w:tcPr>
            <w:tcW w:w="2028" w:type="dxa"/>
            <w:vMerge/>
            <w:shd w:val="clear" w:color="auto" w:fill="F3F9FA"/>
            <w:noWrap/>
            <w:vAlign w:val="center"/>
          </w:tcPr>
          <w:p w14:paraId="4E5ABFFA" w14:textId="77777777" w:rsidR="00BB7DFF" w:rsidRPr="00CB093C" w:rsidRDefault="00BB7DFF" w:rsidP="00BE5D0E">
            <w:pPr>
              <w:pStyle w:val="BodyText"/>
              <w:spacing w:after="0"/>
              <w:jc w:val="left"/>
              <w:rPr>
                <w:rFonts w:ascii="Arial" w:hAnsi="Arial" w:cs="Arial"/>
                <w:color w:val="000000"/>
              </w:rPr>
            </w:pPr>
          </w:p>
        </w:tc>
        <w:tc>
          <w:tcPr>
            <w:tcW w:w="1874" w:type="dxa"/>
            <w:shd w:val="clear" w:color="auto" w:fill="F3F9FA"/>
            <w:noWrap/>
            <w:vAlign w:val="center"/>
          </w:tcPr>
          <w:p w14:paraId="0A83B0BE"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tcBorders>
            <w:shd w:val="clear" w:color="auto" w:fill="F3F9FA"/>
            <w:noWrap/>
            <w:vAlign w:val="center"/>
            <w:hideMark/>
          </w:tcPr>
          <w:p w14:paraId="7920111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PI2</w:t>
            </w:r>
          </w:p>
        </w:tc>
        <w:tc>
          <w:tcPr>
            <w:tcW w:w="1078" w:type="dxa"/>
            <w:tcBorders>
              <w:top w:val="single" w:sz="4" w:space="0" w:color="auto"/>
            </w:tcBorders>
            <w:shd w:val="clear" w:color="auto" w:fill="F3F9FA"/>
            <w:vAlign w:val="center"/>
          </w:tcPr>
          <w:p w14:paraId="5E3D3FD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1999</w:t>
            </w:r>
          </w:p>
        </w:tc>
        <w:tc>
          <w:tcPr>
            <w:tcW w:w="1068" w:type="dxa"/>
            <w:tcBorders>
              <w:top w:val="single" w:sz="4" w:space="0" w:color="auto"/>
            </w:tcBorders>
            <w:shd w:val="clear" w:color="auto" w:fill="F3F9FA"/>
            <w:vAlign w:val="center"/>
          </w:tcPr>
          <w:p w14:paraId="6EC68E2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5247EB0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54</w:t>
            </w:r>
          </w:p>
        </w:tc>
        <w:tc>
          <w:tcPr>
            <w:tcW w:w="1078" w:type="dxa"/>
            <w:tcBorders>
              <w:top w:val="single" w:sz="4" w:space="0" w:color="auto"/>
            </w:tcBorders>
            <w:shd w:val="clear" w:color="auto" w:fill="F3F9FA"/>
            <w:noWrap/>
            <w:vAlign w:val="bottom"/>
            <w:hideMark/>
          </w:tcPr>
          <w:p w14:paraId="2C10070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-0.331</w:t>
            </w:r>
          </w:p>
        </w:tc>
        <w:tc>
          <w:tcPr>
            <w:tcW w:w="1076" w:type="dxa"/>
            <w:tcBorders>
              <w:top w:val="single" w:sz="4" w:space="0" w:color="auto"/>
            </w:tcBorders>
            <w:shd w:val="clear" w:color="auto" w:fill="F3F9FA"/>
            <w:noWrap/>
            <w:vAlign w:val="bottom"/>
            <w:hideMark/>
          </w:tcPr>
          <w:p w14:paraId="7DEAFDDE"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&lt;0.0001</w:t>
            </w:r>
          </w:p>
        </w:tc>
        <w:tc>
          <w:tcPr>
            <w:tcW w:w="2475" w:type="dxa"/>
            <w:tcBorders>
              <w:top w:val="single" w:sz="4" w:space="0" w:color="auto"/>
            </w:tcBorders>
            <w:shd w:val="clear" w:color="auto" w:fill="F3F9FA"/>
            <w:noWrap/>
            <w:vAlign w:val="bottom"/>
            <w:hideMark/>
          </w:tcPr>
          <w:p w14:paraId="3B1A3BC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-0.321</w:t>
            </w:r>
            <w:r w:rsidRPr="00CB093C">
              <w:rPr>
                <w:rFonts w:ascii="Arial" w:hAnsi="Arial" w:cs="Arial"/>
                <w:color w:val="000000"/>
              </w:rPr>
              <w:t xml:space="preserve"> (-0.515 to -0.159)</w:t>
            </w:r>
          </w:p>
        </w:tc>
        <w:tc>
          <w:tcPr>
            <w:tcW w:w="1068" w:type="dxa"/>
            <w:tcBorders>
              <w:top w:val="single" w:sz="4" w:space="0" w:color="auto"/>
            </w:tcBorders>
            <w:shd w:val="clear" w:color="auto" w:fill="F3F9FA"/>
            <w:noWrap/>
            <w:vAlign w:val="center"/>
            <w:hideMark/>
          </w:tcPr>
          <w:p w14:paraId="78747DE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14F75E4F" w14:textId="77777777" w:rsidTr="00BE5D0E">
        <w:trPr>
          <w:cantSplit/>
          <w:trHeight w:val="312"/>
          <w:jc w:val="center"/>
        </w:trPr>
        <w:tc>
          <w:tcPr>
            <w:tcW w:w="2028" w:type="dxa"/>
            <w:vMerge/>
            <w:shd w:val="clear" w:color="auto" w:fill="F3F9FA"/>
            <w:noWrap/>
            <w:vAlign w:val="center"/>
          </w:tcPr>
          <w:p w14:paraId="47E92077" w14:textId="77777777" w:rsidR="00BB7DFF" w:rsidRPr="00CB093C" w:rsidRDefault="00BB7DFF" w:rsidP="00BE5D0E">
            <w:pPr>
              <w:pStyle w:val="BodyText"/>
              <w:spacing w:after="0"/>
              <w:jc w:val="left"/>
              <w:rPr>
                <w:rFonts w:ascii="Arial" w:hAnsi="Arial" w:cs="Arial"/>
                <w:color w:val="000000"/>
              </w:rPr>
            </w:pPr>
          </w:p>
        </w:tc>
        <w:tc>
          <w:tcPr>
            <w:tcW w:w="1874" w:type="dxa"/>
            <w:tcBorders>
              <w:bottom w:val="single" w:sz="4" w:space="0" w:color="auto"/>
            </w:tcBorders>
            <w:shd w:val="clear" w:color="auto" w:fill="F3F9FA"/>
            <w:noWrap/>
            <w:vAlign w:val="center"/>
          </w:tcPr>
          <w:p w14:paraId="558F3E82"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735DF3C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PI3</w:t>
            </w:r>
          </w:p>
        </w:tc>
        <w:tc>
          <w:tcPr>
            <w:tcW w:w="1078" w:type="dxa"/>
            <w:tcBorders>
              <w:bottom w:val="single" w:sz="4" w:space="0" w:color="auto"/>
            </w:tcBorders>
            <w:shd w:val="clear" w:color="auto" w:fill="F3F9FA"/>
            <w:vAlign w:val="center"/>
          </w:tcPr>
          <w:p w14:paraId="765E822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1999</w:t>
            </w:r>
          </w:p>
        </w:tc>
        <w:tc>
          <w:tcPr>
            <w:tcW w:w="1068" w:type="dxa"/>
            <w:tcBorders>
              <w:bottom w:val="single" w:sz="4" w:space="0" w:color="auto"/>
            </w:tcBorders>
            <w:shd w:val="clear" w:color="auto" w:fill="F3F9FA"/>
            <w:vAlign w:val="center"/>
          </w:tcPr>
          <w:p w14:paraId="22B49A2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058A2DE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54</w:t>
            </w:r>
          </w:p>
        </w:tc>
        <w:tc>
          <w:tcPr>
            <w:tcW w:w="1078" w:type="dxa"/>
            <w:tcBorders>
              <w:bottom w:val="single" w:sz="4" w:space="0" w:color="auto"/>
            </w:tcBorders>
            <w:shd w:val="clear" w:color="auto" w:fill="F3F9FA"/>
            <w:noWrap/>
            <w:vAlign w:val="bottom"/>
            <w:hideMark/>
          </w:tcPr>
          <w:p w14:paraId="21107E3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-0.145</w:t>
            </w:r>
          </w:p>
        </w:tc>
        <w:tc>
          <w:tcPr>
            <w:tcW w:w="1076" w:type="dxa"/>
            <w:tcBorders>
              <w:bottom w:val="single" w:sz="4" w:space="0" w:color="auto"/>
            </w:tcBorders>
            <w:shd w:val="clear" w:color="auto" w:fill="F3F9FA"/>
            <w:noWrap/>
            <w:vAlign w:val="bottom"/>
            <w:hideMark/>
          </w:tcPr>
          <w:p w14:paraId="10C6E8C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0.3824</w:t>
            </w:r>
          </w:p>
        </w:tc>
        <w:tc>
          <w:tcPr>
            <w:tcW w:w="2475" w:type="dxa"/>
            <w:tcBorders>
              <w:bottom w:val="single" w:sz="4" w:space="0" w:color="auto"/>
            </w:tcBorders>
            <w:shd w:val="clear" w:color="auto" w:fill="F3F9FA"/>
            <w:noWrap/>
            <w:vAlign w:val="bottom"/>
            <w:hideMark/>
          </w:tcPr>
          <w:p w14:paraId="39DC401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-0.118</w:t>
            </w:r>
          </w:p>
        </w:tc>
        <w:tc>
          <w:tcPr>
            <w:tcW w:w="1068" w:type="dxa"/>
            <w:tcBorders>
              <w:bottom w:val="single" w:sz="4" w:space="0" w:color="auto"/>
            </w:tcBorders>
            <w:shd w:val="clear" w:color="auto" w:fill="F3F9FA"/>
            <w:noWrap/>
            <w:vAlign w:val="center"/>
            <w:hideMark/>
          </w:tcPr>
          <w:p w14:paraId="519324C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E808DED" w14:textId="77777777" w:rsidTr="00BE5D0E">
        <w:trPr>
          <w:cantSplit/>
          <w:trHeight w:val="312"/>
          <w:jc w:val="center"/>
        </w:trPr>
        <w:tc>
          <w:tcPr>
            <w:tcW w:w="2028" w:type="dxa"/>
            <w:vMerge/>
            <w:shd w:val="clear" w:color="auto" w:fill="F3F9FA"/>
            <w:noWrap/>
            <w:vAlign w:val="center"/>
          </w:tcPr>
          <w:p w14:paraId="70E9B904" w14:textId="77777777" w:rsidR="00BB7DFF" w:rsidRPr="00CB093C" w:rsidRDefault="00BB7DFF" w:rsidP="00BE5D0E">
            <w:pPr>
              <w:pStyle w:val="BodyText"/>
              <w:spacing w:after="0"/>
              <w:jc w:val="left"/>
              <w:rPr>
                <w:rFonts w:ascii="Arial" w:hAnsi="Arial" w:cs="Arial"/>
                <w:color w:val="000000"/>
              </w:rPr>
            </w:pPr>
          </w:p>
        </w:tc>
        <w:tc>
          <w:tcPr>
            <w:tcW w:w="1874" w:type="dxa"/>
            <w:vMerge w:val="restart"/>
            <w:shd w:val="clear" w:color="auto" w:fill="F3F9FA"/>
            <w:noWrap/>
            <w:vAlign w:val="center"/>
          </w:tcPr>
          <w:p w14:paraId="516BB0C2"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coastal subtidal</w:t>
            </w:r>
          </w:p>
        </w:tc>
        <w:tc>
          <w:tcPr>
            <w:tcW w:w="720" w:type="dxa"/>
            <w:tcBorders>
              <w:top w:val="single" w:sz="4" w:space="0" w:color="auto"/>
            </w:tcBorders>
            <w:shd w:val="clear" w:color="auto" w:fill="F3F9FA"/>
            <w:noWrap/>
            <w:vAlign w:val="center"/>
          </w:tcPr>
          <w:p w14:paraId="2B68E84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NB1</w:t>
            </w:r>
          </w:p>
        </w:tc>
        <w:tc>
          <w:tcPr>
            <w:tcW w:w="1078" w:type="dxa"/>
            <w:tcBorders>
              <w:top w:val="single" w:sz="4" w:space="0" w:color="auto"/>
            </w:tcBorders>
            <w:shd w:val="clear" w:color="auto" w:fill="F3F9FA"/>
            <w:vAlign w:val="center"/>
          </w:tcPr>
          <w:p w14:paraId="72A4CC6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2015</w:t>
            </w:r>
          </w:p>
        </w:tc>
        <w:tc>
          <w:tcPr>
            <w:tcW w:w="1068" w:type="dxa"/>
            <w:tcBorders>
              <w:top w:val="single" w:sz="4" w:space="0" w:color="auto"/>
            </w:tcBorders>
            <w:shd w:val="clear" w:color="auto" w:fill="F3F9FA"/>
            <w:vAlign w:val="center"/>
          </w:tcPr>
          <w:p w14:paraId="374283F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tcBorders>
            <w:shd w:val="clear" w:color="auto" w:fill="F3F9FA"/>
            <w:vAlign w:val="center"/>
          </w:tcPr>
          <w:p w14:paraId="0DCDF1B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w:t>
            </w:r>
          </w:p>
        </w:tc>
        <w:tc>
          <w:tcPr>
            <w:tcW w:w="1078" w:type="dxa"/>
            <w:tcBorders>
              <w:top w:val="single" w:sz="4" w:space="0" w:color="auto"/>
            </w:tcBorders>
            <w:shd w:val="clear" w:color="auto" w:fill="F3F9FA"/>
            <w:noWrap/>
            <w:vAlign w:val="bottom"/>
          </w:tcPr>
          <w:p w14:paraId="30BE3EB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-0.333</w:t>
            </w:r>
          </w:p>
        </w:tc>
        <w:tc>
          <w:tcPr>
            <w:tcW w:w="1076" w:type="dxa"/>
            <w:tcBorders>
              <w:top w:val="single" w:sz="4" w:space="0" w:color="auto"/>
            </w:tcBorders>
            <w:shd w:val="clear" w:color="auto" w:fill="F3F9FA"/>
            <w:noWrap/>
            <w:vAlign w:val="bottom"/>
          </w:tcPr>
          <w:p w14:paraId="0D79A2E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1.0000</w:t>
            </w:r>
          </w:p>
        </w:tc>
        <w:tc>
          <w:tcPr>
            <w:tcW w:w="2475" w:type="dxa"/>
            <w:tcBorders>
              <w:top w:val="single" w:sz="4" w:space="0" w:color="auto"/>
            </w:tcBorders>
            <w:shd w:val="clear" w:color="auto" w:fill="F3F9FA"/>
            <w:noWrap/>
            <w:vAlign w:val="bottom"/>
          </w:tcPr>
          <w:p w14:paraId="0E6BC51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-10.391</w:t>
            </w:r>
          </w:p>
        </w:tc>
        <w:tc>
          <w:tcPr>
            <w:tcW w:w="1068" w:type="dxa"/>
            <w:tcBorders>
              <w:top w:val="single" w:sz="4" w:space="0" w:color="auto"/>
            </w:tcBorders>
            <w:shd w:val="clear" w:color="auto" w:fill="F3F9FA"/>
            <w:noWrap/>
            <w:vAlign w:val="center"/>
          </w:tcPr>
          <w:p w14:paraId="57742A1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4A97A69E" w14:textId="77777777" w:rsidTr="00BE5D0E">
        <w:trPr>
          <w:cantSplit/>
          <w:trHeight w:val="312"/>
          <w:jc w:val="center"/>
        </w:trPr>
        <w:tc>
          <w:tcPr>
            <w:tcW w:w="2028" w:type="dxa"/>
            <w:vMerge/>
            <w:shd w:val="clear" w:color="auto" w:fill="F3F9FA"/>
            <w:noWrap/>
            <w:vAlign w:val="center"/>
          </w:tcPr>
          <w:p w14:paraId="44D18C72"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F3F9FA"/>
            <w:noWrap/>
            <w:vAlign w:val="center"/>
          </w:tcPr>
          <w:p w14:paraId="3605D8F7"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tcPr>
          <w:p w14:paraId="1961569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NB2</w:t>
            </w:r>
          </w:p>
        </w:tc>
        <w:tc>
          <w:tcPr>
            <w:tcW w:w="1078" w:type="dxa"/>
            <w:tcBorders>
              <w:bottom w:val="single" w:sz="4" w:space="0" w:color="auto"/>
            </w:tcBorders>
            <w:shd w:val="clear" w:color="auto" w:fill="F3F9FA"/>
            <w:vAlign w:val="center"/>
          </w:tcPr>
          <w:p w14:paraId="4644D1E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2015</w:t>
            </w:r>
          </w:p>
        </w:tc>
        <w:tc>
          <w:tcPr>
            <w:tcW w:w="1068" w:type="dxa"/>
            <w:tcBorders>
              <w:bottom w:val="single" w:sz="4" w:space="0" w:color="auto"/>
            </w:tcBorders>
            <w:shd w:val="clear" w:color="auto" w:fill="F3F9FA"/>
            <w:vAlign w:val="center"/>
          </w:tcPr>
          <w:p w14:paraId="593550F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F3F9FA"/>
            <w:vAlign w:val="center"/>
          </w:tcPr>
          <w:p w14:paraId="6D705A4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w:t>
            </w:r>
          </w:p>
        </w:tc>
        <w:tc>
          <w:tcPr>
            <w:tcW w:w="1078" w:type="dxa"/>
            <w:tcBorders>
              <w:bottom w:val="single" w:sz="4" w:space="0" w:color="auto"/>
            </w:tcBorders>
            <w:shd w:val="clear" w:color="auto" w:fill="F3F9FA"/>
            <w:noWrap/>
            <w:vAlign w:val="bottom"/>
          </w:tcPr>
          <w:p w14:paraId="0A44B01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0.333</w:t>
            </w:r>
          </w:p>
        </w:tc>
        <w:tc>
          <w:tcPr>
            <w:tcW w:w="1076" w:type="dxa"/>
            <w:tcBorders>
              <w:bottom w:val="single" w:sz="4" w:space="0" w:color="auto"/>
            </w:tcBorders>
            <w:shd w:val="clear" w:color="auto" w:fill="F3F9FA"/>
            <w:noWrap/>
            <w:vAlign w:val="bottom"/>
          </w:tcPr>
          <w:p w14:paraId="08230DF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1.0000</w:t>
            </w:r>
          </w:p>
        </w:tc>
        <w:tc>
          <w:tcPr>
            <w:tcW w:w="2475" w:type="dxa"/>
            <w:tcBorders>
              <w:bottom w:val="single" w:sz="4" w:space="0" w:color="auto"/>
            </w:tcBorders>
            <w:shd w:val="clear" w:color="auto" w:fill="F3F9FA"/>
            <w:noWrap/>
            <w:vAlign w:val="bottom"/>
          </w:tcPr>
          <w:p w14:paraId="43DA658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0.893</w:t>
            </w:r>
          </w:p>
        </w:tc>
        <w:tc>
          <w:tcPr>
            <w:tcW w:w="1068" w:type="dxa"/>
            <w:tcBorders>
              <w:bottom w:val="single" w:sz="4" w:space="0" w:color="auto"/>
            </w:tcBorders>
            <w:shd w:val="clear" w:color="auto" w:fill="F3F9FA"/>
            <w:noWrap/>
            <w:vAlign w:val="center"/>
          </w:tcPr>
          <w:p w14:paraId="2C761F3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3371D51E" w14:textId="77777777" w:rsidTr="00BE5D0E">
        <w:trPr>
          <w:cantSplit/>
          <w:trHeight w:val="312"/>
          <w:jc w:val="center"/>
        </w:trPr>
        <w:tc>
          <w:tcPr>
            <w:tcW w:w="2028" w:type="dxa"/>
            <w:vMerge/>
            <w:shd w:val="clear" w:color="auto" w:fill="F3F9FA"/>
            <w:noWrap/>
            <w:vAlign w:val="center"/>
          </w:tcPr>
          <w:p w14:paraId="36DFD2FE" w14:textId="77777777" w:rsidR="00BB7DFF" w:rsidRPr="00CB093C" w:rsidRDefault="00BB7DFF" w:rsidP="00BE5D0E">
            <w:pPr>
              <w:pStyle w:val="BodyText"/>
              <w:spacing w:after="0"/>
              <w:jc w:val="left"/>
              <w:rPr>
                <w:rFonts w:ascii="Arial" w:hAnsi="Arial" w:cs="Arial"/>
                <w:color w:val="000000"/>
              </w:rPr>
            </w:pPr>
          </w:p>
        </w:tc>
        <w:tc>
          <w:tcPr>
            <w:tcW w:w="1874" w:type="dxa"/>
            <w:vMerge w:val="restart"/>
            <w:tcBorders>
              <w:top w:val="single" w:sz="4" w:space="0" w:color="auto"/>
            </w:tcBorders>
            <w:shd w:val="clear" w:color="auto" w:fill="F3F9FA"/>
            <w:noWrap/>
            <w:vAlign w:val="center"/>
            <w:hideMark/>
          </w:tcPr>
          <w:p w14:paraId="43AE1AB6"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reef intertidal</w:t>
            </w:r>
          </w:p>
        </w:tc>
        <w:tc>
          <w:tcPr>
            <w:tcW w:w="720" w:type="dxa"/>
            <w:tcBorders>
              <w:top w:val="single" w:sz="4" w:space="0" w:color="auto"/>
            </w:tcBorders>
            <w:shd w:val="clear" w:color="auto" w:fill="F3F9FA"/>
            <w:noWrap/>
            <w:vAlign w:val="center"/>
            <w:hideMark/>
          </w:tcPr>
          <w:p w14:paraId="09439A0D"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HB1</w:t>
            </w:r>
          </w:p>
        </w:tc>
        <w:tc>
          <w:tcPr>
            <w:tcW w:w="1078" w:type="dxa"/>
            <w:tcBorders>
              <w:top w:val="single" w:sz="4" w:space="0" w:color="auto"/>
            </w:tcBorders>
            <w:shd w:val="clear" w:color="auto" w:fill="F3F9FA"/>
            <w:vAlign w:val="center"/>
          </w:tcPr>
          <w:p w14:paraId="0179A7B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2000</w:t>
            </w:r>
          </w:p>
        </w:tc>
        <w:tc>
          <w:tcPr>
            <w:tcW w:w="1068" w:type="dxa"/>
            <w:tcBorders>
              <w:top w:val="single" w:sz="4" w:space="0" w:color="auto"/>
            </w:tcBorders>
            <w:shd w:val="clear" w:color="auto" w:fill="F3F9FA"/>
            <w:vAlign w:val="center"/>
          </w:tcPr>
          <w:p w14:paraId="3323B36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7BA7534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40</w:t>
            </w:r>
          </w:p>
        </w:tc>
        <w:tc>
          <w:tcPr>
            <w:tcW w:w="1078" w:type="dxa"/>
            <w:tcBorders>
              <w:top w:val="single" w:sz="4" w:space="0" w:color="auto"/>
            </w:tcBorders>
            <w:shd w:val="clear" w:color="auto" w:fill="F3F9FA"/>
            <w:noWrap/>
            <w:vAlign w:val="bottom"/>
            <w:hideMark/>
          </w:tcPr>
          <w:p w14:paraId="5D32F21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-0.374</w:t>
            </w:r>
          </w:p>
        </w:tc>
        <w:tc>
          <w:tcPr>
            <w:tcW w:w="1076" w:type="dxa"/>
            <w:tcBorders>
              <w:top w:val="single" w:sz="4" w:space="0" w:color="auto"/>
            </w:tcBorders>
            <w:shd w:val="clear" w:color="auto" w:fill="F3F9FA"/>
            <w:noWrap/>
            <w:vAlign w:val="bottom"/>
            <w:hideMark/>
          </w:tcPr>
          <w:p w14:paraId="067D76F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0.0296</w:t>
            </w:r>
          </w:p>
        </w:tc>
        <w:tc>
          <w:tcPr>
            <w:tcW w:w="2475" w:type="dxa"/>
            <w:tcBorders>
              <w:top w:val="single" w:sz="4" w:space="0" w:color="auto"/>
            </w:tcBorders>
            <w:shd w:val="clear" w:color="auto" w:fill="F3F9FA"/>
            <w:noWrap/>
            <w:vAlign w:val="bottom"/>
            <w:hideMark/>
          </w:tcPr>
          <w:p w14:paraId="164A37E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-0.243</w:t>
            </w:r>
            <w:r w:rsidRPr="00CB093C">
              <w:rPr>
                <w:rFonts w:ascii="Arial" w:hAnsi="Arial" w:cs="Arial"/>
                <w:color w:val="000000"/>
              </w:rPr>
              <w:t xml:space="preserve"> (-0.391 to -0.119)</w:t>
            </w:r>
          </w:p>
        </w:tc>
        <w:tc>
          <w:tcPr>
            <w:tcW w:w="1068" w:type="dxa"/>
            <w:tcBorders>
              <w:top w:val="single" w:sz="4" w:space="0" w:color="auto"/>
            </w:tcBorders>
            <w:shd w:val="clear" w:color="auto" w:fill="F3F9FA"/>
            <w:noWrap/>
            <w:vAlign w:val="center"/>
            <w:hideMark/>
          </w:tcPr>
          <w:p w14:paraId="384E6B29"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134B8622" w14:textId="77777777" w:rsidTr="00BE5D0E">
        <w:trPr>
          <w:cantSplit/>
          <w:trHeight w:val="312"/>
          <w:jc w:val="center"/>
        </w:trPr>
        <w:tc>
          <w:tcPr>
            <w:tcW w:w="2028" w:type="dxa"/>
            <w:vMerge/>
            <w:shd w:val="clear" w:color="auto" w:fill="F3F9FA"/>
            <w:noWrap/>
            <w:vAlign w:val="center"/>
          </w:tcPr>
          <w:p w14:paraId="3109B5D8"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F3F9FA"/>
            <w:noWrap/>
            <w:vAlign w:val="center"/>
          </w:tcPr>
          <w:p w14:paraId="5C91E00E"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634D68F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HB2</w:t>
            </w:r>
          </w:p>
        </w:tc>
        <w:tc>
          <w:tcPr>
            <w:tcW w:w="1078" w:type="dxa"/>
            <w:tcBorders>
              <w:bottom w:val="single" w:sz="4" w:space="0" w:color="auto"/>
            </w:tcBorders>
            <w:shd w:val="clear" w:color="auto" w:fill="F3F9FA"/>
            <w:vAlign w:val="center"/>
          </w:tcPr>
          <w:p w14:paraId="2BC039C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2000</w:t>
            </w:r>
          </w:p>
        </w:tc>
        <w:tc>
          <w:tcPr>
            <w:tcW w:w="1068" w:type="dxa"/>
            <w:tcBorders>
              <w:bottom w:val="single" w:sz="4" w:space="0" w:color="auto"/>
            </w:tcBorders>
            <w:shd w:val="clear" w:color="auto" w:fill="F3F9FA"/>
            <w:vAlign w:val="center"/>
          </w:tcPr>
          <w:p w14:paraId="08743DD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6E741DD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39</w:t>
            </w:r>
          </w:p>
        </w:tc>
        <w:tc>
          <w:tcPr>
            <w:tcW w:w="1078" w:type="dxa"/>
            <w:tcBorders>
              <w:bottom w:val="single" w:sz="4" w:space="0" w:color="auto"/>
            </w:tcBorders>
            <w:shd w:val="clear" w:color="auto" w:fill="F3F9FA"/>
            <w:noWrap/>
            <w:vAlign w:val="bottom"/>
            <w:hideMark/>
          </w:tcPr>
          <w:p w14:paraId="77A9B3A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-0.155</w:t>
            </w:r>
          </w:p>
        </w:tc>
        <w:tc>
          <w:tcPr>
            <w:tcW w:w="1076" w:type="dxa"/>
            <w:tcBorders>
              <w:bottom w:val="single" w:sz="4" w:space="0" w:color="auto"/>
            </w:tcBorders>
            <w:shd w:val="clear" w:color="auto" w:fill="F3F9FA"/>
            <w:noWrap/>
            <w:vAlign w:val="bottom"/>
            <w:hideMark/>
          </w:tcPr>
          <w:p w14:paraId="445E9CF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0.4098</w:t>
            </w:r>
          </w:p>
        </w:tc>
        <w:tc>
          <w:tcPr>
            <w:tcW w:w="2475" w:type="dxa"/>
            <w:tcBorders>
              <w:bottom w:val="single" w:sz="4" w:space="0" w:color="auto"/>
            </w:tcBorders>
            <w:shd w:val="clear" w:color="auto" w:fill="F3F9FA"/>
            <w:noWrap/>
            <w:vAlign w:val="bottom"/>
            <w:hideMark/>
          </w:tcPr>
          <w:p w14:paraId="7CB93EB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-0.091</w:t>
            </w:r>
          </w:p>
        </w:tc>
        <w:tc>
          <w:tcPr>
            <w:tcW w:w="1068" w:type="dxa"/>
            <w:tcBorders>
              <w:bottom w:val="single" w:sz="4" w:space="0" w:color="auto"/>
            </w:tcBorders>
            <w:shd w:val="clear" w:color="auto" w:fill="F3F9FA"/>
            <w:noWrap/>
            <w:vAlign w:val="center"/>
            <w:hideMark/>
          </w:tcPr>
          <w:p w14:paraId="69A8FF0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0CF41088" w14:textId="77777777" w:rsidTr="00BE5D0E">
        <w:trPr>
          <w:cantSplit/>
          <w:trHeight w:val="312"/>
          <w:jc w:val="center"/>
        </w:trPr>
        <w:tc>
          <w:tcPr>
            <w:tcW w:w="2028" w:type="dxa"/>
            <w:vMerge/>
            <w:shd w:val="clear" w:color="auto" w:fill="F3F9FA"/>
            <w:noWrap/>
            <w:vAlign w:val="center"/>
          </w:tcPr>
          <w:p w14:paraId="536585BD" w14:textId="77777777" w:rsidR="00BB7DFF" w:rsidRPr="00CB093C" w:rsidRDefault="00BB7DFF" w:rsidP="00BE5D0E">
            <w:pPr>
              <w:pStyle w:val="BodyText"/>
              <w:spacing w:after="0"/>
              <w:jc w:val="left"/>
              <w:rPr>
                <w:rFonts w:ascii="Arial" w:hAnsi="Arial" w:cs="Arial"/>
                <w:color w:val="000000"/>
              </w:rPr>
            </w:pPr>
          </w:p>
        </w:tc>
        <w:tc>
          <w:tcPr>
            <w:tcW w:w="1874" w:type="dxa"/>
            <w:vMerge/>
            <w:shd w:val="clear" w:color="auto" w:fill="F3F9FA"/>
            <w:noWrap/>
            <w:vAlign w:val="center"/>
          </w:tcPr>
          <w:p w14:paraId="78C8971F"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tcBorders>
            <w:shd w:val="clear" w:color="auto" w:fill="F3F9FA"/>
            <w:noWrap/>
            <w:vAlign w:val="center"/>
            <w:hideMark/>
          </w:tcPr>
          <w:p w14:paraId="425A7CF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HM1</w:t>
            </w:r>
          </w:p>
        </w:tc>
        <w:tc>
          <w:tcPr>
            <w:tcW w:w="1078" w:type="dxa"/>
            <w:tcBorders>
              <w:top w:val="single" w:sz="4" w:space="0" w:color="auto"/>
            </w:tcBorders>
            <w:shd w:val="clear" w:color="auto" w:fill="F3F9FA"/>
            <w:vAlign w:val="center"/>
          </w:tcPr>
          <w:p w14:paraId="24780CF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2007</w:t>
            </w:r>
          </w:p>
        </w:tc>
        <w:tc>
          <w:tcPr>
            <w:tcW w:w="1068" w:type="dxa"/>
            <w:tcBorders>
              <w:top w:val="single" w:sz="4" w:space="0" w:color="auto"/>
            </w:tcBorders>
            <w:shd w:val="clear" w:color="auto" w:fill="F3F9FA"/>
            <w:vAlign w:val="center"/>
          </w:tcPr>
          <w:p w14:paraId="2C96D47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3160FC6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23</w:t>
            </w:r>
          </w:p>
        </w:tc>
        <w:tc>
          <w:tcPr>
            <w:tcW w:w="1078" w:type="dxa"/>
            <w:tcBorders>
              <w:top w:val="single" w:sz="4" w:space="0" w:color="auto"/>
            </w:tcBorders>
            <w:shd w:val="clear" w:color="auto" w:fill="F3F9FA"/>
            <w:noWrap/>
            <w:vAlign w:val="bottom"/>
            <w:hideMark/>
          </w:tcPr>
          <w:p w14:paraId="70BF868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-0.502</w:t>
            </w:r>
          </w:p>
        </w:tc>
        <w:tc>
          <w:tcPr>
            <w:tcW w:w="1076" w:type="dxa"/>
            <w:tcBorders>
              <w:top w:val="single" w:sz="4" w:space="0" w:color="auto"/>
            </w:tcBorders>
            <w:shd w:val="clear" w:color="auto" w:fill="F3F9FA"/>
            <w:noWrap/>
            <w:vAlign w:val="bottom"/>
            <w:hideMark/>
          </w:tcPr>
          <w:p w14:paraId="7E97FE9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0.0009</w:t>
            </w:r>
          </w:p>
        </w:tc>
        <w:tc>
          <w:tcPr>
            <w:tcW w:w="2475" w:type="dxa"/>
            <w:tcBorders>
              <w:top w:val="single" w:sz="4" w:space="0" w:color="auto"/>
            </w:tcBorders>
            <w:shd w:val="clear" w:color="auto" w:fill="F3F9FA"/>
            <w:noWrap/>
            <w:vAlign w:val="bottom"/>
            <w:hideMark/>
          </w:tcPr>
          <w:p w14:paraId="280DFCAF"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-0.306</w:t>
            </w:r>
            <w:r w:rsidRPr="00CB093C">
              <w:rPr>
                <w:rFonts w:ascii="Arial" w:hAnsi="Arial" w:cs="Arial"/>
                <w:color w:val="000000"/>
              </w:rPr>
              <w:t xml:space="preserve"> (-0.466 to -0.127)</w:t>
            </w:r>
          </w:p>
        </w:tc>
        <w:tc>
          <w:tcPr>
            <w:tcW w:w="1068" w:type="dxa"/>
            <w:tcBorders>
              <w:top w:val="single" w:sz="4" w:space="0" w:color="auto"/>
            </w:tcBorders>
            <w:shd w:val="clear" w:color="auto" w:fill="F3F9FA"/>
            <w:noWrap/>
            <w:vAlign w:val="center"/>
            <w:hideMark/>
          </w:tcPr>
          <w:p w14:paraId="3BA390BA"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1563BEDE" w14:textId="77777777" w:rsidTr="00BE5D0E">
        <w:trPr>
          <w:cantSplit/>
          <w:trHeight w:val="312"/>
          <w:jc w:val="center"/>
        </w:trPr>
        <w:tc>
          <w:tcPr>
            <w:tcW w:w="2028" w:type="dxa"/>
            <w:vMerge/>
            <w:shd w:val="clear" w:color="auto" w:fill="F3F9FA"/>
            <w:noWrap/>
            <w:vAlign w:val="center"/>
          </w:tcPr>
          <w:p w14:paraId="0A2AE689"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F3F9FA"/>
            <w:noWrap/>
            <w:vAlign w:val="center"/>
          </w:tcPr>
          <w:p w14:paraId="2ADAC0EE"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252835E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HM2</w:t>
            </w:r>
          </w:p>
        </w:tc>
        <w:tc>
          <w:tcPr>
            <w:tcW w:w="1078" w:type="dxa"/>
            <w:tcBorders>
              <w:bottom w:val="single" w:sz="4" w:space="0" w:color="auto"/>
            </w:tcBorders>
            <w:shd w:val="clear" w:color="auto" w:fill="F3F9FA"/>
            <w:vAlign w:val="center"/>
          </w:tcPr>
          <w:p w14:paraId="12A9287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2007</w:t>
            </w:r>
          </w:p>
        </w:tc>
        <w:tc>
          <w:tcPr>
            <w:tcW w:w="1068" w:type="dxa"/>
            <w:tcBorders>
              <w:bottom w:val="single" w:sz="4" w:space="0" w:color="auto"/>
            </w:tcBorders>
            <w:shd w:val="clear" w:color="auto" w:fill="F3F9FA"/>
            <w:vAlign w:val="center"/>
          </w:tcPr>
          <w:p w14:paraId="7E829B5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738D922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22</w:t>
            </w:r>
          </w:p>
        </w:tc>
        <w:tc>
          <w:tcPr>
            <w:tcW w:w="1078" w:type="dxa"/>
            <w:tcBorders>
              <w:bottom w:val="single" w:sz="4" w:space="0" w:color="auto"/>
            </w:tcBorders>
            <w:shd w:val="clear" w:color="auto" w:fill="F3F9FA"/>
            <w:noWrap/>
            <w:vAlign w:val="bottom"/>
            <w:hideMark/>
          </w:tcPr>
          <w:p w14:paraId="192D85B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-0.305</w:t>
            </w:r>
          </w:p>
        </w:tc>
        <w:tc>
          <w:tcPr>
            <w:tcW w:w="1076" w:type="dxa"/>
            <w:tcBorders>
              <w:bottom w:val="single" w:sz="4" w:space="0" w:color="auto"/>
            </w:tcBorders>
            <w:shd w:val="clear" w:color="auto" w:fill="F3F9FA"/>
            <w:noWrap/>
            <w:vAlign w:val="bottom"/>
            <w:hideMark/>
          </w:tcPr>
          <w:p w14:paraId="026F8E5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0.0514</w:t>
            </w:r>
          </w:p>
        </w:tc>
        <w:tc>
          <w:tcPr>
            <w:tcW w:w="2475" w:type="dxa"/>
            <w:tcBorders>
              <w:bottom w:val="single" w:sz="4" w:space="0" w:color="auto"/>
            </w:tcBorders>
            <w:shd w:val="clear" w:color="auto" w:fill="F3F9FA"/>
            <w:noWrap/>
            <w:vAlign w:val="bottom"/>
            <w:hideMark/>
          </w:tcPr>
          <w:p w14:paraId="0CB405F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-0.141</w:t>
            </w:r>
          </w:p>
        </w:tc>
        <w:tc>
          <w:tcPr>
            <w:tcW w:w="1068" w:type="dxa"/>
            <w:tcBorders>
              <w:bottom w:val="single" w:sz="4" w:space="0" w:color="auto"/>
            </w:tcBorders>
            <w:shd w:val="clear" w:color="auto" w:fill="F3F9FA"/>
            <w:noWrap/>
            <w:vAlign w:val="center"/>
          </w:tcPr>
          <w:p w14:paraId="7156436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299CA4B2" w14:textId="77777777" w:rsidTr="00BE5D0E">
        <w:trPr>
          <w:cantSplit/>
          <w:trHeight w:val="312"/>
          <w:jc w:val="center"/>
        </w:trPr>
        <w:tc>
          <w:tcPr>
            <w:tcW w:w="2028" w:type="dxa"/>
            <w:vMerge/>
            <w:shd w:val="clear" w:color="auto" w:fill="F3F9FA"/>
            <w:noWrap/>
            <w:vAlign w:val="center"/>
          </w:tcPr>
          <w:p w14:paraId="2E9DFEBA" w14:textId="77777777" w:rsidR="00BB7DFF" w:rsidRPr="00CB093C" w:rsidRDefault="00BB7DFF" w:rsidP="00BE5D0E">
            <w:pPr>
              <w:pStyle w:val="BodyText"/>
              <w:spacing w:after="0"/>
              <w:jc w:val="left"/>
              <w:rPr>
                <w:rFonts w:ascii="Arial" w:hAnsi="Arial" w:cs="Arial"/>
                <w:color w:val="000000"/>
              </w:rPr>
            </w:pPr>
          </w:p>
        </w:tc>
        <w:tc>
          <w:tcPr>
            <w:tcW w:w="1874" w:type="dxa"/>
            <w:vMerge w:val="restart"/>
            <w:shd w:val="clear" w:color="auto" w:fill="F3F9FA"/>
            <w:noWrap/>
            <w:vAlign w:val="center"/>
          </w:tcPr>
          <w:p w14:paraId="7E41E242"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 xml:space="preserve">Reef subtidal </w:t>
            </w:r>
          </w:p>
        </w:tc>
        <w:tc>
          <w:tcPr>
            <w:tcW w:w="720" w:type="dxa"/>
            <w:tcBorders>
              <w:top w:val="single" w:sz="4" w:space="0" w:color="auto"/>
            </w:tcBorders>
            <w:shd w:val="clear" w:color="auto" w:fill="F3F9FA"/>
            <w:noWrap/>
            <w:vAlign w:val="center"/>
          </w:tcPr>
          <w:p w14:paraId="4092032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TO1</w:t>
            </w:r>
          </w:p>
        </w:tc>
        <w:tc>
          <w:tcPr>
            <w:tcW w:w="1078" w:type="dxa"/>
            <w:tcBorders>
              <w:top w:val="single" w:sz="4" w:space="0" w:color="auto"/>
            </w:tcBorders>
            <w:shd w:val="clear" w:color="auto" w:fill="F3F9FA"/>
            <w:vAlign w:val="center"/>
          </w:tcPr>
          <w:p w14:paraId="3C8EB3E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2015</w:t>
            </w:r>
          </w:p>
        </w:tc>
        <w:tc>
          <w:tcPr>
            <w:tcW w:w="1068" w:type="dxa"/>
            <w:tcBorders>
              <w:top w:val="single" w:sz="4" w:space="0" w:color="auto"/>
            </w:tcBorders>
            <w:shd w:val="clear" w:color="auto" w:fill="F3F9FA"/>
            <w:vAlign w:val="center"/>
          </w:tcPr>
          <w:p w14:paraId="499941A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top w:val="single" w:sz="4" w:space="0" w:color="auto"/>
            </w:tcBorders>
            <w:shd w:val="clear" w:color="auto" w:fill="F3F9FA"/>
            <w:vAlign w:val="center"/>
          </w:tcPr>
          <w:p w14:paraId="177839C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w:t>
            </w:r>
          </w:p>
        </w:tc>
        <w:tc>
          <w:tcPr>
            <w:tcW w:w="1078" w:type="dxa"/>
            <w:tcBorders>
              <w:top w:val="single" w:sz="4" w:space="0" w:color="auto"/>
            </w:tcBorders>
            <w:shd w:val="clear" w:color="auto" w:fill="F3F9FA"/>
            <w:noWrap/>
            <w:vAlign w:val="bottom"/>
          </w:tcPr>
          <w:p w14:paraId="7A4D2AC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-1.000</w:t>
            </w:r>
          </w:p>
        </w:tc>
        <w:tc>
          <w:tcPr>
            <w:tcW w:w="1076" w:type="dxa"/>
            <w:tcBorders>
              <w:top w:val="single" w:sz="4" w:space="0" w:color="auto"/>
            </w:tcBorders>
            <w:shd w:val="clear" w:color="auto" w:fill="F3F9FA"/>
            <w:noWrap/>
            <w:vAlign w:val="bottom"/>
          </w:tcPr>
          <w:p w14:paraId="7D7024C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0.2963</w:t>
            </w:r>
          </w:p>
        </w:tc>
        <w:tc>
          <w:tcPr>
            <w:tcW w:w="2475" w:type="dxa"/>
            <w:tcBorders>
              <w:top w:val="single" w:sz="4" w:space="0" w:color="auto"/>
            </w:tcBorders>
            <w:shd w:val="clear" w:color="auto" w:fill="F3F9FA"/>
            <w:noWrap/>
            <w:vAlign w:val="bottom"/>
          </w:tcPr>
          <w:p w14:paraId="524007E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-7.675</w:t>
            </w:r>
          </w:p>
        </w:tc>
        <w:tc>
          <w:tcPr>
            <w:tcW w:w="1068" w:type="dxa"/>
            <w:tcBorders>
              <w:top w:val="single" w:sz="4" w:space="0" w:color="auto"/>
            </w:tcBorders>
            <w:shd w:val="clear" w:color="auto" w:fill="F3F9FA"/>
            <w:noWrap/>
            <w:vAlign w:val="center"/>
          </w:tcPr>
          <w:p w14:paraId="7D7C6E3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5567A31C" w14:textId="77777777" w:rsidTr="00BE5D0E">
        <w:trPr>
          <w:cantSplit/>
          <w:trHeight w:val="312"/>
          <w:jc w:val="center"/>
        </w:trPr>
        <w:tc>
          <w:tcPr>
            <w:tcW w:w="2028" w:type="dxa"/>
            <w:vMerge/>
            <w:shd w:val="clear" w:color="auto" w:fill="F3F9FA"/>
            <w:noWrap/>
            <w:vAlign w:val="center"/>
          </w:tcPr>
          <w:p w14:paraId="79671867" w14:textId="77777777" w:rsidR="00BB7DFF" w:rsidRPr="00CB093C" w:rsidRDefault="00BB7DFF" w:rsidP="00BE5D0E">
            <w:pPr>
              <w:pStyle w:val="BodyText"/>
              <w:spacing w:after="0"/>
              <w:jc w:val="left"/>
              <w:rPr>
                <w:rFonts w:ascii="Arial" w:hAnsi="Arial" w:cs="Arial"/>
                <w:color w:val="000000"/>
              </w:rPr>
            </w:pPr>
          </w:p>
        </w:tc>
        <w:tc>
          <w:tcPr>
            <w:tcW w:w="1874" w:type="dxa"/>
            <w:vMerge/>
            <w:tcBorders>
              <w:bottom w:val="single" w:sz="4" w:space="0" w:color="auto"/>
            </w:tcBorders>
            <w:shd w:val="clear" w:color="auto" w:fill="F3F9FA"/>
            <w:noWrap/>
            <w:vAlign w:val="center"/>
          </w:tcPr>
          <w:p w14:paraId="03201C29"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tcPr>
          <w:p w14:paraId="01E5046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TO2</w:t>
            </w:r>
          </w:p>
        </w:tc>
        <w:tc>
          <w:tcPr>
            <w:tcW w:w="1078" w:type="dxa"/>
            <w:tcBorders>
              <w:bottom w:val="single" w:sz="4" w:space="0" w:color="auto"/>
            </w:tcBorders>
            <w:shd w:val="clear" w:color="auto" w:fill="F3F9FA"/>
            <w:vAlign w:val="center"/>
          </w:tcPr>
          <w:p w14:paraId="49E5823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2015</w:t>
            </w:r>
          </w:p>
        </w:tc>
        <w:tc>
          <w:tcPr>
            <w:tcW w:w="1068" w:type="dxa"/>
            <w:tcBorders>
              <w:bottom w:val="single" w:sz="4" w:space="0" w:color="auto"/>
            </w:tcBorders>
            <w:shd w:val="clear" w:color="auto" w:fill="F3F9FA"/>
            <w:vAlign w:val="center"/>
          </w:tcPr>
          <w:p w14:paraId="04C0357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F3F9FA"/>
            <w:vAlign w:val="center"/>
          </w:tcPr>
          <w:p w14:paraId="5CCFD3B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w:t>
            </w:r>
          </w:p>
        </w:tc>
        <w:tc>
          <w:tcPr>
            <w:tcW w:w="1078" w:type="dxa"/>
            <w:tcBorders>
              <w:bottom w:val="single" w:sz="4" w:space="0" w:color="auto"/>
            </w:tcBorders>
            <w:shd w:val="clear" w:color="auto" w:fill="F3F9FA"/>
            <w:noWrap/>
            <w:vAlign w:val="bottom"/>
          </w:tcPr>
          <w:p w14:paraId="2BFB251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-1.000</w:t>
            </w:r>
          </w:p>
        </w:tc>
        <w:tc>
          <w:tcPr>
            <w:tcW w:w="1076" w:type="dxa"/>
            <w:tcBorders>
              <w:bottom w:val="single" w:sz="4" w:space="0" w:color="auto"/>
            </w:tcBorders>
            <w:shd w:val="clear" w:color="auto" w:fill="F3F9FA"/>
            <w:noWrap/>
            <w:vAlign w:val="bottom"/>
          </w:tcPr>
          <w:p w14:paraId="5CCAFA5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0.2963</w:t>
            </w:r>
          </w:p>
        </w:tc>
        <w:tc>
          <w:tcPr>
            <w:tcW w:w="2475" w:type="dxa"/>
            <w:tcBorders>
              <w:bottom w:val="single" w:sz="4" w:space="0" w:color="auto"/>
            </w:tcBorders>
            <w:shd w:val="clear" w:color="auto" w:fill="F3F9FA"/>
            <w:noWrap/>
            <w:vAlign w:val="bottom"/>
          </w:tcPr>
          <w:p w14:paraId="71F28F4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-7.588</w:t>
            </w:r>
          </w:p>
        </w:tc>
        <w:tc>
          <w:tcPr>
            <w:tcW w:w="1068" w:type="dxa"/>
            <w:tcBorders>
              <w:bottom w:val="single" w:sz="4" w:space="0" w:color="auto"/>
            </w:tcBorders>
            <w:shd w:val="clear" w:color="auto" w:fill="F3F9FA"/>
            <w:noWrap/>
            <w:vAlign w:val="center"/>
          </w:tcPr>
          <w:p w14:paraId="017089E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02CFDDB3" w14:textId="77777777" w:rsidTr="00BE5D0E">
        <w:trPr>
          <w:cantSplit/>
          <w:trHeight w:val="312"/>
          <w:jc w:val="center"/>
        </w:trPr>
        <w:tc>
          <w:tcPr>
            <w:tcW w:w="2028" w:type="dxa"/>
            <w:vMerge/>
            <w:tcBorders>
              <w:bottom w:val="single" w:sz="4" w:space="0" w:color="auto"/>
            </w:tcBorders>
            <w:shd w:val="clear" w:color="auto" w:fill="F3F9FA"/>
            <w:noWrap/>
            <w:vAlign w:val="center"/>
          </w:tcPr>
          <w:p w14:paraId="03E93F7F"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bottom w:val="single" w:sz="4" w:space="0" w:color="auto"/>
            </w:tcBorders>
            <w:shd w:val="clear" w:color="auto" w:fill="D9D9D9" w:themeFill="background1" w:themeFillShade="D9"/>
            <w:noWrap/>
            <w:vAlign w:val="center"/>
          </w:tcPr>
          <w:p w14:paraId="26358D4E"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6F7ABC94" w14:textId="77777777" w:rsidR="00BB7DFF" w:rsidRPr="00CB093C" w:rsidRDefault="00BB7DFF" w:rsidP="00BE5D0E">
            <w:pPr>
              <w:pStyle w:val="BodyText"/>
              <w:spacing w:after="0"/>
              <w:jc w:val="center"/>
              <w:rPr>
                <w:rFonts w:ascii="Arial" w:hAnsi="Arial" w:cs="Arial"/>
                <w:color w:val="000000"/>
              </w:rPr>
            </w:pPr>
          </w:p>
        </w:tc>
        <w:tc>
          <w:tcPr>
            <w:tcW w:w="1078" w:type="dxa"/>
            <w:tcBorders>
              <w:top w:val="single" w:sz="4" w:space="0" w:color="auto"/>
              <w:bottom w:val="single" w:sz="4" w:space="0" w:color="auto"/>
            </w:tcBorders>
            <w:shd w:val="clear" w:color="auto" w:fill="D9D9D9" w:themeFill="background1" w:themeFillShade="D9"/>
            <w:vAlign w:val="center"/>
          </w:tcPr>
          <w:p w14:paraId="52A1726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1999</w:t>
            </w:r>
          </w:p>
        </w:tc>
        <w:tc>
          <w:tcPr>
            <w:tcW w:w="1068" w:type="dxa"/>
            <w:tcBorders>
              <w:top w:val="single" w:sz="4" w:space="0" w:color="auto"/>
              <w:bottom w:val="single" w:sz="4" w:space="0" w:color="auto"/>
            </w:tcBorders>
            <w:shd w:val="clear" w:color="auto" w:fill="D9D9D9" w:themeFill="background1" w:themeFillShade="D9"/>
            <w:vAlign w:val="center"/>
          </w:tcPr>
          <w:p w14:paraId="16AE9DF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bottom w:val="single" w:sz="4" w:space="0" w:color="auto"/>
            </w:tcBorders>
            <w:shd w:val="clear" w:color="auto" w:fill="D9D9D9" w:themeFill="background1" w:themeFillShade="D9"/>
            <w:vAlign w:val="center"/>
          </w:tcPr>
          <w:p w14:paraId="43EF616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61</w:t>
            </w:r>
          </w:p>
        </w:tc>
        <w:tc>
          <w:tcPr>
            <w:tcW w:w="1078" w:type="dxa"/>
            <w:tcBorders>
              <w:top w:val="single" w:sz="4" w:space="0" w:color="auto"/>
              <w:bottom w:val="single" w:sz="4" w:space="0" w:color="auto"/>
            </w:tcBorders>
            <w:shd w:val="clear" w:color="auto" w:fill="D9D9D9" w:themeFill="background1" w:themeFillShade="D9"/>
            <w:noWrap/>
            <w:vAlign w:val="center"/>
          </w:tcPr>
          <w:p w14:paraId="51778CBF"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-0.380</w:t>
            </w:r>
          </w:p>
        </w:tc>
        <w:tc>
          <w:tcPr>
            <w:tcW w:w="1076" w:type="dxa"/>
            <w:tcBorders>
              <w:top w:val="single" w:sz="4" w:space="0" w:color="auto"/>
              <w:bottom w:val="single" w:sz="4" w:space="0" w:color="auto"/>
            </w:tcBorders>
            <w:shd w:val="clear" w:color="auto" w:fill="D9D9D9" w:themeFill="background1" w:themeFillShade="D9"/>
            <w:noWrap/>
            <w:vAlign w:val="center"/>
          </w:tcPr>
          <w:p w14:paraId="725F524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&lt;0.0001</w:t>
            </w:r>
          </w:p>
        </w:tc>
        <w:tc>
          <w:tcPr>
            <w:tcW w:w="2475" w:type="dxa"/>
            <w:tcBorders>
              <w:top w:val="single" w:sz="4" w:space="0" w:color="auto"/>
              <w:bottom w:val="single" w:sz="4" w:space="0" w:color="auto"/>
            </w:tcBorders>
            <w:shd w:val="clear" w:color="auto" w:fill="D9D9D9" w:themeFill="background1" w:themeFillShade="D9"/>
            <w:noWrap/>
            <w:vAlign w:val="center"/>
          </w:tcPr>
          <w:p w14:paraId="4DE548C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-0.181</w:t>
            </w:r>
            <w:r w:rsidRPr="00CB093C">
              <w:rPr>
                <w:rFonts w:ascii="Arial" w:hAnsi="Arial" w:cs="Arial"/>
                <w:color w:val="000000"/>
              </w:rPr>
              <w:t xml:space="preserve"> (-0.261 to -0.104)</w:t>
            </w:r>
          </w:p>
        </w:tc>
        <w:tc>
          <w:tcPr>
            <w:tcW w:w="1068" w:type="dxa"/>
            <w:tcBorders>
              <w:top w:val="single" w:sz="4" w:space="0" w:color="auto"/>
              <w:bottom w:val="single" w:sz="4" w:space="0" w:color="auto"/>
            </w:tcBorders>
            <w:shd w:val="clear" w:color="auto" w:fill="D9D9D9" w:themeFill="background1" w:themeFillShade="D9"/>
            <w:noWrap/>
            <w:vAlign w:val="center"/>
          </w:tcPr>
          <w:p w14:paraId="702627C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decrease</w:t>
            </w:r>
          </w:p>
        </w:tc>
      </w:tr>
      <w:tr w:rsidR="00BB7DFF" w:rsidRPr="00CB093C" w14:paraId="1F9966A7" w14:textId="77777777" w:rsidTr="00BE5D0E">
        <w:trPr>
          <w:cantSplit/>
          <w:trHeight w:val="312"/>
          <w:jc w:val="center"/>
        </w:trPr>
        <w:tc>
          <w:tcPr>
            <w:tcW w:w="2028" w:type="dxa"/>
            <w:vMerge w:val="restart"/>
            <w:tcBorders>
              <w:top w:val="single" w:sz="4" w:space="0" w:color="auto"/>
            </w:tcBorders>
            <w:shd w:val="clear" w:color="auto" w:fill="E7F3F4"/>
            <w:noWrap/>
            <w:vAlign w:val="center"/>
            <w:hideMark/>
          </w:tcPr>
          <w:p w14:paraId="7B78D3B2" w14:textId="77777777" w:rsidR="00BB7DFF" w:rsidRPr="00CB093C" w:rsidRDefault="00BB7DFF" w:rsidP="00BE5D0E">
            <w:pPr>
              <w:pStyle w:val="BodyText"/>
              <w:spacing w:after="0"/>
              <w:jc w:val="left"/>
              <w:rPr>
                <w:rFonts w:ascii="Arial" w:hAnsi="Arial" w:cs="Arial"/>
                <w:color w:val="000000"/>
              </w:rPr>
            </w:pPr>
          </w:p>
          <w:p w14:paraId="655E524B" w14:textId="77777777" w:rsidR="00BB7DFF" w:rsidRPr="00CB093C" w:rsidRDefault="00BB7DFF" w:rsidP="00BE5D0E">
            <w:pPr>
              <w:pStyle w:val="BodyText"/>
              <w:spacing w:after="0"/>
              <w:jc w:val="left"/>
              <w:rPr>
                <w:rFonts w:ascii="Arial" w:hAnsi="Arial" w:cs="Arial"/>
                <w:color w:val="000000"/>
              </w:rPr>
            </w:pPr>
          </w:p>
          <w:p w14:paraId="6E87F71D"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Fitzroy</w:t>
            </w:r>
          </w:p>
        </w:tc>
        <w:tc>
          <w:tcPr>
            <w:tcW w:w="1874" w:type="dxa"/>
            <w:tcBorders>
              <w:top w:val="single" w:sz="4" w:space="0" w:color="auto"/>
            </w:tcBorders>
            <w:shd w:val="clear" w:color="auto" w:fill="E7F3F4"/>
            <w:noWrap/>
            <w:vAlign w:val="center"/>
            <w:hideMark/>
          </w:tcPr>
          <w:p w14:paraId="711FF4A4"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estuarine intertidal</w:t>
            </w:r>
          </w:p>
        </w:tc>
        <w:tc>
          <w:tcPr>
            <w:tcW w:w="720" w:type="dxa"/>
            <w:tcBorders>
              <w:top w:val="single" w:sz="4" w:space="0" w:color="auto"/>
            </w:tcBorders>
            <w:shd w:val="clear" w:color="auto" w:fill="E7F3F4"/>
            <w:noWrap/>
            <w:vAlign w:val="center"/>
            <w:hideMark/>
          </w:tcPr>
          <w:p w14:paraId="71F92100"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GH1</w:t>
            </w:r>
          </w:p>
        </w:tc>
        <w:tc>
          <w:tcPr>
            <w:tcW w:w="1078" w:type="dxa"/>
            <w:tcBorders>
              <w:top w:val="single" w:sz="4" w:space="0" w:color="auto"/>
            </w:tcBorders>
            <w:shd w:val="clear" w:color="auto" w:fill="E7F3F4"/>
            <w:vAlign w:val="center"/>
          </w:tcPr>
          <w:p w14:paraId="7D73ECB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top w:val="single" w:sz="4" w:space="0" w:color="auto"/>
            </w:tcBorders>
            <w:shd w:val="clear" w:color="auto" w:fill="E7F3F4"/>
            <w:vAlign w:val="center"/>
          </w:tcPr>
          <w:p w14:paraId="634D221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E7F3F4"/>
            <w:vAlign w:val="center"/>
          </w:tcPr>
          <w:p w14:paraId="21219EB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33</w:t>
            </w:r>
          </w:p>
        </w:tc>
        <w:tc>
          <w:tcPr>
            <w:tcW w:w="1078" w:type="dxa"/>
            <w:tcBorders>
              <w:top w:val="single" w:sz="4" w:space="0" w:color="auto"/>
            </w:tcBorders>
            <w:shd w:val="clear" w:color="auto" w:fill="E7F3F4"/>
            <w:noWrap/>
            <w:vAlign w:val="bottom"/>
            <w:hideMark/>
          </w:tcPr>
          <w:p w14:paraId="21D22AC5"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-0.360</w:t>
            </w:r>
          </w:p>
        </w:tc>
        <w:tc>
          <w:tcPr>
            <w:tcW w:w="1076" w:type="dxa"/>
            <w:tcBorders>
              <w:top w:val="single" w:sz="4" w:space="0" w:color="auto"/>
            </w:tcBorders>
            <w:shd w:val="clear" w:color="auto" w:fill="E7F3F4"/>
            <w:noWrap/>
            <w:vAlign w:val="bottom"/>
            <w:hideMark/>
          </w:tcPr>
          <w:p w14:paraId="16BF971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0.0034</w:t>
            </w:r>
          </w:p>
        </w:tc>
        <w:tc>
          <w:tcPr>
            <w:tcW w:w="2475" w:type="dxa"/>
            <w:tcBorders>
              <w:top w:val="single" w:sz="4" w:space="0" w:color="auto"/>
            </w:tcBorders>
            <w:shd w:val="clear" w:color="auto" w:fill="E7F3F4"/>
            <w:noWrap/>
            <w:vAlign w:val="bottom"/>
            <w:hideMark/>
          </w:tcPr>
          <w:p w14:paraId="4F13364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-0.724</w:t>
            </w:r>
            <w:r w:rsidRPr="00CB093C">
              <w:rPr>
                <w:rFonts w:ascii="Arial" w:hAnsi="Arial" w:cs="Arial"/>
                <w:color w:val="000000"/>
              </w:rPr>
              <w:t xml:space="preserve"> (-1.159 to -0.229)</w:t>
            </w:r>
          </w:p>
        </w:tc>
        <w:tc>
          <w:tcPr>
            <w:tcW w:w="1068" w:type="dxa"/>
            <w:tcBorders>
              <w:top w:val="single" w:sz="4" w:space="0" w:color="auto"/>
            </w:tcBorders>
            <w:shd w:val="clear" w:color="auto" w:fill="E7F3F4"/>
            <w:noWrap/>
            <w:vAlign w:val="center"/>
          </w:tcPr>
          <w:p w14:paraId="2F16FA9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decrease</w:t>
            </w:r>
          </w:p>
        </w:tc>
      </w:tr>
      <w:tr w:rsidR="00BB7DFF" w:rsidRPr="00CB093C" w14:paraId="2B7D639F" w14:textId="77777777" w:rsidTr="00BE5D0E">
        <w:trPr>
          <w:cantSplit/>
          <w:trHeight w:val="312"/>
          <w:jc w:val="center"/>
        </w:trPr>
        <w:tc>
          <w:tcPr>
            <w:tcW w:w="2028" w:type="dxa"/>
            <w:vMerge/>
            <w:shd w:val="clear" w:color="auto" w:fill="E7F3F4"/>
            <w:noWrap/>
            <w:vAlign w:val="center"/>
          </w:tcPr>
          <w:p w14:paraId="5B03D3AE" w14:textId="77777777" w:rsidR="00BB7DFF" w:rsidRPr="00CB093C" w:rsidRDefault="00BB7DFF" w:rsidP="00BE5D0E">
            <w:pPr>
              <w:pStyle w:val="BodyText"/>
              <w:spacing w:after="0"/>
              <w:jc w:val="left"/>
              <w:rPr>
                <w:rFonts w:ascii="Arial" w:hAnsi="Arial" w:cs="Arial"/>
                <w:color w:val="000000"/>
              </w:rPr>
            </w:pPr>
          </w:p>
        </w:tc>
        <w:tc>
          <w:tcPr>
            <w:tcW w:w="1874" w:type="dxa"/>
            <w:tcBorders>
              <w:bottom w:val="single" w:sz="4" w:space="0" w:color="auto"/>
            </w:tcBorders>
            <w:shd w:val="clear" w:color="auto" w:fill="E7F3F4"/>
            <w:noWrap/>
            <w:vAlign w:val="center"/>
            <w:hideMark/>
          </w:tcPr>
          <w:p w14:paraId="3CDCB133"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7986B61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GH2</w:t>
            </w:r>
          </w:p>
        </w:tc>
        <w:tc>
          <w:tcPr>
            <w:tcW w:w="1078" w:type="dxa"/>
            <w:tcBorders>
              <w:bottom w:val="single" w:sz="4" w:space="0" w:color="auto"/>
            </w:tcBorders>
            <w:shd w:val="clear" w:color="auto" w:fill="E7F3F4"/>
            <w:vAlign w:val="center"/>
          </w:tcPr>
          <w:p w14:paraId="40044B8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2005</w:t>
            </w:r>
          </w:p>
        </w:tc>
        <w:tc>
          <w:tcPr>
            <w:tcW w:w="1068" w:type="dxa"/>
            <w:tcBorders>
              <w:bottom w:val="single" w:sz="4" w:space="0" w:color="auto"/>
            </w:tcBorders>
            <w:shd w:val="clear" w:color="auto" w:fill="E7F3F4"/>
            <w:vAlign w:val="center"/>
          </w:tcPr>
          <w:p w14:paraId="7FD326E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E7F3F4"/>
            <w:vAlign w:val="center"/>
          </w:tcPr>
          <w:p w14:paraId="62876A9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33</w:t>
            </w:r>
          </w:p>
        </w:tc>
        <w:tc>
          <w:tcPr>
            <w:tcW w:w="1078" w:type="dxa"/>
            <w:tcBorders>
              <w:bottom w:val="single" w:sz="4" w:space="0" w:color="auto"/>
            </w:tcBorders>
            <w:shd w:val="clear" w:color="auto" w:fill="E7F3F4"/>
            <w:noWrap/>
            <w:vAlign w:val="bottom"/>
            <w:hideMark/>
          </w:tcPr>
          <w:p w14:paraId="00110F9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0.038</w:t>
            </w:r>
          </w:p>
        </w:tc>
        <w:tc>
          <w:tcPr>
            <w:tcW w:w="1076" w:type="dxa"/>
            <w:tcBorders>
              <w:bottom w:val="single" w:sz="4" w:space="0" w:color="auto"/>
            </w:tcBorders>
            <w:shd w:val="clear" w:color="auto" w:fill="E7F3F4"/>
            <w:noWrap/>
            <w:vAlign w:val="bottom"/>
            <w:hideMark/>
          </w:tcPr>
          <w:p w14:paraId="298F69B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0.7685</w:t>
            </w:r>
          </w:p>
        </w:tc>
        <w:tc>
          <w:tcPr>
            <w:tcW w:w="2475" w:type="dxa"/>
            <w:tcBorders>
              <w:bottom w:val="single" w:sz="4" w:space="0" w:color="auto"/>
            </w:tcBorders>
            <w:shd w:val="clear" w:color="auto" w:fill="E7F3F4"/>
            <w:noWrap/>
            <w:vAlign w:val="bottom"/>
            <w:hideMark/>
          </w:tcPr>
          <w:p w14:paraId="7DD89B1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0.067</w:t>
            </w:r>
          </w:p>
        </w:tc>
        <w:tc>
          <w:tcPr>
            <w:tcW w:w="1068" w:type="dxa"/>
            <w:tcBorders>
              <w:bottom w:val="single" w:sz="4" w:space="0" w:color="auto"/>
            </w:tcBorders>
            <w:shd w:val="clear" w:color="auto" w:fill="E7F3F4"/>
            <w:noWrap/>
            <w:vAlign w:val="center"/>
          </w:tcPr>
          <w:p w14:paraId="79C23BC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40EA4694" w14:textId="77777777" w:rsidTr="00BE5D0E">
        <w:trPr>
          <w:cantSplit/>
          <w:trHeight w:val="312"/>
          <w:jc w:val="center"/>
        </w:trPr>
        <w:tc>
          <w:tcPr>
            <w:tcW w:w="2028" w:type="dxa"/>
            <w:vMerge/>
            <w:shd w:val="clear" w:color="auto" w:fill="E7F3F4"/>
            <w:noWrap/>
            <w:vAlign w:val="center"/>
          </w:tcPr>
          <w:p w14:paraId="04638223"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tcBorders>
            <w:shd w:val="clear" w:color="auto" w:fill="E7F3F4"/>
            <w:noWrap/>
            <w:vAlign w:val="center"/>
            <w:hideMark/>
          </w:tcPr>
          <w:p w14:paraId="7884351B"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coastal intertidal</w:t>
            </w:r>
          </w:p>
        </w:tc>
        <w:tc>
          <w:tcPr>
            <w:tcW w:w="720" w:type="dxa"/>
            <w:tcBorders>
              <w:top w:val="single" w:sz="4" w:space="0" w:color="auto"/>
            </w:tcBorders>
            <w:shd w:val="clear" w:color="auto" w:fill="E7F3F4"/>
            <w:noWrap/>
            <w:vAlign w:val="center"/>
            <w:hideMark/>
          </w:tcPr>
          <w:p w14:paraId="02F6361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RC1</w:t>
            </w:r>
          </w:p>
        </w:tc>
        <w:tc>
          <w:tcPr>
            <w:tcW w:w="1078" w:type="dxa"/>
            <w:tcBorders>
              <w:top w:val="single" w:sz="4" w:space="0" w:color="auto"/>
            </w:tcBorders>
            <w:shd w:val="clear" w:color="auto" w:fill="E7F3F4"/>
            <w:vAlign w:val="center"/>
          </w:tcPr>
          <w:p w14:paraId="3A85A56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2002</w:t>
            </w:r>
          </w:p>
        </w:tc>
        <w:tc>
          <w:tcPr>
            <w:tcW w:w="1068" w:type="dxa"/>
            <w:tcBorders>
              <w:top w:val="single" w:sz="4" w:space="0" w:color="auto"/>
            </w:tcBorders>
            <w:shd w:val="clear" w:color="auto" w:fill="E7F3F4"/>
            <w:vAlign w:val="center"/>
          </w:tcPr>
          <w:p w14:paraId="3427888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E7F3F4"/>
            <w:vAlign w:val="center"/>
          </w:tcPr>
          <w:p w14:paraId="6BAEB78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34</w:t>
            </w:r>
          </w:p>
        </w:tc>
        <w:tc>
          <w:tcPr>
            <w:tcW w:w="1078" w:type="dxa"/>
            <w:tcBorders>
              <w:top w:val="single" w:sz="4" w:space="0" w:color="auto"/>
            </w:tcBorders>
            <w:shd w:val="clear" w:color="auto" w:fill="E7F3F4"/>
            <w:noWrap/>
            <w:vAlign w:val="bottom"/>
            <w:hideMark/>
          </w:tcPr>
          <w:p w14:paraId="28C2BCB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-0.013</w:t>
            </w:r>
          </w:p>
        </w:tc>
        <w:tc>
          <w:tcPr>
            <w:tcW w:w="1076" w:type="dxa"/>
            <w:tcBorders>
              <w:top w:val="single" w:sz="4" w:space="0" w:color="auto"/>
            </w:tcBorders>
            <w:shd w:val="clear" w:color="auto" w:fill="E7F3F4"/>
            <w:noWrap/>
            <w:vAlign w:val="bottom"/>
            <w:hideMark/>
          </w:tcPr>
          <w:p w14:paraId="51CF4F4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0.9473</w:t>
            </w:r>
          </w:p>
        </w:tc>
        <w:tc>
          <w:tcPr>
            <w:tcW w:w="2475" w:type="dxa"/>
            <w:tcBorders>
              <w:top w:val="single" w:sz="4" w:space="0" w:color="auto"/>
            </w:tcBorders>
            <w:shd w:val="clear" w:color="auto" w:fill="E7F3F4"/>
            <w:noWrap/>
            <w:vAlign w:val="bottom"/>
            <w:hideMark/>
          </w:tcPr>
          <w:p w14:paraId="19219F4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-0.019</w:t>
            </w:r>
          </w:p>
        </w:tc>
        <w:tc>
          <w:tcPr>
            <w:tcW w:w="1068" w:type="dxa"/>
            <w:tcBorders>
              <w:top w:val="single" w:sz="4" w:space="0" w:color="auto"/>
            </w:tcBorders>
            <w:shd w:val="clear" w:color="auto" w:fill="E7F3F4"/>
            <w:noWrap/>
            <w:vAlign w:val="center"/>
          </w:tcPr>
          <w:p w14:paraId="39E9298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5A5F36CA" w14:textId="77777777" w:rsidTr="00BE5D0E">
        <w:trPr>
          <w:cantSplit/>
          <w:trHeight w:val="312"/>
          <w:jc w:val="center"/>
        </w:trPr>
        <w:tc>
          <w:tcPr>
            <w:tcW w:w="2028" w:type="dxa"/>
            <w:vMerge/>
            <w:shd w:val="clear" w:color="auto" w:fill="E7F3F4"/>
            <w:noWrap/>
            <w:vAlign w:val="center"/>
          </w:tcPr>
          <w:p w14:paraId="76A27A3F" w14:textId="77777777" w:rsidR="00BB7DFF" w:rsidRPr="00CB093C" w:rsidRDefault="00BB7DFF" w:rsidP="00BE5D0E">
            <w:pPr>
              <w:pStyle w:val="BodyText"/>
              <w:spacing w:after="0"/>
              <w:jc w:val="left"/>
              <w:rPr>
                <w:rFonts w:ascii="Arial" w:hAnsi="Arial" w:cs="Arial"/>
                <w:color w:val="000000"/>
              </w:rPr>
            </w:pPr>
          </w:p>
        </w:tc>
        <w:tc>
          <w:tcPr>
            <w:tcW w:w="1874" w:type="dxa"/>
            <w:tcBorders>
              <w:bottom w:val="single" w:sz="4" w:space="0" w:color="auto"/>
            </w:tcBorders>
            <w:shd w:val="clear" w:color="auto" w:fill="E7F3F4"/>
            <w:noWrap/>
            <w:vAlign w:val="center"/>
          </w:tcPr>
          <w:p w14:paraId="5238C4F6"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66E8F7C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WH1</w:t>
            </w:r>
          </w:p>
        </w:tc>
        <w:tc>
          <w:tcPr>
            <w:tcW w:w="1078" w:type="dxa"/>
            <w:tcBorders>
              <w:bottom w:val="single" w:sz="4" w:space="0" w:color="auto"/>
            </w:tcBorders>
            <w:shd w:val="clear" w:color="auto" w:fill="E7F3F4"/>
            <w:vAlign w:val="center"/>
          </w:tcPr>
          <w:p w14:paraId="12770C3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2002</w:t>
            </w:r>
          </w:p>
        </w:tc>
        <w:tc>
          <w:tcPr>
            <w:tcW w:w="1068" w:type="dxa"/>
            <w:tcBorders>
              <w:bottom w:val="single" w:sz="4" w:space="0" w:color="auto"/>
            </w:tcBorders>
            <w:shd w:val="clear" w:color="auto" w:fill="E7F3F4"/>
            <w:vAlign w:val="center"/>
          </w:tcPr>
          <w:p w14:paraId="7C1BD81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E7F3F4"/>
            <w:vAlign w:val="center"/>
          </w:tcPr>
          <w:p w14:paraId="533EDDB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35</w:t>
            </w:r>
          </w:p>
        </w:tc>
        <w:tc>
          <w:tcPr>
            <w:tcW w:w="1078" w:type="dxa"/>
            <w:tcBorders>
              <w:bottom w:val="single" w:sz="4" w:space="0" w:color="auto"/>
            </w:tcBorders>
            <w:shd w:val="clear" w:color="auto" w:fill="E7F3F4"/>
            <w:noWrap/>
            <w:vAlign w:val="bottom"/>
            <w:hideMark/>
          </w:tcPr>
          <w:p w14:paraId="2DCBFDF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-0.054</w:t>
            </w:r>
          </w:p>
        </w:tc>
        <w:tc>
          <w:tcPr>
            <w:tcW w:w="1076" w:type="dxa"/>
            <w:tcBorders>
              <w:bottom w:val="single" w:sz="4" w:space="0" w:color="auto"/>
            </w:tcBorders>
            <w:shd w:val="clear" w:color="auto" w:fill="E7F3F4"/>
            <w:noWrap/>
            <w:vAlign w:val="bottom"/>
            <w:hideMark/>
          </w:tcPr>
          <w:p w14:paraId="05DA895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0.7065</w:t>
            </w:r>
          </w:p>
        </w:tc>
        <w:tc>
          <w:tcPr>
            <w:tcW w:w="2475" w:type="dxa"/>
            <w:tcBorders>
              <w:bottom w:val="single" w:sz="4" w:space="0" w:color="auto"/>
            </w:tcBorders>
            <w:shd w:val="clear" w:color="auto" w:fill="E7F3F4"/>
            <w:noWrap/>
            <w:vAlign w:val="bottom"/>
            <w:hideMark/>
          </w:tcPr>
          <w:p w14:paraId="2BD42A5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-0.065</w:t>
            </w:r>
          </w:p>
        </w:tc>
        <w:tc>
          <w:tcPr>
            <w:tcW w:w="1068" w:type="dxa"/>
            <w:tcBorders>
              <w:bottom w:val="single" w:sz="4" w:space="0" w:color="auto"/>
            </w:tcBorders>
            <w:shd w:val="clear" w:color="auto" w:fill="E7F3F4"/>
            <w:noWrap/>
            <w:vAlign w:val="center"/>
          </w:tcPr>
          <w:p w14:paraId="056A4ED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7F61756A" w14:textId="77777777" w:rsidTr="00BE5D0E">
        <w:trPr>
          <w:cantSplit/>
          <w:trHeight w:val="312"/>
          <w:jc w:val="center"/>
        </w:trPr>
        <w:tc>
          <w:tcPr>
            <w:tcW w:w="2028" w:type="dxa"/>
            <w:vMerge/>
            <w:shd w:val="clear" w:color="auto" w:fill="E7F3F4"/>
            <w:noWrap/>
            <w:vAlign w:val="center"/>
          </w:tcPr>
          <w:p w14:paraId="11C5D56D"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tcBorders>
            <w:shd w:val="clear" w:color="auto" w:fill="E7F3F4"/>
            <w:noWrap/>
            <w:vAlign w:val="center"/>
            <w:hideMark/>
          </w:tcPr>
          <w:p w14:paraId="6D997B9B"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reef intertidal</w:t>
            </w:r>
          </w:p>
        </w:tc>
        <w:tc>
          <w:tcPr>
            <w:tcW w:w="720" w:type="dxa"/>
            <w:tcBorders>
              <w:top w:val="single" w:sz="4" w:space="0" w:color="auto"/>
            </w:tcBorders>
            <w:shd w:val="clear" w:color="auto" w:fill="E7F3F4"/>
            <w:noWrap/>
            <w:vAlign w:val="center"/>
            <w:hideMark/>
          </w:tcPr>
          <w:p w14:paraId="3427CE50"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GK1</w:t>
            </w:r>
          </w:p>
        </w:tc>
        <w:tc>
          <w:tcPr>
            <w:tcW w:w="1078" w:type="dxa"/>
            <w:tcBorders>
              <w:top w:val="single" w:sz="4" w:space="0" w:color="auto"/>
            </w:tcBorders>
            <w:shd w:val="clear" w:color="auto" w:fill="E7F3F4"/>
            <w:vAlign w:val="center"/>
          </w:tcPr>
          <w:p w14:paraId="7622A73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2007</w:t>
            </w:r>
          </w:p>
        </w:tc>
        <w:tc>
          <w:tcPr>
            <w:tcW w:w="1068" w:type="dxa"/>
            <w:tcBorders>
              <w:top w:val="single" w:sz="4" w:space="0" w:color="auto"/>
            </w:tcBorders>
            <w:shd w:val="clear" w:color="auto" w:fill="E7F3F4"/>
            <w:vAlign w:val="center"/>
          </w:tcPr>
          <w:p w14:paraId="2A75756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E7F3F4"/>
            <w:vAlign w:val="center"/>
          </w:tcPr>
          <w:p w14:paraId="772669B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w:t>
            </w:r>
          </w:p>
        </w:tc>
        <w:tc>
          <w:tcPr>
            <w:tcW w:w="1078" w:type="dxa"/>
            <w:tcBorders>
              <w:top w:val="single" w:sz="4" w:space="0" w:color="auto"/>
            </w:tcBorders>
            <w:shd w:val="clear" w:color="auto" w:fill="E7F3F4"/>
            <w:noWrap/>
            <w:vAlign w:val="bottom"/>
            <w:hideMark/>
          </w:tcPr>
          <w:p w14:paraId="17B2047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-0.457</w:t>
            </w:r>
          </w:p>
        </w:tc>
        <w:tc>
          <w:tcPr>
            <w:tcW w:w="1076" w:type="dxa"/>
            <w:tcBorders>
              <w:top w:val="single" w:sz="4" w:space="0" w:color="auto"/>
            </w:tcBorders>
            <w:shd w:val="clear" w:color="auto" w:fill="E7F3F4"/>
            <w:noWrap/>
            <w:vAlign w:val="bottom"/>
            <w:hideMark/>
          </w:tcPr>
          <w:p w14:paraId="23614C2D"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0.0070</w:t>
            </w:r>
          </w:p>
        </w:tc>
        <w:tc>
          <w:tcPr>
            <w:tcW w:w="2475" w:type="dxa"/>
            <w:tcBorders>
              <w:top w:val="single" w:sz="4" w:space="0" w:color="auto"/>
            </w:tcBorders>
            <w:shd w:val="clear" w:color="auto" w:fill="E7F3F4"/>
            <w:noWrap/>
            <w:vAlign w:val="bottom"/>
            <w:hideMark/>
          </w:tcPr>
          <w:p w14:paraId="66B42E1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-0.123</w:t>
            </w:r>
            <w:r w:rsidRPr="00CB093C">
              <w:rPr>
                <w:rFonts w:ascii="Arial" w:hAnsi="Arial" w:cs="Arial"/>
                <w:color w:val="000000"/>
              </w:rPr>
              <w:t xml:space="preserve"> (-0.258 to -0.046)</w:t>
            </w:r>
          </w:p>
        </w:tc>
        <w:tc>
          <w:tcPr>
            <w:tcW w:w="1068" w:type="dxa"/>
            <w:tcBorders>
              <w:top w:val="single" w:sz="4" w:space="0" w:color="auto"/>
            </w:tcBorders>
            <w:shd w:val="clear" w:color="auto" w:fill="E7F3F4"/>
            <w:noWrap/>
            <w:vAlign w:val="center"/>
          </w:tcPr>
          <w:p w14:paraId="295A119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decrease</w:t>
            </w:r>
          </w:p>
        </w:tc>
      </w:tr>
      <w:tr w:rsidR="00BB7DFF" w:rsidRPr="00CB093C" w14:paraId="7BFBC5B1" w14:textId="77777777" w:rsidTr="00BE5D0E">
        <w:trPr>
          <w:cantSplit/>
          <w:trHeight w:val="312"/>
          <w:jc w:val="center"/>
        </w:trPr>
        <w:tc>
          <w:tcPr>
            <w:tcW w:w="2028" w:type="dxa"/>
            <w:vMerge/>
            <w:shd w:val="clear" w:color="auto" w:fill="E7F3F4"/>
            <w:noWrap/>
            <w:vAlign w:val="center"/>
          </w:tcPr>
          <w:p w14:paraId="58E2601D" w14:textId="77777777" w:rsidR="00BB7DFF" w:rsidRPr="00CB093C" w:rsidRDefault="00BB7DFF" w:rsidP="00BE5D0E">
            <w:pPr>
              <w:pStyle w:val="BodyText"/>
              <w:spacing w:after="0"/>
              <w:jc w:val="left"/>
              <w:rPr>
                <w:rFonts w:ascii="Arial" w:hAnsi="Arial" w:cs="Arial"/>
                <w:color w:val="000000"/>
              </w:rPr>
            </w:pPr>
          </w:p>
        </w:tc>
        <w:tc>
          <w:tcPr>
            <w:tcW w:w="1874" w:type="dxa"/>
            <w:tcBorders>
              <w:bottom w:val="single" w:sz="4" w:space="0" w:color="auto"/>
            </w:tcBorders>
            <w:shd w:val="clear" w:color="auto" w:fill="E7F3F4"/>
            <w:noWrap/>
            <w:vAlign w:val="center"/>
            <w:hideMark/>
          </w:tcPr>
          <w:p w14:paraId="7F8E1511"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E7F3F4"/>
            <w:noWrap/>
            <w:vAlign w:val="center"/>
            <w:hideMark/>
          </w:tcPr>
          <w:p w14:paraId="08CB39E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GK2</w:t>
            </w:r>
          </w:p>
        </w:tc>
        <w:tc>
          <w:tcPr>
            <w:tcW w:w="1078" w:type="dxa"/>
            <w:tcBorders>
              <w:bottom w:val="single" w:sz="4" w:space="0" w:color="auto"/>
            </w:tcBorders>
            <w:shd w:val="clear" w:color="auto" w:fill="E7F3F4"/>
            <w:vAlign w:val="center"/>
          </w:tcPr>
          <w:p w14:paraId="7778BE7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2007</w:t>
            </w:r>
          </w:p>
        </w:tc>
        <w:tc>
          <w:tcPr>
            <w:tcW w:w="1068" w:type="dxa"/>
            <w:tcBorders>
              <w:bottom w:val="single" w:sz="4" w:space="0" w:color="auto"/>
            </w:tcBorders>
            <w:shd w:val="clear" w:color="auto" w:fill="E7F3F4"/>
            <w:vAlign w:val="center"/>
          </w:tcPr>
          <w:p w14:paraId="6E2F9E8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E7F3F4"/>
            <w:vAlign w:val="center"/>
          </w:tcPr>
          <w:p w14:paraId="33E10C4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w:t>
            </w:r>
          </w:p>
        </w:tc>
        <w:tc>
          <w:tcPr>
            <w:tcW w:w="1078" w:type="dxa"/>
            <w:tcBorders>
              <w:bottom w:val="single" w:sz="4" w:space="0" w:color="auto"/>
            </w:tcBorders>
            <w:shd w:val="clear" w:color="auto" w:fill="E7F3F4"/>
            <w:noWrap/>
            <w:vAlign w:val="bottom"/>
            <w:hideMark/>
          </w:tcPr>
          <w:p w14:paraId="5BA140B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-0.064</w:t>
            </w:r>
          </w:p>
        </w:tc>
        <w:tc>
          <w:tcPr>
            <w:tcW w:w="1076" w:type="dxa"/>
            <w:tcBorders>
              <w:bottom w:val="single" w:sz="4" w:space="0" w:color="auto"/>
            </w:tcBorders>
            <w:shd w:val="clear" w:color="auto" w:fill="E7F3F4"/>
            <w:noWrap/>
            <w:vAlign w:val="bottom"/>
            <w:hideMark/>
          </w:tcPr>
          <w:p w14:paraId="543D3B9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0.7264</w:t>
            </w:r>
          </w:p>
        </w:tc>
        <w:tc>
          <w:tcPr>
            <w:tcW w:w="2475" w:type="dxa"/>
            <w:tcBorders>
              <w:bottom w:val="single" w:sz="4" w:space="0" w:color="auto"/>
            </w:tcBorders>
            <w:shd w:val="clear" w:color="auto" w:fill="E7F3F4"/>
            <w:noWrap/>
            <w:vAlign w:val="bottom"/>
            <w:hideMark/>
          </w:tcPr>
          <w:p w14:paraId="4C23309F"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-0.027</w:t>
            </w:r>
          </w:p>
        </w:tc>
        <w:tc>
          <w:tcPr>
            <w:tcW w:w="1068" w:type="dxa"/>
            <w:tcBorders>
              <w:bottom w:val="single" w:sz="4" w:space="0" w:color="auto"/>
            </w:tcBorders>
            <w:shd w:val="clear" w:color="auto" w:fill="E7F3F4"/>
            <w:noWrap/>
            <w:vAlign w:val="center"/>
          </w:tcPr>
          <w:p w14:paraId="7D0D22C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015914E6" w14:textId="77777777" w:rsidTr="00BE5D0E">
        <w:trPr>
          <w:cantSplit/>
          <w:trHeight w:val="312"/>
          <w:jc w:val="center"/>
        </w:trPr>
        <w:tc>
          <w:tcPr>
            <w:tcW w:w="2028" w:type="dxa"/>
            <w:vMerge/>
            <w:tcBorders>
              <w:bottom w:val="single" w:sz="4" w:space="0" w:color="auto"/>
            </w:tcBorders>
            <w:shd w:val="clear" w:color="auto" w:fill="E7F3F4"/>
            <w:noWrap/>
            <w:vAlign w:val="center"/>
          </w:tcPr>
          <w:p w14:paraId="04DC0753"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bottom w:val="single" w:sz="4" w:space="0" w:color="auto"/>
            </w:tcBorders>
            <w:shd w:val="clear" w:color="auto" w:fill="D9D9D9" w:themeFill="background1" w:themeFillShade="D9"/>
            <w:noWrap/>
            <w:vAlign w:val="center"/>
          </w:tcPr>
          <w:p w14:paraId="08119D8C"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26D5C5A6" w14:textId="77777777" w:rsidR="00BB7DFF" w:rsidRPr="00CB093C" w:rsidRDefault="00BB7DFF" w:rsidP="00BE5D0E">
            <w:pPr>
              <w:pStyle w:val="BodyText"/>
              <w:spacing w:after="0"/>
              <w:jc w:val="center"/>
              <w:rPr>
                <w:rFonts w:ascii="Arial" w:hAnsi="Arial" w:cs="Arial"/>
                <w:color w:val="000000"/>
              </w:rPr>
            </w:pPr>
          </w:p>
        </w:tc>
        <w:tc>
          <w:tcPr>
            <w:tcW w:w="1078" w:type="dxa"/>
            <w:tcBorders>
              <w:top w:val="single" w:sz="4" w:space="0" w:color="auto"/>
              <w:bottom w:val="single" w:sz="4" w:space="0" w:color="auto"/>
            </w:tcBorders>
            <w:shd w:val="clear" w:color="auto" w:fill="D9D9D9" w:themeFill="background1" w:themeFillShade="D9"/>
            <w:vAlign w:val="center"/>
          </w:tcPr>
          <w:p w14:paraId="720C373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2002</w:t>
            </w:r>
          </w:p>
        </w:tc>
        <w:tc>
          <w:tcPr>
            <w:tcW w:w="1068" w:type="dxa"/>
            <w:tcBorders>
              <w:top w:val="single" w:sz="4" w:space="0" w:color="auto"/>
              <w:bottom w:val="single" w:sz="4" w:space="0" w:color="auto"/>
            </w:tcBorders>
            <w:shd w:val="clear" w:color="auto" w:fill="D9D9D9" w:themeFill="background1" w:themeFillShade="D9"/>
            <w:vAlign w:val="center"/>
          </w:tcPr>
          <w:p w14:paraId="59AEFE8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bottom w:val="single" w:sz="4" w:space="0" w:color="auto"/>
            </w:tcBorders>
            <w:shd w:val="clear" w:color="auto" w:fill="D9D9D9" w:themeFill="background1" w:themeFillShade="D9"/>
            <w:vAlign w:val="center"/>
          </w:tcPr>
          <w:p w14:paraId="2966D70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44</w:t>
            </w:r>
          </w:p>
        </w:tc>
        <w:tc>
          <w:tcPr>
            <w:tcW w:w="1078" w:type="dxa"/>
            <w:tcBorders>
              <w:top w:val="single" w:sz="4" w:space="0" w:color="auto"/>
              <w:bottom w:val="single" w:sz="4" w:space="0" w:color="auto"/>
            </w:tcBorders>
            <w:shd w:val="clear" w:color="auto" w:fill="D9D9D9" w:themeFill="background1" w:themeFillShade="D9"/>
            <w:noWrap/>
            <w:vAlign w:val="center"/>
          </w:tcPr>
          <w:p w14:paraId="69534562"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-0.253</w:t>
            </w:r>
          </w:p>
        </w:tc>
        <w:tc>
          <w:tcPr>
            <w:tcW w:w="1076" w:type="dxa"/>
            <w:tcBorders>
              <w:top w:val="single" w:sz="4" w:space="0" w:color="auto"/>
              <w:bottom w:val="single" w:sz="4" w:space="0" w:color="auto"/>
            </w:tcBorders>
            <w:shd w:val="clear" w:color="auto" w:fill="D9D9D9" w:themeFill="background1" w:themeFillShade="D9"/>
            <w:noWrap/>
            <w:vAlign w:val="center"/>
          </w:tcPr>
          <w:p w14:paraId="3A99C2C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0.016</w:t>
            </w:r>
          </w:p>
        </w:tc>
        <w:tc>
          <w:tcPr>
            <w:tcW w:w="2475" w:type="dxa"/>
            <w:tcBorders>
              <w:top w:val="single" w:sz="4" w:space="0" w:color="auto"/>
              <w:bottom w:val="single" w:sz="4" w:space="0" w:color="auto"/>
            </w:tcBorders>
            <w:shd w:val="clear" w:color="auto" w:fill="D9D9D9" w:themeFill="background1" w:themeFillShade="D9"/>
            <w:noWrap/>
            <w:vAlign w:val="center"/>
          </w:tcPr>
          <w:p w14:paraId="37D12D2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b/>
                <w:color w:val="000000"/>
              </w:rPr>
              <w:t>-0.161</w:t>
            </w:r>
            <w:r w:rsidRPr="00CB093C">
              <w:rPr>
                <w:rFonts w:ascii="Arial" w:hAnsi="Arial" w:cs="Arial"/>
                <w:color w:val="000000"/>
              </w:rPr>
              <w:t xml:space="preserve"> ( -0.283 to -0.047)</w:t>
            </w:r>
          </w:p>
        </w:tc>
        <w:tc>
          <w:tcPr>
            <w:tcW w:w="1068" w:type="dxa"/>
            <w:tcBorders>
              <w:top w:val="single" w:sz="4" w:space="0" w:color="auto"/>
              <w:bottom w:val="single" w:sz="4" w:space="0" w:color="auto"/>
            </w:tcBorders>
            <w:shd w:val="clear" w:color="auto" w:fill="D9D9D9" w:themeFill="background1" w:themeFillShade="D9"/>
            <w:noWrap/>
            <w:vAlign w:val="center"/>
          </w:tcPr>
          <w:p w14:paraId="6EBDC5C5"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2BB179F2" w14:textId="77777777" w:rsidTr="00BE5D0E">
        <w:trPr>
          <w:cantSplit/>
          <w:trHeight w:val="312"/>
          <w:jc w:val="center"/>
        </w:trPr>
        <w:tc>
          <w:tcPr>
            <w:tcW w:w="2028" w:type="dxa"/>
            <w:vMerge w:val="restart"/>
            <w:tcBorders>
              <w:top w:val="single" w:sz="4" w:space="0" w:color="auto"/>
            </w:tcBorders>
            <w:shd w:val="clear" w:color="auto" w:fill="F3F9FA"/>
            <w:noWrap/>
            <w:vAlign w:val="center"/>
            <w:hideMark/>
          </w:tcPr>
          <w:p w14:paraId="5183789F"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Burnett Mary</w:t>
            </w:r>
          </w:p>
        </w:tc>
        <w:tc>
          <w:tcPr>
            <w:tcW w:w="1874" w:type="dxa"/>
            <w:tcBorders>
              <w:top w:val="single" w:sz="4" w:space="0" w:color="auto"/>
            </w:tcBorders>
            <w:shd w:val="clear" w:color="auto" w:fill="F3F9FA"/>
            <w:noWrap/>
            <w:vAlign w:val="center"/>
            <w:hideMark/>
          </w:tcPr>
          <w:p w14:paraId="3BB74707"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estuarine intertidal</w:t>
            </w:r>
          </w:p>
        </w:tc>
        <w:tc>
          <w:tcPr>
            <w:tcW w:w="720" w:type="dxa"/>
            <w:tcBorders>
              <w:top w:val="single" w:sz="4" w:space="0" w:color="auto"/>
            </w:tcBorders>
            <w:shd w:val="clear" w:color="auto" w:fill="F3F9FA"/>
            <w:noWrap/>
            <w:vAlign w:val="center"/>
            <w:hideMark/>
          </w:tcPr>
          <w:p w14:paraId="012C9FA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RD1</w:t>
            </w:r>
          </w:p>
        </w:tc>
        <w:tc>
          <w:tcPr>
            <w:tcW w:w="1078" w:type="dxa"/>
            <w:tcBorders>
              <w:top w:val="single" w:sz="4" w:space="0" w:color="auto"/>
            </w:tcBorders>
            <w:shd w:val="clear" w:color="auto" w:fill="F3F9FA"/>
            <w:vAlign w:val="center"/>
          </w:tcPr>
          <w:p w14:paraId="27F48CE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2007</w:t>
            </w:r>
          </w:p>
        </w:tc>
        <w:tc>
          <w:tcPr>
            <w:tcW w:w="1068" w:type="dxa"/>
            <w:tcBorders>
              <w:top w:val="single" w:sz="4" w:space="0" w:color="auto"/>
            </w:tcBorders>
            <w:shd w:val="clear" w:color="auto" w:fill="F3F9FA"/>
            <w:vAlign w:val="center"/>
          </w:tcPr>
          <w:p w14:paraId="6BCF24B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04C10DF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28</w:t>
            </w:r>
          </w:p>
        </w:tc>
        <w:tc>
          <w:tcPr>
            <w:tcW w:w="1078" w:type="dxa"/>
            <w:tcBorders>
              <w:top w:val="single" w:sz="4" w:space="0" w:color="auto"/>
            </w:tcBorders>
            <w:shd w:val="clear" w:color="auto" w:fill="F3F9FA"/>
            <w:noWrap/>
            <w:vAlign w:val="bottom"/>
            <w:hideMark/>
          </w:tcPr>
          <w:p w14:paraId="7D416783"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-0.064</w:t>
            </w:r>
          </w:p>
        </w:tc>
        <w:tc>
          <w:tcPr>
            <w:tcW w:w="1076" w:type="dxa"/>
            <w:tcBorders>
              <w:top w:val="single" w:sz="4" w:space="0" w:color="auto"/>
            </w:tcBorders>
            <w:shd w:val="clear" w:color="auto" w:fill="F3F9FA"/>
            <w:noWrap/>
            <w:vAlign w:val="bottom"/>
            <w:hideMark/>
          </w:tcPr>
          <w:p w14:paraId="512D01E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0.6490</w:t>
            </w:r>
          </w:p>
        </w:tc>
        <w:tc>
          <w:tcPr>
            <w:tcW w:w="2475" w:type="dxa"/>
            <w:tcBorders>
              <w:top w:val="single" w:sz="4" w:space="0" w:color="auto"/>
            </w:tcBorders>
            <w:shd w:val="clear" w:color="auto" w:fill="F3F9FA"/>
            <w:noWrap/>
            <w:vAlign w:val="bottom"/>
            <w:hideMark/>
          </w:tcPr>
          <w:p w14:paraId="46AFCC5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-0.005</w:t>
            </w:r>
          </w:p>
        </w:tc>
        <w:tc>
          <w:tcPr>
            <w:tcW w:w="1068" w:type="dxa"/>
            <w:tcBorders>
              <w:top w:val="single" w:sz="4" w:space="0" w:color="auto"/>
            </w:tcBorders>
            <w:shd w:val="clear" w:color="auto" w:fill="F3F9FA"/>
            <w:noWrap/>
            <w:vAlign w:val="center"/>
          </w:tcPr>
          <w:p w14:paraId="613E3CD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5DF55408" w14:textId="77777777" w:rsidTr="00BE5D0E">
        <w:trPr>
          <w:cantSplit/>
          <w:trHeight w:val="312"/>
          <w:jc w:val="center"/>
        </w:trPr>
        <w:tc>
          <w:tcPr>
            <w:tcW w:w="2028" w:type="dxa"/>
            <w:vMerge/>
            <w:shd w:val="clear" w:color="auto" w:fill="F3F9FA"/>
            <w:noWrap/>
            <w:vAlign w:val="center"/>
          </w:tcPr>
          <w:p w14:paraId="52A01154" w14:textId="77777777" w:rsidR="00BB7DFF" w:rsidRPr="00CB093C" w:rsidRDefault="00BB7DFF" w:rsidP="00BE5D0E">
            <w:pPr>
              <w:pStyle w:val="BodyText"/>
              <w:spacing w:after="0"/>
              <w:jc w:val="left"/>
              <w:rPr>
                <w:rFonts w:ascii="Arial" w:hAnsi="Arial" w:cs="Arial"/>
                <w:color w:val="000000"/>
              </w:rPr>
            </w:pPr>
          </w:p>
        </w:tc>
        <w:tc>
          <w:tcPr>
            <w:tcW w:w="1874" w:type="dxa"/>
            <w:shd w:val="clear" w:color="auto" w:fill="F3F9FA"/>
            <w:noWrap/>
            <w:vAlign w:val="center"/>
          </w:tcPr>
          <w:p w14:paraId="61C5AA3E"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7720E77C"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RD2</w:t>
            </w:r>
          </w:p>
        </w:tc>
        <w:tc>
          <w:tcPr>
            <w:tcW w:w="1078" w:type="dxa"/>
            <w:tcBorders>
              <w:bottom w:val="single" w:sz="4" w:space="0" w:color="auto"/>
            </w:tcBorders>
            <w:shd w:val="clear" w:color="auto" w:fill="F3F9FA"/>
            <w:vAlign w:val="center"/>
          </w:tcPr>
          <w:p w14:paraId="445D6D8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2007</w:t>
            </w:r>
          </w:p>
        </w:tc>
        <w:tc>
          <w:tcPr>
            <w:tcW w:w="1068" w:type="dxa"/>
            <w:tcBorders>
              <w:bottom w:val="single" w:sz="4" w:space="0" w:color="auto"/>
            </w:tcBorders>
            <w:shd w:val="clear" w:color="auto" w:fill="F3F9FA"/>
            <w:vAlign w:val="center"/>
          </w:tcPr>
          <w:p w14:paraId="4F3F495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2017</w:t>
            </w:r>
          </w:p>
        </w:tc>
        <w:tc>
          <w:tcPr>
            <w:tcW w:w="519" w:type="dxa"/>
            <w:tcBorders>
              <w:bottom w:val="single" w:sz="4" w:space="0" w:color="auto"/>
            </w:tcBorders>
            <w:shd w:val="clear" w:color="auto" w:fill="F3F9FA"/>
            <w:vAlign w:val="center"/>
          </w:tcPr>
          <w:p w14:paraId="49ECF65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28</w:t>
            </w:r>
          </w:p>
        </w:tc>
        <w:tc>
          <w:tcPr>
            <w:tcW w:w="1078" w:type="dxa"/>
            <w:tcBorders>
              <w:bottom w:val="single" w:sz="4" w:space="0" w:color="auto"/>
            </w:tcBorders>
            <w:shd w:val="clear" w:color="auto" w:fill="F3F9FA"/>
            <w:noWrap/>
            <w:vAlign w:val="bottom"/>
            <w:hideMark/>
          </w:tcPr>
          <w:p w14:paraId="22B2D40D"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-0.409</w:t>
            </w:r>
          </w:p>
        </w:tc>
        <w:tc>
          <w:tcPr>
            <w:tcW w:w="1076" w:type="dxa"/>
            <w:tcBorders>
              <w:bottom w:val="single" w:sz="4" w:space="0" w:color="auto"/>
            </w:tcBorders>
            <w:shd w:val="clear" w:color="auto" w:fill="F3F9FA"/>
            <w:noWrap/>
            <w:vAlign w:val="bottom"/>
            <w:hideMark/>
          </w:tcPr>
          <w:p w14:paraId="417DC0E7"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0.0032</w:t>
            </w:r>
          </w:p>
        </w:tc>
        <w:tc>
          <w:tcPr>
            <w:tcW w:w="2475" w:type="dxa"/>
            <w:tcBorders>
              <w:bottom w:val="single" w:sz="4" w:space="0" w:color="auto"/>
            </w:tcBorders>
            <w:shd w:val="clear" w:color="auto" w:fill="F3F9FA"/>
            <w:noWrap/>
            <w:vAlign w:val="bottom"/>
            <w:hideMark/>
          </w:tcPr>
          <w:p w14:paraId="105E3104"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-0.009 (-0.096 to -0.001)</w:t>
            </w:r>
          </w:p>
        </w:tc>
        <w:tc>
          <w:tcPr>
            <w:tcW w:w="1068" w:type="dxa"/>
            <w:tcBorders>
              <w:bottom w:val="single" w:sz="4" w:space="0" w:color="auto"/>
            </w:tcBorders>
            <w:shd w:val="clear" w:color="auto" w:fill="F3F9FA"/>
            <w:noWrap/>
            <w:vAlign w:val="center"/>
            <w:hideMark/>
          </w:tcPr>
          <w:p w14:paraId="088B2ACB"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decrease</w:t>
            </w:r>
          </w:p>
        </w:tc>
      </w:tr>
      <w:tr w:rsidR="00BB7DFF" w:rsidRPr="00CB093C" w14:paraId="59AA0DA4" w14:textId="77777777" w:rsidTr="00BE5D0E">
        <w:trPr>
          <w:cantSplit/>
          <w:trHeight w:val="312"/>
          <w:jc w:val="center"/>
        </w:trPr>
        <w:tc>
          <w:tcPr>
            <w:tcW w:w="2028" w:type="dxa"/>
            <w:vMerge/>
            <w:shd w:val="clear" w:color="auto" w:fill="F3F9FA"/>
            <w:noWrap/>
            <w:vAlign w:val="center"/>
          </w:tcPr>
          <w:p w14:paraId="27A5B024" w14:textId="77777777" w:rsidR="00BB7DFF" w:rsidRPr="00CB093C" w:rsidRDefault="00BB7DFF" w:rsidP="00BE5D0E">
            <w:pPr>
              <w:pStyle w:val="BodyText"/>
              <w:spacing w:after="0"/>
              <w:jc w:val="left"/>
              <w:rPr>
                <w:rFonts w:ascii="Arial" w:hAnsi="Arial" w:cs="Arial"/>
                <w:color w:val="000000"/>
              </w:rPr>
            </w:pPr>
          </w:p>
        </w:tc>
        <w:tc>
          <w:tcPr>
            <w:tcW w:w="1874" w:type="dxa"/>
            <w:shd w:val="clear" w:color="auto" w:fill="F3F9FA"/>
            <w:noWrap/>
            <w:vAlign w:val="center"/>
          </w:tcPr>
          <w:p w14:paraId="1A632AE0" w14:textId="77777777" w:rsidR="00BB7DFF" w:rsidRPr="00CB093C" w:rsidRDefault="00BB7DFF" w:rsidP="00BE5D0E">
            <w:pPr>
              <w:pStyle w:val="BodyText"/>
              <w:spacing w:after="0"/>
              <w:jc w:val="left"/>
              <w:rPr>
                <w:rFonts w:ascii="Arial" w:hAnsi="Arial" w:cs="Arial"/>
                <w:color w:val="000000"/>
              </w:rPr>
            </w:pPr>
          </w:p>
        </w:tc>
        <w:tc>
          <w:tcPr>
            <w:tcW w:w="720" w:type="dxa"/>
            <w:tcBorders>
              <w:top w:val="single" w:sz="4" w:space="0" w:color="auto"/>
            </w:tcBorders>
            <w:shd w:val="clear" w:color="auto" w:fill="F3F9FA"/>
            <w:noWrap/>
            <w:vAlign w:val="center"/>
            <w:hideMark/>
          </w:tcPr>
          <w:p w14:paraId="69708606"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UG1</w:t>
            </w:r>
          </w:p>
        </w:tc>
        <w:tc>
          <w:tcPr>
            <w:tcW w:w="1078" w:type="dxa"/>
            <w:tcBorders>
              <w:top w:val="single" w:sz="4" w:space="0" w:color="auto"/>
            </w:tcBorders>
            <w:shd w:val="clear" w:color="auto" w:fill="F3F9FA"/>
            <w:vAlign w:val="center"/>
          </w:tcPr>
          <w:p w14:paraId="1CD28C4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1998</w:t>
            </w:r>
          </w:p>
        </w:tc>
        <w:tc>
          <w:tcPr>
            <w:tcW w:w="1068" w:type="dxa"/>
            <w:tcBorders>
              <w:top w:val="single" w:sz="4" w:space="0" w:color="auto"/>
            </w:tcBorders>
            <w:shd w:val="clear" w:color="auto" w:fill="F3F9FA"/>
            <w:vAlign w:val="center"/>
          </w:tcPr>
          <w:p w14:paraId="545CD33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0820BBA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59</w:t>
            </w:r>
          </w:p>
        </w:tc>
        <w:tc>
          <w:tcPr>
            <w:tcW w:w="1078" w:type="dxa"/>
            <w:tcBorders>
              <w:top w:val="single" w:sz="4" w:space="0" w:color="auto"/>
            </w:tcBorders>
            <w:shd w:val="clear" w:color="auto" w:fill="F3F9FA"/>
            <w:noWrap/>
            <w:vAlign w:val="bottom"/>
            <w:hideMark/>
          </w:tcPr>
          <w:p w14:paraId="6ACADB9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0.217</w:t>
            </w:r>
          </w:p>
        </w:tc>
        <w:tc>
          <w:tcPr>
            <w:tcW w:w="1076" w:type="dxa"/>
            <w:tcBorders>
              <w:top w:val="single" w:sz="4" w:space="0" w:color="auto"/>
            </w:tcBorders>
            <w:shd w:val="clear" w:color="auto" w:fill="F3F9FA"/>
            <w:noWrap/>
            <w:vAlign w:val="bottom"/>
            <w:hideMark/>
          </w:tcPr>
          <w:p w14:paraId="035804D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0.0656</w:t>
            </w:r>
          </w:p>
        </w:tc>
        <w:tc>
          <w:tcPr>
            <w:tcW w:w="2475" w:type="dxa"/>
            <w:tcBorders>
              <w:top w:val="single" w:sz="4" w:space="0" w:color="auto"/>
            </w:tcBorders>
            <w:shd w:val="clear" w:color="auto" w:fill="F3F9FA"/>
            <w:noWrap/>
            <w:vAlign w:val="bottom"/>
            <w:hideMark/>
          </w:tcPr>
          <w:p w14:paraId="62BF11E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0.034</w:t>
            </w:r>
          </w:p>
        </w:tc>
        <w:tc>
          <w:tcPr>
            <w:tcW w:w="1068" w:type="dxa"/>
            <w:tcBorders>
              <w:top w:val="single" w:sz="4" w:space="0" w:color="auto"/>
            </w:tcBorders>
            <w:shd w:val="clear" w:color="auto" w:fill="F3F9FA"/>
            <w:noWrap/>
            <w:vAlign w:val="center"/>
            <w:hideMark/>
          </w:tcPr>
          <w:p w14:paraId="571EF50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4AB78CD8" w14:textId="77777777" w:rsidTr="00BE5D0E">
        <w:trPr>
          <w:cantSplit/>
          <w:trHeight w:val="312"/>
          <w:jc w:val="center"/>
        </w:trPr>
        <w:tc>
          <w:tcPr>
            <w:tcW w:w="2028" w:type="dxa"/>
            <w:vMerge/>
            <w:shd w:val="clear" w:color="auto" w:fill="F3F9FA"/>
            <w:noWrap/>
            <w:vAlign w:val="center"/>
          </w:tcPr>
          <w:p w14:paraId="6BDA2418" w14:textId="77777777" w:rsidR="00BB7DFF" w:rsidRPr="00CB093C" w:rsidRDefault="00BB7DFF" w:rsidP="00BE5D0E">
            <w:pPr>
              <w:pStyle w:val="BodyText"/>
              <w:spacing w:after="0"/>
              <w:jc w:val="left"/>
              <w:rPr>
                <w:rFonts w:ascii="Arial" w:hAnsi="Arial" w:cs="Arial"/>
                <w:color w:val="000000"/>
              </w:rPr>
            </w:pPr>
          </w:p>
        </w:tc>
        <w:tc>
          <w:tcPr>
            <w:tcW w:w="1874" w:type="dxa"/>
            <w:tcBorders>
              <w:bottom w:val="single" w:sz="4" w:space="0" w:color="auto"/>
            </w:tcBorders>
            <w:shd w:val="clear" w:color="auto" w:fill="F3F9FA"/>
            <w:noWrap/>
            <w:vAlign w:val="center"/>
          </w:tcPr>
          <w:p w14:paraId="2AA78C8E"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78C7E359"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UG2</w:t>
            </w:r>
          </w:p>
        </w:tc>
        <w:tc>
          <w:tcPr>
            <w:tcW w:w="1078" w:type="dxa"/>
            <w:tcBorders>
              <w:bottom w:val="single" w:sz="4" w:space="0" w:color="auto"/>
            </w:tcBorders>
            <w:shd w:val="clear" w:color="auto" w:fill="F3F9FA"/>
            <w:vAlign w:val="center"/>
          </w:tcPr>
          <w:p w14:paraId="2769BD47"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1999</w:t>
            </w:r>
          </w:p>
        </w:tc>
        <w:tc>
          <w:tcPr>
            <w:tcW w:w="1068" w:type="dxa"/>
            <w:tcBorders>
              <w:bottom w:val="single" w:sz="4" w:space="0" w:color="auto"/>
            </w:tcBorders>
            <w:shd w:val="clear" w:color="auto" w:fill="F3F9FA"/>
            <w:vAlign w:val="center"/>
          </w:tcPr>
          <w:p w14:paraId="1E8F0EA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71320FE8"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55</w:t>
            </w:r>
          </w:p>
        </w:tc>
        <w:tc>
          <w:tcPr>
            <w:tcW w:w="1078" w:type="dxa"/>
            <w:tcBorders>
              <w:bottom w:val="single" w:sz="4" w:space="0" w:color="auto"/>
            </w:tcBorders>
            <w:shd w:val="clear" w:color="auto" w:fill="F3F9FA"/>
            <w:noWrap/>
            <w:vAlign w:val="bottom"/>
            <w:hideMark/>
          </w:tcPr>
          <w:p w14:paraId="28991F0F"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0.340</w:t>
            </w:r>
          </w:p>
        </w:tc>
        <w:tc>
          <w:tcPr>
            <w:tcW w:w="1076" w:type="dxa"/>
            <w:tcBorders>
              <w:bottom w:val="single" w:sz="4" w:space="0" w:color="auto"/>
            </w:tcBorders>
            <w:shd w:val="clear" w:color="auto" w:fill="F3F9FA"/>
            <w:noWrap/>
            <w:vAlign w:val="bottom"/>
            <w:hideMark/>
          </w:tcPr>
          <w:p w14:paraId="15494BF5"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0.0288</w:t>
            </w:r>
          </w:p>
        </w:tc>
        <w:tc>
          <w:tcPr>
            <w:tcW w:w="2475" w:type="dxa"/>
            <w:tcBorders>
              <w:bottom w:val="single" w:sz="4" w:space="0" w:color="auto"/>
            </w:tcBorders>
            <w:shd w:val="clear" w:color="auto" w:fill="F3F9FA"/>
            <w:noWrap/>
            <w:vAlign w:val="bottom"/>
            <w:hideMark/>
          </w:tcPr>
          <w:p w14:paraId="37F3B0C0"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0.165 (0.036 to 0.361)</w:t>
            </w:r>
          </w:p>
        </w:tc>
        <w:tc>
          <w:tcPr>
            <w:tcW w:w="1068" w:type="dxa"/>
            <w:tcBorders>
              <w:bottom w:val="single" w:sz="4" w:space="0" w:color="auto"/>
            </w:tcBorders>
            <w:shd w:val="clear" w:color="auto" w:fill="F3F9FA"/>
            <w:noWrap/>
            <w:vAlign w:val="center"/>
            <w:hideMark/>
          </w:tcPr>
          <w:p w14:paraId="1AD078D0"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increase</w:t>
            </w:r>
          </w:p>
        </w:tc>
      </w:tr>
      <w:tr w:rsidR="00BB7DFF" w:rsidRPr="00CB093C" w14:paraId="395DD56E" w14:textId="77777777" w:rsidTr="00BE5D0E">
        <w:trPr>
          <w:cantSplit/>
          <w:trHeight w:val="312"/>
          <w:jc w:val="center"/>
        </w:trPr>
        <w:tc>
          <w:tcPr>
            <w:tcW w:w="2028" w:type="dxa"/>
            <w:vMerge/>
            <w:shd w:val="clear" w:color="auto" w:fill="F3F9FA"/>
            <w:noWrap/>
            <w:vAlign w:val="center"/>
          </w:tcPr>
          <w:p w14:paraId="7EA306AB"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tcBorders>
            <w:shd w:val="clear" w:color="auto" w:fill="F3F9FA"/>
            <w:noWrap/>
            <w:vAlign w:val="center"/>
            <w:hideMark/>
          </w:tcPr>
          <w:p w14:paraId="4F43C3E8"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coastal intertidal</w:t>
            </w:r>
          </w:p>
        </w:tc>
        <w:tc>
          <w:tcPr>
            <w:tcW w:w="720" w:type="dxa"/>
            <w:tcBorders>
              <w:top w:val="single" w:sz="4" w:space="0" w:color="auto"/>
            </w:tcBorders>
            <w:shd w:val="clear" w:color="auto" w:fill="F3F9FA"/>
            <w:noWrap/>
            <w:vAlign w:val="center"/>
            <w:hideMark/>
          </w:tcPr>
          <w:p w14:paraId="75BF89C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BH1</w:t>
            </w:r>
          </w:p>
        </w:tc>
        <w:tc>
          <w:tcPr>
            <w:tcW w:w="1078" w:type="dxa"/>
            <w:tcBorders>
              <w:top w:val="single" w:sz="4" w:space="0" w:color="auto"/>
            </w:tcBorders>
            <w:shd w:val="clear" w:color="auto" w:fill="F3F9FA"/>
            <w:vAlign w:val="center"/>
          </w:tcPr>
          <w:p w14:paraId="5016543D"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1999</w:t>
            </w:r>
          </w:p>
        </w:tc>
        <w:tc>
          <w:tcPr>
            <w:tcW w:w="1068" w:type="dxa"/>
            <w:tcBorders>
              <w:top w:val="single" w:sz="4" w:space="0" w:color="auto"/>
            </w:tcBorders>
            <w:shd w:val="clear" w:color="auto" w:fill="F3F9FA"/>
            <w:vAlign w:val="center"/>
          </w:tcPr>
          <w:p w14:paraId="03AA8F3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tcBorders>
            <w:shd w:val="clear" w:color="auto" w:fill="F3F9FA"/>
            <w:vAlign w:val="center"/>
          </w:tcPr>
          <w:p w14:paraId="4143F4E9"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50</w:t>
            </w:r>
          </w:p>
        </w:tc>
        <w:tc>
          <w:tcPr>
            <w:tcW w:w="1078" w:type="dxa"/>
            <w:tcBorders>
              <w:top w:val="single" w:sz="4" w:space="0" w:color="auto"/>
            </w:tcBorders>
            <w:shd w:val="clear" w:color="auto" w:fill="F3F9FA"/>
            <w:noWrap/>
            <w:vAlign w:val="bottom"/>
            <w:hideMark/>
          </w:tcPr>
          <w:p w14:paraId="67176BA1"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0.037</w:t>
            </w:r>
          </w:p>
        </w:tc>
        <w:tc>
          <w:tcPr>
            <w:tcW w:w="1076" w:type="dxa"/>
            <w:tcBorders>
              <w:top w:val="single" w:sz="4" w:space="0" w:color="auto"/>
            </w:tcBorders>
            <w:shd w:val="clear" w:color="auto" w:fill="F3F9FA"/>
            <w:noWrap/>
            <w:vAlign w:val="bottom"/>
            <w:hideMark/>
          </w:tcPr>
          <w:p w14:paraId="0888E94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0.8075</w:t>
            </w:r>
          </w:p>
        </w:tc>
        <w:tc>
          <w:tcPr>
            <w:tcW w:w="2475" w:type="dxa"/>
            <w:tcBorders>
              <w:top w:val="single" w:sz="4" w:space="0" w:color="auto"/>
            </w:tcBorders>
            <w:shd w:val="clear" w:color="auto" w:fill="F3F9FA"/>
            <w:noWrap/>
            <w:vAlign w:val="bottom"/>
            <w:hideMark/>
          </w:tcPr>
          <w:p w14:paraId="076A81A5"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0.018</w:t>
            </w:r>
          </w:p>
        </w:tc>
        <w:tc>
          <w:tcPr>
            <w:tcW w:w="1068" w:type="dxa"/>
            <w:tcBorders>
              <w:top w:val="single" w:sz="4" w:space="0" w:color="auto"/>
            </w:tcBorders>
            <w:shd w:val="clear" w:color="auto" w:fill="F3F9FA"/>
            <w:noWrap/>
            <w:vAlign w:val="center"/>
            <w:hideMark/>
          </w:tcPr>
          <w:p w14:paraId="1BFC4E8A"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no trend</w:t>
            </w:r>
          </w:p>
        </w:tc>
      </w:tr>
      <w:tr w:rsidR="00BB7DFF" w:rsidRPr="00CB093C" w14:paraId="147E2D9B" w14:textId="77777777" w:rsidTr="00BE5D0E">
        <w:trPr>
          <w:cantSplit/>
          <w:trHeight w:val="312"/>
          <w:jc w:val="center"/>
        </w:trPr>
        <w:tc>
          <w:tcPr>
            <w:tcW w:w="2028" w:type="dxa"/>
            <w:vMerge/>
            <w:shd w:val="clear" w:color="auto" w:fill="F3F9FA"/>
            <w:noWrap/>
            <w:vAlign w:val="center"/>
          </w:tcPr>
          <w:p w14:paraId="5FD1B9DF" w14:textId="77777777" w:rsidR="00BB7DFF" w:rsidRPr="00CB093C" w:rsidRDefault="00BB7DFF" w:rsidP="00BE5D0E">
            <w:pPr>
              <w:pStyle w:val="BodyText"/>
              <w:spacing w:after="0"/>
              <w:jc w:val="left"/>
              <w:rPr>
                <w:rFonts w:ascii="Arial" w:hAnsi="Arial" w:cs="Arial"/>
                <w:color w:val="000000"/>
              </w:rPr>
            </w:pPr>
          </w:p>
        </w:tc>
        <w:tc>
          <w:tcPr>
            <w:tcW w:w="1874" w:type="dxa"/>
            <w:tcBorders>
              <w:bottom w:val="single" w:sz="4" w:space="0" w:color="auto"/>
            </w:tcBorders>
            <w:shd w:val="clear" w:color="auto" w:fill="F3F9FA"/>
            <w:noWrap/>
            <w:vAlign w:val="center"/>
            <w:hideMark/>
          </w:tcPr>
          <w:p w14:paraId="0BD482D8" w14:textId="77777777" w:rsidR="00BB7DFF" w:rsidRPr="00CB093C" w:rsidRDefault="00BB7DFF" w:rsidP="00BE5D0E">
            <w:pPr>
              <w:pStyle w:val="BodyText"/>
              <w:spacing w:after="0"/>
              <w:jc w:val="left"/>
              <w:rPr>
                <w:rFonts w:ascii="Arial" w:hAnsi="Arial" w:cs="Arial"/>
                <w:color w:val="000000"/>
              </w:rPr>
            </w:pPr>
          </w:p>
        </w:tc>
        <w:tc>
          <w:tcPr>
            <w:tcW w:w="720" w:type="dxa"/>
            <w:tcBorders>
              <w:bottom w:val="single" w:sz="4" w:space="0" w:color="auto"/>
            </w:tcBorders>
            <w:shd w:val="clear" w:color="auto" w:fill="F3F9FA"/>
            <w:noWrap/>
            <w:vAlign w:val="center"/>
            <w:hideMark/>
          </w:tcPr>
          <w:p w14:paraId="72AC6258"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BH3</w:t>
            </w:r>
          </w:p>
        </w:tc>
        <w:tc>
          <w:tcPr>
            <w:tcW w:w="1078" w:type="dxa"/>
            <w:tcBorders>
              <w:bottom w:val="single" w:sz="4" w:space="0" w:color="auto"/>
            </w:tcBorders>
            <w:shd w:val="clear" w:color="auto" w:fill="F3F9FA"/>
            <w:vAlign w:val="center"/>
          </w:tcPr>
          <w:p w14:paraId="5A45CDEB"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1999</w:t>
            </w:r>
          </w:p>
        </w:tc>
        <w:tc>
          <w:tcPr>
            <w:tcW w:w="1068" w:type="dxa"/>
            <w:tcBorders>
              <w:bottom w:val="single" w:sz="4" w:space="0" w:color="auto"/>
            </w:tcBorders>
            <w:shd w:val="clear" w:color="auto" w:fill="F3F9FA"/>
            <w:vAlign w:val="center"/>
          </w:tcPr>
          <w:p w14:paraId="42F9854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bottom w:val="single" w:sz="4" w:space="0" w:color="auto"/>
            </w:tcBorders>
            <w:shd w:val="clear" w:color="auto" w:fill="F3F9FA"/>
            <w:vAlign w:val="center"/>
          </w:tcPr>
          <w:p w14:paraId="797A53D2"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48</w:t>
            </w:r>
          </w:p>
        </w:tc>
        <w:tc>
          <w:tcPr>
            <w:tcW w:w="1078" w:type="dxa"/>
            <w:tcBorders>
              <w:bottom w:val="single" w:sz="4" w:space="0" w:color="auto"/>
            </w:tcBorders>
            <w:shd w:val="clear" w:color="auto" w:fill="F3F9FA"/>
            <w:noWrap/>
            <w:vAlign w:val="bottom"/>
            <w:hideMark/>
          </w:tcPr>
          <w:p w14:paraId="64EEA27D"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0.348</w:t>
            </w:r>
          </w:p>
        </w:tc>
        <w:tc>
          <w:tcPr>
            <w:tcW w:w="1076" w:type="dxa"/>
            <w:tcBorders>
              <w:bottom w:val="single" w:sz="4" w:space="0" w:color="auto"/>
            </w:tcBorders>
            <w:shd w:val="clear" w:color="auto" w:fill="F3F9FA"/>
            <w:noWrap/>
            <w:vAlign w:val="bottom"/>
            <w:hideMark/>
          </w:tcPr>
          <w:p w14:paraId="31DC7159"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0.0070</w:t>
            </w:r>
          </w:p>
        </w:tc>
        <w:tc>
          <w:tcPr>
            <w:tcW w:w="2475" w:type="dxa"/>
            <w:tcBorders>
              <w:bottom w:val="single" w:sz="4" w:space="0" w:color="auto"/>
            </w:tcBorders>
            <w:shd w:val="clear" w:color="auto" w:fill="F3F9FA"/>
            <w:noWrap/>
            <w:vAlign w:val="bottom"/>
            <w:hideMark/>
          </w:tcPr>
          <w:p w14:paraId="70F5384C"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0.162 (0.073 to 0.240)</w:t>
            </w:r>
          </w:p>
        </w:tc>
        <w:tc>
          <w:tcPr>
            <w:tcW w:w="1068" w:type="dxa"/>
            <w:tcBorders>
              <w:bottom w:val="single" w:sz="4" w:space="0" w:color="auto"/>
            </w:tcBorders>
            <w:shd w:val="clear" w:color="auto" w:fill="F3F9FA"/>
            <w:noWrap/>
            <w:vAlign w:val="center"/>
            <w:hideMark/>
          </w:tcPr>
          <w:p w14:paraId="0A7DBB11"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b/>
                <w:color w:val="000000"/>
              </w:rPr>
              <w:t>increase</w:t>
            </w:r>
          </w:p>
        </w:tc>
      </w:tr>
      <w:tr w:rsidR="00BB7DFF" w:rsidRPr="00CB093C" w14:paraId="4489FDF0" w14:textId="77777777" w:rsidTr="00BE5D0E">
        <w:trPr>
          <w:cantSplit/>
          <w:trHeight w:val="312"/>
          <w:jc w:val="center"/>
        </w:trPr>
        <w:tc>
          <w:tcPr>
            <w:tcW w:w="2028" w:type="dxa"/>
            <w:vMerge/>
            <w:tcBorders>
              <w:bottom w:val="single" w:sz="4" w:space="0" w:color="auto"/>
            </w:tcBorders>
            <w:shd w:val="clear" w:color="auto" w:fill="F3F9FA"/>
            <w:noWrap/>
            <w:vAlign w:val="center"/>
          </w:tcPr>
          <w:p w14:paraId="47A85026" w14:textId="77777777" w:rsidR="00BB7DFF" w:rsidRPr="00CB093C" w:rsidRDefault="00BB7DFF" w:rsidP="00BE5D0E">
            <w:pPr>
              <w:pStyle w:val="BodyText"/>
              <w:spacing w:after="0"/>
              <w:jc w:val="left"/>
              <w:rPr>
                <w:rFonts w:ascii="Arial" w:hAnsi="Arial" w:cs="Arial"/>
                <w:color w:val="000000"/>
              </w:rPr>
            </w:pPr>
          </w:p>
        </w:tc>
        <w:tc>
          <w:tcPr>
            <w:tcW w:w="1874" w:type="dxa"/>
            <w:tcBorders>
              <w:top w:val="single" w:sz="4" w:space="0" w:color="auto"/>
              <w:bottom w:val="single" w:sz="4" w:space="0" w:color="auto"/>
            </w:tcBorders>
            <w:shd w:val="clear" w:color="auto" w:fill="D9D9D9" w:themeFill="background1" w:themeFillShade="D9"/>
            <w:noWrap/>
            <w:vAlign w:val="center"/>
          </w:tcPr>
          <w:p w14:paraId="1F17AE87" w14:textId="77777777" w:rsidR="00BB7DFF" w:rsidRPr="00CB093C" w:rsidRDefault="00BB7DFF" w:rsidP="00BE5D0E">
            <w:pPr>
              <w:pStyle w:val="BodyText"/>
              <w:spacing w:after="0"/>
              <w:jc w:val="left"/>
              <w:rPr>
                <w:rFonts w:ascii="Arial" w:hAnsi="Arial" w:cs="Arial"/>
                <w:color w:val="000000"/>
              </w:rPr>
            </w:pPr>
            <w:r w:rsidRPr="00CB093C">
              <w:rPr>
                <w:rFonts w:ascii="Arial" w:hAnsi="Arial" w:cs="Arial"/>
                <w:color w:val="00000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6A8F3A05" w14:textId="77777777" w:rsidR="00BB7DFF" w:rsidRPr="00CB093C" w:rsidRDefault="00BB7DFF" w:rsidP="00BE5D0E">
            <w:pPr>
              <w:pStyle w:val="BodyText"/>
              <w:spacing w:after="0"/>
              <w:jc w:val="center"/>
              <w:rPr>
                <w:rFonts w:ascii="Arial" w:hAnsi="Arial" w:cs="Arial"/>
                <w:b/>
                <w:color w:val="000000"/>
              </w:rPr>
            </w:pPr>
          </w:p>
        </w:tc>
        <w:tc>
          <w:tcPr>
            <w:tcW w:w="1078" w:type="dxa"/>
            <w:tcBorders>
              <w:top w:val="single" w:sz="4" w:space="0" w:color="auto"/>
              <w:bottom w:val="single" w:sz="4" w:space="0" w:color="auto"/>
            </w:tcBorders>
            <w:shd w:val="clear" w:color="auto" w:fill="D9D9D9" w:themeFill="background1" w:themeFillShade="D9"/>
            <w:vAlign w:val="center"/>
          </w:tcPr>
          <w:p w14:paraId="13B1CEE0"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1998</w:t>
            </w:r>
          </w:p>
        </w:tc>
        <w:tc>
          <w:tcPr>
            <w:tcW w:w="1068" w:type="dxa"/>
            <w:tcBorders>
              <w:top w:val="single" w:sz="4" w:space="0" w:color="auto"/>
              <w:bottom w:val="single" w:sz="4" w:space="0" w:color="auto"/>
            </w:tcBorders>
            <w:shd w:val="clear" w:color="auto" w:fill="D9D9D9" w:themeFill="background1" w:themeFillShade="D9"/>
            <w:vAlign w:val="center"/>
          </w:tcPr>
          <w:p w14:paraId="275A20EC"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2018</w:t>
            </w:r>
          </w:p>
        </w:tc>
        <w:tc>
          <w:tcPr>
            <w:tcW w:w="519" w:type="dxa"/>
            <w:tcBorders>
              <w:top w:val="single" w:sz="4" w:space="0" w:color="auto"/>
              <w:bottom w:val="single" w:sz="4" w:space="0" w:color="auto"/>
            </w:tcBorders>
            <w:shd w:val="clear" w:color="auto" w:fill="D9D9D9" w:themeFill="background1" w:themeFillShade="D9"/>
            <w:vAlign w:val="center"/>
          </w:tcPr>
          <w:p w14:paraId="47ADC464"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71</w:t>
            </w:r>
          </w:p>
        </w:tc>
        <w:tc>
          <w:tcPr>
            <w:tcW w:w="1078" w:type="dxa"/>
            <w:tcBorders>
              <w:top w:val="single" w:sz="4" w:space="0" w:color="auto"/>
              <w:bottom w:val="single" w:sz="4" w:space="0" w:color="auto"/>
            </w:tcBorders>
            <w:shd w:val="clear" w:color="auto" w:fill="D9D9D9" w:themeFill="background1" w:themeFillShade="D9"/>
            <w:noWrap/>
            <w:vAlign w:val="center"/>
          </w:tcPr>
          <w:p w14:paraId="7054152E" w14:textId="77777777" w:rsidR="00BB7DFF" w:rsidRPr="00CB093C" w:rsidRDefault="00BB7DFF" w:rsidP="00BE5D0E">
            <w:pPr>
              <w:pStyle w:val="BodyText"/>
              <w:spacing w:after="0"/>
              <w:jc w:val="center"/>
              <w:rPr>
                <w:rFonts w:ascii="Arial" w:hAnsi="Arial" w:cs="Arial"/>
                <w:color w:val="000000"/>
              </w:rPr>
            </w:pPr>
            <w:r w:rsidRPr="00CB093C">
              <w:rPr>
                <w:rFonts w:ascii="Arial" w:hAnsi="Arial" w:cs="Arial"/>
                <w:color w:val="000000"/>
              </w:rPr>
              <w:t>0.022</w:t>
            </w:r>
          </w:p>
        </w:tc>
        <w:tc>
          <w:tcPr>
            <w:tcW w:w="1076" w:type="dxa"/>
            <w:tcBorders>
              <w:top w:val="single" w:sz="4" w:space="0" w:color="auto"/>
              <w:bottom w:val="single" w:sz="4" w:space="0" w:color="auto"/>
            </w:tcBorders>
            <w:shd w:val="clear" w:color="auto" w:fill="D9D9D9" w:themeFill="background1" w:themeFillShade="D9"/>
            <w:noWrap/>
            <w:vAlign w:val="center"/>
          </w:tcPr>
          <w:p w14:paraId="64BD7248"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0.891</w:t>
            </w:r>
          </w:p>
        </w:tc>
        <w:tc>
          <w:tcPr>
            <w:tcW w:w="2475" w:type="dxa"/>
            <w:tcBorders>
              <w:top w:val="single" w:sz="4" w:space="0" w:color="auto"/>
              <w:bottom w:val="single" w:sz="4" w:space="0" w:color="auto"/>
            </w:tcBorders>
            <w:shd w:val="clear" w:color="auto" w:fill="D9D9D9" w:themeFill="background1" w:themeFillShade="D9"/>
            <w:noWrap/>
            <w:vAlign w:val="center"/>
          </w:tcPr>
          <w:p w14:paraId="52D615A3"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0.006</w:t>
            </w:r>
          </w:p>
        </w:tc>
        <w:tc>
          <w:tcPr>
            <w:tcW w:w="1068" w:type="dxa"/>
            <w:tcBorders>
              <w:top w:val="single" w:sz="4" w:space="0" w:color="auto"/>
              <w:bottom w:val="single" w:sz="4" w:space="0" w:color="auto"/>
            </w:tcBorders>
            <w:shd w:val="clear" w:color="auto" w:fill="D9D9D9" w:themeFill="background1" w:themeFillShade="D9"/>
            <w:noWrap/>
            <w:vAlign w:val="center"/>
          </w:tcPr>
          <w:p w14:paraId="7A08F41D" w14:textId="77777777" w:rsidR="00BB7DFF" w:rsidRPr="00CB093C" w:rsidRDefault="00BB7DFF" w:rsidP="00BE5D0E">
            <w:pPr>
              <w:pStyle w:val="BodyText"/>
              <w:spacing w:after="0"/>
              <w:jc w:val="center"/>
              <w:rPr>
                <w:rFonts w:ascii="Arial" w:hAnsi="Arial" w:cs="Arial"/>
                <w:b/>
                <w:color w:val="000000"/>
              </w:rPr>
            </w:pPr>
            <w:r w:rsidRPr="00CB093C">
              <w:rPr>
                <w:rFonts w:ascii="Arial" w:hAnsi="Arial" w:cs="Arial"/>
                <w:color w:val="000000"/>
              </w:rPr>
              <w:t>no trend</w:t>
            </w:r>
          </w:p>
        </w:tc>
      </w:tr>
    </w:tbl>
    <w:p w14:paraId="1FE8E028" w14:textId="10F52572" w:rsidR="00306220" w:rsidRPr="00CB093C" w:rsidRDefault="00306220" w:rsidP="00306220">
      <w:pPr>
        <w:rPr>
          <w:rFonts w:ascii="Arial" w:hAnsi="Arial" w:cs="Arial"/>
          <w:szCs w:val="22"/>
        </w:rPr>
      </w:pPr>
    </w:p>
    <w:p w14:paraId="27AA310D" w14:textId="04F256D1" w:rsidR="008A59C6" w:rsidRPr="00CB093C" w:rsidRDefault="008A59C6" w:rsidP="00306220">
      <w:pPr>
        <w:rPr>
          <w:rFonts w:ascii="Arial" w:hAnsi="Arial" w:cs="Arial"/>
          <w:szCs w:val="22"/>
        </w:rPr>
      </w:pPr>
    </w:p>
    <w:p w14:paraId="2CF9EA59" w14:textId="2A8F18B7" w:rsidR="008A59C6" w:rsidRPr="00CB093C" w:rsidRDefault="008A59C6" w:rsidP="00306220">
      <w:pPr>
        <w:rPr>
          <w:rFonts w:ascii="Arial" w:hAnsi="Arial" w:cs="Arial"/>
          <w:szCs w:val="22"/>
        </w:rPr>
      </w:pPr>
    </w:p>
    <w:sectPr w:rsidR="008A59C6" w:rsidRPr="00CB093C" w:rsidSect="00306220">
      <w:headerReference w:type="even" r:id="rId215"/>
      <w:headerReference w:type="first" r:id="rId216"/>
      <w:pgSz w:w="16838" w:h="11906" w:orient="landscape" w:code="9"/>
      <w:pgMar w:top="1418" w:right="1134" w:bottom="1418"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6AD251F" w16cid:durableId="203224A2"/>
  <w16cid:commentId w16cid:paraId="2A1BF298" w16cid:durableId="2033645D"/>
  <w16cid:commentId w16cid:paraId="2FAE54B3" w16cid:durableId="203224A3"/>
  <w16cid:commentId w16cid:paraId="5F922A3C" w16cid:durableId="20326382"/>
  <w16cid:commentId w16cid:paraId="1AA43F3C" w16cid:durableId="20326376"/>
  <w16cid:commentId w16cid:paraId="38E0751D" w16cid:durableId="203224A6"/>
  <w16cid:commentId w16cid:paraId="5BBE303A" w16cid:durableId="20326366"/>
  <w16cid:commentId w16cid:paraId="1ABEB8E5" w16cid:durableId="203224AA"/>
  <w16cid:commentId w16cid:paraId="3A97938B" w16cid:durableId="20335797"/>
  <w16cid:commentId w16cid:paraId="57DEB647" w16cid:durableId="203224B8"/>
  <w16cid:commentId w16cid:paraId="6EA6CAE7" w16cid:durableId="203375BD"/>
  <w16cid:commentId w16cid:paraId="14D446E3" w16cid:durableId="20337639"/>
  <w16cid:commentId w16cid:paraId="086B983B" w16cid:durableId="203224BA"/>
  <w16cid:commentId w16cid:paraId="47C4D20F" w16cid:durableId="20337FFD"/>
  <w16cid:commentId w16cid:paraId="233AF994" w16cid:durableId="204499A9"/>
  <w16cid:commentId w16cid:paraId="091DD75D" w16cid:durableId="20449E9B"/>
  <w16cid:commentId w16cid:paraId="422C5963" w16cid:durableId="203224BF"/>
  <w16cid:commentId w16cid:paraId="0388B5BD" w16cid:durableId="203E038E"/>
  <w16cid:commentId w16cid:paraId="4C0DC11D" w16cid:durableId="203224C7"/>
  <w16cid:commentId w16cid:paraId="01B84FDC" w16cid:durableId="2033902E"/>
  <w16cid:commentId w16cid:paraId="6251CE68" w16cid:durableId="203224C9"/>
  <w16cid:commentId w16cid:paraId="67DC679E" w16cid:durableId="203390B0"/>
  <w16cid:commentId w16cid:paraId="4389EFA8" w16cid:durableId="203224CB"/>
  <w16cid:commentId w16cid:paraId="0B7EA1F6" w16cid:durableId="203CBEF5"/>
  <w16cid:commentId w16cid:paraId="5B7CDB79" w16cid:durableId="203CC853"/>
  <w16cid:commentId w16cid:paraId="03FD9AAB" w16cid:durableId="203DFABB"/>
  <w16cid:commentId w16cid:paraId="4FC22045" w16cid:durableId="203DFD80"/>
  <w16cid:commentId w16cid:paraId="491D0449" w16cid:durableId="203E0A61"/>
  <w16cid:commentId w16cid:paraId="11FA79A9" w16cid:durableId="204356B2"/>
  <w16cid:commentId w16cid:paraId="5AB2A2CA" w16cid:durableId="20435689"/>
  <w16cid:commentId w16cid:paraId="44BCCAD5" w16cid:durableId="20435C69"/>
  <w16cid:commentId w16cid:paraId="6FEB0E0C" w16cid:durableId="20435D93"/>
  <w16cid:commentId w16cid:paraId="4736B5CC" w16cid:durableId="203224F9"/>
  <w16cid:commentId w16cid:paraId="64FE80B8" w16cid:durableId="204494E5"/>
  <w16cid:commentId w16cid:paraId="0188F94B" w16cid:durableId="203224FA"/>
  <w16cid:commentId w16cid:paraId="59402361" w16cid:durableId="203224FE"/>
  <w16cid:commentId w16cid:paraId="0410ACFD" w16cid:durableId="20322501"/>
  <w16cid:commentId w16cid:paraId="3105E53B" w16cid:durableId="20449BD5"/>
  <w16cid:commentId w16cid:paraId="27777CBB" w16cid:durableId="20322504"/>
  <w16cid:commentId w16cid:paraId="582029B6" w16cid:durableId="2044A241"/>
  <w16cid:commentId w16cid:paraId="0F0C3FBD" w16cid:durableId="20322506"/>
  <w16cid:commentId w16cid:paraId="2A258174" w16cid:durableId="2045C1ED"/>
  <w16cid:commentId w16cid:paraId="7501AEB9" w16cid:durableId="2032250E"/>
  <w16cid:commentId w16cid:paraId="5C98E5D1" w16cid:durableId="2032250F"/>
  <w16cid:commentId w16cid:paraId="7EB0392A" w16cid:durableId="20322510"/>
  <w16cid:commentId w16cid:paraId="48EB7EFB" w16cid:durableId="2044B38D"/>
  <w16cid:commentId w16cid:paraId="55C43B30" w16cid:durableId="2032251A"/>
  <w16cid:commentId w16cid:paraId="3409BB9F" w16cid:durableId="2044BBBF"/>
  <w16cid:commentId w16cid:paraId="4839CF03" w16cid:durableId="2044BEBC"/>
  <w16cid:commentId w16cid:paraId="6934896F" w16cid:durableId="2044C151"/>
  <w16cid:commentId w16cid:paraId="5C9ACA45" w16cid:durableId="2044C0E8"/>
  <w16cid:commentId w16cid:paraId="36433161" w16cid:durableId="2044C5A3"/>
  <w16cid:commentId w16cid:paraId="70B03C03" w16cid:durableId="2044C5E7"/>
  <w16cid:commentId w16cid:paraId="6A882EA9" w16cid:durableId="20322525"/>
  <w16cid:commentId w16cid:paraId="4ECD2410" w16cid:durableId="2044C6BC"/>
  <w16cid:commentId w16cid:paraId="513BAAF0" w16cid:durableId="2032252D"/>
  <w16cid:commentId w16cid:paraId="6606D184" w16cid:durableId="2032252E"/>
  <w16cid:commentId w16cid:paraId="0373607B" w16cid:durableId="20322532"/>
  <w16cid:commentId w16cid:paraId="14350020" w16cid:durableId="20322533"/>
  <w16cid:commentId w16cid:paraId="2E4A02DB" w16cid:durableId="20322534"/>
  <w16cid:commentId w16cid:paraId="6F7E5CBB" w16cid:durableId="20322535"/>
  <w16cid:commentId w16cid:paraId="7509BE15" w16cid:durableId="2045D300"/>
  <w16cid:commentId w16cid:paraId="61DA0605" w16cid:durableId="2045D36A"/>
  <w16cid:commentId w16cid:paraId="2942CC99" w16cid:durableId="203DFC9C"/>
  <w16cid:commentId w16cid:paraId="1895849C" w16cid:durableId="20322538"/>
  <w16cid:commentId w16cid:paraId="1734923B" w16cid:durableId="20322539"/>
  <w16cid:commentId w16cid:paraId="56DAA53E" w16cid:durableId="2032253A"/>
  <w16cid:commentId w16cid:paraId="1F3EADF8" w16cid:durableId="2032253B"/>
  <w16cid:commentId w16cid:paraId="086D45DE" w16cid:durableId="2045D6E7"/>
  <w16cid:commentId w16cid:paraId="0476FED6" w16cid:durableId="2032253C"/>
  <w16cid:commentId w16cid:paraId="115CE741" w16cid:durableId="2032253E"/>
  <w16cid:commentId w16cid:paraId="4FCC7766" w16cid:durableId="2045D772"/>
  <w16cid:commentId w16cid:paraId="28455339" w16cid:durableId="20322541"/>
  <w16cid:commentId w16cid:paraId="26168855" w16cid:durableId="20322542"/>
  <w16cid:commentId w16cid:paraId="1FB5785B" w16cid:durableId="20322544"/>
  <w16cid:commentId w16cid:paraId="4BF206B4" w16cid:durableId="20322548"/>
  <w16cid:commentId w16cid:paraId="28FD7A31" w16cid:durableId="2032254D"/>
  <w16cid:commentId w16cid:paraId="2BA67DDA" w16cid:durableId="203DDB6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527256" w14:textId="77777777" w:rsidR="006568B2" w:rsidRDefault="006568B2">
      <w:r>
        <w:separator/>
      </w:r>
    </w:p>
  </w:endnote>
  <w:endnote w:type="continuationSeparator" w:id="0">
    <w:p w14:paraId="1E8E5720" w14:textId="77777777" w:rsidR="006568B2" w:rsidRDefault="006568B2">
      <w:r>
        <w:continuationSeparator/>
      </w:r>
    </w:p>
  </w:endnote>
  <w:endnote w:type="continuationNotice" w:id="1">
    <w:p w14:paraId="07E6D63D" w14:textId="77777777" w:rsidR="006568B2" w:rsidRDefault="006568B2">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panose1 w:val="020B0502020104020203"/>
    <w:charset w:val="00"/>
    <w:family w:val="swiss"/>
    <w:pitch w:val="variable"/>
    <w:sig w:usb0="00000007" w:usb1="00000000" w:usb2="00000000" w:usb3="00000000" w:csb0="00000003"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0ACFAE" w14:textId="77777777" w:rsidR="00C911E4" w:rsidRDefault="00C911E4">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9926E" w14:textId="77777777" w:rsidR="006568B2" w:rsidRDefault="006568B2"/>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F720BA" w14:textId="146D6FBA" w:rsidR="006568B2" w:rsidRPr="00326054" w:rsidRDefault="006568B2" w:rsidP="00326054">
    <w:pPr>
      <w:pBdr>
        <w:top w:val="single" w:sz="18" w:space="1" w:color="0070C0"/>
      </w:pBdr>
      <w:tabs>
        <w:tab w:val="center" w:pos="4153"/>
        <w:tab w:val="right" w:pos="8306"/>
      </w:tabs>
      <w:spacing w:before="0" w:line="320" w:lineRule="exact"/>
      <w:ind w:right="47"/>
      <w:jc w:val="center"/>
      <w:rPr>
        <w:rFonts w:ascii="Gill Sans MT" w:hAnsi="Gill Sans MT"/>
        <w:sz w:val="20"/>
        <w:szCs w:val="20"/>
        <w:lang w:val="en-GB"/>
      </w:rPr>
    </w:pPr>
    <w:r w:rsidRPr="004D7C5C">
      <w:rPr>
        <w:rFonts w:ascii="Gill Sans MT" w:hAnsi="Gill Sans MT"/>
        <w:sz w:val="20"/>
        <w:szCs w:val="20"/>
        <w:lang w:val="en-GB"/>
      </w:rPr>
      <w:fldChar w:fldCharType="begin"/>
    </w:r>
    <w:r w:rsidRPr="004D7C5C">
      <w:rPr>
        <w:rFonts w:ascii="Gill Sans MT" w:hAnsi="Gill Sans MT"/>
        <w:sz w:val="20"/>
        <w:szCs w:val="20"/>
        <w:lang w:val="en-GB"/>
      </w:rPr>
      <w:instrText xml:space="preserve"> PAGE   \* MERGEFORMAT </w:instrText>
    </w:r>
    <w:r w:rsidRPr="004D7C5C">
      <w:rPr>
        <w:rFonts w:ascii="Gill Sans MT" w:hAnsi="Gill Sans MT"/>
        <w:sz w:val="20"/>
        <w:szCs w:val="20"/>
        <w:lang w:val="en-GB"/>
      </w:rPr>
      <w:fldChar w:fldCharType="separate"/>
    </w:r>
    <w:r w:rsidR="00C911E4">
      <w:rPr>
        <w:rFonts w:ascii="Gill Sans MT" w:hAnsi="Gill Sans MT"/>
        <w:noProof/>
        <w:sz w:val="20"/>
        <w:szCs w:val="20"/>
        <w:lang w:val="en-GB"/>
      </w:rPr>
      <w:t>188</w:t>
    </w:r>
    <w:r w:rsidRPr="004D7C5C">
      <w:rPr>
        <w:rFonts w:ascii="Gill Sans MT" w:hAnsi="Gill Sans MT"/>
        <w:noProof/>
        <w:sz w:val="20"/>
        <w:szCs w:val="20"/>
        <w:lang w:val="en-GB"/>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37A2D" w14:textId="77777777" w:rsidR="00C911E4" w:rsidRDefault="00C911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F7A18" w14:textId="77777777" w:rsidR="006568B2" w:rsidRPr="005A5A65" w:rsidRDefault="006568B2" w:rsidP="005A5A65">
    <w:pPr>
      <w:pBdr>
        <w:top w:val="single" w:sz="18" w:space="1" w:color="0070C0"/>
      </w:pBdr>
      <w:tabs>
        <w:tab w:val="center" w:pos="4153"/>
        <w:tab w:val="right" w:pos="8306"/>
      </w:tabs>
      <w:spacing w:before="0" w:line="320" w:lineRule="exact"/>
      <w:ind w:right="47"/>
      <w:jc w:val="center"/>
      <w:rPr>
        <w:rFonts w:ascii="Gill Sans MT" w:hAnsi="Gill Sans MT"/>
        <w:sz w:val="20"/>
        <w:szCs w:val="20"/>
        <w:lang w:val="en-GB"/>
      </w:rPr>
    </w:pPr>
    <w:r w:rsidRPr="005A5A65">
      <w:rPr>
        <w:rFonts w:ascii="Gill Sans MT" w:hAnsi="Gill Sans MT"/>
        <w:sz w:val="20"/>
        <w:szCs w:val="20"/>
        <w:lang w:val="en-GB"/>
      </w:rPr>
      <w:fldChar w:fldCharType="begin"/>
    </w:r>
    <w:r w:rsidRPr="005A5A65">
      <w:rPr>
        <w:rFonts w:ascii="Gill Sans MT" w:hAnsi="Gill Sans MT"/>
        <w:sz w:val="20"/>
        <w:szCs w:val="20"/>
        <w:lang w:val="en-GB"/>
      </w:rPr>
      <w:instrText xml:space="preserve"> PAGE   \* MERGEFORMAT </w:instrText>
    </w:r>
    <w:r w:rsidRPr="005A5A65">
      <w:rPr>
        <w:rFonts w:ascii="Gill Sans MT" w:hAnsi="Gill Sans MT"/>
        <w:sz w:val="20"/>
        <w:szCs w:val="20"/>
        <w:lang w:val="en-GB"/>
      </w:rPr>
      <w:fldChar w:fldCharType="separate"/>
    </w:r>
    <w:r>
      <w:rPr>
        <w:rFonts w:ascii="Gill Sans MT" w:hAnsi="Gill Sans MT"/>
        <w:noProof/>
        <w:sz w:val="20"/>
        <w:szCs w:val="20"/>
        <w:lang w:val="en-GB"/>
      </w:rPr>
      <w:t>i</w:t>
    </w:r>
    <w:r w:rsidRPr="005A5A65">
      <w:rPr>
        <w:rFonts w:ascii="Gill Sans MT" w:hAnsi="Gill Sans MT"/>
        <w:noProof/>
        <w:sz w:val="20"/>
        <w:szCs w:val="20"/>
        <w:lang w:val="en-GB"/>
      </w:rPr>
      <w:fldChar w:fldCharType="end"/>
    </w:r>
  </w:p>
  <w:p w14:paraId="12023F47" w14:textId="77777777" w:rsidR="006568B2" w:rsidRDefault="006568B2"/>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332CC2" w14:textId="77777777" w:rsidR="006568B2" w:rsidRDefault="006568B2" w:rsidP="00034AD4">
    <w:pPr>
      <w:framePr w:wrap="around" w:vAnchor="text" w:hAnchor="margin" w:xAlign="center" w:y="1"/>
    </w:pPr>
    <w:r>
      <w:fldChar w:fldCharType="begin"/>
    </w:r>
    <w:r>
      <w:instrText xml:space="preserve">PAGE  </w:instrText>
    </w:r>
    <w:r>
      <w:fldChar w:fldCharType="end"/>
    </w:r>
  </w:p>
  <w:p w14:paraId="0948E21A" w14:textId="77777777" w:rsidR="006568B2" w:rsidRDefault="006568B2"/>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975E2" w14:textId="77777777" w:rsidR="006568B2" w:rsidRDefault="006568B2" w:rsidP="00034AD4">
    <w:pPr>
      <w:framePr w:wrap="around" w:vAnchor="text" w:hAnchor="margin" w:xAlign="center" w:y="1"/>
    </w:pPr>
    <w:r>
      <w:fldChar w:fldCharType="begin"/>
    </w:r>
    <w:r>
      <w:instrText xml:space="preserve">PAGE  </w:instrText>
    </w:r>
    <w:r>
      <w:fldChar w:fldCharType="end"/>
    </w:r>
  </w:p>
  <w:p w14:paraId="7E2C648C" w14:textId="77777777" w:rsidR="006568B2" w:rsidRDefault="006568B2" w:rsidP="00034AD4">
    <w:pPr>
      <w:ind w:right="360"/>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2B975" w14:textId="747701FA" w:rsidR="006568B2" w:rsidRDefault="006568B2" w:rsidP="00A8210D">
    <w:pPr>
      <w:pStyle w:val="Footer"/>
      <w:pBdr>
        <w:top w:val="single" w:sz="18" w:space="1" w:color="0070C0"/>
      </w:pBdr>
      <w:ind w:right="47"/>
      <w:jc w:val="center"/>
    </w:pPr>
    <w:r>
      <w:fldChar w:fldCharType="begin"/>
    </w:r>
    <w:r>
      <w:instrText xml:space="preserve"> PAGE   \* MERGEFORMAT </w:instrText>
    </w:r>
    <w:r>
      <w:fldChar w:fldCharType="separate"/>
    </w:r>
    <w:r w:rsidR="00C911E4">
      <w:rPr>
        <w:noProof/>
      </w:rPr>
      <w:t>xi</w:t>
    </w:r>
    <w:r>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DA7475" w14:textId="7A64E7D0" w:rsidR="006568B2" w:rsidRPr="004D7C5C" w:rsidRDefault="006568B2" w:rsidP="004D7C5C">
    <w:pPr>
      <w:pBdr>
        <w:top w:val="single" w:sz="18" w:space="1" w:color="0070C0"/>
      </w:pBdr>
      <w:tabs>
        <w:tab w:val="center" w:pos="4153"/>
        <w:tab w:val="right" w:pos="8306"/>
      </w:tabs>
      <w:spacing w:before="0" w:line="320" w:lineRule="exact"/>
      <w:ind w:right="47"/>
      <w:jc w:val="center"/>
      <w:rPr>
        <w:rFonts w:ascii="Gill Sans MT" w:hAnsi="Gill Sans MT"/>
        <w:sz w:val="20"/>
        <w:szCs w:val="20"/>
        <w:lang w:val="en-GB"/>
      </w:rPr>
    </w:pPr>
    <w:r w:rsidRPr="004D7C5C">
      <w:rPr>
        <w:rFonts w:ascii="Gill Sans MT" w:hAnsi="Gill Sans MT"/>
        <w:sz w:val="20"/>
        <w:szCs w:val="20"/>
        <w:lang w:val="en-GB"/>
      </w:rPr>
      <w:fldChar w:fldCharType="begin"/>
    </w:r>
    <w:r w:rsidRPr="004D7C5C">
      <w:rPr>
        <w:rFonts w:ascii="Gill Sans MT" w:hAnsi="Gill Sans MT"/>
        <w:sz w:val="20"/>
        <w:szCs w:val="20"/>
        <w:lang w:val="en-GB"/>
      </w:rPr>
      <w:instrText xml:space="preserve"> PAGE   \* MERGEFORMAT </w:instrText>
    </w:r>
    <w:r w:rsidRPr="004D7C5C">
      <w:rPr>
        <w:rFonts w:ascii="Gill Sans MT" w:hAnsi="Gill Sans MT"/>
        <w:sz w:val="20"/>
        <w:szCs w:val="20"/>
        <w:lang w:val="en-GB"/>
      </w:rPr>
      <w:fldChar w:fldCharType="separate"/>
    </w:r>
    <w:r w:rsidR="00C911E4">
      <w:rPr>
        <w:rFonts w:ascii="Gill Sans MT" w:hAnsi="Gill Sans MT"/>
        <w:noProof/>
        <w:sz w:val="20"/>
        <w:szCs w:val="20"/>
        <w:lang w:val="en-GB"/>
      </w:rPr>
      <w:t>3</w:t>
    </w:r>
    <w:r w:rsidRPr="004D7C5C">
      <w:rPr>
        <w:rFonts w:ascii="Gill Sans MT" w:hAnsi="Gill Sans MT"/>
        <w:noProof/>
        <w:sz w:val="20"/>
        <w:szCs w:val="20"/>
        <w:lang w:val="en-GB"/>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A30ECA" w14:textId="77777777" w:rsidR="006568B2" w:rsidRDefault="006568B2"/>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C2E76C" w14:textId="481CD30B" w:rsidR="006568B2" w:rsidRPr="004D7C5C" w:rsidRDefault="006568B2" w:rsidP="004D7C5C">
    <w:pPr>
      <w:pBdr>
        <w:top w:val="single" w:sz="18" w:space="1" w:color="0070C0"/>
      </w:pBdr>
      <w:tabs>
        <w:tab w:val="center" w:pos="4153"/>
        <w:tab w:val="right" w:pos="8306"/>
      </w:tabs>
      <w:spacing w:before="0" w:line="320" w:lineRule="exact"/>
      <w:ind w:right="47"/>
      <w:jc w:val="center"/>
      <w:rPr>
        <w:rFonts w:ascii="Gill Sans MT" w:hAnsi="Gill Sans MT"/>
        <w:sz w:val="20"/>
        <w:szCs w:val="20"/>
        <w:lang w:val="en-GB"/>
      </w:rPr>
    </w:pPr>
    <w:r w:rsidRPr="004D7C5C">
      <w:rPr>
        <w:rFonts w:ascii="Gill Sans MT" w:hAnsi="Gill Sans MT"/>
        <w:sz w:val="20"/>
        <w:szCs w:val="20"/>
        <w:lang w:val="en-GB"/>
      </w:rPr>
      <w:fldChar w:fldCharType="begin"/>
    </w:r>
    <w:r w:rsidRPr="004D7C5C">
      <w:rPr>
        <w:rFonts w:ascii="Gill Sans MT" w:hAnsi="Gill Sans MT"/>
        <w:sz w:val="20"/>
        <w:szCs w:val="20"/>
        <w:lang w:val="en-GB"/>
      </w:rPr>
      <w:instrText xml:space="preserve"> PAGE   \* MERGEFORMAT </w:instrText>
    </w:r>
    <w:r w:rsidRPr="004D7C5C">
      <w:rPr>
        <w:rFonts w:ascii="Gill Sans MT" w:hAnsi="Gill Sans MT"/>
        <w:sz w:val="20"/>
        <w:szCs w:val="20"/>
        <w:lang w:val="en-GB"/>
      </w:rPr>
      <w:fldChar w:fldCharType="separate"/>
    </w:r>
    <w:r w:rsidR="00C911E4">
      <w:rPr>
        <w:rFonts w:ascii="Gill Sans MT" w:hAnsi="Gill Sans MT"/>
        <w:noProof/>
        <w:sz w:val="20"/>
        <w:szCs w:val="20"/>
        <w:lang w:val="en-GB"/>
      </w:rPr>
      <w:t>6</w:t>
    </w:r>
    <w:r w:rsidRPr="004D7C5C">
      <w:rPr>
        <w:rFonts w:ascii="Gill Sans MT" w:hAnsi="Gill Sans MT"/>
        <w:noProof/>
        <w:sz w:val="20"/>
        <w:szCs w:val="20"/>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23E50B" w14:textId="77777777" w:rsidR="006568B2" w:rsidRDefault="006568B2">
      <w:r>
        <w:separator/>
      </w:r>
    </w:p>
  </w:footnote>
  <w:footnote w:type="continuationSeparator" w:id="0">
    <w:p w14:paraId="60E08D01" w14:textId="77777777" w:rsidR="006568B2" w:rsidRDefault="006568B2">
      <w:r>
        <w:continuationSeparator/>
      </w:r>
    </w:p>
  </w:footnote>
  <w:footnote w:type="continuationNotice" w:id="1">
    <w:p w14:paraId="68B0EC00" w14:textId="77777777" w:rsidR="006568B2" w:rsidRDefault="006568B2">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ABD853" w14:textId="77777777" w:rsidR="00C911E4" w:rsidRDefault="00C911E4">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3D4C7" w14:textId="77777777" w:rsidR="006568B2" w:rsidRDefault="00C911E4">
    <w:pPr>
      <w:pStyle w:val="Header"/>
    </w:pPr>
    <w:r>
      <w:rPr>
        <w:noProof/>
      </w:rPr>
      <w:pict w14:anchorId="602617D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4" o:spid="_x0000_s2058" type="#_x0000_t136" alt="" style="position:absolute;margin-left:0;margin-top:0;width:573.7pt;height:86.05pt;rotation:315;z-index:-251658236;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4FCC6E" w14:textId="77777777" w:rsidR="006568B2" w:rsidRPr="005A5A65" w:rsidRDefault="006568B2" w:rsidP="003C2A9B">
    <w:pPr>
      <w:pBdr>
        <w:bottom w:val="single" w:sz="12" w:space="1" w:color="0070C0"/>
      </w:pBdr>
      <w:spacing w:before="0"/>
      <w:jc w:val="both"/>
      <w:rPr>
        <w:rFonts w:ascii="Arial" w:hAnsi="Arial" w:cs="Arial"/>
        <w:sz w:val="18"/>
        <w:szCs w:val="20"/>
      </w:rPr>
    </w:pPr>
    <w:r w:rsidRPr="005A5A65">
      <w:rPr>
        <w:rFonts w:ascii="Arial" w:hAnsi="Arial" w:cs="Arial"/>
        <w:sz w:val="18"/>
        <w:szCs w:val="20"/>
      </w:rPr>
      <w:t>Marine Monitoring Program</w:t>
    </w:r>
    <w:r w:rsidRPr="005A5A65">
      <w:rPr>
        <w:rFonts w:ascii="Arial" w:hAnsi="Arial" w:cs="Arial"/>
        <w:sz w:val="18"/>
        <w:szCs w:val="20"/>
      </w:rPr>
      <w:tab/>
    </w:r>
    <w:r>
      <w:rPr>
        <w:rFonts w:ascii="Arial" w:hAnsi="Arial" w:cs="Arial"/>
        <w:sz w:val="18"/>
        <w:szCs w:val="20"/>
      </w:rPr>
      <w:tab/>
      <w:t>Annual Report for inshore seagrass</w:t>
    </w:r>
    <w:r w:rsidRPr="005A5A65">
      <w:rPr>
        <w:rFonts w:ascii="Arial" w:hAnsi="Arial" w:cs="Arial"/>
        <w:sz w:val="18"/>
        <w:szCs w:val="20"/>
      </w:rPr>
      <w:t xml:space="preserve"> monitoring 2017–18</w:t>
    </w:r>
  </w:p>
  <w:p w14:paraId="3943D803" w14:textId="27BDA42B" w:rsidR="006568B2" w:rsidRPr="003C2A9B" w:rsidRDefault="006568B2" w:rsidP="003C2A9B">
    <w:pPr>
      <w:pStyle w:val="Header"/>
      <w:rPr>
        <w:rFonts w:eastAsia="Calibri"/>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21B8F" w14:textId="77777777" w:rsidR="006568B2" w:rsidRDefault="00C911E4">
    <w:pPr>
      <w:pStyle w:val="Header"/>
    </w:pPr>
    <w:r>
      <w:rPr>
        <w:noProof/>
      </w:rPr>
      <w:pict w14:anchorId="656D47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3" o:spid="_x0000_s2057" type="#_x0000_t136" alt="" style="position:absolute;margin-left:0;margin-top:0;width:573.7pt;height:86.05pt;rotation:315;z-index:-251658237;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20525" w14:textId="77777777" w:rsidR="006568B2" w:rsidRDefault="00C911E4">
    <w:pPr>
      <w:pStyle w:val="Header"/>
    </w:pPr>
    <w:r>
      <w:rPr>
        <w:noProof/>
      </w:rPr>
      <w:pict w14:anchorId="212E5DD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7" o:spid="_x0000_s2056" type="#_x0000_t136" alt="" style="position:absolute;margin-left:0;margin-top:0;width:573.7pt;height:86.05pt;rotation:315;z-index:-251658228;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20E4C" w14:textId="77777777" w:rsidR="006568B2" w:rsidRPr="005A5A65" w:rsidRDefault="006568B2" w:rsidP="003C2A9B">
    <w:pPr>
      <w:pBdr>
        <w:bottom w:val="single" w:sz="12" w:space="1" w:color="0070C0"/>
      </w:pBdr>
      <w:spacing w:before="0"/>
      <w:jc w:val="both"/>
      <w:rPr>
        <w:rFonts w:ascii="Arial" w:hAnsi="Arial" w:cs="Arial"/>
        <w:sz w:val="18"/>
        <w:szCs w:val="20"/>
      </w:rPr>
    </w:pPr>
    <w:r w:rsidRPr="005A5A65">
      <w:rPr>
        <w:rFonts w:ascii="Arial" w:hAnsi="Arial" w:cs="Arial"/>
        <w:sz w:val="18"/>
        <w:szCs w:val="20"/>
      </w:rPr>
      <w:t>Marine Monitoring Program</w:t>
    </w:r>
    <w:r w:rsidRPr="005A5A65">
      <w:rPr>
        <w:rFonts w:ascii="Arial" w:hAnsi="Arial" w:cs="Arial"/>
        <w:sz w:val="18"/>
        <w:szCs w:val="20"/>
      </w:rPr>
      <w:tab/>
    </w:r>
    <w:r>
      <w:rPr>
        <w:rFonts w:ascii="Arial" w:hAnsi="Arial" w:cs="Arial"/>
        <w:sz w:val="18"/>
        <w:szCs w:val="20"/>
      </w:rPr>
      <w:tab/>
      <w:t>Annual Report for inshore seagrass</w:t>
    </w:r>
    <w:r w:rsidRPr="005A5A65">
      <w:rPr>
        <w:rFonts w:ascii="Arial" w:hAnsi="Arial" w:cs="Arial"/>
        <w:sz w:val="18"/>
        <w:szCs w:val="20"/>
      </w:rPr>
      <w:t xml:space="preserve"> monitoring 2017–18</w:t>
    </w:r>
  </w:p>
  <w:p w14:paraId="13761DBA" w14:textId="5D626463" w:rsidR="006568B2" w:rsidRPr="003C2A9B" w:rsidRDefault="006568B2" w:rsidP="003C2A9B">
    <w:pPr>
      <w:pStyle w:val="Header"/>
      <w:rPr>
        <w:rFonts w:eastAsia="Calibri"/>
      </w:rPr>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B34CB4" w14:textId="77777777" w:rsidR="006568B2" w:rsidRDefault="00C911E4">
    <w:pPr>
      <w:pStyle w:val="Header"/>
    </w:pPr>
    <w:r>
      <w:rPr>
        <w:noProof/>
      </w:rPr>
      <w:pict w14:anchorId="7112EA3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6" o:spid="_x0000_s2055" type="#_x0000_t136" alt="" style="position:absolute;margin-left:0;margin-top:0;width:573.7pt;height:86.05pt;rotation:315;z-index:-251658229;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1F6E8" w14:textId="7A85009C" w:rsidR="006568B2" w:rsidRDefault="006568B2">
    <w:pPr>
      <w:pStyle w:val="Header"/>
    </w:pPr>
    <w:r>
      <w:rPr>
        <w:noProof/>
        <w:lang w:val="en-US"/>
      </w:rPr>
      <mc:AlternateContent>
        <mc:Choice Requires="wps">
          <w:drawing>
            <wp:anchor distT="0" distB="0" distL="114300" distR="114300" simplePos="0" relativeHeight="251658254" behindDoc="1" locked="0" layoutInCell="0" allowOverlap="1" wp14:anchorId="482237DD" wp14:editId="62E807ED">
              <wp:simplePos x="0" y="0"/>
              <wp:positionH relativeFrom="margin">
                <wp:align>center</wp:align>
              </wp:positionH>
              <wp:positionV relativeFrom="margin">
                <wp:align>center</wp:align>
              </wp:positionV>
              <wp:extent cx="7285990" cy="106680"/>
              <wp:effectExtent l="0" t="2133600" r="0" b="2164715"/>
              <wp:wrapNone/>
              <wp:docPr id="51" name="WordArt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285990" cy="10668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90D8D0C" w14:textId="77777777" w:rsidR="006568B2" w:rsidRDefault="006568B2"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82237DD" id="_x0000_t202" coordsize="21600,21600" o:spt="202" path="m,l,21600r21600,l21600,xe">
              <v:stroke joinstyle="miter"/>
              <v:path gradientshapeok="t" o:connecttype="rect"/>
            </v:shapetype>
            <v:shape id="WordArt 32" o:spid="_x0000_s1026" type="#_x0000_t202" style="position:absolute;margin-left:0;margin-top:0;width:573.7pt;height:8.4pt;rotation:-45;z-index:-25165822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9eYhgIAAP0E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" o:allowincell="f" filled="f" stroked="f">
              <v:stroke joinstyle="round"/>
              <o:lock v:ext="edit" shapetype="t"/>
              <v:textbox style="mso-fit-shape-to-text:t">
                <w:txbxContent>
                  <w:p w14:paraId="390D8D0C" w14:textId="77777777" w:rsidR="006568B2" w:rsidRDefault="006568B2"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v:textbox>
              <w10:wrap anchorx="margin" anchory="margin"/>
            </v:shape>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9C884F" w14:textId="77777777" w:rsidR="006568B2" w:rsidRPr="005A5A65" w:rsidRDefault="006568B2" w:rsidP="003C2A9B">
    <w:pPr>
      <w:pBdr>
        <w:bottom w:val="single" w:sz="12" w:space="1" w:color="0070C0"/>
      </w:pBdr>
      <w:spacing w:before="0"/>
      <w:jc w:val="both"/>
      <w:rPr>
        <w:rFonts w:ascii="Arial" w:hAnsi="Arial" w:cs="Arial"/>
        <w:sz w:val="18"/>
        <w:szCs w:val="20"/>
      </w:rPr>
    </w:pPr>
    <w:r w:rsidRPr="005A5A65">
      <w:rPr>
        <w:rFonts w:ascii="Arial" w:hAnsi="Arial" w:cs="Arial"/>
        <w:sz w:val="18"/>
        <w:szCs w:val="20"/>
      </w:rPr>
      <w:t>Marine Monitoring Program</w:t>
    </w:r>
    <w:r w:rsidRPr="005A5A65">
      <w:rPr>
        <w:rFonts w:ascii="Arial" w:hAnsi="Arial" w:cs="Arial"/>
        <w:sz w:val="18"/>
        <w:szCs w:val="20"/>
      </w:rPr>
      <w:tab/>
    </w:r>
    <w:r>
      <w:rPr>
        <w:rFonts w:ascii="Arial" w:hAnsi="Arial" w:cs="Arial"/>
        <w:sz w:val="18"/>
        <w:szCs w:val="20"/>
      </w:rPr>
      <w:tab/>
      <w:t>Annual Report for inshore seagrass</w:t>
    </w:r>
    <w:r w:rsidRPr="005A5A65">
      <w:rPr>
        <w:rFonts w:ascii="Arial" w:hAnsi="Arial" w:cs="Arial"/>
        <w:sz w:val="18"/>
        <w:szCs w:val="20"/>
      </w:rPr>
      <w:t xml:space="preserve"> monitoring 2017–18</w:t>
    </w:r>
  </w:p>
  <w:p w14:paraId="5B2C56D2" w14:textId="23DB3567" w:rsidR="006568B2" w:rsidRPr="003C2A9B" w:rsidRDefault="006568B2" w:rsidP="003C2A9B">
    <w:pPr>
      <w:pStyle w:val="Header"/>
      <w:rPr>
        <w:rFonts w:eastAsia="Calibri"/>
      </w:rPr>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B6FE7" w14:textId="18F10471" w:rsidR="006568B2" w:rsidRDefault="006568B2">
    <w:pPr>
      <w:pStyle w:val="Header"/>
    </w:pPr>
    <w:r>
      <w:rPr>
        <w:noProof/>
        <w:lang w:val="en-US"/>
      </w:rPr>
      <mc:AlternateContent>
        <mc:Choice Requires="wps">
          <w:drawing>
            <wp:anchor distT="0" distB="0" distL="114300" distR="114300" simplePos="0" relativeHeight="251658253" behindDoc="1" locked="0" layoutInCell="0" allowOverlap="1" wp14:anchorId="63C5F67E" wp14:editId="5D9E3200">
              <wp:simplePos x="0" y="0"/>
              <wp:positionH relativeFrom="margin">
                <wp:align>center</wp:align>
              </wp:positionH>
              <wp:positionV relativeFrom="margin">
                <wp:align>center</wp:align>
              </wp:positionV>
              <wp:extent cx="7285990" cy="106680"/>
              <wp:effectExtent l="0" t="2133600" r="0" b="2164715"/>
              <wp:wrapNone/>
              <wp:docPr id="47" name="WordArt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285990" cy="10668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95D0699" w14:textId="77777777" w:rsidR="006568B2" w:rsidRDefault="006568B2"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3C5F67E" id="_x0000_t202" coordsize="21600,21600" o:spt="202" path="m,l,21600r21600,l21600,xe">
              <v:stroke joinstyle="miter"/>
              <v:path gradientshapeok="t" o:connecttype="rect"/>
            </v:shapetype>
            <v:shape id="WordArt 31" o:spid="_x0000_s1027" type="#_x0000_t202" style="position:absolute;margin-left:0;margin-top:0;width:573.7pt;height:8.4pt;rotation:-45;z-index:-251658227;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" o:allowincell="f" filled="f" stroked="f">
              <v:stroke joinstyle="round"/>
              <o:lock v:ext="edit" shapetype="t"/>
              <v:textbox style="mso-fit-shape-to-text:t">
                <w:txbxContent>
                  <w:p w14:paraId="795D0699" w14:textId="77777777" w:rsidR="006568B2" w:rsidRDefault="006568B2"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v:textbox>
              <w10:wrap anchorx="margin" anchory="margin"/>
            </v:shape>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066639" w14:textId="77777777" w:rsidR="006568B2" w:rsidRDefault="00C911E4">
    <w:pPr>
      <w:pStyle w:val="Header"/>
    </w:pPr>
    <w:r>
      <w:rPr>
        <w:noProof/>
      </w:rPr>
      <w:pict w14:anchorId="7A8A4D5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3" o:spid="_x0000_s2054" type="#_x0000_t136" alt="" style="position:absolute;margin-left:0;margin-top:0;width:573.7pt;height:86.05pt;rotation:315;z-index:-251658234;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F0B6B" w14:textId="77777777" w:rsidR="00C911E4" w:rsidRDefault="00C911E4">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10F1A" w14:textId="22626ECE" w:rsidR="006568B2" w:rsidRPr="00326054" w:rsidRDefault="006568B2" w:rsidP="00326054">
    <w:pPr>
      <w:pBdr>
        <w:bottom w:val="single" w:sz="12" w:space="1" w:color="0070C0"/>
      </w:pBdr>
      <w:spacing w:before="0"/>
      <w:jc w:val="both"/>
      <w:rPr>
        <w:rFonts w:ascii="Arial" w:hAnsi="Arial" w:cs="Arial"/>
        <w:sz w:val="18"/>
        <w:szCs w:val="20"/>
      </w:rPr>
    </w:pPr>
    <w:r w:rsidRPr="005A5A65">
      <w:rPr>
        <w:rFonts w:ascii="Arial" w:hAnsi="Arial" w:cs="Arial"/>
        <w:sz w:val="18"/>
        <w:szCs w:val="20"/>
      </w:rPr>
      <w:t>Marine Monitoring Program</w:t>
    </w:r>
    <w:r w:rsidRPr="005A5A65">
      <w:rPr>
        <w:rFonts w:ascii="Arial" w:hAnsi="Arial" w:cs="Arial"/>
        <w:sz w:val="18"/>
        <w:szCs w:val="20"/>
      </w:rPr>
      <w:tab/>
    </w:r>
    <w:r>
      <w:rPr>
        <w:rFonts w:ascii="Arial" w:hAnsi="Arial" w:cs="Arial"/>
        <w:sz w:val="18"/>
        <w:szCs w:val="20"/>
      </w:rPr>
      <w:tab/>
      <w:t>Annual Report for inshore seagrass monitoring 2017–18</w:t>
    </w: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951E1" w14:textId="77777777" w:rsidR="006568B2" w:rsidRDefault="00C911E4">
    <w:pPr>
      <w:pStyle w:val="Header"/>
    </w:pPr>
    <w:r>
      <w:rPr>
        <w:noProof/>
      </w:rPr>
      <w:pict w14:anchorId="5EF0F51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2" o:spid="_x0000_s2053" type="#_x0000_t136" alt="" style="position:absolute;margin-left:0;margin-top:0;width:573.7pt;height:86.05pt;rotation:315;z-index:-251658235;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5A1AA7" w14:textId="77777777" w:rsidR="006568B2" w:rsidRDefault="00C911E4">
    <w:pPr>
      <w:pStyle w:val="Header"/>
    </w:pPr>
    <w:r>
      <w:rPr>
        <w:noProof/>
      </w:rPr>
      <w:pict w14:anchorId="6B6FB0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6" o:spid="_x0000_s2052" type="#_x0000_t136" alt="" style="position:absolute;margin-left:0;margin-top:0;width:573.7pt;height:86.05pt;rotation:315;z-index:-251658232;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0EF79" w14:textId="0A71370E" w:rsidR="006568B2" w:rsidRPr="00326054" w:rsidRDefault="006568B2" w:rsidP="00326054">
    <w:pPr>
      <w:pBdr>
        <w:bottom w:val="single" w:sz="12" w:space="1" w:color="0070C0"/>
      </w:pBdr>
      <w:spacing w:before="0"/>
      <w:jc w:val="both"/>
      <w:rPr>
        <w:rFonts w:ascii="Arial" w:hAnsi="Arial" w:cs="Arial"/>
        <w:sz w:val="18"/>
        <w:szCs w:val="20"/>
      </w:rPr>
    </w:pPr>
    <w:r w:rsidRPr="005A5A65">
      <w:rPr>
        <w:rFonts w:ascii="Arial" w:hAnsi="Arial" w:cs="Arial"/>
        <w:sz w:val="18"/>
        <w:szCs w:val="20"/>
      </w:rPr>
      <w:t>Marine Monitoring Program</w:t>
    </w:r>
    <w:r w:rsidRPr="005A5A65">
      <w:rPr>
        <w:rFonts w:ascii="Arial" w:hAnsi="Arial" w:cs="Arial"/>
        <w:sz w:val="18"/>
        <w:szCs w:val="20"/>
      </w:rPr>
      <w:tab/>
    </w:r>
    <w:r>
      <w:rPr>
        <w:rFonts w:ascii="Arial" w:hAnsi="Arial" w:cs="Arial"/>
        <w:sz w:val="18"/>
        <w:szCs w:val="20"/>
      </w:rPr>
      <w:tab/>
      <w:t>Annual Report for inshore seagrass monitoring 2017–18</w:t>
    </w: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D1999" w14:textId="77777777" w:rsidR="006568B2" w:rsidRDefault="00C911E4">
    <w:pPr>
      <w:pStyle w:val="Header"/>
    </w:pPr>
    <w:r>
      <w:rPr>
        <w:noProof/>
      </w:rPr>
      <w:pict w14:anchorId="1772F87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5" o:spid="_x0000_s2051" type="#_x0000_t136" alt="" style="position:absolute;margin-left:0;margin-top:0;width:573.7pt;height:86.05pt;rotation:315;z-index:-251658233;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FBAA78" w14:textId="77777777" w:rsidR="006568B2" w:rsidRDefault="00C911E4">
    <w:pPr>
      <w:pStyle w:val="Header"/>
    </w:pPr>
    <w:r>
      <w:rPr>
        <w:noProof/>
      </w:rPr>
      <w:pict w14:anchorId="757E25C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9" o:spid="_x0000_s2050" type="#_x0000_t136" alt="" style="position:absolute;margin-left:0;margin-top:0;width:573.7pt;height:86.05pt;rotation:315;z-index:-251658230;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9105D" w14:textId="77777777" w:rsidR="006568B2" w:rsidRDefault="00C911E4">
    <w:pPr>
      <w:pStyle w:val="Header"/>
    </w:pPr>
    <w:r>
      <w:rPr>
        <w:noProof/>
      </w:rPr>
      <w:pict w14:anchorId="3736F9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8" o:spid="_x0000_s2049" type="#_x0000_t136" alt="" style="position:absolute;margin-left:0;margin-top:0;width:573.7pt;height:86.05pt;rotation:315;z-index:-251658231;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81C3E0" w14:textId="77777777" w:rsidR="00C911E4" w:rsidRDefault="00C911E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8072D" w14:textId="77777777" w:rsidR="006568B2" w:rsidRDefault="00C911E4">
    <w:pPr>
      <w:pStyle w:val="Header"/>
    </w:pPr>
    <w:r>
      <w:rPr>
        <w:noProof/>
      </w:rPr>
      <w:pict w14:anchorId="6FE96A1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58" o:spid="_x0000_s2061" type="#_x0000_t136" alt="" style="position:absolute;margin-left:0;margin-top:0;width:573.7pt;height:86.05pt;rotation:315;z-index:-251658239;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1B313" w14:textId="77777777" w:rsidR="006568B2" w:rsidRPr="005959D0" w:rsidRDefault="006568B2" w:rsidP="005959D0">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316C8D" w14:textId="77777777" w:rsidR="006568B2" w:rsidRDefault="00C911E4">
    <w:pPr>
      <w:pStyle w:val="Header"/>
    </w:pPr>
    <w:r>
      <w:rPr>
        <w:noProof/>
      </w:rPr>
      <w:pict w14:anchorId="51CC95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57" o:spid="_x0000_s2060" type="#_x0000_t136" alt="" style="position:absolute;margin-left:0;margin-top:0;width:573.7pt;height:86.05pt;rotation:315;z-index:-251658240;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CBC34" w14:textId="77777777" w:rsidR="006568B2" w:rsidRDefault="00C911E4">
    <w:pPr>
      <w:pStyle w:val="Header"/>
    </w:pPr>
    <w:r>
      <w:rPr>
        <w:noProof/>
      </w:rPr>
      <w:pict w14:anchorId="4722EA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1" o:spid="_x0000_s2059" type="#_x0000_t136" alt="" style="position:absolute;margin-left:0;margin-top:0;width:573.7pt;height:86.05pt;rotation:315;z-index:-251658238;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2BEE8" w14:textId="77777777" w:rsidR="006568B2" w:rsidRPr="005A5A65" w:rsidRDefault="006568B2" w:rsidP="005A5A65">
    <w:pPr>
      <w:pBdr>
        <w:bottom w:val="single" w:sz="12" w:space="1" w:color="0070C0"/>
      </w:pBdr>
      <w:spacing w:before="0"/>
      <w:jc w:val="both"/>
      <w:rPr>
        <w:rFonts w:ascii="Arial" w:hAnsi="Arial" w:cs="Arial"/>
        <w:sz w:val="18"/>
        <w:szCs w:val="20"/>
      </w:rPr>
    </w:pPr>
    <w:r w:rsidRPr="005A5A65">
      <w:rPr>
        <w:rFonts w:ascii="Arial" w:hAnsi="Arial" w:cs="Arial"/>
        <w:sz w:val="18"/>
        <w:szCs w:val="20"/>
      </w:rPr>
      <w:t>Marine Monitoring Program</w:t>
    </w:r>
    <w:r w:rsidRPr="005A5A65">
      <w:rPr>
        <w:rFonts w:ascii="Arial" w:hAnsi="Arial" w:cs="Arial"/>
        <w:sz w:val="18"/>
        <w:szCs w:val="20"/>
      </w:rPr>
      <w:tab/>
    </w:r>
    <w:r>
      <w:rPr>
        <w:rFonts w:ascii="Arial" w:hAnsi="Arial" w:cs="Arial"/>
        <w:sz w:val="18"/>
        <w:szCs w:val="20"/>
      </w:rPr>
      <w:tab/>
      <w:t>Annual Report for inshore seagrass</w:t>
    </w:r>
    <w:r w:rsidRPr="005A5A65">
      <w:rPr>
        <w:rFonts w:ascii="Arial" w:hAnsi="Arial" w:cs="Arial"/>
        <w:sz w:val="18"/>
        <w:szCs w:val="20"/>
      </w:rPr>
      <w:t xml:space="preserve"> monitoring 2017–18</w:t>
    </w:r>
  </w:p>
  <w:p w14:paraId="4702C5D7" w14:textId="77777777" w:rsidR="006568B2" w:rsidRDefault="006568B2">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3D27F8" w14:textId="77777777" w:rsidR="006568B2" w:rsidRPr="005A5A65" w:rsidRDefault="006568B2" w:rsidP="005A5A65">
    <w:pPr>
      <w:pBdr>
        <w:bottom w:val="single" w:sz="12" w:space="1" w:color="0070C0"/>
      </w:pBdr>
      <w:spacing w:before="0"/>
      <w:jc w:val="both"/>
      <w:rPr>
        <w:rFonts w:ascii="Arial" w:hAnsi="Arial" w:cs="Arial"/>
        <w:sz w:val="18"/>
        <w:szCs w:val="20"/>
      </w:rPr>
    </w:pPr>
    <w:r w:rsidRPr="005A5A65">
      <w:rPr>
        <w:rFonts w:ascii="Arial" w:hAnsi="Arial" w:cs="Arial"/>
        <w:sz w:val="18"/>
        <w:szCs w:val="20"/>
      </w:rPr>
      <w:t>Marine Monitoring Program</w:t>
    </w:r>
    <w:r w:rsidRPr="005A5A65">
      <w:rPr>
        <w:rFonts w:ascii="Arial" w:hAnsi="Arial" w:cs="Arial"/>
        <w:sz w:val="18"/>
        <w:szCs w:val="20"/>
      </w:rPr>
      <w:tab/>
    </w:r>
    <w:r>
      <w:rPr>
        <w:rFonts w:ascii="Arial" w:hAnsi="Arial" w:cs="Arial"/>
        <w:sz w:val="18"/>
        <w:szCs w:val="20"/>
      </w:rPr>
      <w:tab/>
      <w:t>Annual Report for inshore seagrass</w:t>
    </w:r>
    <w:r w:rsidRPr="005A5A65">
      <w:rPr>
        <w:rFonts w:ascii="Arial" w:hAnsi="Arial" w:cs="Arial"/>
        <w:sz w:val="18"/>
        <w:szCs w:val="20"/>
      </w:rPr>
      <w:t xml:space="preserve"> monitoring 2017–18</w:t>
    </w:r>
  </w:p>
  <w:p w14:paraId="0439792D" w14:textId="77777777" w:rsidR="006568B2" w:rsidRDefault="00C911E4">
    <w:pPr>
      <w:pStyle w:val="Header"/>
    </w:pPr>
    <w:r>
      <w:rPr>
        <w:noProof/>
      </w:rPr>
      <w:pict w14:anchorId="402C72B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2" type="#_x0000_t136" alt="" style="position:absolute;margin-left:0;margin-top:0;width:573.7pt;height:86.05pt;rotation:315;z-index:-251656178;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144BC"/>
    <w:multiLevelType w:val="hybridMultilevel"/>
    <w:tmpl w:val="38961C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7AB5143"/>
    <w:multiLevelType w:val="hybridMultilevel"/>
    <w:tmpl w:val="69F8D8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A480FF2"/>
    <w:multiLevelType w:val="hybridMultilevel"/>
    <w:tmpl w:val="B164B99C"/>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 w15:restartNumberingAfterBreak="0">
    <w:nsid w:val="0ACC52BE"/>
    <w:multiLevelType w:val="hybridMultilevel"/>
    <w:tmpl w:val="39B41854"/>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ECD0744"/>
    <w:multiLevelType w:val="hybridMultilevel"/>
    <w:tmpl w:val="DBE21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B54195"/>
    <w:multiLevelType w:val="hybridMultilevel"/>
    <w:tmpl w:val="53B0F1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676F2B"/>
    <w:multiLevelType w:val="hybridMultilevel"/>
    <w:tmpl w:val="09E866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12104"/>
    <w:multiLevelType w:val="hybridMultilevel"/>
    <w:tmpl w:val="7E3889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EEE3CF5"/>
    <w:multiLevelType w:val="hybridMultilevel"/>
    <w:tmpl w:val="732E17D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2C7B82"/>
    <w:multiLevelType w:val="hybridMultilevel"/>
    <w:tmpl w:val="E7648F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4673FF0"/>
    <w:multiLevelType w:val="multilevel"/>
    <w:tmpl w:val="C934803C"/>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15:restartNumberingAfterBreak="0">
    <w:nsid w:val="29AF68E6"/>
    <w:multiLevelType w:val="hybridMultilevel"/>
    <w:tmpl w:val="58727330"/>
    <w:lvl w:ilvl="0" w:tplc="04090001">
      <w:start w:val="1"/>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8358AD"/>
    <w:multiLevelType w:val="hybridMultilevel"/>
    <w:tmpl w:val="06ECE8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98B4921"/>
    <w:multiLevelType w:val="hybridMultilevel"/>
    <w:tmpl w:val="58A29A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9A40330"/>
    <w:multiLevelType w:val="hybridMultilevel"/>
    <w:tmpl w:val="ED7E81D2"/>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lowerLetter"/>
      <w:lvlText w:val="%2."/>
      <w:lvlJc w:val="left"/>
      <w:pPr>
        <w:tabs>
          <w:tab w:val="num" w:pos="1440"/>
        </w:tabs>
        <w:ind w:left="1440" w:hanging="360"/>
      </w:pPr>
      <w:rPr>
        <w:rFonts w:cs="Times New Roman"/>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15" w15:restartNumberingAfterBreak="0">
    <w:nsid w:val="3ADD67BA"/>
    <w:multiLevelType w:val="hybridMultilevel"/>
    <w:tmpl w:val="48764620"/>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cs="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cs="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cs="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16" w15:restartNumberingAfterBreak="0">
    <w:nsid w:val="404A2909"/>
    <w:multiLevelType w:val="hybridMultilevel"/>
    <w:tmpl w:val="01D253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48B5011"/>
    <w:multiLevelType w:val="hybridMultilevel"/>
    <w:tmpl w:val="BC3E4E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5E52982"/>
    <w:multiLevelType w:val="hybridMultilevel"/>
    <w:tmpl w:val="3FC004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62C3626"/>
    <w:multiLevelType w:val="hybridMultilevel"/>
    <w:tmpl w:val="3B86D228"/>
    <w:lvl w:ilvl="0" w:tplc="0409000F">
      <w:start w:val="1"/>
      <w:numFmt w:val="bullet"/>
      <w:lvlText w:val=""/>
      <w:lvlJc w:val="left"/>
      <w:pPr>
        <w:tabs>
          <w:tab w:val="num" w:pos="360"/>
        </w:tabs>
        <w:ind w:left="360"/>
      </w:pPr>
      <w:rPr>
        <w:rFonts w:ascii="Symbol" w:hAnsi="Symbol" w:hint="default"/>
        <w:sz w:val="16"/>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4BD74607"/>
    <w:multiLevelType w:val="hybridMultilevel"/>
    <w:tmpl w:val="7C9A9C3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4E891B5E"/>
    <w:multiLevelType w:val="hybridMultilevel"/>
    <w:tmpl w:val="1C100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EC34540"/>
    <w:multiLevelType w:val="hybridMultilevel"/>
    <w:tmpl w:val="D0282B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22A6159"/>
    <w:multiLevelType w:val="multilevel"/>
    <w:tmpl w:val="0DEEACF2"/>
    <w:lvl w:ilvl="0">
      <w:start w:val="1"/>
      <w:numFmt w:val="decimal"/>
      <w:lvlText w:val="Appendix %1"/>
      <w:lvlJc w:val="left"/>
      <w:pPr>
        <w:tabs>
          <w:tab w:val="num" w:pos="851"/>
        </w:tabs>
        <w:ind w:left="432" w:hanging="432"/>
      </w:pPr>
      <w:rPr>
        <w:rFonts w:ascii="Century Gothic" w:hAnsi="Century Gothic" w:hint="default"/>
        <w:b/>
        <w:i w:val="0"/>
        <w:color w:val="auto"/>
        <w:sz w:val="32"/>
      </w:rPr>
    </w:lvl>
    <w:lvl w:ilvl="1">
      <w:start w:val="1"/>
      <w:numFmt w:val="decimal"/>
      <w:lvlText w:val="A%1.%2"/>
      <w:lvlJc w:val="left"/>
      <w:pPr>
        <w:tabs>
          <w:tab w:val="num" w:pos="576"/>
        </w:tabs>
        <w:ind w:left="576" w:hanging="576"/>
      </w:pPr>
      <w:rPr>
        <w:rFonts w:ascii="Arial" w:hAnsi="Arial" w:hint="default"/>
        <w:b/>
        <w:i w:val="0"/>
        <w:color w:val="auto"/>
        <w:sz w:val="28"/>
      </w:rPr>
    </w:lvl>
    <w:lvl w:ilvl="2">
      <w:start w:val="1"/>
      <w:numFmt w:val="decimal"/>
      <w:lvlText w:val="A%1.%2.%3"/>
      <w:lvlJc w:val="left"/>
      <w:pPr>
        <w:tabs>
          <w:tab w:val="num" w:pos="720"/>
        </w:tabs>
        <w:ind w:left="720" w:hanging="720"/>
      </w:pPr>
      <w:rPr>
        <w:rFonts w:ascii="Calibri" w:hAnsi="Calibri" w:hint="default"/>
        <w:b/>
        <w:i w:val="0"/>
        <w:color w:val="auto"/>
        <w:sz w:val="24"/>
      </w:rPr>
    </w:lvl>
    <w:lvl w:ilvl="3">
      <w:start w:val="1"/>
      <w:numFmt w:val="none"/>
      <w:lvlText w:val=""/>
      <w:lvlJc w:val="left"/>
      <w:pPr>
        <w:tabs>
          <w:tab w:val="num" w:pos="864"/>
        </w:tabs>
        <w:ind w:left="864" w:hanging="864"/>
      </w:pPr>
      <w:rPr>
        <w:rFonts w:hint="default"/>
        <w:color w:val="auto"/>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4" w15:restartNumberingAfterBreak="0">
    <w:nsid w:val="5C4D44F4"/>
    <w:multiLevelType w:val="hybridMultilevel"/>
    <w:tmpl w:val="2F46F3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62300D34"/>
    <w:multiLevelType w:val="multilevel"/>
    <w:tmpl w:val="AFAC056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6" w15:restartNumberingAfterBreak="0">
    <w:nsid w:val="63754A57"/>
    <w:multiLevelType w:val="hybridMultilevel"/>
    <w:tmpl w:val="532ACA2C"/>
    <w:lvl w:ilvl="0" w:tplc="0C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9C5217"/>
    <w:multiLevelType w:val="hybridMultilevel"/>
    <w:tmpl w:val="2BF60B9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DE06EFB"/>
    <w:multiLevelType w:val="hybridMultilevel"/>
    <w:tmpl w:val="D31A305E"/>
    <w:lvl w:ilvl="0" w:tplc="04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00E0EE2"/>
    <w:multiLevelType w:val="hybridMultilevel"/>
    <w:tmpl w:val="60C0195A"/>
    <w:lvl w:ilvl="0" w:tplc="0C090001">
      <w:start w:val="1"/>
      <w:numFmt w:val="bullet"/>
      <w:lvlText w:val=""/>
      <w:lvlJc w:val="left"/>
      <w:pPr>
        <w:tabs>
          <w:tab w:val="num" w:pos="720"/>
        </w:tabs>
        <w:ind w:left="720" w:hanging="360"/>
      </w:pPr>
      <w:rPr>
        <w:rFonts w:ascii="Symbol" w:hAnsi="Symbol" w:hint="default"/>
      </w:rPr>
    </w:lvl>
    <w:lvl w:ilvl="1" w:tplc="05EED818">
      <w:numFmt w:val="bullet"/>
      <w:lvlText w:val="•"/>
      <w:lvlJc w:val="left"/>
      <w:pPr>
        <w:ind w:left="1800" w:hanging="720"/>
      </w:pPr>
      <w:rPr>
        <w:rFonts w:ascii="Calibri" w:eastAsia="Times New Roman" w:hAnsi="Calibri" w:cs="Times New Roman" w:hint="default"/>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30" w15:restartNumberingAfterBreak="0">
    <w:nsid w:val="732061D4"/>
    <w:multiLevelType w:val="hybridMultilevel"/>
    <w:tmpl w:val="9E4447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8576A1F"/>
    <w:multiLevelType w:val="hybridMultilevel"/>
    <w:tmpl w:val="6F162F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BDB59CE"/>
    <w:multiLevelType w:val="hybridMultilevel"/>
    <w:tmpl w:val="067650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D9F1B56"/>
    <w:multiLevelType w:val="hybridMultilevel"/>
    <w:tmpl w:val="2E2461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DB25FD8"/>
    <w:multiLevelType w:val="hybridMultilevel"/>
    <w:tmpl w:val="65722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5D5BFA"/>
    <w:multiLevelType w:val="hybridMultilevel"/>
    <w:tmpl w:val="A6AA4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35"/>
  </w:num>
  <w:num w:numId="3">
    <w:abstractNumId w:val="6"/>
  </w:num>
  <w:num w:numId="4">
    <w:abstractNumId w:val="10"/>
  </w:num>
  <w:num w:numId="5">
    <w:abstractNumId w:val="4"/>
  </w:num>
  <w:num w:numId="6">
    <w:abstractNumId w:val="23"/>
    <w:lvlOverride w:ilvl="0">
      <w:lvl w:ilvl="0">
        <w:start w:val="1"/>
        <w:numFmt w:val="decimal"/>
        <w:lvlText w:val="Appendix %1"/>
        <w:lvlJc w:val="left"/>
        <w:pPr>
          <w:tabs>
            <w:tab w:val="num" w:pos="851"/>
          </w:tabs>
          <w:ind w:left="851" w:hanging="851"/>
        </w:pPr>
        <w:rPr>
          <w:rFonts w:ascii="Century Gothic" w:hAnsi="Century Gothic" w:hint="default"/>
          <w:b/>
          <w:i w:val="0"/>
          <w:color w:val="auto"/>
          <w:sz w:val="32"/>
        </w:rPr>
      </w:lvl>
    </w:lvlOverride>
    <w:lvlOverride w:ilvl="1">
      <w:lvl w:ilvl="1">
        <w:start w:val="1"/>
        <w:numFmt w:val="decimal"/>
        <w:lvlText w:val="A%1.%2"/>
        <w:lvlJc w:val="left"/>
        <w:pPr>
          <w:tabs>
            <w:tab w:val="num" w:pos="851"/>
          </w:tabs>
          <w:ind w:left="851" w:hanging="851"/>
        </w:pPr>
        <w:rPr>
          <w:rFonts w:ascii="Arial" w:hAnsi="Arial" w:hint="default"/>
          <w:b/>
          <w:i w:val="0"/>
          <w:color w:val="auto"/>
          <w:sz w:val="28"/>
        </w:rPr>
      </w:lvl>
    </w:lvlOverride>
    <w:lvlOverride w:ilvl="2">
      <w:lvl w:ilvl="2">
        <w:start w:val="1"/>
        <w:numFmt w:val="decimal"/>
        <w:lvlText w:val="A%1.%2.%3"/>
        <w:lvlJc w:val="left"/>
        <w:pPr>
          <w:tabs>
            <w:tab w:val="num" w:pos="851"/>
          </w:tabs>
          <w:ind w:left="851" w:hanging="851"/>
        </w:pPr>
        <w:rPr>
          <w:rFonts w:ascii="Calibri" w:hAnsi="Calibri" w:hint="default"/>
          <w:b/>
          <w:i w:val="0"/>
          <w:color w:val="auto"/>
          <w:sz w:val="24"/>
        </w:rPr>
      </w:lvl>
    </w:lvlOverride>
    <w:lvlOverride w:ilvl="3">
      <w:lvl w:ilvl="3">
        <w:start w:val="1"/>
        <w:numFmt w:val="none"/>
        <w:lvlText w:val=""/>
        <w:lvlJc w:val="left"/>
        <w:pPr>
          <w:tabs>
            <w:tab w:val="num" w:pos="851"/>
          </w:tabs>
          <w:ind w:left="851" w:hanging="851"/>
        </w:pPr>
        <w:rPr>
          <w:rFonts w:hint="default"/>
          <w:color w:val="auto"/>
        </w:rPr>
      </w:lvl>
    </w:lvlOverride>
    <w:lvlOverride w:ilvl="4">
      <w:lvl w:ilvl="4">
        <w:start w:val="1"/>
        <w:numFmt w:val="none"/>
        <w:lvlText w:val=""/>
        <w:lvlJc w:val="left"/>
        <w:pPr>
          <w:tabs>
            <w:tab w:val="num" w:pos="851"/>
          </w:tabs>
          <w:ind w:left="851" w:hanging="851"/>
        </w:pPr>
        <w:rPr>
          <w:rFonts w:hint="default"/>
        </w:rPr>
      </w:lvl>
    </w:lvlOverride>
    <w:lvlOverride w:ilvl="5">
      <w:lvl w:ilvl="5">
        <w:start w:val="1"/>
        <w:numFmt w:val="none"/>
        <w:lvlText w:val=""/>
        <w:lvlJc w:val="left"/>
        <w:pPr>
          <w:tabs>
            <w:tab w:val="num" w:pos="851"/>
          </w:tabs>
          <w:ind w:left="851" w:hanging="851"/>
        </w:pPr>
        <w:rPr>
          <w:rFonts w:hint="default"/>
        </w:rPr>
      </w:lvl>
    </w:lvlOverride>
    <w:lvlOverride w:ilvl="6">
      <w:lvl w:ilvl="6">
        <w:start w:val="1"/>
        <w:numFmt w:val="decimal"/>
        <w:lvlText w:val="%1.%2.%3.%4.%5.%6.%7"/>
        <w:lvlJc w:val="left"/>
        <w:pPr>
          <w:tabs>
            <w:tab w:val="num" w:pos="851"/>
          </w:tabs>
          <w:ind w:left="851" w:hanging="851"/>
        </w:pPr>
        <w:rPr>
          <w:rFonts w:hint="default"/>
        </w:rPr>
      </w:lvl>
    </w:lvlOverride>
    <w:lvlOverride w:ilvl="7">
      <w:lvl w:ilvl="7">
        <w:start w:val="1"/>
        <w:numFmt w:val="decimal"/>
        <w:lvlText w:val="%1.%2.%3.%4.%5.%6.%7.%8"/>
        <w:lvlJc w:val="left"/>
        <w:pPr>
          <w:tabs>
            <w:tab w:val="num" w:pos="851"/>
          </w:tabs>
          <w:ind w:left="851" w:hanging="851"/>
        </w:pPr>
        <w:rPr>
          <w:rFonts w:hint="default"/>
        </w:rPr>
      </w:lvl>
    </w:lvlOverride>
    <w:lvlOverride w:ilvl="8">
      <w:lvl w:ilvl="8">
        <w:start w:val="1"/>
        <w:numFmt w:val="decimal"/>
        <w:lvlText w:val="%1.%2.%3.%4.%5.%6.%7.%8.%9"/>
        <w:lvlJc w:val="left"/>
        <w:pPr>
          <w:tabs>
            <w:tab w:val="num" w:pos="851"/>
          </w:tabs>
          <w:ind w:left="851" w:hanging="851"/>
        </w:pPr>
        <w:rPr>
          <w:rFonts w:hint="default"/>
        </w:rPr>
      </w:lvl>
    </w:lvlOverride>
  </w:num>
  <w:num w:numId="7">
    <w:abstractNumId w:val="3"/>
  </w:num>
  <w:num w:numId="8">
    <w:abstractNumId w:val="33"/>
  </w:num>
  <w:num w:numId="9">
    <w:abstractNumId w:val="11"/>
  </w:num>
  <w:num w:numId="10">
    <w:abstractNumId w:val="28"/>
  </w:num>
  <w:num w:numId="11">
    <w:abstractNumId w:val="27"/>
  </w:num>
  <w:num w:numId="12">
    <w:abstractNumId w:val="8"/>
  </w:num>
  <w:num w:numId="13">
    <w:abstractNumId w:val="20"/>
  </w:num>
  <w:num w:numId="14">
    <w:abstractNumId w:val="7"/>
  </w:num>
  <w:num w:numId="15">
    <w:abstractNumId w:val="31"/>
  </w:num>
  <w:num w:numId="16">
    <w:abstractNumId w:val="13"/>
  </w:num>
  <w:num w:numId="17">
    <w:abstractNumId w:val="16"/>
  </w:num>
  <w:num w:numId="18">
    <w:abstractNumId w:val="1"/>
  </w:num>
  <w:num w:numId="19">
    <w:abstractNumId w:val="9"/>
  </w:num>
  <w:num w:numId="20">
    <w:abstractNumId w:val="0"/>
  </w:num>
  <w:num w:numId="21">
    <w:abstractNumId w:val="24"/>
  </w:num>
  <w:num w:numId="22">
    <w:abstractNumId w:val="30"/>
  </w:num>
  <w:num w:numId="23">
    <w:abstractNumId w:val="14"/>
  </w:num>
  <w:num w:numId="24">
    <w:abstractNumId w:val="29"/>
  </w:num>
  <w:num w:numId="25">
    <w:abstractNumId w:val="17"/>
  </w:num>
  <w:num w:numId="26">
    <w:abstractNumId w:val="26"/>
  </w:num>
  <w:num w:numId="27">
    <w:abstractNumId w:val="12"/>
  </w:num>
  <w:num w:numId="28">
    <w:abstractNumId w:val="25"/>
  </w:num>
  <w:num w:numId="29">
    <w:abstractNumId w:val="22"/>
  </w:num>
  <w:num w:numId="30">
    <w:abstractNumId w:val="32"/>
  </w:num>
  <w:num w:numId="31">
    <w:abstractNumId w:val="2"/>
  </w:num>
  <w:num w:numId="32">
    <w:abstractNumId w:val="18"/>
  </w:num>
  <w:num w:numId="33">
    <w:abstractNumId w:val="5"/>
  </w:num>
  <w:num w:numId="34">
    <w:abstractNumId w:val="15"/>
  </w:num>
  <w:num w:numId="35">
    <w:abstractNumId w:val="34"/>
  </w:num>
  <w:num w:numId="36">
    <w:abstractNumId w:val="2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hideGrammaticalErrors/>
  <w:activeWritingStyle w:appName="MSWord" w:lang="en-AU" w:vendorID="64" w:dllVersion="6"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AU" w:vendorID="64" w:dllVersion="0" w:nlCheck="1" w:checkStyle="0"/>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fr-FR" w:vendorID="64" w:dllVersion="0" w:nlCheck="1" w:checkStyle="0"/>
  <w:activeWritingStyle w:appName="MSWord" w:lang="da-DK" w:vendorID="64" w:dllVersion="0" w:nlCheck="1" w:checkStyle="0"/>
  <w:activeWritingStyle w:appName="MSWord" w:lang="tr-TR" w:vendorID="64" w:dllVersion="0" w:nlCheck="1" w:checkStyle="0"/>
  <w:activeWritingStyle w:appName="MSWord" w:lang="fi-FI" w:vendorID="64" w:dllVersion="0" w:nlCheck="1" w:checkStyle="0"/>
  <w:activeWritingStyle w:appName="MSWord" w:lang="nb-NO" w:vendorID="64" w:dllVersion="0" w:nlCheck="1" w:checkStyle="0"/>
  <w:activeWritingStyle w:appName="MSWord" w:lang="pt-BR" w:vendorID="64" w:dllVersion="0" w:nlCheck="1" w:checkStyle="0"/>
  <w:activeWritingStyle w:appName="MSWord" w:lang="de-DE" w:vendorID="64" w:dllVersion="0" w:nlCheck="1" w:checkStyle="0"/>
  <w:activeWritingStyle w:appName="MSWord" w:lang="nl-NL" w:vendorID="64" w:dllVersion="0" w:nlCheck="1" w:checkStyle="0"/>
  <w:activeWritingStyle w:appName="MSWord" w:lang="cs-CZ" w:vendorID="64" w:dllVersion="0" w:nlCheck="1" w:checkStyle="0"/>
  <w:activeWritingStyle w:appName="MSWord" w:lang="en-AU"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AU" w:vendorID="64" w:dllVersion="131078" w:nlCheck="1" w:checkStyle="1"/>
  <w:activeWritingStyle w:appName="MSWord" w:lang="en-US" w:vendorID="64" w:dllVersion="131078" w:nlCheck="1" w:checkStyle="1"/>
  <w:activeWritingStyle w:appName="MSWord" w:lang="en-GB" w:vendorID="64" w:dllVersion="131078" w:nlCheck="1" w:checkStyle="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stylePaneSortMethod w:val="0000"/>
  <w:defaultTabStop w:val="720"/>
  <w:characterSpacingControl w:val="doNotCompress"/>
  <w:hdrShapeDefaults>
    <o:shapedefaults v:ext="edit" spidmax="206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GBRMPA&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eve55x9y5vfd6e9dacxtew4eatve2dzds9a&quot;&gt;LJMcKenzie library&lt;record-ids&gt;&lt;item&gt;177&lt;/item&gt;&lt;item&gt;258&lt;/item&gt;&lt;item&gt;292&lt;/item&gt;&lt;item&gt;522&lt;/item&gt;&lt;item&gt;682&lt;/item&gt;&lt;item&gt;700&lt;/item&gt;&lt;item&gt;950&lt;/item&gt;&lt;item&gt;1082&lt;/item&gt;&lt;item&gt;1247&lt;/item&gt;&lt;item&gt;1346&lt;/item&gt;&lt;item&gt;1687&lt;/item&gt;&lt;item&gt;1765&lt;/item&gt;&lt;item&gt;1954&lt;/item&gt;&lt;item&gt;2371&lt;/item&gt;&lt;item&gt;2582&lt;/item&gt;&lt;item&gt;2827&lt;/item&gt;&lt;item&gt;2838&lt;/item&gt;&lt;item&gt;2896&lt;/item&gt;&lt;item&gt;3703&lt;/item&gt;&lt;item&gt;3739&lt;/item&gt;&lt;item&gt;5408&lt;/item&gt;&lt;item&gt;5782&lt;/item&gt;&lt;item&gt;5808&lt;/item&gt;&lt;item&gt;6292&lt;/item&gt;&lt;item&gt;6844&lt;/item&gt;&lt;item&gt;7086&lt;/item&gt;&lt;item&gt;7246&lt;/item&gt;&lt;item&gt;7340&lt;/item&gt;&lt;item&gt;7350&lt;/item&gt;&lt;item&gt;7367&lt;/item&gt;&lt;item&gt;7405&lt;/item&gt;&lt;item&gt;7409&lt;/item&gt;&lt;item&gt;7418&lt;/item&gt;&lt;item&gt;7423&lt;/item&gt;&lt;item&gt;7446&lt;/item&gt;&lt;item&gt;7826&lt;/item&gt;&lt;item&gt;7829&lt;/item&gt;&lt;item&gt;7891&lt;/item&gt;&lt;item&gt;8021&lt;/item&gt;&lt;item&gt;8887&lt;/item&gt;&lt;item&gt;9043&lt;/item&gt;&lt;item&gt;9077&lt;/item&gt;&lt;item&gt;9133&lt;/item&gt;&lt;item&gt;9156&lt;/item&gt;&lt;item&gt;9179&lt;/item&gt;&lt;item&gt;9186&lt;/item&gt;&lt;item&gt;9197&lt;/item&gt;&lt;item&gt;9240&lt;/item&gt;&lt;item&gt;9279&lt;/item&gt;&lt;item&gt;9285&lt;/item&gt;&lt;item&gt;9287&lt;/item&gt;&lt;item&gt;9288&lt;/item&gt;&lt;item&gt;9294&lt;/item&gt;&lt;item&gt;9304&lt;/item&gt;&lt;item&gt;9319&lt;/item&gt;&lt;item&gt;9341&lt;/item&gt;&lt;item&gt;9344&lt;/item&gt;&lt;item&gt;9352&lt;/item&gt;&lt;item&gt;9357&lt;/item&gt;&lt;item&gt;9367&lt;/item&gt;&lt;item&gt;9368&lt;/item&gt;&lt;item&gt;9397&lt;/item&gt;&lt;item&gt;9435&lt;/item&gt;&lt;item&gt;9456&lt;/item&gt;&lt;item&gt;9457&lt;/item&gt;&lt;item&gt;9478&lt;/item&gt;&lt;item&gt;9489&lt;/item&gt;&lt;item&gt;9490&lt;/item&gt;&lt;item&gt;9493&lt;/item&gt;&lt;item&gt;9494&lt;/item&gt;&lt;item&gt;9496&lt;/item&gt;&lt;item&gt;9497&lt;/item&gt;&lt;item&gt;9501&lt;/item&gt;&lt;item&gt;9502&lt;/item&gt;&lt;item&gt;9553&lt;/item&gt;&lt;item&gt;9605&lt;/item&gt;&lt;item&gt;9646&lt;/item&gt;&lt;item&gt;9685&lt;/item&gt;&lt;item&gt;9686&lt;/item&gt;&lt;item&gt;9687&lt;/item&gt;&lt;item&gt;9690&lt;/item&gt;&lt;item&gt;9691&lt;/item&gt;&lt;item&gt;9703&lt;/item&gt;&lt;item&gt;9704&lt;/item&gt;&lt;item&gt;9707&lt;/item&gt;&lt;item&gt;9713&lt;/item&gt;&lt;item&gt;9756&lt;/item&gt;&lt;item&gt;9758&lt;/item&gt;&lt;item&gt;9759&lt;/item&gt;&lt;item&gt;9760&lt;/item&gt;&lt;item&gt;9761&lt;/item&gt;&lt;item&gt;9762&lt;/item&gt;&lt;item&gt;9771&lt;/item&gt;&lt;item&gt;9772&lt;/item&gt;&lt;item&gt;9775&lt;/item&gt;&lt;item&gt;9777&lt;/item&gt;&lt;item&gt;9780&lt;/item&gt;&lt;item&gt;9812&lt;/item&gt;&lt;item&gt;9838&lt;/item&gt;&lt;item&gt;9893&lt;/item&gt;&lt;item&gt;9925&lt;/item&gt;&lt;item&gt;9961&lt;/item&gt;&lt;item&gt;9996&lt;/item&gt;&lt;item&gt;10036&lt;/item&gt;&lt;item&gt;10039&lt;/item&gt;&lt;item&gt;10041&lt;/item&gt;&lt;item&gt;10062&lt;/item&gt;&lt;item&gt;10291&lt;/item&gt;&lt;item&gt;10294&lt;/item&gt;&lt;item&gt;10319&lt;/item&gt;&lt;item&gt;10320&lt;/item&gt;&lt;item&gt;10322&lt;/item&gt;&lt;item&gt;10404&lt;/item&gt;&lt;item&gt;10405&lt;/item&gt;&lt;item&gt;10411&lt;/item&gt;&lt;item&gt;10447&lt;/item&gt;&lt;item&gt;10474&lt;/item&gt;&lt;item&gt;10482&lt;/item&gt;&lt;item&gt;10485&lt;/item&gt;&lt;item&gt;10578&lt;/item&gt;&lt;item&gt;10579&lt;/item&gt;&lt;item&gt;10580&lt;/item&gt;&lt;item&gt;10583&lt;/item&gt;&lt;item&gt;10625&lt;/item&gt;&lt;item&gt;10665&lt;/item&gt;&lt;item&gt;10800&lt;/item&gt;&lt;item&gt;10813&lt;/item&gt;&lt;item&gt;10832&lt;/item&gt;&lt;item&gt;10877&lt;/item&gt;&lt;item&gt;10905&lt;/item&gt;&lt;item&gt;10911&lt;/item&gt;&lt;item&gt;10917&lt;/item&gt;&lt;item&gt;10919&lt;/item&gt;&lt;item&gt;10955&lt;/item&gt;&lt;item&gt;11468&lt;/item&gt;&lt;item&gt;11481&lt;/item&gt;&lt;item&gt;11505&lt;/item&gt;&lt;item&gt;11522&lt;/item&gt;&lt;item&gt;11523&lt;/item&gt;&lt;item&gt;11715&lt;/item&gt;&lt;item&gt;11853&lt;/item&gt;&lt;item&gt;11857&lt;/item&gt;&lt;item&gt;11859&lt;/item&gt;&lt;item&gt;11860&lt;/item&gt;&lt;item&gt;11862&lt;/item&gt;&lt;item&gt;11863&lt;/item&gt;&lt;item&gt;11976&lt;/item&gt;&lt;item&gt;11979&lt;/item&gt;&lt;item&gt;11983&lt;/item&gt;&lt;item&gt;11985&lt;/item&gt;&lt;item&gt;11986&lt;/item&gt;&lt;/record-ids&gt;&lt;/item&gt;&lt;/Libraries&gt;"/>
  </w:docVars>
  <w:rsids>
    <w:rsidRoot w:val="003469AB"/>
    <w:rsid w:val="0000049A"/>
    <w:rsid w:val="00000AF9"/>
    <w:rsid w:val="00000D6B"/>
    <w:rsid w:val="000011C5"/>
    <w:rsid w:val="000015EC"/>
    <w:rsid w:val="00001A2E"/>
    <w:rsid w:val="00001A9C"/>
    <w:rsid w:val="00001AA5"/>
    <w:rsid w:val="00001C6E"/>
    <w:rsid w:val="00002599"/>
    <w:rsid w:val="00002C32"/>
    <w:rsid w:val="00002DC4"/>
    <w:rsid w:val="00003363"/>
    <w:rsid w:val="000038BE"/>
    <w:rsid w:val="00003FCC"/>
    <w:rsid w:val="00004179"/>
    <w:rsid w:val="0000434C"/>
    <w:rsid w:val="00005FEC"/>
    <w:rsid w:val="00006EFE"/>
    <w:rsid w:val="00006FCB"/>
    <w:rsid w:val="00007082"/>
    <w:rsid w:val="000073DE"/>
    <w:rsid w:val="0001023E"/>
    <w:rsid w:val="000107A5"/>
    <w:rsid w:val="000108DB"/>
    <w:rsid w:val="00010926"/>
    <w:rsid w:val="00010B14"/>
    <w:rsid w:val="00010FB7"/>
    <w:rsid w:val="00010FBB"/>
    <w:rsid w:val="0001103A"/>
    <w:rsid w:val="0001105C"/>
    <w:rsid w:val="000115D2"/>
    <w:rsid w:val="0001165C"/>
    <w:rsid w:val="00011B59"/>
    <w:rsid w:val="00012041"/>
    <w:rsid w:val="00012298"/>
    <w:rsid w:val="00012F2C"/>
    <w:rsid w:val="000135E4"/>
    <w:rsid w:val="000138FB"/>
    <w:rsid w:val="000139DD"/>
    <w:rsid w:val="00013D2C"/>
    <w:rsid w:val="0001518D"/>
    <w:rsid w:val="00015190"/>
    <w:rsid w:val="00015AD8"/>
    <w:rsid w:val="00016748"/>
    <w:rsid w:val="000168DB"/>
    <w:rsid w:val="00016BE7"/>
    <w:rsid w:val="00016D57"/>
    <w:rsid w:val="00016FBB"/>
    <w:rsid w:val="00017151"/>
    <w:rsid w:val="000172D4"/>
    <w:rsid w:val="0001759E"/>
    <w:rsid w:val="000205AF"/>
    <w:rsid w:val="00020F54"/>
    <w:rsid w:val="000215B6"/>
    <w:rsid w:val="0002161B"/>
    <w:rsid w:val="000219E6"/>
    <w:rsid w:val="00021B77"/>
    <w:rsid w:val="00021C89"/>
    <w:rsid w:val="0002299A"/>
    <w:rsid w:val="00022B27"/>
    <w:rsid w:val="00022E06"/>
    <w:rsid w:val="0002306F"/>
    <w:rsid w:val="000230D1"/>
    <w:rsid w:val="000233D2"/>
    <w:rsid w:val="00023437"/>
    <w:rsid w:val="00023460"/>
    <w:rsid w:val="00023994"/>
    <w:rsid w:val="00023A10"/>
    <w:rsid w:val="00024100"/>
    <w:rsid w:val="000242FC"/>
    <w:rsid w:val="000244AA"/>
    <w:rsid w:val="00024827"/>
    <w:rsid w:val="00024A6D"/>
    <w:rsid w:val="00024C3F"/>
    <w:rsid w:val="00024E68"/>
    <w:rsid w:val="00025245"/>
    <w:rsid w:val="000252FF"/>
    <w:rsid w:val="00025365"/>
    <w:rsid w:val="0002543D"/>
    <w:rsid w:val="000254B3"/>
    <w:rsid w:val="000258CE"/>
    <w:rsid w:val="00025B2F"/>
    <w:rsid w:val="000266AE"/>
    <w:rsid w:val="00026E46"/>
    <w:rsid w:val="00027B67"/>
    <w:rsid w:val="00027E9F"/>
    <w:rsid w:val="00030036"/>
    <w:rsid w:val="000303CC"/>
    <w:rsid w:val="00030955"/>
    <w:rsid w:val="00030977"/>
    <w:rsid w:val="00030B2E"/>
    <w:rsid w:val="00030F82"/>
    <w:rsid w:val="000316DC"/>
    <w:rsid w:val="00031771"/>
    <w:rsid w:val="00031972"/>
    <w:rsid w:val="00031AA1"/>
    <w:rsid w:val="00032135"/>
    <w:rsid w:val="00032189"/>
    <w:rsid w:val="000323E1"/>
    <w:rsid w:val="00032591"/>
    <w:rsid w:val="00032723"/>
    <w:rsid w:val="00032A28"/>
    <w:rsid w:val="00032E88"/>
    <w:rsid w:val="00032EAE"/>
    <w:rsid w:val="0003330D"/>
    <w:rsid w:val="000334E5"/>
    <w:rsid w:val="000336D1"/>
    <w:rsid w:val="000338E7"/>
    <w:rsid w:val="00033DF1"/>
    <w:rsid w:val="00034033"/>
    <w:rsid w:val="00034308"/>
    <w:rsid w:val="0003437A"/>
    <w:rsid w:val="0003479B"/>
    <w:rsid w:val="00034AD4"/>
    <w:rsid w:val="00034B88"/>
    <w:rsid w:val="00034C27"/>
    <w:rsid w:val="00034D68"/>
    <w:rsid w:val="000352C6"/>
    <w:rsid w:val="000352F0"/>
    <w:rsid w:val="00035426"/>
    <w:rsid w:val="0003559C"/>
    <w:rsid w:val="00035C35"/>
    <w:rsid w:val="00035FDC"/>
    <w:rsid w:val="00036BE4"/>
    <w:rsid w:val="00036CBF"/>
    <w:rsid w:val="00036F41"/>
    <w:rsid w:val="0003748F"/>
    <w:rsid w:val="000374E4"/>
    <w:rsid w:val="00037785"/>
    <w:rsid w:val="000377A0"/>
    <w:rsid w:val="00037AA5"/>
    <w:rsid w:val="00037AE5"/>
    <w:rsid w:val="00037BAC"/>
    <w:rsid w:val="00037C19"/>
    <w:rsid w:val="00037DE8"/>
    <w:rsid w:val="00040903"/>
    <w:rsid w:val="00040D7E"/>
    <w:rsid w:val="00040E9D"/>
    <w:rsid w:val="00041758"/>
    <w:rsid w:val="0004189E"/>
    <w:rsid w:val="00041981"/>
    <w:rsid w:val="00041C82"/>
    <w:rsid w:val="00041FE9"/>
    <w:rsid w:val="00042CFA"/>
    <w:rsid w:val="00043A4D"/>
    <w:rsid w:val="000440B8"/>
    <w:rsid w:val="000444DF"/>
    <w:rsid w:val="000447C9"/>
    <w:rsid w:val="00044A3B"/>
    <w:rsid w:val="00044C08"/>
    <w:rsid w:val="00044F7A"/>
    <w:rsid w:val="0004596D"/>
    <w:rsid w:val="00045D87"/>
    <w:rsid w:val="00045E99"/>
    <w:rsid w:val="000464BD"/>
    <w:rsid w:val="000467F0"/>
    <w:rsid w:val="00046BE2"/>
    <w:rsid w:val="00046CED"/>
    <w:rsid w:val="00046FBC"/>
    <w:rsid w:val="000477A1"/>
    <w:rsid w:val="000504E8"/>
    <w:rsid w:val="00050882"/>
    <w:rsid w:val="0005092C"/>
    <w:rsid w:val="00050A32"/>
    <w:rsid w:val="00051629"/>
    <w:rsid w:val="00051DA9"/>
    <w:rsid w:val="00051EA3"/>
    <w:rsid w:val="00052179"/>
    <w:rsid w:val="00052B6C"/>
    <w:rsid w:val="00052D8D"/>
    <w:rsid w:val="0005313D"/>
    <w:rsid w:val="000533D0"/>
    <w:rsid w:val="00053571"/>
    <w:rsid w:val="000535CA"/>
    <w:rsid w:val="0005364D"/>
    <w:rsid w:val="00053C3F"/>
    <w:rsid w:val="00053E4A"/>
    <w:rsid w:val="00053E52"/>
    <w:rsid w:val="0005499A"/>
    <w:rsid w:val="00055AA3"/>
    <w:rsid w:val="000563CC"/>
    <w:rsid w:val="00056EA9"/>
    <w:rsid w:val="00056F86"/>
    <w:rsid w:val="00056F8D"/>
    <w:rsid w:val="00057677"/>
    <w:rsid w:val="00057C8D"/>
    <w:rsid w:val="00057E27"/>
    <w:rsid w:val="00060604"/>
    <w:rsid w:val="000606C2"/>
    <w:rsid w:val="00061102"/>
    <w:rsid w:val="00061307"/>
    <w:rsid w:val="000621A1"/>
    <w:rsid w:val="000626FE"/>
    <w:rsid w:val="000630F4"/>
    <w:rsid w:val="00063983"/>
    <w:rsid w:val="00063F58"/>
    <w:rsid w:val="00064336"/>
    <w:rsid w:val="0006481B"/>
    <w:rsid w:val="00064A56"/>
    <w:rsid w:val="00064DB3"/>
    <w:rsid w:val="00064F1E"/>
    <w:rsid w:val="00065435"/>
    <w:rsid w:val="0006575E"/>
    <w:rsid w:val="000661F3"/>
    <w:rsid w:val="00066A4B"/>
    <w:rsid w:val="00066A55"/>
    <w:rsid w:val="00067B5B"/>
    <w:rsid w:val="00067B61"/>
    <w:rsid w:val="00070651"/>
    <w:rsid w:val="00070712"/>
    <w:rsid w:val="000709C8"/>
    <w:rsid w:val="00070EBB"/>
    <w:rsid w:val="000710E0"/>
    <w:rsid w:val="000711E4"/>
    <w:rsid w:val="000713D0"/>
    <w:rsid w:val="000713EA"/>
    <w:rsid w:val="0007171C"/>
    <w:rsid w:val="00071761"/>
    <w:rsid w:val="000721E7"/>
    <w:rsid w:val="0007233D"/>
    <w:rsid w:val="00072E65"/>
    <w:rsid w:val="0007311D"/>
    <w:rsid w:val="00073388"/>
    <w:rsid w:val="000734EF"/>
    <w:rsid w:val="0007362E"/>
    <w:rsid w:val="000736B0"/>
    <w:rsid w:val="0007459F"/>
    <w:rsid w:val="000747A8"/>
    <w:rsid w:val="000748D7"/>
    <w:rsid w:val="00074A93"/>
    <w:rsid w:val="0007514A"/>
    <w:rsid w:val="000751C8"/>
    <w:rsid w:val="000751EC"/>
    <w:rsid w:val="00075363"/>
    <w:rsid w:val="00075403"/>
    <w:rsid w:val="00075662"/>
    <w:rsid w:val="00075E7C"/>
    <w:rsid w:val="00075EC4"/>
    <w:rsid w:val="00076523"/>
    <w:rsid w:val="0007662C"/>
    <w:rsid w:val="000768AB"/>
    <w:rsid w:val="00076C1A"/>
    <w:rsid w:val="000772EC"/>
    <w:rsid w:val="00077E2C"/>
    <w:rsid w:val="0008011E"/>
    <w:rsid w:val="000805F4"/>
    <w:rsid w:val="000806A8"/>
    <w:rsid w:val="000807DF"/>
    <w:rsid w:val="00080867"/>
    <w:rsid w:val="00080CBE"/>
    <w:rsid w:val="00080EF8"/>
    <w:rsid w:val="00081015"/>
    <w:rsid w:val="00081143"/>
    <w:rsid w:val="000811EC"/>
    <w:rsid w:val="000813CB"/>
    <w:rsid w:val="00081490"/>
    <w:rsid w:val="000817F5"/>
    <w:rsid w:val="00081A95"/>
    <w:rsid w:val="0008242F"/>
    <w:rsid w:val="00082564"/>
    <w:rsid w:val="000826A6"/>
    <w:rsid w:val="00082929"/>
    <w:rsid w:val="00083619"/>
    <w:rsid w:val="000836F9"/>
    <w:rsid w:val="000837D2"/>
    <w:rsid w:val="000838A4"/>
    <w:rsid w:val="00083A8F"/>
    <w:rsid w:val="00084406"/>
    <w:rsid w:val="00084619"/>
    <w:rsid w:val="00084779"/>
    <w:rsid w:val="000847DD"/>
    <w:rsid w:val="000848C8"/>
    <w:rsid w:val="00084CA2"/>
    <w:rsid w:val="00084DD2"/>
    <w:rsid w:val="00085EB2"/>
    <w:rsid w:val="00085F52"/>
    <w:rsid w:val="000860E4"/>
    <w:rsid w:val="000860F7"/>
    <w:rsid w:val="00086231"/>
    <w:rsid w:val="00086345"/>
    <w:rsid w:val="000867A7"/>
    <w:rsid w:val="00086CE5"/>
    <w:rsid w:val="00086DD1"/>
    <w:rsid w:val="0008713A"/>
    <w:rsid w:val="0008791E"/>
    <w:rsid w:val="00087D59"/>
    <w:rsid w:val="00090006"/>
    <w:rsid w:val="000913EE"/>
    <w:rsid w:val="00091849"/>
    <w:rsid w:val="00092741"/>
    <w:rsid w:val="000929AA"/>
    <w:rsid w:val="00092AAE"/>
    <w:rsid w:val="00092C49"/>
    <w:rsid w:val="00093927"/>
    <w:rsid w:val="000945E8"/>
    <w:rsid w:val="00095DD0"/>
    <w:rsid w:val="00096D39"/>
    <w:rsid w:val="00096ED1"/>
    <w:rsid w:val="0009741C"/>
    <w:rsid w:val="00097C1D"/>
    <w:rsid w:val="00097E01"/>
    <w:rsid w:val="00097E34"/>
    <w:rsid w:val="000A0708"/>
    <w:rsid w:val="000A0B57"/>
    <w:rsid w:val="000A10A4"/>
    <w:rsid w:val="000A1A3A"/>
    <w:rsid w:val="000A1B60"/>
    <w:rsid w:val="000A1B85"/>
    <w:rsid w:val="000A1EE9"/>
    <w:rsid w:val="000A215B"/>
    <w:rsid w:val="000A2C40"/>
    <w:rsid w:val="000A2DA8"/>
    <w:rsid w:val="000A33EF"/>
    <w:rsid w:val="000A4236"/>
    <w:rsid w:val="000A43B3"/>
    <w:rsid w:val="000A483C"/>
    <w:rsid w:val="000A54DB"/>
    <w:rsid w:val="000A563D"/>
    <w:rsid w:val="000A57DC"/>
    <w:rsid w:val="000A5F0A"/>
    <w:rsid w:val="000A6AD3"/>
    <w:rsid w:val="000A6C5A"/>
    <w:rsid w:val="000A70B2"/>
    <w:rsid w:val="000A7748"/>
    <w:rsid w:val="000A7A00"/>
    <w:rsid w:val="000A7B14"/>
    <w:rsid w:val="000A7F3B"/>
    <w:rsid w:val="000B0340"/>
    <w:rsid w:val="000B0E9F"/>
    <w:rsid w:val="000B127D"/>
    <w:rsid w:val="000B17E1"/>
    <w:rsid w:val="000B1FB3"/>
    <w:rsid w:val="000B21EC"/>
    <w:rsid w:val="000B23BF"/>
    <w:rsid w:val="000B272F"/>
    <w:rsid w:val="000B2AD6"/>
    <w:rsid w:val="000B2E28"/>
    <w:rsid w:val="000B2F60"/>
    <w:rsid w:val="000B322C"/>
    <w:rsid w:val="000B3318"/>
    <w:rsid w:val="000B3330"/>
    <w:rsid w:val="000B3542"/>
    <w:rsid w:val="000B374B"/>
    <w:rsid w:val="000B3991"/>
    <w:rsid w:val="000B41ED"/>
    <w:rsid w:val="000B437F"/>
    <w:rsid w:val="000B4531"/>
    <w:rsid w:val="000B4901"/>
    <w:rsid w:val="000B53BD"/>
    <w:rsid w:val="000B5BD5"/>
    <w:rsid w:val="000B60A7"/>
    <w:rsid w:val="000B61AD"/>
    <w:rsid w:val="000B7516"/>
    <w:rsid w:val="000B7DDD"/>
    <w:rsid w:val="000B7F10"/>
    <w:rsid w:val="000C0415"/>
    <w:rsid w:val="000C053E"/>
    <w:rsid w:val="000C09EA"/>
    <w:rsid w:val="000C0A3D"/>
    <w:rsid w:val="000C118C"/>
    <w:rsid w:val="000C1261"/>
    <w:rsid w:val="000C1447"/>
    <w:rsid w:val="000C1656"/>
    <w:rsid w:val="000C1668"/>
    <w:rsid w:val="000C22B5"/>
    <w:rsid w:val="000C2604"/>
    <w:rsid w:val="000C27B1"/>
    <w:rsid w:val="000C2D6F"/>
    <w:rsid w:val="000C39C5"/>
    <w:rsid w:val="000C4660"/>
    <w:rsid w:val="000C466F"/>
    <w:rsid w:val="000C46FF"/>
    <w:rsid w:val="000C4B99"/>
    <w:rsid w:val="000C4B9D"/>
    <w:rsid w:val="000C5E7B"/>
    <w:rsid w:val="000C6754"/>
    <w:rsid w:val="000C678C"/>
    <w:rsid w:val="000C6C80"/>
    <w:rsid w:val="000C6CC2"/>
    <w:rsid w:val="000C6E6E"/>
    <w:rsid w:val="000C715C"/>
    <w:rsid w:val="000C731C"/>
    <w:rsid w:val="000C7426"/>
    <w:rsid w:val="000C7E3A"/>
    <w:rsid w:val="000D008E"/>
    <w:rsid w:val="000D06EF"/>
    <w:rsid w:val="000D1A4B"/>
    <w:rsid w:val="000D1B3C"/>
    <w:rsid w:val="000D1BFF"/>
    <w:rsid w:val="000D20CF"/>
    <w:rsid w:val="000D2ADB"/>
    <w:rsid w:val="000D2CE0"/>
    <w:rsid w:val="000D39B0"/>
    <w:rsid w:val="000D419F"/>
    <w:rsid w:val="000D41AC"/>
    <w:rsid w:val="000D4E21"/>
    <w:rsid w:val="000D4E9D"/>
    <w:rsid w:val="000D5093"/>
    <w:rsid w:val="000D5734"/>
    <w:rsid w:val="000D5BB6"/>
    <w:rsid w:val="000D6549"/>
    <w:rsid w:val="000D69F2"/>
    <w:rsid w:val="000D6EE6"/>
    <w:rsid w:val="000D7401"/>
    <w:rsid w:val="000D7906"/>
    <w:rsid w:val="000D7B12"/>
    <w:rsid w:val="000D7D32"/>
    <w:rsid w:val="000E04B5"/>
    <w:rsid w:val="000E09D9"/>
    <w:rsid w:val="000E0B2C"/>
    <w:rsid w:val="000E0CA9"/>
    <w:rsid w:val="000E1904"/>
    <w:rsid w:val="000E1AB5"/>
    <w:rsid w:val="000E1D02"/>
    <w:rsid w:val="000E1DFC"/>
    <w:rsid w:val="000E28FA"/>
    <w:rsid w:val="000E2DCC"/>
    <w:rsid w:val="000E4688"/>
    <w:rsid w:val="000E4A11"/>
    <w:rsid w:val="000E4A7D"/>
    <w:rsid w:val="000E5300"/>
    <w:rsid w:val="000E536F"/>
    <w:rsid w:val="000E590B"/>
    <w:rsid w:val="000E598D"/>
    <w:rsid w:val="000E614D"/>
    <w:rsid w:val="000E61D6"/>
    <w:rsid w:val="000E6440"/>
    <w:rsid w:val="000E66A8"/>
    <w:rsid w:val="000E6890"/>
    <w:rsid w:val="000E6A45"/>
    <w:rsid w:val="000E742F"/>
    <w:rsid w:val="000E759D"/>
    <w:rsid w:val="000E75CB"/>
    <w:rsid w:val="000E7607"/>
    <w:rsid w:val="000E7655"/>
    <w:rsid w:val="000E7881"/>
    <w:rsid w:val="000E7BDB"/>
    <w:rsid w:val="000E7C5D"/>
    <w:rsid w:val="000E7CCC"/>
    <w:rsid w:val="000E7EFF"/>
    <w:rsid w:val="000E7F47"/>
    <w:rsid w:val="000F00B2"/>
    <w:rsid w:val="000F0566"/>
    <w:rsid w:val="000F0B6B"/>
    <w:rsid w:val="000F0B97"/>
    <w:rsid w:val="000F0BC4"/>
    <w:rsid w:val="000F147B"/>
    <w:rsid w:val="000F180D"/>
    <w:rsid w:val="000F181D"/>
    <w:rsid w:val="000F19E1"/>
    <w:rsid w:val="000F1DF9"/>
    <w:rsid w:val="000F20D7"/>
    <w:rsid w:val="000F23C4"/>
    <w:rsid w:val="000F2600"/>
    <w:rsid w:val="000F28E4"/>
    <w:rsid w:val="000F2D3A"/>
    <w:rsid w:val="000F3772"/>
    <w:rsid w:val="000F3845"/>
    <w:rsid w:val="000F3AC4"/>
    <w:rsid w:val="000F45DC"/>
    <w:rsid w:val="000F46DC"/>
    <w:rsid w:val="000F4CB7"/>
    <w:rsid w:val="000F4FD2"/>
    <w:rsid w:val="000F5621"/>
    <w:rsid w:val="000F5B66"/>
    <w:rsid w:val="000F5B86"/>
    <w:rsid w:val="000F6562"/>
    <w:rsid w:val="000F674A"/>
    <w:rsid w:val="000F6CFB"/>
    <w:rsid w:val="000F727B"/>
    <w:rsid w:val="000F7430"/>
    <w:rsid w:val="000F793C"/>
    <w:rsid w:val="000F7CA4"/>
    <w:rsid w:val="000F7D14"/>
    <w:rsid w:val="001000E7"/>
    <w:rsid w:val="00100535"/>
    <w:rsid w:val="001005EE"/>
    <w:rsid w:val="00100A41"/>
    <w:rsid w:val="00100F73"/>
    <w:rsid w:val="001015C2"/>
    <w:rsid w:val="001016B3"/>
    <w:rsid w:val="00101AAB"/>
    <w:rsid w:val="00101AFE"/>
    <w:rsid w:val="00101F59"/>
    <w:rsid w:val="00102BA3"/>
    <w:rsid w:val="00102D61"/>
    <w:rsid w:val="00102DCF"/>
    <w:rsid w:val="001034DF"/>
    <w:rsid w:val="00103973"/>
    <w:rsid w:val="00103BC9"/>
    <w:rsid w:val="00104000"/>
    <w:rsid w:val="001041C9"/>
    <w:rsid w:val="00104215"/>
    <w:rsid w:val="001043E9"/>
    <w:rsid w:val="00105E10"/>
    <w:rsid w:val="001063D8"/>
    <w:rsid w:val="00106667"/>
    <w:rsid w:val="00106862"/>
    <w:rsid w:val="00106967"/>
    <w:rsid w:val="00106B28"/>
    <w:rsid w:val="00107443"/>
    <w:rsid w:val="0010776F"/>
    <w:rsid w:val="00107AEE"/>
    <w:rsid w:val="00107F96"/>
    <w:rsid w:val="00110019"/>
    <w:rsid w:val="00110359"/>
    <w:rsid w:val="001103AA"/>
    <w:rsid w:val="0011097C"/>
    <w:rsid w:val="00110BFF"/>
    <w:rsid w:val="00110C3B"/>
    <w:rsid w:val="001116CE"/>
    <w:rsid w:val="00111AE6"/>
    <w:rsid w:val="0011216C"/>
    <w:rsid w:val="0011227C"/>
    <w:rsid w:val="0011248E"/>
    <w:rsid w:val="00112864"/>
    <w:rsid w:val="00112B83"/>
    <w:rsid w:val="001137E7"/>
    <w:rsid w:val="001138FA"/>
    <w:rsid w:val="00113B9B"/>
    <w:rsid w:val="00113EE7"/>
    <w:rsid w:val="00113EFF"/>
    <w:rsid w:val="00114443"/>
    <w:rsid w:val="00114534"/>
    <w:rsid w:val="00114545"/>
    <w:rsid w:val="001150FD"/>
    <w:rsid w:val="00115153"/>
    <w:rsid w:val="001153A4"/>
    <w:rsid w:val="0011600B"/>
    <w:rsid w:val="00116346"/>
    <w:rsid w:val="0011656B"/>
    <w:rsid w:val="00116C64"/>
    <w:rsid w:val="00116D0F"/>
    <w:rsid w:val="0011728E"/>
    <w:rsid w:val="00117357"/>
    <w:rsid w:val="00117828"/>
    <w:rsid w:val="00117E94"/>
    <w:rsid w:val="00117F21"/>
    <w:rsid w:val="00120016"/>
    <w:rsid w:val="00120417"/>
    <w:rsid w:val="00120E5D"/>
    <w:rsid w:val="00120EBB"/>
    <w:rsid w:val="0012120D"/>
    <w:rsid w:val="00121ABB"/>
    <w:rsid w:val="00121B11"/>
    <w:rsid w:val="00121CDB"/>
    <w:rsid w:val="00121D86"/>
    <w:rsid w:val="00122296"/>
    <w:rsid w:val="001227E6"/>
    <w:rsid w:val="00122CAD"/>
    <w:rsid w:val="0012301D"/>
    <w:rsid w:val="001233E9"/>
    <w:rsid w:val="00123944"/>
    <w:rsid w:val="00123EC2"/>
    <w:rsid w:val="00124073"/>
    <w:rsid w:val="00124163"/>
    <w:rsid w:val="00124455"/>
    <w:rsid w:val="001248CD"/>
    <w:rsid w:val="00125115"/>
    <w:rsid w:val="001251BB"/>
    <w:rsid w:val="00125698"/>
    <w:rsid w:val="001264B9"/>
    <w:rsid w:val="00126725"/>
    <w:rsid w:val="001268E0"/>
    <w:rsid w:val="00126C4F"/>
    <w:rsid w:val="00126CD4"/>
    <w:rsid w:val="00126FAB"/>
    <w:rsid w:val="00127078"/>
    <w:rsid w:val="0012708A"/>
    <w:rsid w:val="00127335"/>
    <w:rsid w:val="001274E9"/>
    <w:rsid w:val="0012767E"/>
    <w:rsid w:val="0013064A"/>
    <w:rsid w:val="001308B6"/>
    <w:rsid w:val="001313B1"/>
    <w:rsid w:val="00131941"/>
    <w:rsid w:val="00131D6C"/>
    <w:rsid w:val="0013209D"/>
    <w:rsid w:val="001320D2"/>
    <w:rsid w:val="0013279C"/>
    <w:rsid w:val="00132BA5"/>
    <w:rsid w:val="00132CC9"/>
    <w:rsid w:val="0013328A"/>
    <w:rsid w:val="00133536"/>
    <w:rsid w:val="00133901"/>
    <w:rsid w:val="00133CB8"/>
    <w:rsid w:val="00133CFD"/>
    <w:rsid w:val="0013419F"/>
    <w:rsid w:val="00134225"/>
    <w:rsid w:val="00134587"/>
    <w:rsid w:val="001346DE"/>
    <w:rsid w:val="00134B8A"/>
    <w:rsid w:val="00134CFE"/>
    <w:rsid w:val="00134D65"/>
    <w:rsid w:val="00134DF0"/>
    <w:rsid w:val="00135096"/>
    <w:rsid w:val="001354AE"/>
    <w:rsid w:val="00135537"/>
    <w:rsid w:val="001355FC"/>
    <w:rsid w:val="001359EF"/>
    <w:rsid w:val="00135A74"/>
    <w:rsid w:val="00135E53"/>
    <w:rsid w:val="0013618E"/>
    <w:rsid w:val="001362B3"/>
    <w:rsid w:val="001368E7"/>
    <w:rsid w:val="00136F29"/>
    <w:rsid w:val="00137046"/>
    <w:rsid w:val="00137342"/>
    <w:rsid w:val="00137EB1"/>
    <w:rsid w:val="00140051"/>
    <w:rsid w:val="0014011B"/>
    <w:rsid w:val="001402C9"/>
    <w:rsid w:val="001402CB"/>
    <w:rsid w:val="00140F52"/>
    <w:rsid w:val="00140F95"/>
    <w:rsid w:val="0014156A"/>
    <w:rsid w:val="00141DDD"/>
    <w:rsid w:val="0014227E"/>
    <w:rsid w:val="001423BD"/>
    <w:rsid w:val="00142D7B"/>
    <w:rsid w:val="0014376B"/>
    <w:rsid w:val="00143C7F"/>
    <w:rsid w:val="001446FA"/>
    <w:rsid w:val="0014481E"/>
    <w:rsid w:val="00144953"/>
    <w:rsid w:val="00144A58"/>
    <w:rsid w:val="00144F99"/>
    <w:rsid w:val="00145312"/>
    <w:rsid w:val="001453C6"/>
    <w:rsid w:val="0014545D"/>
    <w:rsid w:val="001456FD"/>
    <w:rsid w:val="001457C3"/>
    <w:rsid w:val="001458D9"/>
    <w:rsid w:val="001458EF"/>
    <w:rsid w:val="00145B89"/>
    <w:rsid w:val="00145D3C"/>
    <w:rsid w:val="00146652"/>
    <w:rsid w:val="00147059"/>
    <w:rsid w:val="001472A4"/>
    <w:rsid w:val="00147483"/>
    <w:rsid w:val="001474A2"/>
    <w:rsid w:val="00147645"/>
    <w:rsid w:val="00147BDD"/>
    <w:rsid w:val="00147C40"/>
    <w:rsid w:val="00147FB8"/>
    <w:rsid w:val="00150333"/>
    <w:rsid w:val="00150411"/>
    <w:rsid w:val="0015082E"/>
    <w:rsid w:val="00150F82"/>
    <w:rsid w:val="00151216"/>
    <w:rsid w:val="00151B38"/>
    <w:rsid w:val="00151C55"/>
    <w:rsid w:val="0015210B"/>
    <w:rsid w:val="001522F8"/>
    <w:rsid w:val="0015251F"/>
    <w:rsid w:val="00152601"/>
    <w:rsid w:val="00152D22"/>
    <w:rsid w:val="00152F1D"/>
    <w:rsid w:val="00153127"/>
    <w:rsid w:val="00153FDD"/>
    <w:rsid w:val="00154045"/>
    <w:rsid w:val="00154304"/>
    <w:rsid w:val="001546FC"/>
    <w:rsid w:val="0015509E"/>
    <w:rsid w:val="001550AE"/>
    <w:rsid w:val="0015546E"/>
    <w:rsid w:val="00155C8F"/>
    <w:rsid w:val="00156009"/>
    <w:rsid w:val="0015709B"/>
    <w:rsid w:val="00157CE1"/>
    <w:rsid w:val="00160623"/>
    <w:rsid w:val="001606E0"/>
    <w:rsid w:val="001608C5"/>
    <w:rsid w:val="00160A10"/>
    <w:rsid w:val="00161049"/>
    <w:rsid w:val="001610E5"/>
    <w:rsid w:val="00161562"/>
    <w:rsid w:val="00161A0F"/>
    <w:rsid w:val="00161EB5"/>
    <w:rsid w:val="00161FE9"/>
    <w:rsid w:val="001621C4"/>
    <w:rsid w:val="00162234"/>
    <w:rsid w:val="001622C0"/>
    <w:rsid w:val="00162309"/>
    <w:rsid w:val="00162342"/>
    <w:rsid w:val="001634E0"/>
    <w:rsid w:val="00163958"/>
    <w:rsid w:val="0016409B"/>
    <w:rsid w:val="00164F9B"/>
    <w:rsid w:val="0016512F"/>
    <w:rsid w:val="0016517E"/>
    <w:rsid w:val="0016562E"/>
    <w:rsid w:val="00165BA4"/>
    <w:rsid w:val="001661A5"/>
    <w:rsid w:val="001661BD"/>
    <w:rsid w:val="0016647F"/>
    <w:rsid w:val="00166850"/>
    <w:rsid w:val="00166D50"/>
    <w:rsid w:val="00167229"/>
    <w:rsid w:val="001673D8"/>
    <w:rsid w:val="001675ED"/>
    <w:rsid w:val="00167865"/>
    <w:rsid w:val="00167AD0"/>
    <w:rsid w:val="00167BA5"/>
    <w:rsid w:val="001700C7"/>
    <w:rsid w:val="00170570"/>
    <w:rsid w:val="00170649"/>
    <w:rsid w:val="001706A0"/>
    <w:rsid w:val="001707F7"/>
    <w:rsid w:val="00170D2D"/>
    <w:rsid w:val="00170DD9"/>
    <w:rsid w:val="00170E90"/>
    <w:rsid w:val="0017138C"/>
    <w:rsid w:val="001714F3"/>
    <w:rsid w:val="0017208D"/>
    <w:rsid w:val="00172348"/>
    <w:rsid w:val="001726DD"/>
    <w:rsid w:val="00172C64"/>
    <w:rsid w:val="0017352B"/>
    <w:rsid w:val="00173C6C"/>
    <w:rsid w:val="00173D7F"/>
    <w:rsid w:val="00174104"/>
    <w:rsid w:val="00174B44"/>
    <w:rsid w:val="00174C71"/>
    <w:rsid w:val="00174E93"/>
    <w:rsid w:val="00175C85"/>
    <w:rsid w:val="001762D7"/>
    <w:rsid w:val="0017683D"/>
    <w:rsid w:val="00176B8B"/>
    <w:rsid w:val="00177611"/>
    <w:rsid w:val="00177900"/>
    <w:rsid w:val="00180054"/>
    <w:rsid w:val="00180874"/>
    <w:rsid w:val="00180E43"/>
    <w:rsid w:val="00181000"/>
    <w:rsid w:val="00181A2D"/>
    <w:rsid w:val="00181CAC"/>
    <w:rsid w:val="00182925"/>
    <w:rsid w:val="00182D83"/>
    <w:rsid w:val="00183071"/>
    <w:rsid w:val="0018318B"/>
    <w:rsid w:val="001836C3"/>
    <w:rsid w:val="0018374A"/>
    <w:rsid w:val="001837B0"/>
    <w:rsid w:val="001838E0"/>
    <w:rsid w:val="0018396C"/>
    <w:rsid w:val="00183FAE"/>
    <w:rsid w:val="00184076"/>
    <w:rsid w:val="001844F2"/>
    <w:rsid w:val="00184557"/>
    <w:rsid w:val="00184559"/>
    <w:rsid w:val="00184906"/>
    <w:rsid w:val="001849AE"/>
    <w:rsid w:val="00184B64"/>
    <w:rsid w:val="001850CB"/>
    <w:rsid w:val="001851D6"/>
    <w:rsid w:val="00185584"/>
    <w:rsid w:val="001855A5"/>
    <w:rsid w:val="00185978"/>
    <w:rsid w:val="00185C8D"/>
    <w:rsid w:val="00185CC0"/>
    <w:rsid w:val="00186144"/>
    <w:rsid w:val="0018655F"/>
    <w:rsid w:val="001875C7"/>
    <w:rsid w:val="001876B8"/>
    <w:rsid w:val="00187926"/>
    <w:rsid w:val="0019063D"/>
    <w:rsid w:val="001906A1"/>
    <w:rsid w:val="001907B1"/>
    <w:rsid w:val="00190873"/>
    <w:rsid w:val="0019097F"/>
    <w:rsid w:val="00190989"/>
    <w:rsid w:val="001911A5"/>
    <w:rsid w:val="00191427"/>
    <w:rsid w:val="00191619"/>
    <w:rsid w:val="0019182F"/>
    <w:rsid w:val="00191AFC"/>
    <w:rsid w:val="00192133"/>
    <w:rsid w:val="001927E1"/>
    <w:rsid w:val="00193222"/>
    <w:rsid w:val="00193282"/>
    <w:rsid w:val="0019429E"/>
    <w:rsid w:val="00194413"/>
    <w:rsid w:val="0019459E"/>
    <w:rsid w:val="001945A5"/>
    <w:rsid w:val="00194937"/>
    <w:rsid w:val="00194D1D"/>
    <w:rsid w:val="00194F3E"/>
    <w:rsid w:val="0019595C"/>
    <w:rsid w:val="00195BE2"/>
    <w:rsid w:val="001961E3"/>
    <w:rsid w:val="00196312"/>
    <w:rsid w:val="00196485"/>
    <w:rsid w:val="001964C4"/>
    <w:rsid w:val="0019758F"/>
    <w:rsid w:val="00197784"/>
    <w:rsid w:val="00197823"/>
    <w:rsid w:val="00197A1C"/>
    <w:rsid w:val="00197E3F"/>
    <w:rsid w:val="001A023B"/>
    <w:rsid w:val="001A0665"/>
    <w:rsid w:val="001A0D2C"/>
    <w:rsid w:val="001A1985"/>
    <w:rsid w:val="001A2258"/>
    <w:rsid w:val="001A317B"/>
    <w:rsid w:val="001A39D3"/>
    <w:rsid w:val="001A3A81"/>
    <w:rsid w:val="001A3CB1"/>
    <w:rsid w:val="001A3E45"/>
    <w:rsid w:val="001A489A"/>
    <w:rsid w:val="001A4B21"/>
    <w:rsid w:val="001A5186"/>
    <w:rsid w:val="001A55D6"/>
    <w:rsid w:val="001A5B38"/>
    <w:rsid w:val="001A5B75"/>
    <w:rsid w:val="001A5C9B"/>
    <w:rsid w:val="001A621B"/>
    <w:rsid w:val="001A6BA7"/>
    <w:rsid w:val="001A6F04"/>
    <w:rsid w:val="001A743B"/>
    <w:rsid w:val="001A7523"/>
    <w:rsid w:val="001A75B9"/>
    <w:rsid w:val="001B0190"/>
    <w:rsid w:val="001B033F"/>
    <w:rsid w:val="001B047B"/>
    <w:rsid w:val="001B051E"/>
    <w:rsid w:val="001B05FD"/>
    <w:rsid w:val="001B0763"/>
    <w:rsid w:val="001B07E5"/>
    <w:rsid w:val="001B0AA9"/>
    <w:rsid w:val="001B1191"/>
    <w:rsid w:val="001B1446"/>
    <w:rsid w:val="001B1783"/>
    <w:rsid w:val="001B1A95"/>
    <w:rsid w:val="001B1E49"/>
    <w:rsid w:val="001B1EDD"/>
    <w:rsid w:val="001B2C57"/>
    <w:rsid w:val="001B3EED"/>
    <w:rsid w:val="001B450B"/>
    <w:rsid w:val="001B4B58"/>
    <w:rsid w:val="001B4ECE"/>
    <w:rsid w:val="001B52D4"/>
    <w:rsid w:val="001B5765"/>
    <w:rsid w:val="001B5B41"/>
    <w:rsid w:val="001B5CFE"/>
    <w:rsid w:val="001B60AB"/>
    <w:rsid w:val="001B60D4"/>
    <w:rsid w:val="001B61E6"/>
    <w:rsid w:val="001B61EB"/>
    <w:rsid w:val="001B6505"/>
    <w:rsid w:val="001B6AA0"/>
    <w:rsid w:val="001B6B00"/>
    <w:rsid w:val="001B6CCE"/>
    <w:rsid w:val="001B7440"/>
    <w:rsid w:val="001B7895"/>
    <w:rsid w:val="001B796D"/>
    <w:rsid w:val="001B79E8"/>
    <w:rsid w:val="001B7FC7"/>
    <w:rsid w:val="001C03BC"/>
    <w:rsid w:val="001C082B"/>
    <w:rsid w:val="001C0B49"/>
    <w:rsid w:val="001C116B"/>
    <w:rsid w:val="001C1647"/>
    <w:rsid w:val="001C18DD"/>
    <w:rsid w:val="001C1E7B"/>
    <w:rsid w:val="001C287F"/>
    <w:rsid w:val="001C2CCB"/>
    <w:rsid w:val="001C2DA6"/>
    <w:rsid w:val="001C2E05"/>
    <w:rsid w:val="001C2FFD"/>
    <w:rsid w:val="001C33E7"/>
    <w:rsid w:val="001C3595"/>
    <w:rsid w:val="001C3797"/>
    <w:rsid w:val="001C3D48"/>
    <w:rsid w:val="001C3E2B"/>
    <w:rsid w:val="001C3EC5"/>
    <w:rsid w:val="001C443C"/>
    <w:rsid w:val="001C46F1"/>
    <w:rsid w:val="001C4E89"/>
    <w:rsid w:val="001C535E"/>
    <w:rsid w:val="001C56F3"/>
    <w:rsid w:val="001C5A7F"/>
    <w:rsid w:val="001C5F02"/>
    <w:rsid w:val="001C638D"/>
    <w:rsid w:val="001C65B9"/>
    <w:rsid w:val="001C65DA"/>
    <w:rsid w:val="001C66FD"/>
    <w:rsid w:val="001C6797"/>
    <w:rsid w:val="001C6AF1"/>
    <w:rsid w:val="001C7A3F"/>
    <w:rsid w:val="001C7CC6"/>
    <w:rsid w:val="001C7EFC"/>
    <w:rsid w:val="001D05D4"/>
    <w:rsid w:val="001D0658"/>
    <w:rsid w:val="001D0B44"/>
    <w:rsid w:val="001D0D0D"/>
    <w:rsid w:val="001D0F5B"/>
    <w:rsid w:val="001D10EB"/>
    <w:rsid w:val="001D13B9"/>
    <w:rsid w:val="001D182C"/>
    <w:rsid w:val="001D19FF"/>
    <w:rsid w:val="001D1E60"/>
    <w:rsid w:val="001D1E94"/>
    <w:rsid w:val="001D2093"/>
    <w:rsid w:val="001D2540"/>
    <w:rsid w:val="001D2580"/>
    <w:rsid w:val="001D26C5"/>
    <w:rsid w:val="001D286C"/>
    <w:rsid w:val="001D2A9E"/>
    <w:rsid w:val="001D30DD"/>
    <w:rsid w:val="001D39B6"/>
    <w:rsid w:val="001D3A34"/>
    <w:rsid w:val="001D3DC7"/>
    <w:rsid w:val="001D3ECB"/>
    <w:rsid w:val="001D4512"/>
    <w:rsid w:val="001D45D6"/>
    <w:rsid w:val="001D4B1F"/>
    <w:rsid w:val="001D4D8E"/>
    <w:rsid w:val="001D556B"/>
    <w:rsid w:val="001D5A48"/>
    <w:rsid w:val="001D5EED"/>
    <w:rsid w:val="001D64D5"/>
    <w:rsid w:val="001D65B8"/>
    <w:rsid w:val="001D65F9"/>
    <w:rsid w:val="001D6757"/>
    <w:rsid w:val="001D6B0B"/>
    <w:rsid w:val="001D6D83"/>
    <w:rsid w:val="001D7345"/>
    <w:rsid w:val="001D7923"/>
    <w:rsid w:val="001D7D5C"/>
    <w:rsid w:val="001D7DCF"/>
    <w:rsid w:val="001E0128"/>
    <w:rsid w:val="001E0395"/>
    <w:rsid w:val="001E0449"/>
    <w:rsid w:val="001E08A5"/>
    <w:rsid w:val="001E08D3"/>
    <w:rsid w:val="001E1A0A"/>
    <w:rsid w:val="001E1AF6"/>
    <w:rsid w:val="001E1D1D"/>
    <w:rsid w:val="001E20FC"/>
    <w:rsid w:val="001E21CE"/>
    <w:rsid w:val="001E27EA"/>
    <w:rsid w:val="001E3347"/>
    <w:rsid w:val="001E3937"/>
    <w:rsid w:val="001E3C83"/>
    <w:rsid w:val="001E3D02"/>
    <w:rsid w:val="001E40C4"/>
    <w:rsid w:val="001E450E"/>
    <w:rsid w:val="001E4FB1"/>
    <w:rsid w:val="001E5549"/>
    <w:rsid w:val="001E57DF"/>
    <w:rsid w:val="001E5D5A"/>
    <w:rsid w:val="001E64C8"/>
    <w:rsid w:val="001E6DCE"/>
    <w:rsid w:val="001E70A1"/>
    <w:rsid w:val="001E7280"/>
    <w:rsid w:val="001E7797"/>
    <w:rsid w:val="001E780D"/>
    <w:rsid w:val="001E7DF1"/>
    <w:rsid w:val="001F0006"/>
    <w:rsid w:val="001F0144"/>
    <w:rsid w:val="001F05B0"/>
    <w:rsid w:val="001F0B9B"/>
    <w:rsid w:val="001F129B"/>
    <w:rsid w:val="001F1649"/>
    <w:rsid w:val="001F232C"/>
    <w:rsid w:val="001F26BD"/>
    <w:rsid w:val="001F2AA8"/>
    <w:rsid w:val="001F3162"/>
    <w:rsid w:val="001F34C3"/>
    <w:rsid w:val="001F3507"/>
    <w:rsid w:val="001F3C40"/>
    <w:rsid w:val="001F437A"/>
    <w:rsid w:val="001F4593"/>
    <w:rsid w:val="001F460D"/>
    <w:rsid w:val="001F465D"/>
    <w:rsid w:val="001F473C"/>
    <w:rsid w:val="001F5F8C"/>
    <w:rsid w:val="001F5FE0"/>
    <w:rsid w:val="001F6603"/>
    <w:rsid w:val="001F6A7C"/>
    <w:rsid w:val="001F6AA0"/>
    <w:rsid w:val="001F6D3D"/>
    <w:rsid w:val="001F6D59"/>
    <w:rsid w:val="001F7987"/>
    <w:rsid w:val="001F7B3E"/>
    <w:rsid w:val="001F7CC9"/>
    <w:rsid w:val="001F7E0D"/>
    <w:rsid w:val="001F7E65"/>
    <w:rsid w:val="001F7F3C"/>
    <w:rsid w:val="00200378"/>
    <w:rsid w:val="00200C32"/>
    <w:rsid w:val="002016D1"/>
    <w:rsid w:val="00201995"/>
    <w:rsid w:val="00201C37"/>
    <w:rsid w:val="00201ED3"/>
    <w:rsid w:val="002020DE"/>
    <w:rsid w:val="0020225E"/>
    <w:rsid w:val="0020231D"/>
    <w:rsid w:val="002023B6"/>
    <w:rsid w:val="002024A1"/>
    <w:rsid w:val="00202B9D"/>
    <w:rsid w:val="00202C51"/>
    <w:rsid w:val="00202D25"/>
    <w:rsid w:val="00202E1C"/>
    <w:rsid w:val="00203276"/>
    <w:rsid w:val="00203916"/>
    <w:rsid w:val="00203C36"/>
    <w:rsid w:val="00204236"/>
    <w:rsid w:val="00205645"/>
    <w:rsid w:val="00205970"/>
    <w:rsid w:val="00205A63"/>
    <w:rsid w:val="00205CE6"/>
    <w:rsid w:val="00205D3E"/>
    <w:rsid w:val="00205E88"/>
    <w:rsid w:val="0020642A"/>
    <w:rsid w:val="002068A0"/>
    <w:rsid w:val="00206A72"/>
    <w:rsid w:val="002071D5"/>
    <w:rsid w:val="00207564"/>
    <w:rsid w:val="00207B22"/>
    <w:rsid w:val="00207B5F"/>
    <w:rsid w:val="0021009B"/>
    <w:rsid w:val="00210AC7"/>
    <w:rsid w:val="00210AD6"/>
    <w:rsid w:val="002111E5"/>
    <w:rsid w:val="002117C7"/>
    <w:rsid w:val="002117D4"/>
    <w:rsid w:val="00211B92"/>
    <w:rsid w:val="0021211D"/>
    <w:rsid w:val="002122EA"/>
    <w:rsid w:val="00212B88"/>
    <w:rsid w:val="00212D8E"/>
    <w:rsid w:val="00212E8E"/>
    <w:rsid w:val="00212EE6"/>
    <w:rsid w:val="00213082"/>
    <w:rsid w:val="00214082"/>
    <w:rsid w:val="00214293"/>
    <w:rsid w:val="00214587"/>
    <w:rsid w:val="00215974"/>
    <w:rsid w:val="00215CB6"/>
    <w:rsid w:val="00216E1F"/>
    <w:rsid w:val="00217806"/>
    <w:rsid w:val="002179CD"/>
    <w:rsid w:val="00217CD8"/>
    <w:rsid w:val="00217DA1"/>
    <w:rsid w:val="002215CF"/>
    <w:rsid w:val="0022204D"/>
    <w:rsid w:val="002220BC"/>
    <w:rsid w:val="002223AF"/>
    <w:rsid w:val="00222434"/>
    <w:rsid w:val="0022266A"/>
    <w:rsid w:val="00222918"/>
    <w:rsid w:val="00222A19"/>
    <w:rsid w:val="00222D49"/>
    <w:rsid w:val="00222E08"/>
    <w:rsid w:val="002230AC"/>
    <w:rsid w:val="00223169"/>
    <w:rsid w:val="0022318E"/>
    <w:rsid w:val="0022345F"/>
    <w:rsid w:val="0022398D"/>
    <w:rsid w:val="00223A5C"/>
    <w:rsid w:val="00223B18"/>
    <w:rsid w:val="00223F35"/>
    <w:rsid w:val="002242D2"/>
    <w:rsid w:val="0022430E"/>
    <w:rsid w:val="002245EF"/>
    <w:rsid w:val="00224773"/>
    <w:rsid w:val="0022481F"/>
    <w:rsid w:val="0022695F"/>
    <w:rsid w:val="00226BDB"/>
    <w:rsid w:val="002274FA"/>
    <w:rsid w:val="00227716"/>
    <w:rsid w:val="00227AF4"/>
    <w:rsid w:val="00227CC4"/>
    <w:rsid w:val="00227E53"/>
    <w:rsid w:val="00227FC0"/>
    <w:rsid w:val="002300B5"/>
    <w:rsid w:val="00231466"/>
    <w:rsid w:val="00231FC0"/>
    <w:rsid w:val="0023240F"/>
    <w:rsid w:val="00232418"/>
    <w:rsid w:val="00232432"/>
    <w:rsid w:val="00232443"/>
    <w:rsid w:val="00232F39"/>
    <w:rsid w:val="0023386F"/>
    <w:rsid w:val="00233961"/>
    <w:rsid w:val="00233A8B"/>
    <w:rsid w:val="00233C4D"/>
    <w:rsid w:val="002345EA"/>
    <w:rsid w:val="00234B94"/>
    <w:rsid w:val="00234EC1"/>
    <w:rsid w:val="00235747"/>
    <w:rsid w:val="00236BA7"/>
    <w:rsid w:val="00236C5B"/>
    <w:rsid w:val="00236DED"/>
    <w:rsid w:val="00237529"/>
    <w:rsid w:val="002378FE"/>
    <w:rsid w:val="00237EA6"/>
    <w:rsid w:val="002400F6"/>
    <w:rsid w:val="00240924"/>
    <w:rsid w:val="00240A82"/>
    <w:rsid w:val="00240C39"/>
    <w:rsid w:val="00241144"/>
    <w:rsid w:val="00241200"/>
    <w:rsid w:val="00241871"/>
    <w:rsid w:val="002421FB"/>
    <w:rsid w:val="00242713"/>
    <w:rsid w:val="00242EA0"/>
    <w:rsid w:val="0024385F"/>
    <w:rsid w:val="00243A2E"/>
    <w:rsid w:val="002441B4"/>
    <w:rsid w:val="0024427E"/>
    <w:rsid w:val="00244499"/>
    <w:rsid w:val="00244662"/>
    <w:rsid w:val="00244850"/>
    <w:rsid w:val="00244FEE"/>
    <w:rsid w:val="002453C0"/>
    <w:rsid w:val="002454F4"/>
    <w:rsid w:val="00245B1F"/>
    <w:rsid w:val="00245D08"/>
    <w:rsid w:val="00245DC7"/>
    <w:rsid w:val="0024647D"/>
    <w:rsid w:val="00246604"/>
    <w:rsid w:val="00246912"/>
    <w:rsid w:val="002469AE"/>
    <w:rsid w:val="002471A9"/>
    <w:rsid w:val="00247481"/>
    <w:rsid w:val="00250028"/>
    <w:rsid w:val="00250163"/>
    <w:rsid w:val="002506C0"/>
    <w:rsid w:val="002507AC"/>
    <w:rsid w:val="00250AD6"/>
    <w:rsid w:val="00250B92"/>
    <w:rsid w:val="00251080"/>
    <w:rsid w:val="0025127F"/>
    <w:rsid w:val="00251E34"/>
    <w:rsid w:val="00251E93"/>
    <w:rsid w:val="002528EE"/>
    <w:rsid w:val="00252B68"/>
    <w:rsid w:val="002532F9"/>
    <w:rsid w:val="00253341"/>
    <w:rsid w:val="00253537"/>
    <w:rsid w:val="00253667"/>
    <w:rsid w:val="00253B8A"/>
    <w:rsid w:val="00253F6A"/>
    <w:rsid w:val="0025430D"/>
    <w:rsid w:val="00254768"/>
    <w:rsid w:val="00255480"/>
    <w:rsid w:val="00255512"/>
    <w:rsid w:val="0025552C"/>
    <w:rsid w:val="00255638"/>
    <w:rsid w:val="00255659"/>
    <w:rsid w:val="00255A11"/>
    <w:rsid w:val="00255CCC"/>
    <w:rsid w:val="002568CA"/>
    <w:rsid w:val="00257830"/>
    <w:rsid w:val="00257C1B"/>
    <w:rsid w:val="00257CC1"/>
    <w:rsid w:val="00257FE0"/>
    <w:rsid w:val="00260291"/>
    <w:rsid w:val="002602CC"/>
    <w:rsid w:val="002605DA"/>
    <w:rsid w:val="00260616"/>
    <w:rsid w:val="0026084D"/>
    <w:rsid w:val="00260C84"/>
    <w:rsid w:val="0026191F"/>
    <w:rsid w:val="00261BC5"/>
    <w:rsid w:val="00261DE6"/>
    <w:rsid w:val="00262166"/>
    <w:rsid w:val="0026233D"/>
    <w:rsid w:val="002623DC"/>
    <w:rsid w:val="00262962"/>
    <w:rsid w:val="00262EDB"/>
    <w:rsid w:val="002639A7"/>
    <w:rsid w:val="00263C14"/>
    <w:rsid w:val="00264416"/>
    <w:rsid w:val="002648D4"/>
    <w:rsid w:val="00264A45"/>
    <w:rsid w:val="00264B92"/>
    <w:rsid w:val="00264FE9"/>
    <w:rsid w:val="00265421"/>
    <w:rsid w:val="00265A8E"/>
    <w:rsid w:val="002661A3"/>
    <w:rsid w:val="00266544"/>
    <w:rsid w:val="0026675A"/>
    <w:rsid w:val="00266D0A"/>
    <w:rsid w:val="00266EB6"/>
    <w:rsid w:val="00267443"/>
    <w:rsid w:val="00267DD0"/>
    <w:rsid w:val="00267E40"/>
    <w:rsid w:val="00267F84"/>
    <w:rsid w:val="00270034"/>
    <w:rsid w:val="002702CB"/>
    <w:rsid w:val="0027061A"/>
    <w:rsid w:val="002707CB"/>
    <w:rsid w:val="002709B3"/>
    <w:rsid w:val="00270A51"/>
    <w:rsid w:val="00270DBF"/>
    <w:rsid w:val="00271090"/>
    <w:rsid w:val="002713FB"/>
    <w:rsid w:val="0027155A"/>
    <w:rsid w:val="00271562"/>
    <w:rsid w:val="002715D0"/>
    <w:rsid w:val="00271879"/>
    <w:rsid w:val="00271910"/>
    <w:rsid w:val="00271A77"/>
    <w:rsid w:val="00271BBD"/>
    <w:rsid w:val="00271E58"/>
    <w:rsid w:val="00272652"/>
    <w:rsid w:val="00272782"/>
    <w:rsid w:val="00272A62"/>
    <w:rsid w:val="00272A6F"/>
    <w:rsid w:val="00272AAD"/>
    <w:rsid w:val="00273002"/>
    <w:rsid w:val="0027326B"/>
    <w:rsid w:val="00273942"/>
    <w:rsid w:val="0027399F"/>
    <w:rsid w:val="00273EAB"/>
    <w:rsid w:val="00273EFD"/>
    <w:rsid w:val="002744E0"/>
    <w:rsid w:val="00274875"/>
    <w:rsid w:val="00275267"/>
    <w:rsid w:val="0027563C"/>
    <w:rsid w:val="00275A7C"/>
    <w:rsid w:val="00275D92"/>
    <w:rsid w:val="00276135"/>
    <w:rsid w:val="002765F1"/>
    <w:rsid w:val="0027686C"/>
    <w:rsid w:val="00276A92"/>
    <w:rsid w:val="00276C45"/>
    <w:rsid w:val="00276CB1"/>
    <w:rsid w:val="002770CE"/>
    <w:rsid w:val="0027729D"/>
    <w:rsid w:val="00277CF5"/>
    <w:rsid w:val="00277D18"/>
    <w:rsid w:val="0028012B"/>
    <w:rsid w:val="00280130"/>
    <w:rsid w:val="002816DF"/>
    <w:rsid w:val="00281B60"/>
    <w:rsid w:val="00282388"/>
    <w:rsid w:val="002827BF"/>
    <w:rsid w:val="00282BCA"/>
    <w:rsid w:val="00283D91"/>
    <w:rsid w:val="00284840"/>
    <w:rsid w:val="0028494D"/>
    <w:rsid w:val="00285310"/>
    <w:rsid w:val="00285AB6"/>
    <w:rsid w:val="002860E9"/>
    <w:rsid w:val="002863FB"/>
    <w:rsid w:val="002867D8"/>
    <w:rsid w:val="002868E0"/>
    <w:rsid w:val="002868F2"/>
    <w:rsid w:val="002869B3"/>
    <w:rsid w:val="00286A15"/>
    <w:rsid w:val="00286D9F"/>
    <w:rsid w:val="00287304"/>
    <w:rsid w:val="002877CC"/>
    <w:rsid w:val="00287D9B"/>
    <w:rsid w:val="00287DF5"/>
    <w:rsid w:val="00290199"/>
    <w:rsid w:val="002901F4"/>
    <w:rsid w:val="0029049F"/>
    <w:rsid w:val="0029066D"/>
    <w:rsid w:val="0029074A"/>
    <w:rsid w:val="002908F6"/>
    <w:rsid w:val="00290D46"/>
    <w:rsid w:val="002913A8"/>
    <w:rsid w:val="002917E4"/>
    <w:rsid w:val="00291A06"/>
    <w:rsid w:val="00291CF0"/>
    <w:rsid w:val="00291E5B"/>
    <w:rsid w:val="002925D0"/>
    <w:rsid w:val="00292745"/>
    <w:rsid w:val="0029353F"/>
    <w:rsid w:val="0029361C"/>
    <w:rsid w:val="00293CE5"/>
    <w:rsid w:val="00293CEB"/>
    <w:rsid w:val="002945F4"/>
    <w:rsid w:val="00294B25"/>
    <w:rsid w:val="00294BBF"/>
    <w:rsid w:val="00294EEC"/>
    <w:rsid w:val="0029531B"/>
    <w:rsid w:val="002953A3"/>
    <w:rsid w:val="002955FD"/>
    <w:rsid w:val="002965B8"/>
    <w:rsid w:val="00296770"/>
    <w:rsid w:val="0029678A"/>
    <w:rsid w:val="00296D70"/>
    <w:rsid w:val="00297244"/>
    <w:rsid w:val="00297299"/>
    <w:rsid w:val="00297322"/>
    <w:rsid w:val="0029734A"/>
    <w:rsid w:val="00297CEB"/>
    <w:rsid w:val="00297FAD"/>
    <w:rsid w:val="002A027E"/>
    <w:rsid w:val="002A062E"/>
    <w:rsid w:val="002A0A9A"/>
    <w:rsid w:val="002A196A"/>
    <w:rsid w:val="002A1E6E"/>
    <w:rsid w:val="002A1FE3"/>
    <w:rsid w:val="002A20FB"/>
    <w:rsid w:val="002A2110"/>
    <w:rsid w:val="002A2DEC"/>
    <w:rsid w:val="002A362B"/>
    <w:rsid w:val="002A3E7D"/>
    <w:rsid w:val="002A4068"/>
    <w:rsid w:val="002A4569"/>
    <w:rsid w:val="002A46DC"/>
    <w:rsid w:val="002A4A0D"/>
    <w:rsid w:val="002A4C44"/>
    <w:rsid w:val="002A515E"/>
    <w:rsid w:val="002A51FF"/>
    <w:rsid w:val="002A545A"/>
    <w:rsid w:val="002A58EE"/>
    <w:rsid w:val="002A5906"/>
    <w:rsid w:val="002A5B41"/>
    <w:rsid w:val="002A5CD6"/>
    <w:rsid w:val="002A6234"/>
    <w:rsid w:val="002A6474"/>
    <w:rsid w:val="002A6600"/>
    <w:rsid w:val="002A6A64"/>
    <w:rsid w:val="002A6F1A"/>
    <w:rsid w:val="002A704F"/>
    <w:rsid w:val="002A7317"/>
    <w:rsid w:val="002A7518"/>
    <w:rsid w:val="002A79B5"/>
    <w:rsid w:val="002A7C2C"/>
    <w:rsid w:val="002A7E42"/>
    <w:rsid w:val="002B0154"/>
    <w:rsid w:val="002B0178"/>
    <w:rsid w:val="002B05D1"/>
    <w:rsid w:val="002B06B1"/>
    <w:rsid w:val="002B0842"/>
    <w:rsid w:val="002B0957"/>
    <w:rsid w:val="002B0E5B"/>
    <w:rsid w:val="002B1351"/>
    <w:rsid w:val="002B13CA"/>
    <w:rsid w:val="002B13FA"/>
    <w:rsid w:val="002B1474"/>
    <w:rsid w:val="002B1AE3"/>
    <w:rsid w:val="002B1AF8"/>
    <w:rsid w:val="002B20E7"/>
    <w:rsid w:val="002B28F6"/>
    <w:rsid w:val="002B2A4B"/>
    <w:rsid w:val="002B2E51"/>
    <w:rsid w:val="002B2F2C"/>
    <w:rsid w:val="002B31D7"/>
    <w:rsid w:val="002B320E"/>
    <w:rsid w:val="002B3448"/>
    <w:rsid w:val="002B36BB"/>
    <w:rsid w:val="002B3CC4"/>
    <w:rsid w:val="002B3D4C"/>
    <w:rsid w:val="002B44D4"/>
    <w:rsid w:val="002B461D"/>
    <w:rsid w:val="002B4949"/>
    <w:rsid w:val="002B494C"/>
    <w:rsid w:val="002B4B54"/>
    <w:rsid w:val="002B4EA4"/>
    <w:rsid w:val="002B599C"/>
    <w:rsid w:val="002B5F1B"/>
    <w:rsid w:val="002B6214"/>
    <w:rsid w:val="002B6908"/>
    <w:rsid w:val="002B6E0D"/>
    <w:rsid w:val="002B7E12"/>
    <w:rsid w:val="002C099B"/>
    <w:rsid w:val="002C0BC5"/>
    <w:rsid w:val="002C16F4"/>
    <w:rsid w:val="002C309C"/>
    <w:rsid w:val="002C35A6"/>
    <w:rsid w:val="002C3621"/>
    <w:rsid w:val="002C37DB"/>
    <w:rsid w:val="002C4299"/>
    <w:rsid w:val="002C452C"/>
    <w:rsid w:val="002C5394"/>
    <w:rsid w:val="002C55B2"/>
    <w:rsid w:val="002C568C"/>
    <w:rsid w:val="002C58C2"/>
    <w:rsid w:val="002C5909"/>
    <w:rsid w:val="002C5D6E"/>
    <w:rsid w:val="002C5FA1"/>
    <w:rsid w:val="002C6055"/>
    <w:rsid w:val="002C6337"/>
    <w:rsid w:val="002C6536"/>
    <w:rsid w:val="002C6858"/>
    <w:rsid w:val="002C6A12"/>
    <w:rsid w:val="002C6ECD"/>
    <w:rsid w:val="002C6FF2"/>
    <w:rsid w:val="002C7775"/>
    <w:rsid w:val="002C79EE"/>
    <w:rsid w:val="002C7B4C"/>
    <w:rsid w:val="002D014B"/>
    <w:rsid w:val="002D0437"/>
    <w:rsid w:val="002D0AC0"/>
    <w:rsid w:val="002D0EAA"/>
    <w:rsid w:val="002D0EE9"/>
    <w:rsid w:val="002D2220"/>
    <w:rsid w:val="002D22A1"/>
    <w:rsid w:val="002D256C"/>
    <w:rsid w:val="002D259D"/>
    <w:rsid w:val="002D27D4"/>
    <w:rsid w:val="002D2818"/>
    <w:rsid w:val="002D3041"/>
    <w:rsid w:val="002D353D"/>
    <w:rsid w:val="002D3891"/>
    <w:rsid w:val="002D3B69"/>
    <w:rsid w:val="002D3E73"/>
    <w:rsid w:val="002D434E"/>
    <w:rsid w:val="002D4701"/>
    <w:rsid w:val="002D4AD4"/>
    <w:rsid w:val="002D55DC"/>
    <w:rsid w:val="002D67E8"/>
    <w:rsid w:val="002D687C"/>
    <w:rsid w:val="002D69C9"/>
    <w:rsid w:val="002D6C62"/>
    <w:rsid w:val="002D7219"/>
    <w:rsid w:val="002D787C"/>
    <w:rsid w:val="002E0D07"/>
    <w:rsid w:val="002E1F09"/>
    <w:rsid w:val="002E26A0"/>
    <w:rsid w:val="002E28DA"/>
    <w:rsid w:val="002E32A7"/>
    <w:rsid w:val="002E37BF"/>
    <w:rsid w:val="002E380D"/>
    <w:rsid w:val="002E3BB0"/>
    <w:rsid w:val="002E413F"/>
    <w:rsid w:val="002E42A6"/>
    <w:rsid w:val="002E4C66"/>
    <w:rsid w:val="002E5315"/>
    <w:rsid w:val="002E545F"/>
    <w:rsid w:val="002E5497"/>
    <w:rsid w:val="002E5FE6"/>
    <w:rsid w:val="002E6139"/>
    <w:rsid w:val="002E62B0"/>
    <w:rsid w:val="002E6480"/>
    <w:rsid w:val="002E6599"/>
    <w:rsid w:val="002E67CF"/>
    <w:rsid w:val="002E6856"/>
    <w:rsid w:val="002E6AD0"/>
    <w:rsid w:val="002E70EB"/>
    <w:rsid w:val="002E7353"/>
    <w:rsid w:val="002E7639"/>
    <w:rsid w:val="002E76C9"/>
    <w:rsid w:val="002E7872"/>
    <w:rsid w:val="002F00DE"/>
    <w:rsid w:val="002F0124"/>
    <w:rsid w:val="002F044F"/>
    <w:rsid w:val="002F06F8"/>
    <w:rsid w:val="002F086C"/>
    <w:rsid w:val="002F097A"/>
    <w:rsid w:val="002F0BFF"/>
    <w:rsid w:val="002F0FAA"/>
    <w:rsid w:val="002F11C3"/>
    <w:rsid w:val="002F13BB"/>
    <w:rsid w:val="002F149D"/>
    <w:rsid w:val="002F1D37"/>
    <w:rsid w:val="002F2024"/>
    <w:rsid w:val="002F2A99"/>
    <w:rsid w:val="002F2F5B"/>
    <w:rsid w:val="002F329B"/>
    <w:rsid w:val="002F3629"/>
    <w:rsid w:val="002F3E73"/>
    <w:rsid w:val="002F50BD"/>
    <w:rsid w:val="002F5B4B"/>
    <w:rsid w:val="002F5DE1"/>
    <w:rsid w:val="002F5E43"/>
    <w:rsid w:val="002F6259"/>
    <w:rsid w:val="002F6647"/>
    <w:rsid w:val="002F6A9D"/>
    <w:rsid w:val="002F711F"/>
    <w:rsid w:val="002F7460"/>
    <w:rsid w:val="002F77D5"/>
    <w:rsid w:val="002F7814"/>
    <w:rsid w:val="002F7B2F"/>
    <w:rsid w:val="002F7DCC"/>
    <w:rsid w:val="003001AD"/>
    <w:rsid w:val="003003B4"/>
    <w:rsid w:val="0030041A"/>
    <w:rsid w:val="00300629"/>
    <w:rsid w:val="00300AF1"/>
    <w:rsid w:val="00300C2C"/>
    <w:rsid w:val="00300F72"/>
    <w:rsid w:val="00301B81"/>
    <w:rsid w:val="00301B93"/>
    <w:rsid w:val="00301F20"/>
    <w:rsid w:val="00302C4F"/>
    <w:rsid w:val="00302EC4"/>
    <w:rsid w:val="00303763"/>
    <w:rsid w:val="003037FA"/>
    <w:rsid w:val="003037FC"/>
    <w:rsid w:val="003039BB"/>
    <w:rsid w:val="00303B49"/>
    <w:rsid w:val="003047E5"/>
    <w:rsid w:val="00304FF9"/>
    <w:rsid w:val="003056D7"/>
    <w:rsid w:val="003057BF"/>
    <w:rsid w:val="003059B8"/>
    <w:rsid w:val="00305A14"/>
    <w:rsid w:val="00305FE7"/>
    <w:rsid w:val="00306220"/>
    <w:rsid w:val="0030647E"/>
    <w:rsid w:val="00306555"/>
    <w:rsid w:val="0030690D"/>
    <w:rsid w:val="00306A1E"/>
    <w:rsid w:val="00306CAE"/>
    <w:rsid w:val="00306FDA"/>
    <w:rsid w:val="0030756A"/>
    <w:rsid w:val="003075BD"/>
    <w:rsid w:val="003100AA"/>
    <w:rsid w:val="003110C1"/>
    <w:rsid w:val="00311782"/>
    <w:rsid w:val="003117E2"/>
    <w:rsid w:val="0031189A"/>
    <w:rsid w:val="0031253C"/>
    <w:rsid w:val="003126B8"/>
    <w:rsid w:val="003127A4"/>
    <w:rsid w:val="003129D5"/>
    <w:rsid w:val="00313088"/>
    <w:rsid w:val="00313F60"/>
    <w:rsid w:val="00314019"/>
    <w:rsid w:val="00314356"/>
    <w:rsid w:val="003151A0"/>
    <w:rsid w:val="00315739"/>
    <w:rsid w:val="003158FC"/>
    <w:rsid w:val="00316033"/>
    <w:rsid w:val="0031632E"/>
    <w:rsid w:val="003166B0"/>
    <w:rsid w:val="00316CD7"/>
    <w:rsid w:val="00316F68"/>
    <w:rsid w:val="00317475"/>
    <w:rsid w:val="00317C47"/>
    <w:rsid w:val="003214B3"/>
    <w:rsid w:val="00321591"/>
    <w:rsid w:val="0032169E"/>
    <w:rsid w:val="0032196B"/>
    <w:rsid w:val="0032196F"/>
    <w:rsid w:val="00322A68"/>
    <w:rsid w:val="00322AD3"/>
    <w:rsid w:val="00322D61"/>
    <w:rsid w:val="003233EB"/>
    <w:rsid w:val="003234E5"/>
    <w:rsid w:val="0032359A"/>
    <w:rsid w:val="00323D57"/>
    <w:rsid w:val="00323F3A"/>
    <w:rsid w:val="0032403D"/>
    <w:rsid w:val="00324B2E"/>
    <w:rsid w:val="0032514D"/>
    <w:rsid w:val="003252FD"/>
    <w:rsid w:val="0032552E"/>
    <w:rsid w:val="00325AFE"/>
    <w:rsid w:val="00325DA4"/>
    <w:rsid w:val="00326054"/>
    <w:rsid w:val="00326091"/>
    <w:rsid w:val="003260C7"/>
    <w:rsid w:val="0032634E"/>
    <w:rsid w:val="0032637F"/>
    <w:rsid w:val="003269BB"/>
    <w:rsid w:val="00326B1A"/>
    <w:rsid w:val="003275E8"/>
    <w:rsid w:val="003276F4"/>
    <w:rsid w:val="003278C5"/>
    <w:rsid w:val="00327A6D"/>
    <w:rsid w:val="00327A7D"/>
    <w:rsid w:val="00327AF7"/>
    <w:rsid w:val="00327C46"/>
    <w:rsid w:val="00327C5C"/>
    <w:rsid w:val="003302A3"/>
    <w:rsid w:val="003305C1"/>
    <w:rsid w:val="00330C26"/>
    <w:rsid w:val="00331F8D"/>
    <w:rsid w:val="00331FCE"/>
    <w:rsid w:val="00332718"/>
    <w:rsid w:val="003327FF"/>
    <w:rsid w:val="003329BC"/>
    <w:rsid w:val="003329EA"/>
    <w:rsid w:val="00332CF2"/>
    <w:rsid w:val="0033362B"/>
    <w:rsid w:val="003338A7"/>
    <w:rsid w:val="00333AF6"/>
    <w:rsid w:val="00333E16"/>
    <w:rsid w:val="00333FA7"/>
    <w:rsid w:val="00334002"/>
    <w:rsid w:val="003341BE"/>
    <w:rsid w:val="00334665"/>
    <w:rsid w:val="00334AE9"/>
    <w:rsid w:val="00334C99"/>
    <w:rsid w:val="00334D79"/>
    <w:rsid w:val="00335109"/>
    <w:rsid w:val="0033559C"/>
    <w:rsid w:val="003357B3"/>
    <w:rsid w:val="0033617E"/>
    <w:rsid w:val="00336806"/>
    <w:rsid w:val="00336A58"/>
    <w:rsid w:val="00337240"/>
    <w:rsid w:val="003376C5"/>
    <w:rsid w:val="00337948"/>
    <w:rsid w:val="00337E89"/>
    <w:rsid w:val="0034040C"/>
    <w:rsid w:val="00340574"/>
    <w:rsid w:val="0034068E"/>
    <w:rsid w:val="00340799"/>
    <w:rsid w:val="0034094E"/>
    <w:rsid w:val="00340D63"/>
    <w:rsid w:val="00340F84"/>
    <w:rsid w:val="003412CE"/>
    <w:rsid w:val="00341634"/>
    <w:rsid w:val="003416EB"/>
    <w:rsid w:val="00341BA9"/>
    <w:rsid w:val="00341CED"/>
    <w:rsid w:val="0034227D"/>
    <w:rsid w:val="003423AF"/>
    <w:rsid w:val="003427E4"/>
    <w:rsid w:val="0034290E"/>
    <w:rsid w:val="00342A6B"/>
    <w:rsid w:val="0034380C"/>
    <w:rsid w:val="00343891"/>
    <w:rsid w:val="00343923"/>
    <w:rsid w:val="00343940"/>
    <w:rsid w:val="003439DD"/>
    <w:rsid w:val="00343A19"/>
    <w:rsid w:val="00343B5E"/>
    <w:rsid w:val="00343CD6"/>
    <w:rsid w:val="00343CDF"/>
    <w:rsid w:val="0034410E"/>
    <w:rsid w:val="0034423C"/>
    <w:rsid w:val="003443E3"/>
    <w:rsid w:val="00344730"/>
    <w:rsid w:val="00345135"/>
    <w:rsid w:val="00345188"/>
    <w:rsid w:val="0034550A"/>
    <w:rsid w:val="0034589F"/>
    <w:rsid w:val="00345C82"/>
    <w:rsid w:val="0034611B"/>
    <w:rsid w:val="00346307"/>
    <w:rsid w:val="003469AB"/>
    <w:rsid w:val="00347468"/>
    <w:rsid w:val="003477F9"/>
    <w:rsid w:val="0034784B"/>
    <w:rsid w:val="00347C0C"/>
    <w:rsid w:val="0035014C"/>
    <w:rsid w:val="003503F4"/>
    <w:rsid w:val="003509A0"/>
    <w:rsid w:val="00350B6A"/>
    <w:rsid w:val="00350E10"/>
    <w:rsid w:val="003513E9"/>
    <w:rsid w:val="00351B01"/>
    <w:rsid w:val="00351C46"/>
    <w:rsid w:val="003520B1"/>
    <w:rsid w:val="0035225E"/>
    <w:rsid w:val="003523A5"/>
    <w:rsid w:val="00352D89"/>
    <w:rsid w:val="003530CC"/>
    <w:rsid w:val="00353248"/>
    <w:rsid w:val="0035325A"/>
    <w:rsid w:val="00353373"/>
    <w:rsid w:val="00353458"/>
    <w:rsid w:val="00353640"/>
    <w:rsid w:val="00353AF2"/>
    <w:rsid w:val="00353F29"/>
    <w:rsid w:val="00354437"/>
    <w:rsid w:val="0035487B"/>
    <w:rsid w:val="00354D0B"/>
    <w:rsid w:val="00355DF2"/>
    <w:rsid w:val="00355FEA"/>
    <w:rsid w:val="00356043"/>
    <w:rsid w:val="003560A8"/>
    <w:rsid w:val="0035655A"/>
    <w:rsid w:val="00356AC9"/>
    <w:rsid w:val="0035787B"/>
    <w:rsid w:val="003578D9"/>
    <w:rsid w:val="00357B35"/>
    <w:rsid w:val="00357B45"/>
    <w:rsid w:val="00357BD3"/>
    <w:rsid w:val="00357C17"/>
    <w:rsid w:val="00357D12"/>
    <w:rsid w:val="003600A0"/>
    <w:rsid w:val="003611ED"/>
    <w:rsid w:val="00361273"/>
    <w:rsid w:val="003615F2"/>
    <w:rsid w:val="00361646"/>
    <w:rsid w:val="003617DA"/>
    <w:rsid w:val="0036241C"/>
    <w:rsid w:val="003624E9"/>
    <w:rsid w:val="003627C4"/>
    <w:rsid w:val="00362B28"/>
    <w:rsid w:val="00362D48"/>
    <w:rsid w:val="00362F69"/>
    <w:rsid w:val="0036306F"/>
    <w:rsid w:val="00363524"/>
    <w:rsid w:val="00363A3D"/>
    <w:rsid w:val="00363DA8"/>
    <w:rsid w:val="00363E02"/>
    <w:rsid w:val="00363EBA"/>
    <w:rsid w:val="00363EF3"/>
    <w:rsid w:val="00364140"/>
    <w:rsid w:val="00364338"/>
    <w:rsid w:val="00364413"/>
    <w:rsid w:val="003645C3"/>
    <w:rsid w:val="00364825"/>
    <w:rsid w:val="00364AA8"/>
    <w:rsid w:val="003651D4"/>
    <w:rsid w:val="003654C6"/>
    <w:rsid w:val="003658D3"/>
    <w:rsid w:val="00365F98"/>
    <w:rsid w:val="0036612C"/>
    <w:rsid w:val="00366B09"/>
    <w:rsid w:val="00367166"/>
    <w:rsid w:val="003674C1"/>
    <w:rsid w:val="00367B63"/>
    <w:rsid w:val="00367DBD"/>
    <w:rsid w:val="0037063A"/>
    <w:rsid w:val="003713E3"/>
    <w:rsid w:val="0037176C"/>
    <w:rsid w:val="00371ABF"/>
    <w:rsid w:val="00371C3C"/>
    <w:rsid w:val="00371CFF"/>
    <w:rsid w:val="003728FE"/>
    <w:rsid w:val="00372A66"/>
    <w:rsid w:val="00372B80"/>
    <w:rsid w:val="003731B9"/>
    <w:rsid w:val="003737E9"/>
    <w:rsid w:val="00373EDB"/>
    <w:rsid w:val="00374112"/>
    <w:rsid w:val="003745AE"/>
    <w:rsid w:val="00374603"/>
    <w:rsid w:val="00374A95"/>
    <w:rsid w:val="00374E2B"/>
    <w:rsid w:val="00375366"/>
    <w:rsid w:val="00375417"/>
    <w:rsid w:val="00375964"/>
    <w:rsid w:val="00375F99"/>
    <w:rsid w:val="00375FC4"/>
    <w:rsid w:val="0037637E"/>
    <w:rsid w:val="003763EC"/>
    <w:rsid w:val="00376686"/>
    <w:rsid w:val="00376DBC"/>
    <w:rsid w:val="00376E6D"/>
    <w:rsid w:val="00376F08"/>
    <w:rsid w:val="00377268"/>
    <w:rsid w:val="0037764C"/>
    <w:rsid w:val="003777F3"/>
    <w:rsid w:val="00380266"/>
    <w:rsid w:val="00380970"/>
    <w:rsid w:val="00380C0B"/>
    <w:rsid w:val="00380E6F"/>
    <w:rsid w:val="00380F6C"/>
    <w:rsid w:val="00381338"/>
    <w:rsid w:val="00381343"/>
    <w:rsid w:val="003816AC"/>
    <w:rsid w:val="003819FB"/>
    <w:rsid w:val="00381EFD"/>
    <w:rsid w:val="00382E6C"/>
    <w:rsid w:val="00382EBE"/>
    <w:rsid w:val="003831BD"/>
    <w:rsid w:val="00383896"/>
    <w:rsid w:val="00383BB4"/>
    <w:rsid w:val="00383F3C"/>
    <w:rsid w:val="00384526"/>
    <w:rsid w:val="00384530"/>
    <w:rsid w:val="00384793"/>
    <w:rsid w:val="003849B3"/>
    <w:rsid w:val="00384C62"/>
    <w:rsid w:val="00384E71"/>
    <w:rsid w:val="0038518E"/>
    <w:rsid w:val="00385638"/>
    <w:rsid w:val="00385B6C"/>
    <w:rsid w:val="00385F1E"/>
    <w:rsid w:val="00385F5C"/>
    <w:rsid w:val="0038620F"/>
    <w:rsid w:val="003865D6"/>
    <w:rsid w:val="003873FC"/>
    <w:rsid w:val="003878AA"/>
    <w:rsid w:val="00387D42"/>
    <w:rsid w:val="00390A0B"/>
    <w:rsid w:val="00390AF8"/>
    <w:rsid w:val="00390F66"/>
    <w:rsid w:val="00390FEB"/>
    <w:rsid w:val="00391310"/>
    <w:rsid w:val="00391383"/>
    <w:rsid w:val="00391898"/>
    <w:rsid w:val="00391D34"/>
    <w:rsid w:val="00392838"/>
    <w:rsid w:val="003936FE"/>
    <w:rsid w:val="003940EB"/>
    <w:rsid w:val="0039430C"/>
    <w:rsid w:val="00394578"/>
    <w:rsid w:val="003945AB"/>
    <w:rsid w:val="0039494C"/>
    <w:rsid w:val="00395386"/>
    <w:rsid w:val="003958A5"/>
    <w:rsid w:val="00395A22"/>
    <w:rsid w:val="00395A33"/>
    <w:rsid w:val="00395C21"/>
    <w:rsid w:val="00395F44"/>
    <w:rsid w:val="0039608D"/>
    <w:rsid w:val="00396288"/>
    <w:rsid w:val="00397032"/>
    <w:rsid w:val="0039738D"/>
    <w:rsid w:val="003976D9"/>
    <w:rsid w:val="00397CFE"/>
    <w:rsid w:val="003A06A4"/>
    <w:rsid w:val="003A07FC"/>
    <w:rsid w:val="003A1090"/>
    <w:rsid w:val="003A1357"/>
    <w:rsid w:val="003A14DB"/>
    <w:rsid w:val="003A22B1"/>
    <w:rsid w:val="003A2703"/>
    <w:rsid w:val="003A2D67"/>
    <w:rsid w:val="003A3020"/>
    <w:rsid w:val="003A30F0"/>
    <w:rsid w:val="003A3933"/>
    <w:rsid w:val="003A3B7D"/>
    <w:rsid w:val="003A3EAB"/>
    <w:rsid w:val="003A41DB"/>
    <w:rsid w:val="003A4B87"/>
    <w:rsid w:val="003A4C96"/>
    <w:rsid w:val="003A5000"/>
    <w:rsid w:val="003A51B1"/>
    <w:rsid w:val="003A5828"/>
    <w:rsid w:val="003A5AA5"/>
    <w:rsid w:val="003A5F50"/>
    <w:rsid w:val="003A6198"/>
    <w:rsid w:val="003A6ED7"/>
    <w:rsid w:val="003A7DAF"/>
    <w:rsid w:val="003A7ED7"/>
    <w:rsid w:val="003B023D"/>
    <w:rsid w:val="003B09B2"/>
    <w:rsid w:val="003B0C12"/>
    <w:rsid w:val="003B1206"/>
    <w:rsid w:val="003B14EE"/>
    <w:rsid w:val="003B152A"/>
    <w:rsid w:val="003B2A3E"/>
    <w:rsid w:val="003B2FBC"/>
    <w:rsid w:val="003B3351"/>
    <w:rsid w:val="003B3563"/>
    <w:rsid w:val="003B41AC"/>
    <w:rsid w:val="003B46DA"/>
    <w:rsid w:val="003B4AB2"/>
    <w:rsid w:val="003B4D3B"/>
    <w:rsid w:val="003B6D57"/>
    <w:rsid w:val="003B6F6E"/>
    <w:rsid w:val="003B7631"/>
    <w:rsid w:val="003B7703"/>
    <w:rsid w:val="003B78E3"/>
    <w:rsid w:val="003B7AF3"/>
    <w:rsid w:val="003B7E3F"/>
    <w:rsid w:val="003B7ECD"/>
    <w:rsid w:val="003B7F90"/>
    <w:rsid w:val="003B7FB5"/>
    <w:rsid w:val="003B7FCC"/>
    <w:rsid w:val="003C0785"/>
    <w:rsid w:val="003C08EF"/>
    <w:rsid w:val="003C09D6"/>
    <w:rsid w:val="003C0E8D"/>
    <w:rsid w:val="003C10EC"/>
    <w:rsid w:val="003C13F5"/>
    <w:rsid w:val="003C15CC"/>
    <w:rsid w:val="003C1705"/>
    <w:rsid w:val="003C205B"/>
    <w:rsid w:val="003C2360"/>
    <w:rsid w:val="003C2A9B"/>
    <w:rsid w:val="003C34C6"/>
    <w:rsid w:val="003C3697"/>
    <w:rsid w:val="003C37ED"/>
    <w:rsid w:val="003C3E5C"/>
    <w:rsid w:val="003C3FDA"/>
    <w:rsid w:val="003C4147"/>
    <w:rsid w:val="003C4895"/>
    <w:rsid w:val="003C4CD5"/>
    <w:rsid w:val="003C5DDA"/>
    <w:rsid w:val="003C6B91"/>
    <w:rsid w:val="003C6E48"/>
    <w:rsid w:val="003C7D67"/>
    <w:rsid w:val="003C7D6C"/>
    <w:rsid w:val="003C7E95"/>
    <w:rsid w:val="003D0004"/>
    <w:rsid w:val="003D0691"/>
    <w:rsid w:val="003D08A1"/>
    <w:rsid w:val="003D09EB"/>
    <w:rsid w:val="003D1637"/>
    <w:rsid w:val="003D1C23"/>
    <w:rsid w:val="003D1F7F"/>
    <w:rsid w:val="003D243C"/>
    <w:rsid w:val="003D28C3"/>
    <w:rsid w:val="003D2A98"/>
    <w:rsid w:val="003D30A6"/>
    <w:rsid w:val="003D357D"/>
    <w:rsid w:val="003D3913"/>
    <w:rsid w:val="003D3B56"/>
    <w:rsid w:val="003D3BA7"/>
    <w:rsid w:val="003D41B4"/>
    <w:rsid w:val="003D4448"/>
    <w:rsid w:val="003D491C"/>
    <w:rsid w:val="003D4CB7"/>
    <w:rsid w:val="003D62EE"/>
    <w:rsid w:val="003D64AD"/>
    <w:rsid w:val="003D69FA"/>
    <w:rsid w:val="003D70D6"/>
    <w:rsid w:val="003D7476"/>
    <w:rsid w:val="003D76B5"/>
    <w:rsid w:val="003D7A86"/>
    <w:rsid w:val="003D7D5F"/>
    <w:rsid w:val="003D7DD4"/>
    <w:rsid w:val="003D7FBF"/>
    <w:rsid w:val="003D7FCF"/>
    <w:rsid w:val="003E039B"/>
    <w:rsid w:val="003E080E"/>
    <w:rsid w:val="003E0940"/>
    <w:rsid w:val="003E0D22"/>
    <w:rsid w:val="003E0D39"/>
    <w:rsid w:val="003E1248"/>
    <w:rsid w:val="003E1642"/>
    <w:rsid w:val="003E171B"/>
    <w:rsid w:val="003E19A3"/>
    <w:rsid w:val="003E1D94"/>
    <w:rsid w:val="003E1DA7"/>
    <w:rsid w:val="003E23D5"/>
    <w:rsid w:val="003E2C8F"/>
    <w:rsid w:val="003E2DD3"/>
    <w:rsid w:val="003E363C"/>
    <w:rsid w:val="003E390A"/>
    <w:rsid w:val="003E3E78"/>
    <w:rsid w:val="003E4529"/>
    <w:rsid w:val="003E4693"/>
    <w:rsid w:val="003E4BA7"/>
    <w:rsid w:val="003E508F"/>
    <w:rsid w:val="003E54DE"/>
    <w:rsid w:val="003E6134"/>
    <w:rsid w:val="003E645E"/>
    <w:rsid w:val="003E649A"/>
    <w:rsid w:val="003E679B"/>
    <w:rsid w:val="003E6849"/>
    <w:rsid w:val="003E69DB"/>
    <w:rsid w:val="003E73F2"/>
    <w:rsid w:val="003F065C"/>
    <w:rsid w:val="003F0E7A"/>
    <w:rsid w:val="003F0E9E"/>
    <w:rsid w:val="003F1626"/>
    <w:rsid w:val="003F1AA6"/>
    <w:rsid w:val="003F1B2E"/>
    <w:rsid w:val="003F253C"/>
    <w:rsid w:val="003F2A09"/>
    <w:rsid w:val="003F2B07"/>
    <w:rsid w:val="003F2DB0"/>
    <w:rsid w:val="003F38C0"/>
    <w:rsid w:val="003F3D1D"/>
    <w:rsid w:val="003F45C0"/>
    <w:rsid w:val="003F49A8"/>
    <w:rsid w:val="003F4A55"/>
    <w:rsid w:val="003F575D"/>
    <w:rsid w:val="003F5921"/>
    <w:rsid w:val="003F5A5F"/>
    <w:rsid w:val="003F641A"/>
    <w:rsid w:val="003F6E86"/>
    <w:rsid w:val="003F7F7E"/>
    <w:rsid w:val="0040059A"/>
    <w:rsid w:val="004006AB"/>
    <w:rsid w:val="004008A6"/>
    <w:rsid w:val="004010E0"/>
    <w:rsid w:val="004012E3"/>
    <w:rsid w:val="0040198E"/>
    <w:rsid w:val="00401A2E"/>
    <w:rsid w:val="004024EE"/>
    <w:rsid w:val="00402575"/>
    <w:rsid w:val="004026E9"/>
    <w:rsid w:val="004028DC"/>
    <w:rsid w:val="00402B63"/>
    <w:rsid w:val="00402F09"/>
    <w:rsid w:val="0040305A"/>
    <w:rsid w:val="00403546"/>
    <w:rsid w:val="00403575"/>
    <w:rsid w:val="0040372B"/>
    <w:rsid w:val="00403C4A"/>
    <w:rsid w:val="00403C51"/>
    <w:rsid w:val="00403D16"/>
    <w:rsid w:val="0040420B"/>
    <w:rsid w:val="00404C02"/>
    <w:rsid w:val="004054AE"/>
    <w:rsid w:val="00405655"/>
    <w:rsid w:val="00405D54"/>
    <w:rsid w:val="00406125"/>
    <w:rsid w:val="0040654C"/>
    <w:rsid w:val="00406759"/>
    <w:rsid w:val="0040692D"/>
    <w:rsid w:val="00406B82"/>
    <w:rsid w:val="00407386"/>
    <w:rsid w:val="00407EDA"/>
    <w:rsid w:val="0041071D"/>
    <w:rsid w:val="004107B2"/>
    <w:rsid w:val="00410E1C"/>
    <w:rsid w:val="004115B1"/>
    <w:rsid w:val="00411897"/>
    <w:rsid w:val="00411BCF"/>
    <w:rsid w:val="00411F2A"/>
    <w:rsid w:val="004120F0"/>
    <w:rsid w:val="0041227D"/>
    <w:rsid w:val="004127C4"/>
    <w:rsid w:val="00412A75"/>
    <w:rsid w:val="0041342B"/>
    <w:rsid w:val="00413BBE"/>
    <w:rsid w:val="00414294"/>
    <w:rsid w:val="0041461B"/>
    <w:rsid w:val="00414682"/>
    <w:rsid w:val="00414B56"/>
    <w:rsid w:val="0041500F"/>
    <w:rsid w:val="00415782"/>
    <w:rsid w:val="00415BB4"/>
    <w:rsid w:val="00416138"/>
    <w:rsid w:val="004161CD"/>
    <w:rsid w:val="0041685B"/>
    <w:rsid w:val="00416E2C"/>
    <w:rsid w:val="0041715F"/>
    <w:rsid w:val="00417440"/>
    <w:rsid w:val="004176F2"/>
    <w:rsid w:val="00417907"/>
    <w:rsid w:val="00417B31"/>
    <w:rsid w:val="00417E4B"/>
    <w:rsid w:val="00420073"/>
    <w:rsid w:val="00420162"/>
    <w:rsid w:val="004205A6"/>
    <w:rsid w:val="0042061B"/>
    <w:rsid w:val="00420933"/>
    <w:rsid w:val="004209CF"/>
    <w:rsid w:val="004215C4"/>
    <w:rsid w:val="0042194B"/>
    <w:rsid w:val="004219A6"/>
    <w:rsid w:val="00422273"/>
    <w:rsid w:val="00422390"/>
    <w:rsid w:val="004223A0"/>
    <w:rsid w:val="004225B8"/>
    <w:rsid w:val="00422611"/>
    <w:rsid w:val="0042297A"/>
    <w:rsid w:val="004233D3"/>
    <w:rsid w:val="00423E42"/>
    <w:rsid w:val="00423F43"/>
    <w:rsid w:val="00423FEC"/>
    <w:rsid w:val="00424552"/>
    <w:rsid w:val="0042459E"/>
    <w:rsid w:val="0042523D"/>
    <w:rsid w:val="004252D2"/>
    <w:rsid w:val="0042547C"/>
    <w:rsid w:val="004255A5"/>
    <w:rsid w:val="004255AA"/>
    <w:rsid w:val="00425D88"/>
    <w:rsid w:val="00425EF5"/>
    <w:rsid w:val="00426675"/>
    <w:rsid w:val="004266EE"/>
    <w:rsid w:val="00426747"/>
    <w:rsid w:val="004268E2"/>
    <w:rsid w:val="004268FD"/>
    <w:rsid w:val="00426FDE"/>
    <w:rsid w:val="00427340"/>
    <w:rsid w:val="00427458"/>
    <w:rsid w:val="00427674"/>
    <w:rsid w:val="00427C7A"/>
    <w:rsid w:val="0043035A"/>
    <w:rsid w:val="00430548"/>
    <w:rsid w:val="00430B7F"/>
    <w:rsid w:val="00430D08"/>
    <w:rsid w:val="00431268"/>
    <w:rsid w:val="004316F7"/>
    <w:rsid w:val="00431E0D"/>
    <w:rsid w:val="004324D7"/>
    <w:rsid w:val="00432814"/>
    <w:rsid w:val="004328FD"/>
    <w:rsid w:val="00432D06"/>
    <w:rsid w:val="00432E6A"/>
    <w:rsid w:val="00433555"/>
    <w:rsid w:val="00433675"/>
    <w:rsid w:val="0043389D"/>
    <w:rsid w:val="004344BD"/>
    <w:rsid w:val="00434905"/>
    <w:rsid w:val="00434F06"/>
    <w:rsid w:val="00435578"/>
    <w:rsid w:val="00436015"/>
    <w:rsid w:val="0043684F"/>
    <w:rsid w:val="00436D25"/>
    <w:rsid w:val="00440E4E"/>
    <w:rsid w:val="00440F73"/>
    <w:rsid w:val="00441135"/>
    <w:rsid w:val="004412F4"/>
    <w:rsid w:val="004413E6"/>
    <w:rsid w:val="00441426"/>
    <w:rsid w:val="004415FF"/>
    <w:rsid w:val="004416E1"/>
    <w:rsid w:val="00441914"/>
    <w:rsid w:val="00441D1F"/>
    <w:rsid w:val="00442300"/>
    <w:rsid w:val="00442CC4"/>
    <w:rsid w:val="00442F2A"/>
    <w:rsid w:val="004430AB"/>
    <w:rsid w:val="00443206"/>
    <w:rsid w:val="00443207"/>
    <w:rsid w:val="0044345C"/>
    <w:rsid w:val="0044359F"/>
    <w:rsid w:val="00443674"/>
    <w:rsid w:val="00443807"/>
    <w:rsid w:val="00443A54"/>
    <w:rsid w:val="00443D1C"/>
    <w:rsid w:val="00444464"/>
    <w:rsid w:val="004448B4"/>
    <w:rsid w:val="0044491C"/>
    <w:rsid w:val="00444A9A"/>
    <w:rsid w:val="004451D5"/>
    <w:rsid w:val="004453EA"/>
    <w:rsid w:val="004454E4"/>
    <w:rsid w:val="0044574D"/>
    <w:rsid w:val="00445929"/>
    <w:rsid w:val="00445A48"/>
    <w:rsid w:val="00445E15"/>
    <w:rsid w:val="004462C1"/>
    <w:rsid w:val="00446AE7"/>
    <w:rsid w:val="00446C3C"/>
    <w:rsid w:val="004470BE"/>
    <w:rsid w:val="00447115"/>
    <w:rsid w:val="00447838"/>
    <w:rsid w:val="004478DC"/>
    <w:rsid w:val="004479A2"/>
    <w:rsid w:val="00447BD8"/>
    <w:rsid w:val="00447E76"/>
    <w:rsid w:val="004502DF"/>
    <w:rsid w:val="00450DAB"/>
    <w:rsid w:val="00451368"/>
    <w:rsid w:val="00451371"/>
    <w:rsid w:val="00451765"/>
    <w:rsid w:val="004529C1"/>
    <w:rsid w:val="00452A27"/>
    <w:rsid w:val="00452B63"/>
    <w:rsid w:val="004537A8"/>
    <w:rsid w:val="004541D8"/>
    <w:rsid w:val="004542DA"/>
    <w:rsid w:val="004543AC"/>
    <w:rsid w:val="004546B7"/>
    <w:rsid w:val="0045483A"/>
    <w:rsid w:val="00454976"/>
    <w:rsid w:val="00454C08"/>
    <w:rsid w:val="00455322"/>
    <w:rsid w:val="00455389"/>
    <w:rsid w:val="004554C1"/>
    <w:rsid w:val="004554E6"/>
    <w:rsid w:val="00456370"/>
    <w:rsid w:val="004563F0"/>
    <w:rsid w:val="00456A03"/>
    <w:rsid w:val="00456D53"/>
    <w:rsid w:val="00456D5F"/>
    <w:rsid w:val="0045762B"/>
    <w:rsid w:val="0045774F"/>
    <w:rsid w:val="0045782B"/>
    <w:rsid w:val="0045784E"/>
    <w:rsid w:val="00457A83"/>
    <w:rsid w:val="00457BB2"/>
    <w:rsid w:val="00457D67"/>
    <w:rsid w:val="00457F36"/>
    <w:rsid w:val="0046002B"/>
    <w:rsid w:val="00460435"/>
    <w:rsid w:val="0046050B"/>
    <w:rsid w:val="004605EB"/>
    <w:rsid w:val="00460ACB"/>
    <w:rsid w:val="00460D75"/>
    <w:rsid w:val="00461F1D"/>
    <w:rsid w:val="00462032"/>
    <w:rsid w:val="0046251C"/>
    <w:rsid w:val="0046286B"/>
    <w:rsid w:val="00462AAF"/>
    <w:rsid w:val="004631FA"/>
    <w:rsid w:val="00463668"/>
    <w:rsid w:val="00463963"/>
    <w:rsid w:val="00463A14"/>
    <w:rsid w:val="00463A55"/>
    <w:rsid w:val="00463E4C"/>
    <w:rsid w:val="00464632"/>
    <w:rsid w:val="00464A25"/>
    <w:rsid w:val="0046564F"/>
    <w:rsid w:val="00465BD6"/>
    <w:rsid w:val="00465F3B"/>
    <w:rsid w:val="004669D9"/>
    <w:rsid w:val="00467035"/>
    <w:rsid w:val="004673D4"/>
    <w:rsid w:val="004674F4"/>
    <w:rsid w:val="004677EF"/>
    <w:rsid w:val="00467C76"/>
    <w:rsid w:val="004703B7"/>
    <w:rsid w:val="004705FC"/>
    <w:rsid w:val="0047171A"/>
    <w:rsid w:val="0047199D"/>
    <w:rsid w:val="00471FCB"/>
    <w:rsid w:val="00472503"/>
    <w:rsid w:val="00472549"/>
    <w:rsid w:val="00472E2D"/>
    <w:rsid w:val="00473371"/>
    <w:rsid w:val="004734ED"/>
    <w:rsid w:val="00473725"/>
    <w:rsid w:val="00473822"/>
    <w:rsid w:val="00473C82"/>
    <w:rsid w:val="00473E8F"/>
    <w:rsid w:val="004745AA"/>
    <w:rsid w:val="00474776"/>
    <w:rsid w:val="00474779"/>
    <w:rsid w:val="004747F7"/>
    <w:rsid w:val="00474831"/>
    <w:rsid w:val="004748A4"/>
    <w:rsid w:val="0047527E"/>
    <w:rsid w:val="004756DD"/>
    <w:rsid w:val="00475877"/>
    <w:rsid w:val="00475CDD"/>
    <w:rsid w:val="00475FC4"/>
    <w:rsid w:val="00475FF3"/>
    <w:rsid w:val="0047633C"/>
    <w:rsid w:val="004765F2"/>
    <w:rsid w:val="00476CC6"/>
    <w:rsid w:val="00476D45"/>
    <w:rsid w:val="004775B3"/>
    <w:rsid w:val="00477642"/>
    <w:rsid w:val="0047790F"/>
    <w:rsid w:val="004779BA"/>
    <w:rsid w:val="00477E7B"/>
    <w:rsid w:val="00477E83"/>
    <w:rsid w:val="004807AA"/>
    <w:rsid w:val="004809A5"/>
    <w:rsid w:val="00480B1B"/>
    <w:rsid w:val="00480FBF"/>
    <w:rsid w:val="0048112B"/>
    <w:rsid w:val="0048142F"/>
    <w:rsid w:val="00481650"/>
    <w:rsid w:val="00481669"/>
    <w:rsid w:val="00481F1D"/>
    <w:rsid w:val="004822D2"/>
    <w:rsid w:val="004826ED"/>
    <w:rsid w:val="0048278C"/>
    <w:rsid w:val="004827BB"/>
    <w:rsid w:val="00482A58"/>
    <w:rsid w:val="00483E0D"/>
    <w:rsid w:val="0048446B"/>
    <w:rsid w:val="004845AA"/>
    <w:rsid w:val="004848CF"/>
    <w:rsid w:val="00484B59"/>
    <w:rsid w:val="00484C15"/>
    <w:rsid w:val="00484DAB"/>
    <w:rsid w:val="00484F6F"/>
    <w:rsid w:val="00485275"/>
    <w:rsid w:val="004852A1"/>
    <w:rsid w:val="004854FF"/>
    <w:rsid w:val="00485F58"/>
    <w:rsid w:val="004878AE"/>
    <w:rsid w:val="004879DF"/>
    <w:rsid w:val="00487ED3"/>
    <w:rsid w:val="004902B0"/>
    <w:rsid w:val="0049073D"/>
    <w:rsid w:val="00490B0E"/>
    <w:rsid w:val="00490DAE"/>
    <w:rsid w:val="00490DDA"/>
    <w:rsid w:val="0049141D"/>
    <w:rsid w:val="0049188B"/>
    <w:rsid w:val="00491F44"/>
    <w:rsid w:val="004920D8"/>
    <w:rsid w:val="004923FF"/>
    <w:rsid w:val="004924AA"/>
    <w:rsid w:val="004926BC"/>
    <w:rsid w:val="004926CE"/>
    <w:rsid w:val="00493B9B"/>
    <w:rsid w:val="00493DD2"/>
    <w:rsid w:val="00494128"/>
    <w:rsid w:val="0049428C"/>
    <w:rsid w:val="0049434E"/>
    <w:rsid w:val="0049540A"/>
    <w:rsid w:val="00495D93"/>
    <w:rsid w:val="0049600F"/>
    <w:rsid w:val="00496A0C"/>
    <w:rsid w:val="00496AF3"/>
    <w:rsid w:val="00497EAB"/>
    <w:rsid w:val="00497ED6"/>
    <w:rsid w:val="004A0141"/>
    <w:rsid w:val="004A0640"/>
    <w:rsid w:val="004A0E4E"/>
    <w:rsid w:val="004A1818"/>
    <w:rsid w:val="004A1871"/>
    <w:rsid w:val="004A1AD6"/>
    <w:rsid w:val="004A2467"/>
    <w:rsid w:val="004A2BC0"/>
    <w:rsid w:val="004A333E"/>
    <w:rsid w:val="004A33C3"/>
    <w:rsid w:val="004A33D0"/>
    <w:rsid w:val="004A3632"/>
    <w:rsid w:val="004A36C2"/>
    <w:rsid w:val="004A3A19"/>
    <w:rsid w:val="004A3BBC"/>
    <w:rsid w:val="004A3F46"/>
    <w:rsid w:val="004A401E"/>
    <w:rsid w:val="004A41D4"/>
    <w:rsid w:val="004A4333"/>
    <w:rsid w:val="004A52D2"/>
    <w:rsid w:val="004A534B"/>
    <w:rsid w:val="004A5BCE"/>
    <w:rsid w:val="004A5D26"/>
    <w:rsid w:val="004A5DDC"/>
    <w:rsid w:val="004A6094"/>
    <w:rsid w:val="004A6165"/>
    <w:rsid w:val="004A65AE"/>
    <w:rsid w:val="004A6709"/>
    <w:rsid w:val="004A6BD3"/>
    <w:rsid w:val="004A743E"/>
    <w:rsid w:val="004A7DD3"/>
    <w:rsid w:val="004A7EAD"/>
    <w:rsid w:val="004A7FE8"/>
    <w:rsid w:val="004B0033"/>
    <w:rsid w:val="004B0626"/>
    <w:rsid w:val="004B0DF4"/>
    <w:rsid w:val="004B0F14"/>
    <w:rsid w:val="004B0FBE"/>
    <w:rsid w:val="004B10B8"/>
    <w:rsid w:val="004B12B2"/>
    <w:rsid w:val="004B1AA3"/>
    <w:rsid w:val="004B1AB9"/>
    <w:rsid w:val="004B1F46"/>
    <w:rsid w:val="004B1F90"/>
    <w:rsid w:val="004B23A1"/>
    <w:rsid w:val="004B24B1"/>
    <w:rsid w:val="004B259B"/>
    <w:rsid w:val="004B2B65"/>
    <w:rsid w:val="004B2C32"/>
    <w:rsid w:val="004B303F"/>
    <w:rsid w:val="004B3055"/>
    <w:rsid w:val="004B316A"/>
    <w:rsid w:val="004B3822"/>
    <w:rsid w:val="004B3906"/>
    <w:rsid w:val="004B39AF"/>
    <w:rsid w:val="004B4006"/>
    <w:rsid w:val="004B40AF"/>
    <w:rsid w:val="004B450A"/>
    <w:rsid w:val="004B45F3"/>
    <w:rsid w:val="004B4DBE"/>
    <w:rsid w:val="004B59F9"/>
    <w:rsid w:val="004B656A"/>
    <w:rsid w:val="004B6BA7"/>
    <w:rsid w:val="004B6C4E"/>
    <w:rsid w:val="004B6C75"/>
    <w:rsid w:val="004B7165"/>
    <w:rsid w:val="004B7238"/>
    <w:rsid w:val="004B74CD"/>
    <w:rsid w:val="004B7588"/>
    <w:rsid w:val="004B7B63"/>
    <w:rsid w:val="004C00ED"/>
    <w:rsid w:val="004C0145"/>
    <w:rsid w:val="004C0418"/>
    <w:rsid w:val="004C0582"/>
    <w:rsid w:val="004C0B9A"/>
    <w:rsid w:val="004C1222"/>
    <w:rsid w:val="004C1BF1"/>
    <w:rsid w:val="004C1F3E"/>
    <w:rsid w:val="004C1F53"/>
    <w:rsid w:val="004C2077"/>
    <w:rsid w:val="004C26F3"/>
    <w:rsid w:val="004C2BD0"/>
    <w:rsid w:val="004C33ED"/>
    <w:rsid w:val="004C35DF"/>
    <w:rsid w:val="004C38F2"/>
    <w:rsid w:val="004C3A5D"/>
    <w:rsid w:val="004C4298"/>
    <w:rsid w:val="004C46E3"/>
    <w:rsid w:val="004C492B"/>
    <w:rsid w:val="004C4D19"/>
    <w:rsid w:val="004C5145"/>
    <w:rsid w:val="004C51DC"/>
    <w:rsid w:val="004C550E"/>
    <w:rsid w:val="004C5528"/>
    <w:rsid w:val="004C5922"/>
    <w:rsid w:val="004C599F"/>
    <w:rsid w:val="004C5D8E"/>
    <w:rsid w:val="004C6169"/>
    <w:rsid w:val="004C62BA"/>
    <w:rsid w:val="004C6C04"/>
    <w:rsid w:val="004C6F4B"/>
    <w:rsid w:val="004C73E2"/>
    <w:rsid w:val="004C7718"/>
    <w:rsid w:val="004C777E"/>
    <w:rsid w:val="004C7AE6"/>
    <w:rsid w:val="004C7C56"/>
    <w:rsid w:val="004C7DAD"/>
    <w:rsid w:val="004D0FF8"/>
    <w:rsid w:val="004D138D"/>
    <w:rsid w:val="004D1416"/>
    <w:rsid w:val="004D1734"/>
    <w:rsid w:val="004D28C1"/>
    <w:rsid w:val="004D2F73"/>
    <w:rsid w:val="004D3201"/>
    <w:rsid w:val="004D35BB"/>
    <w:rsid w:val="004D3657"/>
    <w:rsid w:val="004D3E6A"/>
    <w:rsid w:val="004D4231"/>
    <w:rsid w:val="004D4601"/>
    <w:rsid w:val="004D460D"/>
    <w:rsid w:val="004D4C15"/>
    <w:rsid w:val="004D568E"/>
    <w:rsid w:val="004D56BE"/>
    <w:rsid w:val="004D5897"/>
    <w:rsid w:val="004D59D6"/>
    <w:rsid w:val="004D5A98"/>
    <w:rsid w:val="004D5ED7"/>
    <w:rsid w:val="004D62A9"/>
    <w:rsid w:val="004D62AE"/>
    <w:rsid w:val="004D67BB"/>
    <w:rsid w:val="004D6969"/>
    <w:rsid w:val="004D69A6"/>
    <w:rsid w:val="004D6BB7"/>
    <w:rsid w:val="004D6DA8"/>
    <w:rsid w:val="004D6DEF"/>
    <w:rsid w:val="004D7101"/>
    <w:rsid w:val="004D733E"/>
    <w:rsid w:val="004D761B"/>
    <w:rsid w:val="004D7C5C"/>
    <w:rsid w:val="004D7F52"/>
    <w:rsid w:val="004E098B"/>
    <w:rsid w:val="004E0EF8"/>
    <w:rsid w:val="004E15C2"/>
    <w:rsid w:val="004E17C2"/>
    <w:rsid w:val="004E19BE"/>
    <w:rsid w:val="004E1A5A"/>
    <w:rsid w:val="004E1DB0"/>
    <w:rsid w:val="004E227C"/>
    <w:rsid w:val="004E23CE"/>
    <w:rsid w:val="004E2560"/>
    <w:rsid w:val="004E2953"/>
    <w:rsid w:val="004E37BD"/>
    <w:rsid w:val="004E4031"/>
    <w:rsid w:val="004E43E3"/>
    <w:rsid w:val="004E4950"/>
    <w:rsid w:val="004E496C"/>
    <w:rsid w:val="004E4B77"/>
    <w:rsid w:val="004E4D4F"/>
    <w:rsid w:val="004E4EA4"/>
    <w:rsid w:val="004E4EBA"/>
    <w:rsid w:val="004E51E1"/>
    <w:rsid w:val="004E5744"/>
    <w:rsid w:val="004E5C3B"/>
    <w:rsid w:val="004E5D57"/>
    <w:rsid w:val="004E5DD4"/>
    <w:rsid w:val="004E65AD"/>
    <w:rsid w:val="004E68D6"/>
    <w:rsid w:val="004E6B49"/>
    <w:rsid w:val="004E7359"/>
    <w:rsid w:val="004E7B5D"/>
    <w:rsid w:val="004E7B98"/>
    <w:rsid w:val="004E7D74"/>
    <w:rsid w:val="004F0406"/>
    <w:rsid w:val="004F06D4"/>
    <w:rsid w:val="004F11C7"/>
    <w:rsid w:val="004F12E2"/>
    <w:rsid w:val="004F1CCF"/>
    <w:rsid w:val="004F21F3"/>
    <w:rsid w:val="004F2236"/>
    <w:rsid w:val="004F234C"/>
    <w:rsid w:val="004F286B"/>
    <w:rsid w:val="004F2C93"/>
    <w:rsid w:val="004F2D53"/>
    <w:rsid w:val="004F2F9D"/>
    <w:rsid w:val="004F3929"/>
    <w:rsid w:val="004F39E2"/>
    <w:rsid w:val="004F46CD"/>
    <w:rsid w:val="004F49B8"/>
    <w:rsid w:val="004F4D8D"/>
    <w:rsid w:val="004F4EDD"/>
    <w:rsid w:val="004F4F7D"/>
    <w:rsid w:val="004F52AE"/>
    <w:rsid w:val="004F5574"/>
    <w:rsid w:val="004F584A"/>
    <w:rsid w:val="004F5CDB"/>
    <w:rsid w:val="004F6680"/>
    <w:rsid w:val="004F6B7C"/>
    <w:rsid w:val="004F6BF1"/>
    <w:rsid w:val="004F7213"/>
    <w:rsid w:val="004F731A"/>
    <w:rsid w:val="004F7828"/>
    <w:rsid w:val="004F78EB"/>
    <w:rsid w:val="0050023B"/>
    <w:rsid w:val="00500883"/>
    <w:rsid w:val="00500918"/>
    <w:rsid w:val="00500CF8"/>
    <w:rsid w:val="005012FA"/>
    <w:rsid w:val="0050147F"/>
    <w:rsid w:val="005015F4"/>
    <w:rsid w:val="00501AA3"/>
    <w:rsid w:val="00501C82"/>
    <w:rsid w:val="00501D97"/>
    <w:rsid w:val="0050222B"/>
    <w:rsid w:val="00502900"/>
    <w:rsid w:val="005029A0"/>
    <w:rsid w:val="00502E1C"/>
    <w:rsid w:val="00503015"/>
    <w:rsid w:val="00503172"/>
    <w:rsid w:val="00503E20"/>
    <w:rsid w:val="0050419F"/>
    <w:rsid w:val="00504208"/>
    <w:rsid w:val="005042AD"/>
    <w:rsid w:val="0050462E"/>
    <w:rsid w:val="005047E2"/>
    <w:rsid w:val="00504A65"/>
    <w:rsid w:val="00504C9B"/>
    <w:rsid w:val="00504EB7"/>
    <w:rsid w:val="00504EF4"/>
    <w:rsid w:val="0050510D"/>
    <w:rsid w:val="005055DC"/>
    <w:rsid w:val="00505C13"/>
    <w:rsid w:val="00506158"/>
    <w:rsid w:val="00506EE6"/>
    <w:rsid w:val="00507796"/>
    <w:rsid w:val="00507D6B"/>
    <w:rsid w:val="00510038"/>
    <w:rsid w:val="0051020D"/>
    <w:rsid w:val="00510638"/>
    <w:rsid w:val="00510B41"/>
    <w:rsid w:val="00510D6C"/>
    <w:rsid w:val="00510FB9"/>
    <w:rsid w:val="005110EA"/>
    <w:rsid w:val="005114EF"/>
    <w:rsid w:val="00511624"/>
    <w:rsid w:val="0051183B"/>
    <w:rsid w:val="0051227B"/>
    <w:rsid w:val="0051236B"/>
    <w:rsid w:val="005126B1"/>
    <w:rsid w:val="0051283E"/>
    <w:rsid w:val="005129A6"/>
    <w:rsid w:val="00513219"/>
    <w:rsid w:val="005132EF"/>
    <w:rsid w:val="00513752"/>
    <w:rsid w:val="005137AB"/>
    <w:rsid w:val="00513870"/>
    <w:rsid w:val="0051394D"/>
    <w:rsid w:val="00513B1B"/>
    <w:rsid w:val="00513B39"/>
    <w:rsid w:val="00513C39"/>
    <w:rsid w:val="00514689"/>
    <w:rsid w:val="00514E08"/>
    <w:rsid w:val="005155D3"/>
    <w:rsid w:val="005157CD"/>
    <w:rsid w:val="00515CE6"/>
    <w:rsid w:val="00517276"/>
    <w:rsid w:val="005173D2"/>
    <w:rsid w:val="00517404"/>
    <w:rsid w:val="00517815"/>
    <w:rsid w:val="00517CB7"/>
    <w:rsid w:val="00517DF8"/>
    <w:rsid w:val="005209EC"/>
    <w:rsid w:val="00520A9E"/>
    <w:rsid w:val="00520E4A"/>
    <w:rsid w:val="005215D5"/>
    <w:rsid w:val="005218F4"/>
    <w:rsid w:val="00521D93"/>
    <w:rsid w:val="00522611"/>
    <w:rsid w:val="0052282C"/>
    <w:rsid w:val="00522CD9"/>
    <w:rsid w:val="00523289"/>
    <w:rsid w:val="00523918"/>
    <w:rsid w:val="00523A8A"/>
    <w:rsid w:val="00523CD6"/>
    <w:rsid w:val="0052431B"/>
    <w:rsid w:val="005249BC"/>
    <w:rsid w:val="00524BEF"/>
    <w:rsid w:val="00524E1A"/>
    <w:rsid w:val="00526155"/>
    <w:rsid w:val="00526A6D"/>
    <w:rsid w:val="00526CA1"/>
    <w:rsid w:val="00526D61"/>
    <w:rsid w:val="00527017"/>
    <w:rsid w:val="00527C29"/>
    <w:rsid w:val="00527CBB"/>
    <w:rsid w:val="00527E4F"/>
    <w:rsid w:val="0053019E"/>
    <w:rsid w:val="005306B4"/>
    <w:rsid w:val="00530B3A"/>
    <w:rsid w:val="00530D92"/>
    <w:rsid w:val="00531052"/>
    <w:rsid w:val="00531494"/>
    <w:rsid w:val="005314A4"/>
    <w:rsid w:val="00531604"/>
    <w:rsid w:val="00531A05"/>
    <w:rsid w:val="00531C86"/>
    <w:rsid w:val="00531CCB"/>
    <w:rsid w:val="00531FA5"/>
    <w:rsid w:val="0053234E"/>
    <w:rsid w:val="005325E4"/>
    <w:rsid w:val="0053284D"/>
    <w:rsid w:val="0053313B"/>
    <w:rsid w:val="00533BC0"/>
    <w:rsid w:val="00534072"/>
    <w:rsid w:val="005341C6"/>
    <w:rsid w:val="00534E26"/>
    <w:rsid w:val="00535164"/>
    <w:rsid w:val="0053548F"/>
    <w:rsid w:val="00536200"/>
    <w:rsid w:val="005369A3"/>
    <w:rsid w:val="00536A63"/>
    <w:rsid w:val="00536B8E"/>
    <w:rsid w:val="00536CF6"/>
    <w:rsid w:val="00536F8F"/>
    <w:rsid w:val="0053739B"/>
    <w:rsid w:val="005373CC"/>
    <w:rsid w:val="00537530"/>
    <w:rsid w:val="00537DD3"/>
    <w:rsid w:val="00540272"/>
    <w:rsid w:val="005406BF"/>
    <w:rsid w:val="00540D66"/>
    <w:rsid w:val="00540D6A"/>
    <w:rsid w:val="00542322"/>
    <w:rsid w:val="00542340"/>
    <w:rsid w:val="00542382"/>
    <w:rsid w:val="00542B4D"/>
    <w:rsid w:val="00542E24"/>
    <w:rsid w:val="0054306D"/>
    <w:rsid w:val="00543B5B"/>
    <w:rsid w:val="00543DFF"/>
    <w:rsid w:val="00544723"/>
    <w:rsid w:val="00544A01"/>
    <w:rsid w:val="00544A8B"/>
    <w:rsid w:val="0054519F"/>
    <w:rsid w:val="00545457"/>
    <w:rsid w:val="00546336"/>
    <w:rsid w:val="00546467"/>
    <w:rsid w:val="0054782F"/>
    <w:rsid w:val="005478D5"/>
    <w:rsid w:val="00547ADD"/>
    <w:rsid w:val="0055069B"/>
    <w:rsid w:val="005515AE"/>
    <w:rsid w:val="00551BBD"/>
    <w:rsid w:val="005523EF"/>
    <w:rsid w:val="00552789"/>
    <w:rsid w:val="005532FE"/>
    <w:rsid w:val="00554035"/>
    <w:rsid w:val="00554061"/>
    <w:rsid w:val="005543F9"/>
    <w:rsid w:val="00554B3E"/>
    <w:rsid w:val="00554C2E"/>
    <w:rsid w:val="00555003"/>
    <w:rsid w:val="005556A4"/>
    <w:rsid w:val="00555F68"/>
    <w:rsid w:val="00556019"/>
    <w:rsid w:val="005564C4"/>
    <w:rsid w:val="005566BE"/>
    <w:rsid w:val="00556ABB"/>
    <w:rsid w:val="00556AD8"/>
    <w:rsid w:val="005570B0"/>
    <w:rsid w:val="00557B3D"/>
    <w:rsid w:val="00557CEB"/>
    <w:rsid w:val="00560244"/>
    <w:rsid w:val="00560329"/>
    <w:rsid w:val="005608B5"/>
    <w:rsid w:val="00560994"/>
    <w:rsid w:val="00560B88"/>
    <w:rsid w:val="00561115"/>
    <w:rsid w:val="005611CB"/>
    <w:rsid w:val="00561372"/>
    <w:rsid w:val="005617A7"/>
    <w:rsid w:val="0056200E"/>
    <w:rsid w:val="005629E1"/>
    <w:rsid w:val="00562A9E"/>
    <w:rsid w:val="00562BE9"/>
    <w:rsid w:val="00562C32"/>
    <w:rsid w:val="0056326C"/>
    <w:rsid w:val="005634AC"/>
    <w:rsid w:val="005634B8"/>
    <w:rsid w:val="00563DA3"/>
    <w:rsid w:val="0056479D"/>
    <w:rsid w:val="005647F7"/>
    <w:rsid w:val="005650DB"/>
    <w:rsid w:val="005654FC"/>
    <w:rsid w:val="005656B3"/>
    <w:rsid w:val="005656CC"/>
    <w:rsid w:val="0056580C"/>
    <w:rsid w:val="005658FE"/>
    <w:rsid w:val="00565927"/>
    <w:rsid w:val="005659AC"/>
    <w:rsid w:val="00565FED"/>
    <w:rsid w:val="00566193"/>
    <w:rsid w:val="00566376"/>
    <w:rsid w:val="0056674A"/>
    <w:rsid w:val="00566B0D"/>
    <w:rsid w:val="00566CA2"/>
    <w:rsid w:val="00566D51"/>
    <w:rsid w:val="00566E0A"/>
    <w:rsid w:val="005672CD"/>
    <w:rsid w:val="005674F6"/>
    <w:rsid w:val="00567AAF"/>
    <w:rsid w:val="00567D6F"/>
    <w:rsid w:val="0057031E"/>
    <w:rsid w:val="00570476"/>
    <w:rsid w:val="0057057A"/>
    <w:rsid w:val="0057106E"/>
    <w:rsid w:val="005710C9"/>
    <w:rsid w:val="0057124A"/>
    <w:rsid w:val="00571438"/>
    <w:rsid w:val="005716B7"/>
    <w:rsid w:val="00571B2E"/>
    <w:rsid w:val="005720A5"/>
    <w:rsid w:val="005722FD"/>
    <w:rsid w:val="0057251E"/>
    <w:rsid w:val="005725E4"/>
    <w:rsid w:val="005730C0"/>
    <w:rsid w:val="0057377D"/>
    <w:rsid w:val="005738FD"/>
    <w:rsid w:val="005739BF"/>
    <w:rsid w:val="00573CBA"/>
    <w:rsid w:val="00573CD0"/>
    <w:rsid w:val="005742C2"/>
    <w:rsid w:val="00574C5B"/>
    <w:rsid w:val="00574D52"/>
    <w:rsid w:val="00574DE1"/>
    <w:rsid w:val="00574FC8"/>
    <w:rsid w:val="005752EE"/>
    <w:rsid w:val="00575792"/>
    <w:rsid w:val="00575DBF"/>
    <w:rsid w:val="00576678"/>
    <w:rsid w:val="00576FE6"/>
    <w:rsid w:val="00577C11"/>
    <w:rsid w:val="005804B3"/>
    <w:rsid w:val="0058085D"/>
    <w:rsid w:val="0058085F"/>
    <w:rsid w:val="00580DDA"/>
    <w:rsid w:val="00581118"/>
    <w:rsid w:val="005813A5"/>
    <w:rsid w:val="005816C2"/>
    <w:rsid w:val="0058176A"/>
    <w:rsid w:val="00581A20"/>
    <w:rsid w:val="00581B67"/>
    <w:rsid w:val="0058201A"/>
    <w:rsid w:val="00582260"/>
    <w:rsid w:val="00582441"/>
    <w:rsid w:val="00582B03"/>
    <w:rsid w:val="005832E6"/>
    <w:rsid w:val="0058363B"/>
    <w:rsid w:val="00583CAC"/>
    <w:rsid w:val="00583F77"/>
    <w:rsid w:val="00584651"/>
    <w:rsid w:val="00584AB3"/>
    <w:rsid w:val="00584AF3"/>
    <w:rsid w:val="005852E6"/>
    <w:rsid w:val="0058547F"/>
    <w:rsid w:val="00585910"/>
    <w:rsid w:val="00585B89"/>
    <w:rsid w:val="00586066"/>
    <w:rsid w:val="005869F6"/>
    <w:rsid w:val="00587967"/>
    <w:rsid w:val="00587E10"/>
    <w:rsid w:val="005906BE"/>
    <w:rsid w:val="00590990"/>
    <w:rsid w:val="005918BE"/>
    <w:rsid w:val="00591D4C"/>
    <w:rsid w:val="00591D64"/>
    <w:rsid w:val="00591DF9"/>
    <w:rsid w:val="005923BF"/>
    <w:rsid w:val="005927B8"/>
    <w:rsid w:val="005928A6"/>
    <w:rsid w:val="0059302B"/>
    <w:rsid w:val="00593315"/>
    <w:rsid w:val="0059335C"/>
    <w:rsid w:val="00593D9E"/>
    <w:rsid w:val="00593EB4"/>
    <w:rsid w:val="00593F47"/>
    <w:rsid w:val="005945EA"/>
    <w:rsid w:val="00594DAA"/>
    <w:rsid w:val="00594EA8"/>
    <w:rsid w:val="0059518A"/>
    <w:rsid w:val="00595693"/>
    <w:rsid w:val="005956B1"/>
    <w:rsid w:val="005959D0"/>
    <w:rsid w:val="00595A52"/>
    <w:rsid w:val="00595DC3"/>
    <w:rsid w:val="0059610E"/>
    <w:rsid w:val="00596539"/>
    <w:rsid w:val="005965C1"/>
    <w:rsid w:val="00596885"/>
    <w:rsid w:val="005A09F1"/>
    <w:rsid w:val="005A0BAC"/>
    <w:rsid w:val="005A12CB"/>
    <w:rsid w:val="005A2405"/>
    <w:rsid w:val="005A2BF8"/>
    <w:rsid w:val="005A2D5F"/>
    <w:rsid w:val="005A3EF5"/>
    <w:rsid w:val="005A4B4D"/>
    <w:rsid w:val="005A4E14"/>
    <w:rsid w:val="005A53E5"/>
    <w:rsid w:val="005A5A65"/>
    <w:rsid w:val="005A5AE9"/>
    <w:rsid w:val="005A621C"/>
    <w:rsid w:val="005A64FB"/>
    <w:rsid w:val="005A66EE"/>
    <w:rsid w:val="005A7173"/>
    <w:rsid w:val="005A748C"/>
    <w:rsid w:val="005A751D"/>
    <w:rsid w:val="005A79FA"/>
    <w:rsid w:val="005B0046"/>
    <w:rsid w:val="005B0459"/>
    <w:rsid w:val="005B06BC"/>
    <w:rsid w:val="005B0C33"/>
    <w:rsid w:val="005B0C7C"/>
    <w:rsid w:val="005B0EB8"/>
    <w:rsid w:val="005B11D0"/>
    <w:rsid w:val="005B1EEC"/>
    <w:rsid w:val="005B2C0E"/>
    <w:rsid w:val="005B2E05"/>
    <w:rsid w:val="005B2FC3"/>
    <w:rsid w:val="005B31A4"/>
    <w:rsid w:val="005B321C"/>
    <w:rsid w:val="005B35E4"/>
    <w:rsid w:val="005B3615"/>
    <w:rsid w:val="005B373F"/>
    <w:rsid w:val="005B3BB7"/>
    <w:rsid w:val="005B3E75"/>
    <w:rsid w:val="005B3F55"/>
    <w:rsid w:val="005B483E"/>
    <w:rsid w:val="005B4C0A"/>
    <w:rsid w:val="005B5A65"/>
    <w:rsid w:val="005B5DD5"/>
    <w:rsid w:val="005B62F4"/>
    <w:rsid w:val="005B6D27"/>
    <w:rsid w:val="005B6E6D"/>
    <w:rsid w:val="005B6E72"/>
    <w:rsid w:val="005B7666"/>
    <w:rsid w:val="005B7775"/>
    <w:rsid w:val="005B79FD"/>
    <w:rsid w:val="005B7AB7"/>
    <w:rsid w:val="005B7F1F"/>
    <w:rsid w:val="005C004C"/>
    <w:rsid w:val="005C03F9"/>
    <w:rsid w:val="005C0533"/>
    <w:rsid w:val="005C0B31"/>
    <w:rsid w:val="005C0F26"/>
    <w:rsid w:val="005C1325"/>
    <w:rsid w:val="005C15E5"/>
    <w:rsid w:val="005C1844"/>
    <w:rsid w:val="005C1957"/>
    <w:rsid w:val="005C1D00"/>
    <w:rsid w:val="005C2D72"/>
    <w:rsid w:val="005C305F"/>
    <w:rsid w:val="005C342B"/>
    <w:rsid w:val="005C355D"/>
    <w:rsid w:val="005C35C3"/>
    <w:rsid w:val="005C3A14"/>
    <w:rsid w:val="005C40B3"/>
    <w:rsid w:val="005C43AE"/>
    <w:rsid w:val="005C4C83"/>
    <w:rsid w:val="005C4E8C"/>
    <w:rsid w:val="005C5E5F"/>
    <w:rsid w:val="005C6060"/>
    <w:rsid w:val="005C62CE"/>
    <w:rsid w:val="005C6302"/>
    <w:rsid w:val="005C649B"/>
    <w:rsid w:val="005C65C8"/>
    <w:rsid w:val="005C6AD8"/>
    <w:rsid w:val="005C6BE6"/>
    <w:rsid w:val="005C6F53"/>
    <w:rsid w:val="005C7407"/>
    <w:rsid w:val="005C796F"/>
    <w:rsid w:val="005C7B95"/>
    <w:rsid w:val="005D0CD2"/>
    <w:rsid w:val="005D1167"/>
    <w:rsid w:val="005D175C"/>
    <w:rsid w:val="005D1A37"/>
    <w:rsid w:val="005D1E4E"/>
    <w:rsid w:val="005D1F58"/>
    <w:rsid w:val="005D2481"/>
    <w:rsid w:val="005D2881"/>
    <w:rsid w:val="005D293A"/>
    <w:rsid w:val="005D29FC"/>
    <w:rsid w:val="005D2D7B"/>
    <w:rsid w:val="005D2EB8"/>
    <w:rsid w:val="005D2F52"/>
    <w:rsid w:val="005D331A"/>
    <w:rsid w:val="005D356D"/>
    <w:rsid w:val="005D35A2"/>
    <w:rsid w:val="005D3CAE"/>
    <w:rsid w:val="005D3E4D"/>
    <w:rsid w:val="005D4127"/>
    <w:rsid w:val="005D4718"/>
    <w:rsid w:val="005D4789"/>
    <w:rsid w:val="005D4A92"/>
    <w:rsid w:val="005D4FA1"/>
    <w:rsid w:val="005D52E9"/>
    <w:rsid w:val="005D53F9"/>
    <w:rsid w:val="005D6024"/>
    <w:rsid w:val="005D6BC8"/>
    <w:rsid w:val="005D6C53"/>
    <w:rsid w:val="005D6CB6"/>
    <w:rsid w:val="005D7318"/>
    <w:rsid w:val="005D73BF"/>
    <w:rsid w:val="005D74D4"/>
    <w:rsid w:val="005D78D7"/>
    <w:rsid w:val="005D79A9"/>
    <w:rsid w:val="005D7E5B"/>
    <w:rsid w:val="005D7F4B"/>
    <w:rsid w:val="005E058A"/>
    <w:rsid w:val="005E0801"/>
    <w:rsid w:val="005E09B7"/>
    <w:rsid w:val="005E0AFE"/>
    <w:rsid w:val="005E0E4D"/>
    <w:rsid w:val="005E140C"/>
    <w:rsid w:val="005E140E"/>
    <w:rsid w:val="005E166F"/>
    <w:rsid w:val="005E1B41"/>
    <w:rsid w:val="005E1EB5"/>
    <w:rsid w:val="005E20EB"/>
    <w:rsid w:val="005E3260"/>
    <w:rsid w:val="005E3A46"/>
    <w:rsid w:val="005E3C76"/>
    <w:rsid w:val="005E3E52"/>
    <w:rsid w:val="005E43D1"/>
    <w:rsid w:val="005E440F"/>
    <w:rsid w:val="005E45A1"/>
    <w:rsid w:val="005E471F"/>
    <w:rsid w:val="005E4A65"/>
    <w:rsid w:val="005E5171"/>
    <w:rsid w:val="005E62F4"/>
    <w:rsid w:val="005E642C"/>
    <w:rsid w:val="005E6D0A"/>
    <w:rsid w:val="005E6D79"/>
    <w:rsid w:val="005E6F22"/>
    <w:rsid w:val="005E7050"/>
    <w:rsid w:val="005E74A3"/>
    <w:rsid w:val="005E76B4"/>
    <w:rsid w:val="005E7AD8"/>
    <w:rsid w:val="005E7B88"/>
    <w:rsid w:val="005E7D18"/>
    <w:rsid w:val="005F00D4"/>
    <w:rsid w:val="005F0287"/>
    <w:rsid w:val="005F0B18"/>
    <w:rsid w:val="005F11C1"/>
    <w:rsid w:val="005F12FF"/>
    <w:rsid w:val="005F18F8"/>
    <w:rsid w:val="005F1B3F"/>
    <w:rsid w:val="005F1E1B"/>
    <w:rsid w:val="005F204E"/>
    <w:rsid w:val="005F2366"/>
    <w:rsid w:val="005F2472"/>
    <w:rsid w:val="005F2479"/>
    <w:rsid w:val="005F2519"/>
    <w:rsid w:val="005F2B68"/>
    <w:rsid w:val="005F2B70"/>
    <w:rsid w:val="005F2D7F"/>
    <w:rsid w:val="005F2E04"/>
    <w:rsid w:val="005F2F2F"/>
    <w:rsid w:val="005F30D5"/>
    <w:rsid w:val="005F359E"/>
    <w:rsid w:val="005F35FD"/>
    <w:rsid w:val="005F40D6"/>
    <w:rsid w:val="005F428D"/>
    <w:rsid w:val="005F4B77"/>
    <w:rsid w:val="005F5897"/>
    <w:rsid w:val="005F5A8C"/>
    <w:rsid w:val="005F5C58"/>
    <w:rsid w:val="005F6872"/>
    <w:rsid w:val="005F6D6A"/>
    <w:rsid w:val="005F7954"/>
    <w:rsid w:val="005F7997"/>
    <w:rsid w:val="005F7B5A"/>
    <w:rsid w:val="005F7D28"/>
    <w:rsid w:val="005F7F6E"/>
    <w:rsid w:val="0060031C"/>
    <w:rsid w:val="006007AA"/>
    <w:rsid w:val="00601113"/>
    <w:rsid w:val="006012AD"/>
    <w:rsid w:val="00601547"/>
    <w:rsid w:val="00601D2C"/>
    <w:rsid w:val="00601EDE"/>
    <w:rsid w:val="0060214D"/>
    <w:rsid w:val="00602274"/>
    <w:rsid w:val="00602431"/>
    <w:rsid w:val="00602BB7"/>
    <w:rsid w:val="00602C27"/>
    <w:rsid w:val="00602C4B"/>
    <w:rsid w:val="00602F23"/>
    <w:rsid w:val="00603D74"/>
    <w:rsid w:val="00604875"/>
    <w:rsid w:val="00604B78"/>
    <w:rsid w:val="00604D5D"/>
    <w:rsid w:val="006053C2"/>
    <w:rsid w:val="00605DD9"/>
    <w:rsid w:val="006060A5"/>
    <w:rsid w:val="006068D6"/>
    <w:rsid w:val="00606DE8"/>
    <w:rsid w:val="006070CB"/>
    <w:rsid w:val="006073F2"/>
    <w:rsid w:val="00607B24"/>
    <w:rsid w:val="00607D7D"/>
    <w:rsid w:val="006100CD"/>
    <w:rsid w:val="00610152"/>
    <w:rsid w:val="006103B3"/>
    <w:rsid w:val="00610429"/>
    <w:rsid w:val="0061053A"/>
    <w:rsid w:val="00610801"/>
    <w:rsid w:val="00610D5C"/>
    <w:rsid w:val="006110E1"/>
    <w:rsid w:val="006113CB"/>
    <w:rsid w:val="0061197C"/>
    <w:rsid w:val="00611A5C"/>
    <w:rsid w:val="006127BD"/>
    <w:rsid w:val="00612B6C"/>
    <w:rsid w:val="006131FB"/>
    <w:rsid w:val="0061341F"/>
    <w:rsid w:val="00613679"/>
    <w:rsid w:val="0061380A"/>
    <w:rsid w:val="00613BFD"/>
    <w:rsid w:val="00613CB2"/>
    <w:rsid w:val="00614205"/>
    <w:rsid w:val="00614690"/>
    <w:rsid w:val="0061499C"/>
    <w:rsid w:val="006149C6"/>
    <w:rsid w:val="00614BA5"/>
    <w:rsid w:val="00614BDE"/>
    <w:rsid w:val="00615097"/>
    <w:rsid w:val="0061531D"/>
    <w:rsid w:val="00615738"/>
    <w:rsid w:val="006157A5"/>
    <w:rsid w:val="0061638E"/>
    <w:rsid w:val="006166EE"/>
    <w:rsid w:val="00616998"/>
    <w:rsid w:val="006175A9"/>
    <w:rsid w:val="00617624"/>
    <w:rsid w:val="0061774A"/>
    <w:rsid w:val="006177B1"/>
    <w:rsid w:val="006178EE"/>
    <w:rsid w:val="00617AAB"/>
    <w:rsid w:val="00617D5A"/>
    <w:rsid w:val="0062007B"/>
    <w:rsid w:val="00620273"/>
    <w:rsid w:val="006207A8"/>
    <w:rsid w:val="006209AA"/>
    <w:rsid w:val="00620C8B"/>
    <w:rsid w:val="00620E2F"/>
    <w:rsid w:val="006210C4"/>
    <w:rsid w:val="0062121C"/>
    <w:rsid w:val="006219CA"/>
    <w:rsid w:val="00621CD4"/>
    <w:rsid w:val="00621DA6"/>
    <w:rsid w:val="00621FD0"/>
    <w:rsid w:val="006222CA"/>
    <w:rsid w:val="006225BC"/>
    <w:rsid w:val="00622DAF"/>
    <w:rsid w:val="00623511"/>
    <w:rsid w:val="00623C6D"/>
    <w:rsid w:val="00623F54"/>
    <w:rsid w:val="00623F77"/>
    <w:rsid w:val="006244BD"/>
    <w:rsid w:val="00624CE5"/>
    <w:rsid w:val="00625700"/>
    <w:rsid w:val="00625C14"/>
    <w:rsid w:val="00625F6D"/>
    <w:rsid w:val="00625FEA"/>
    <w:rsid w:val="00626629"/>
    <w:rsid w:val="00626EEF"/>
    <w:rsid w:val="00627106"/>
    <w:rsid w:val="006271BF"/>
    <w:rsid w:val="00627260"/>
    <w:rsid w:val="00627910"/>
    <w:rsid w:val="00627954"/>
    <w:rsid w:val="00627E45"/>
    <w:rsid w:val="006301CC"/>
    <w:rsid w:val="0063025A"/>
    <w:rsid w:val="00630574"/>
    <w:rsid w:val="006307D2"/>
    <w:rsid w:val="00630FC8"/>
    <w:rsid w:val="0063146C"/>
    <w:rsid w:val="006314B2"/>
    <w:rsid w:val="00631595"/>
    <w:rsid w:val="00631F2E"/>
    <w:rsid w:val="0063309A"/>
    <w:rsid w:val="00633355"/>
    <w:rsid w:val="00633EA0"/>
    <w:rsid w:val="006341F9"/>
    <w:rsid w:val="006345A7"/>
    <w:rsid w:val="0063478C"/>
    <w:rsid w:val="00634A7D"/>
    <w:rsid w:val="00635EF0"/>
    <w:rsid w:val="00635F01"/>
    <w:rsid w:val="006365D0"/>
    <w:rsid w:val="00636654"/>
    <w:rsid w:val="00636866"/>
    <w:rsid w:val="00636D51"/>
    <w:rsid w:val="00636D8D"/>
    <w:rsid w:val="0063715A"/>
    <w:rsid w:val="006372FA"/>
    <w:rsid w:val="00637325"/>
    <w:rsid w:val="00637E81"/>
    <w:rsid w:val="00640184"/>
    <w:rsid w:val="006405E6"/>
    <w:rsid w:val="00640BF3"/>
    <w:rsid w:val="006411A2"/>
    <w:rsid w:val="00641204"/>
    <w:rsid w:val="00641C28"/>
    <w:rsid w:val="006422E4"/>
    <w:rsid w:val="00642333"/>
    <w:rsid w:val="00642F1C"/>
    <w:rsid w:val="00642F7E"/>
    <w:rsid w:val="00643022"/>
    <w:rsid w:val="006432BD"/>
    <w:rsid w:val="0064348C"/>
    <w:rsid w:val="00643531"/>
    <w:rsid w:val="00644244"/>
    <w:rsid w:val="006443C0"/>
    <w:rsid w:val="0064459D"/>
    <w:rsid w:val="0064480C"/>
    <w:rsid w:val="00644A84"/>
    <w:rsid w:val="00645107"/>
    <w:rsid w:val="0064578E"/>
    <w:rsid w:val="00645841"/>
    <w:rsid w:val="0064588D"/>
    <w:rsid w:val="006458FD"/>
    <w:rsid w:val="006463B1"/>
    <w:rsid w:val="0064651D"/>
    <w:rsid w:val="006465A3"/>
    <w:rsid w:val="006465BD"/>
    <w:rsid w:val="006468B6"/>
    <w:rsid w:val="00646940"/>
    <w:rsid w:val="00646F26"/>
    <w:rsid w:val="00647581"/>
    <w:rsid w:val="00647979"/>
    <w:rsid w:val="00647DEC"/>
    <w:rsid w:val="00647E62"/>
    <w:rsid w:val="00651DE6"/>
    <w:rsid w:val="006520A0"/>
    <w:rsid w:val="00652150"/>
    <w:rsid w:val="0065236D"/>
    <w:rsid w:val="0065267C"/>
    <w:rsid w:val="00652736"/>
    <w:rsid w:val="00652C26"/>
    <w:rsid w:val="006530DE"/>
    <w:rsid w:val="0065321D"/>
    <w:rsid w:val="00653556"/>
    <w:rsid w:val="0065374A"/>
    <w:rsid w:val="006537FD"/>
    <w:rsid w:val="00653D95"/>
    <w:rsid w:val="00653DD7"/>
    <w:rsid w:val="006545B8"/>
    <w:rsid w:val="0065465B"/>
    <w:rsid w:val="00654937"/>
    <w:rsid w:val="00655045"/>
    <w:rsid w:val="00655454"/>
    <w:rsid w:val="00655594"/>
    <w:rsid w:val="00655F8E"/>
    <w:rsid w:val="006561E2"/>
    <w:rsid w:val="0065624A"/>
    <w:rsid w:val="0065640C"/>
    <w:rsid w:val="00656595"/>
    <w:rsid w:val="006568B2"/>
    <w:rsid w:val="00657108"/>
    <w:rsid w:val="006574A4"/>
    <w:rsid w:val="006574F1"/>
    <w:rsid w:val="006575AB"/>
    <w:rsid w:val="00657D22"/>
    <w:rsid w:val="00657D23"/>
    <w:rsid w:val="00660044"/>
    <w:rsid w:val="00660E45"/>
    <w:rsid w:val="00660EF2"/>
    <w:rsid w:val="0066102C"/>
    <w:rsid w:val="006615FB"/>
    <w:rsid w:val="0066165A"/>
    <w:rsid w:val="00661C6E"/>
    <w:rsid w:val="00661D33"/>
    <w:rsid w:val="006624EF"/>
    <w:rsid w:val="00662E54"/>
    <w:rsid w:val="006630EE"/>
    <w:rsid w:val="00663A3E"/>
    <w:rsid w:val="00663B53"/>
    <w:rsid w:val="006647A9"/>
    <w:rsid w:val="00664816"/>
    <w:rsid w:val="00664E43"/>
    <w:rsid w:val="00665639"/>
    <w:rsid w:val="006659EF"/>
    <w:rsid w:val="00665BC8"/>
    <w:rsid w:val="00665D26"/>
    <w:rsid w:val="00665D56"/>
    <w:rsid w:val="006668BE"/>
    <w:rsid w:val="00666B48"/>
    <w:rsid w:val="00666C24"/>
    <w:rsid w:val="0066770B"/>
    <w:rsid w:val="0066793A"/>
    <w:rsid w:val="0066793D"/>
    <w:rsid w:val="00667DCA"/>
    <w:rsid w:val="00667DCE"/>
    <w:rsid w:val="0067017C"/>
    <w:rsid w:val="0067051E"/>
    <w:rsid w:val="00670CAB"/>
    <w:rsid w:val="00670E0D"/>
    <w:rsid w:val="00671100"/>
    <w:rsid w:val="006716B2"/>
    <w:rsid w:val="0067177B"/>
    <w:rsid w:val="006717B5"/>
    <w:rsid w:val="00671898"/>
    <w:rsid w:val="00671E24"/>
    <w:rsid w:val="006721A4"/>
    <w:rsid w:val="00672A63"/>
    <w:rsid w:val="00672B5A"/>
    <w:rsid w:val="00672B7B"/>
    <w:rsid w:val="00673676"/>
    <w:rsid w:val="00673C0D"/>
    <w:rsid w:val="00673DAF"/>
    <w:rsid w:val="00674430"/>
    <w:rsid w:val="00674DD9"/>
    <w:rsid w:val="00675F1D"/>
    <w:rsid w:val="00675F39"/>
    <w:rsid w:val="00675F6D"/>
    <w:rsid w:val="006762AB"/>
    <w:rsid w:val="00676358"/>
    <w:rsid w:val="006763CC"/>
    <w:rsid w:val="0067660B"/>
    <w:rsid w:val="00676C85"/>
    <w:rsid w:val="00676F45"/>
    <w:rsid w:val="00676F9B"/>
    <w:rsid w:val="006775CD"/>
    <w:rsid w:val="00677FAD"/>
    <w:rsid w:val="006805C2"/>
    <w:rsid w:val="00680BB9"/>
    <w:rsid w:val="00680D68"/>
    <w:rsid w:val="00680FAD"/>
    <w:rsid w:val="00681546"/>
    <w:rsid w:val="00681693"/>
    <w:rsid w:val="00681768"/>
    <w:rsid w:val="00681A25"/>
    <w:rsid w:val="00681E81"/>
    <w:rsid w:val="00682D46"/>
    <w:rsid w:val="006830A0"/>
    <w:rsid w:val="006830AB"/>
    <w:rsid w:val="006830BB"/>
    <w:rsid w:val="00683420"/>
    <w:rsid w:val="0068390A"/>
    <w:rsid w:val="00683D12"/>
    <w:rsid w:val="00684038"/>
    <w:rsid w:val="006843E3"/>
    <w:rsid w:val="006844DD"/>
    <w:rsid w:val="006844EA"/>
    <w:rsid w:val="006845E9"/>
    <w:rsid w:val="00684FB1"/>
    <w:rsid w:val="00685090"/>
    <w:rsid w:val="006859E3"/>
    <w:rsid w:val="00685BA0"/>
    <w:rsid w:val="00686718"/>
    <w:rsid w:val="00686B59"/>
    <w:rsid w:val="00686DEF"/>
    <w:rsid w:val="00686F12"/>
    <w:rsid w:val="00687136"/>
    <w:rsid w:val="006875E3"/>
    <w:rsid w:val="00687880"/>
    <w:rsid w:val="0068795D"/>
    <w:rsid w:val="00687DA2"/>
    <w:rsid w:val="00687DA4"/>
    <w:rsid w:val="006907CE"/>
    <w:rsid w:val="006908AF"/>
    <w:rsid w:val="00690A4B"/>
    <w:rsid w:val="00690EB8"/>
    <w:rsid w:val="00690FF0"/>
    <w:rsid w:val="00691042"/>
    <w:rsid w:val="006917E1"/>
    <w:rsid w:val="00691A28"/>
    <w:rsid w:val="00691EC2"/>
    <w:rsid w:val="00691F38"/>
    <w:rsid w:val="0069228A"/>
    <w:rsid w:val="00692456"/>
    <w:rsid w:val="00692AAC"/>
    <w:rsid w:val="00692B5D"/>
    <w:rsid w:val="00692FB6"/>
    <w:rsid w:val="0069324B"/>
    <w:rsid w:val="006938DD"/>
    <w:rsid w:val="00693A7A"/>
    <w:rsid w:val="00693AAF"/>
    <w:rsid w:val="00693D54"/>
    <w:rsid w:val="00694C3D"/>
    <w:rsid w:val="00694D97"/>
    <w:rsid w:val="00694E02"/>
    <w:rsid w:val="0069519B"/>
    <w:rsid w:val="006959DE"/>
    <w:rsid w:val="00695BB2"/>
    <w:rsid w:val="0069685E"/>
    <w:rsid w:val="00696910"/>
    <w:rsid w:val="00696B7C"/>
    <w:rsid w:val="00696C16"/>
    <w:rsid w:val="00696C43"/>
    <w:rsid w:val="0069713B"/>
    <w:rsid w:val="00697263"/>
    <w:rsid w:val="00697A2A"/>
    <w:rsid w:val="00697ABD"/>
    <w:rsid w:val="00697B76"/>
    <w:rsid w:val="00697BE0"/>
    <w:rsid w:val="00697D31"/>
    <w:rsid w:val="00697D61"/>
    <w:rsid w:val="00697F5D"/>
    <w:rsid w:val="006A06EC"/>
    <w:rsid w:val="006A0C3A"/>
    <w:rsid w:val="006A0D95"/>
    <w:rsid w:val="006A0E09"/>
    <w:rsid w:val="006A1ABB"/>
    <w:rsid w:val="006A1D35"/>
    <w:rsid w:val="006A296A"/>
    <w:rsid w:val="006A2B97"/>
    <w:rsid w:val="006A2D5A"/>
    <w:rsid w:val="006A2D8B"/>
    <w:rsid w:val="006A2FDB"/>
    <w:rsid w:val="006A30BE"/>
    <w:rsid w:val="006A3340"/>
    <w:rsid w:val="006A33CF"/>
    <w:rsid w:val="006A3632"/>
    <w:rsid w:val="006A392C"/>
    <w:rsid w:val="006A3C61"/>
    <w:rsid w:val="006A3D30"/>
    <w:rsid w:val="006A3E91"/>
    <w:rsid w:val="006A4003"/>
    <w:rsid w:val="006A445B"/>
    <w:rsid w:val="006A45A5"/>
    <w:rsid w:val="006A466A"/>
    <w:rsid w:val="006A46E5"/>
    <w:rsid w:val="006A499B"/>
    <w:rsid w:val="006A49C1"/>
    <w:rsid w:val="006A49EB"/>
    <w:rsid w:val="006A4F44"/>
    <w:rsid w:val="006A52DE"/>
    <w:rsid w:val="006A5C29"/>
    <w:rsid w:val="006A5E42"/>
    <w:rsid w:val="006A62D7"/>
    <w:rsid w:val="006A6828"/>
    <w:rsid w:val="006A6B0C"/>
    <w:rsid w:val="006A6BBD"/>
    <w:rsid w:val="006A6C0E"/>
    <w:rsid w:val="006A6F45"/>
    <w:rsid w:val="006A6F66"/>
    <w:rsid w:val="006A7244"/>
    <w:rsid w:val="006A73BA"/>
    <w:rsid w:val="006A784A"/>
    <w:rsid w:val="006A7C8A"/>
    <w:rsid w:val="006A7DB9"/>
    <w:rsid w:val="006A7FB3"/>
    <w:rsid w:val="006B08E8"/>
    <w:rsid w:val="006B0EF6"/>
    <w:rsid w:val="006B1691"/>
    <w:rsid w:val="006B1D2D"/>
    <w:rsid w:val="006B1E69"/>
    <w:rsid w:val="006B2224"/>
    <w:rsid w:val="006B2240"/>
    <w:rsid w:val="006B2508"/>
    <w:rsid w:val="006B2BBC"/>
    <w:rsid w:val="006B2D07"/>
    <w:rsid w:val="006B3AB1"/>
    <w:rsid w:val="006B3C24"/>
    <w:rsid w:val="006B3DD7"/>
    <w:rsid w:val="006B3F64"/>
    <w:rsid w:val="006B4212"/>
    <w:rsid w:val="006B435D"/>
    <w:rsid w:val="006B4B31"/>
    <w:rsid w:val="006B4CB0"/>
    <w:rsid w:val="006B4F66"/>
    <w:rsid w:val="006B5470"/>
    <w:rsid w:val="006B597D"/>
    <w:rsid w:val="006B5A80"/>
    <w:rsid w:val="006B6091"/>
    <w:rsid w:val="006B64AD"/>
    <w:rsid w:val="006B6660"/>
    <w:rsid w:val="006B68E3"/>
    <w:rsid w:val="006B6ABB"/>
    <w:rsid w:val="006B6C5D"/>
    <w:rsid w:val="006B7609"/>
    <w:rsid w:val="006B775F"/>
    <w:rsid w:val="006B7B9D"/>
    <w:rsid w:val="006B7BE4"/>
    <w:rsid w:val="006B7DC3"/>
    <w:rsid w:val="006C017A"/>
    <w:rsid w:val="006C017B"/>
    <w:rsid w:val="006C0523"/>
    <w:rsid w:val="006C0701"/>
    <w:rsid w:val="006C094A"/>
    <w:rsid w:val="006C0C8D"/>
    <w:rsid w:val="006C0F72"/>
    <w:rsid w:val="006C105D"/>
    <w:rsid w:val="006C1283"/>
    <w:rsid w:val="006C144C"/>
    <w:rsid w:val="006C1554"/>
    <w:rsid w:val="006C16C9"/>
    <w:rsid w:val="006C1CBD"/>
    <w:rsid w:val="006C23B0"/>
    <w:rsid w:val="006C265D"/>
    <w:rsid w:val="006C2F03"/>
    <w:rsid w:val="006C3515"/>
    <w:rsid w:val="006C4688"/>
    <w:rsid w:val="006C46B4"/>
    <w:rsid w:val="006C48E1"/>
    <w:rsid w:val="006C492E"/>
    <w:rsid w:val="006C4C43"/>
    <w:rsid w:val="006C4D04"/>
    <w:rsid w:val="006C530F"/>
    <w:rsid w:val="006C54D1"/>
    <w:rsid w:val="006C56B5"/>
    <w:rsid w:val="006C5D6E"/>
    <w:rsid w:val="006C5E63"/>
    <w:rsid w:val="006C6449"/>
    <w:rsid w:val="006C675D"/>
    <w:rsid w:val="006C6E49"/>
    <w:rsid w:val="006C71A3"/>
    <w:rsid w:val="006C7E85"/>
    <w:rsid w:val="006D029D"/>
    <w:rsid w:val="006D0573"/>
    <w:rsid w:val="006D0C5B"/>
    <w:rsid w:val="006D0E2B"/>
    <w:rsid w:val="006D16BC"/>
    <w:rsid w:val="006D184F"/>
    <w:rsid w:val="006D19B4"/>
    <w:rsid w:val="006D1A43"/>
    <w:rsid w:val="006D1BC9"/>
    <w:rsid w:val="006D237E"/>
    <w:rsid w:val="006D3082"/>
    <w:rsid w:val="006D351A"/>
    <w:rsid w:val="006D3675"/>
    <w:rsid w:val="006D376F"/>
    <w:rsid w:val="006D3C69"/>
    <w:rsid w:val="006D4E83"/>
    <w:rsid w:val="006D552B"/>
    <w:rsid w:val="006D55DA"/>
    <w:rsid w:val="006D56F4"/>
    <w:rsid w:val="006D5BBD"/>
    <w:rsid w:val="006D680E"/>
    <w:rsid w:val="006D6BD1"/>
    <w:rsid w:val="006D6C65"/>
    <w:rsid w:val="006D7BEB"/>
    <w:rsid w:val="006D7E27"/>
    <w:rsid w:val="006E0687"/>
    <w:rsid w:val="006E0AC2"/>
    <w:rsid w:val="006E13BB"/>
    <w:rsid w:val="006E13F5"/>
    <w:rsid w:val="006E1C5D"/>
    <w:rsid w:val="006E2489"/>
    <w:rsid w:val="006E25BB"/>
    <w:rsid w:val="006E2CC8"/>
    <w:rsid w:val="006E30A0"/>
    <w:rsid w:val="006E3219"/>
    <w:rsid w:val="006E32D4"/>
    <w:rsid w:val="006E34EB"/>
    <w:rsid w:val="006E36CB"/>
    <w:rsid w:val="006E375A"/>
    <w:rsid w:val="006E40B2"/>
    <w:rsid w:val="006E43A1"/>
    <w:rsid w:val="006E47B4"/>
    <w:rsid w:val="006E4A42"/>
    <w:rsid w:val="006E4B1B"/>
    <w:rsid w:val="006E4C01"/>
    <w:rsid w:val="006E50B5"/>
    <w:rsid w:val="006E535A"/>
    <w:rsid w:val="006E5753"/>
    <w:rsid w:val="006E5F01"/>
    <w:rsid w:val="006E6144"/>
    <w:rsid w:val="006E6B0E"/>
    <w:rsid w:val="006E7BE3"/>
    <w:rsid w:val="006F061E"/>
    <w:rsid w:val="006F0627"/>
    <w:rsid w:val="006F0ED3"/>
    <w:rsid w:val="006F0F38"/>
    <w:rsid w:val="006F1A66"/>
    <w:rsid w:val="006F1D20"/>
    <w:rsid w:val="006F1E6C"/>
    <w:rsid w:val="006F1F1A"/>
    <w:rsid w:val="006F2136"/>
    <w:rsid w:val="006F2168"/>
    <w:rsid w:val="006F25DF"/>
    <w:rsid w:val="006F2772"/>
    <w:rsid w:val="006F36A1"/>
    <w:rsid w:val="006F3AE9"/>
    <w:rsid w:val="006F3E45"/>
    <w:rsid w:val="006F4537"/>
    <w:rsid w:val="006F45E9"/>
    <w:rsid w:val="006F49AA"/>
    <w:rsid w:val="006F61A2"/>
    <w:rsid w:val="006F6279"/>
    <w:rsid w:val="006F6754"/>
    <w:rsid w:val="006F67F6"/>
    <w:rsid w:val="006F6DAA"/>
    <w:rsid w:val="006F75FF"/>
    <w:rsid w:val="006F7EF1"/>
    <w:rsid w:val="0070001C"/>
    <w:rsid w:val="00700C5D"/>
    <w:rsid w:val="00701085"/>
    <w:rsid w:val="00701434"/>
    <w:rsid w:val="00701C6A"/>
    <w:rsid w:val="0070272D"/>
    <w:rsid w:val="00702AF9"/>
    <w:rsid w:val="007032F9"/>
    <w:rsid w:val="0070343A"/>
    <w:rsid w:val="00703B29"/>
    <w:rsid w:val="00703EDB"/>
    <w:rsid w:val="00703FBD"/>
    <w:rsid w:val="00704261"/>
    <w:rsid w:val="00704752"/>
    <w:rsid w:val="00704917"/>
    <w:rsid w:val="00704CE4"/>
    <w:rsid w:val="00704D6A"/>
    <w:rsid w:val="00704E70"/>
    <w:rsid w:val="007051DA"/>
    <w:rsid w:val="00705BBF"/>
    <w:rsid w:val="0070619B"/>
    <w:rsid w:val="00706391"/>
    <w:rsid w:val="00706BAC"/>
    <w:rsid w:val="00706DAA"/>
    <w:rsid w:val="0070727F"/>
    <w:rsid w:val="0070741D"/>
    <w:rsid w:val="0070748C"/>
    <w:rsid w:val="00707686"/>
    <w:rsid w:val="00707914"/>
    <w:rsid w:val="00707AFF"/>
    <w:rsid w:val="00707E1B"/>
    <w:rsid w:val="00707FC4"/>
    <w:rsid w:val="007101C4"/>
    <w:rsid w:val="007107ED"/>
    <w:rsid w:val="00710BBC"/>
    <w:rsid w:val="00710BFD"/>
    <w:rsid w:val="00711088"/>
    <w:rsid w:val="0071126B"/>
    <w:rsid w:val="00711815"/>
    <w:rsid w:val="00711847"/>
    <w:rsid w:val="007118C6"/>
    <w:rsid w:val="00711CB6"/>
    <w:rsid w:val="00712221"/>
    <w:rsid w:val="007129D6"/>
    <w:rsid w:val="00712D14"/>
    <w:rsid w:val="00712F11"/>
    <w:rsid w:val="00713044"/>
    <w:rsid w:val="00713809"/>
    <w:rsid w:val="00713BAE"/>
    <w:rsid w:val="00713D23"/>
    <w:rsid w:val="00713D3C"/>
    <w:rsid w:val="00713D6C"/>
    <w:rsid w:val="00714297"/>
    <w:rsid w:val="007147E0"/>
    <w:rsid w:val="00714D3D"/>
    <w:rsid w:val="00715400"/>
    <w:rsid w:val="0071577B"/>
    <w:rsid w:val="00715D2B"/>
    <w:rsid w:val="00716070"/>
    <w:rsid w:val="007160DA"/>
    <w:rsid w:val="007168E0"/>
    <w:rsid w:val="00716CE2"/>
    <w:rsid w:val="007170CA"/>
    <w:rsid w:val="0071743D"/>
    <w:rsid w:val="007179F3"/>
    <w:rsid w:val="00717A3E"/>
    <w:rsid w:val="00717DB1"/>
    <w:rsid w:val="00720435"/>
    <w:rsid w:val="0072046E"/>
    <w:rsid w:val="0072069B"/>
    <w:rsid w:val="00720C91"/>
    <w:rsid w:val="00720CA5"/>
    <w:rsid w:val="00720CD6"/>
    <w:rsid w:val="00720E08"/>
    <w:rsid w:val="00720EA9"/>
    <w:rsid w:val="007211D2"/>
    <w:rsid w:val="0072135B"/>
    <w:rsid w:val="00721C0E"/>
    <w:rsid w:val="00721F44"/>
    <w:rsid w:val="007223AF"/>
    <w:rsid w:val="007223EB"/>
    <w:rsid w:val="00722B14"/>
    <w:rsid w:val="0072311C"/>
    <w:rsid w:val="007231A4"/>
    <w:rsid w:val="007242E6"/>
    <w:rsid w:val="00724722"/>
    <w:rsid w:val="007249C2"/>
    <w:rsid w:val="00724AF1"/>
    <w:rsid w:val="00724D45"/>
    <w:rsid w:val="00725309"/>
    <w:rsid w:val="00725705"/>
    <w:rsid w:val="007257D0"/>
    <w:rsid w:val="007259C7"/>
    <w:rsid w:val="007264D6"/>
    <w:rsid w:val="007265BF"/>
    <w:rsid w:val="00726664"/>
    <w:rsid w:val="0072669A"/>
    <w:rsid w:val="007269B2"/>
    <w:rsid w:val="00726C2E"/>
    <w:rsid w:val="0072787E"/>
    <w:rsid w:val="00727CFF"/>
    <w:rsid w:val="007306C6"/>
    <w:rsid w:val="00730907"/>
    <w:rsid w:val="00730AD6"/>
    <w:rsid w:val="007311CF"/>
    <w:rsid w:val="00731A26"/>
    <w:rsid w:val="00731B88"/>
    <w:rsid w:val="00731B9B"/>
    <w:rsid w:val="00731D9E"/>
    <w:rsid w:val="0073295B"/>
    <w:rsid w:val="00732FCB"/>
    <w:rsid w:val="0073302D"/>
    <w:rsid w:val="00733261"/>
    <w:rsid w:val="00733F3D"/>
    <w:rsid w:val="0073408F"/>
    <w:rsid w:val="00734C8B"/>
    <w:rsid w:val="0073531E"/>
    <w:rsid w:val="00735734"/>
    <w:rsid w:val="00735866"/>
    <w:rsid w:val="0073595B"/>
    <w:rsid w:val="00735DA6"/>
    <w:rsid w:val="007363B3"/>
    <w:rsid w:val="007368BC"/>
    <w:rsid w:val="00737010"/>
    <w:rsid w:val="007371C3"/>
    <w:rsid w:val="0073741A"/>
    <w:rsid w:val="007377D4"/>
    <w:rsid w:val="007379B2"/>
    <w:rsid w:val="00737FBF"/>
    <w:rsid w:val="007400FA"/>
    <w:rsid w:val="0074015C"/>
    <w:rsid w:val="0074053C"/>
    <w:rsid w:val="0074091B"/>
    <w:rsid w:val="00740990"/>
    <w:rsid w:val="00740EA9"/>
    <w:rsid w:val="007411B3"/>
    <w:rsid w:val="007415DC"/>
    <w:rsid w:val="00741E98"/>
    <w:rsid w:val="00742146"/>
    <w:rsid w:val="0074218B"/>
    <w:rsid w:val="007430F3"/>
    <w:rsid w:val="007436A5"/>
    <w:rsid w:val="00743C89"/>
    <w:rsid w:val="007440F6"/>
    <w:rsid w:val="007444FE"/>
    <w:rsid w:val="007449D2"/>
    <w:rsid w:val="00744B02"/>
    <w:rsid w:val="00744C57"/>
    <w:rsid w:val="00744CF0"/>
    <w:rsid w:val="00745183"/>
    <w:rsid w:val="007454A2"/>
    <w:rsid w:val="00745C97"/>
    <w:rsid w:val="0074626C"/>
    <w:rsid w:val="007462EA"/>
    <w:rsid w:val="00746ECF"/>
    <w:rsid w:val="007474B5"/>
    <w:rsid w:val="00747B29"/>
    <w:rsid w:val="00747DB8"/>
    <w:rsid w:val="0075013F"/>
    <w:rsid w:val="0075082F"/>
    <w:rsid w:val="0075107B"/>
    <w:rsid w:val="007520CE"/>
    <w:rsid w:val="00752978"/>
    <w:rsid w:val="00752D5C"/>
    <w:rsid w:val="00753209"/>
    <w:rsid w:val="0075399C"/>
    <w:rsid w:val="00753D5C"/>
    <w:rsid w:val="007541D0"/>
    <w:rsid w:val="007542FC"/>
    <w:rsid w:val="00754C3C"/>
    <w:rsid w:val="00754D5E"/>
    <w:rsid w:val="00754DE9"/>
    <w:rsid w:val="0075536C"/>
    <w:rsid w:val="00755C3C"/>
    <w:rsid w:val="00755C5C"/>
    <w:rsid w:val="0075661F"/>
    <w:rsid w:val="00756904"/>
    <w:rsid w:val="00756C24"/>
    <w:rsid w:val="00756C7A"/>
    <w:rsid w:val="00757211"/>
    <w:rsid w:val="00757416"/>
    <w:rsid w:val="00757816"/>
    <w:rsid w:val="00757B75"/>
    <w:rsid w:val="00757FCA"/>
    <w:rsid w:val="0076010D"/>
    <w:rsid w:val="0076036C"/>
    <w:rsid w:val="007607AA"/>
    <w:rsid w:val="00760C7C"/>
    <w:rsid w:val="007615D3"/>
    <w:rsid w:val="00761776"/>
    <w:rsid w:val="0076192D"/>
    <w:rsid w:val="00761A57"/>
    <w:rsid w:val="00762032"/>
    <w:rsid w:val="0076241E"/>
    <w:rsid w:val="007627EA"/>
    <w:rsid w:val="00762828"/>
    <w:rsid w:val="007629AC"/>
    <w:rsid w:val="007631ED"/>
    <w:rsid w:val="007637A3"/>
    <w:rsid w:val="00764F32"/>
    <w:rsid w:val="00764FAC"/>
    <w:rsid w:val="007651ED"/>
    <w:rsid w:val="007652FB"/>
    <w:rsid w:val="00765A99"/>
    <w:rsid w:val="00765C0D"/>
    <w:rsid w:val="00766090"/>
    <w:rsid w:val="007660E3"/>
    <w:rsid w:val="0076616A"/>
    <w:rsid w:val="0076617E"/>
    <w:rsid w:val="00766472"/>
    <w:rsid w:val="00766670"/>
    <w:rsid w:val="0076684B"/>
    <w:rsid w:val="00766B0C"/>
    <w:rsid w:val="00767499"/>
    <w:rsid w:val="00767FB9"/>
    <w:rsid w:val="00770BBD"/>
    <w:rsid w:val="0077169E"/>
    <w:rsid w:val="00771876"/>
    <w:rsid w:val="00771FD9"/>
    <w:rsid w:val="0077204F"/>
    <w:rsid w:val="00772828"/>
    <w:rsid w:val="00772D50"/>
    <w:rsid w:val="00773064"/>
    <w:rsid w:val="0077371D"/>
    <w:rsid w:val="00775091"/>
    <w:rsid w:val="007750B9"/>
    <w:rsid w:val="0077514B"/>
    <w:rsid w:val="007754C3"/>
    <w:rsid w:val="00775733"/>
    <w:rsid w:val="00775B60"/>
    <w:rsid w:val="00776411"/>
    <w:rsid w:val="007765B5"/>
    <w:rsid w:val="00776B15"/>
    <w:rsid w:val="0077709B"/>
    <w:rsid w:val="007771BB"/>
    <w:rsid w:val="00777845"/>
    <w:rsid w:val="00777C17"/>
    <w:rsid w:val="00780313"/>
    <w:rsid w:val="007806BD"/>
    <w:rsid w:val="007807B8"/>
    <w:rsid w:val="00780BC9"/>
    <w:rsid w:val="00780E75"/>
    <w:rsid w:val="007813C4"/>
    <w:rsid w:val="007830FC"/>
    <w:rsid w:val="007832AC"/>
    <w:rsid w:val="00783626"/>
    <w:rsid w:val="00783B80"/>
    <w:rsid w:val="00783ED3"/>
    <w:rsid w:val="00784B8E"/>
    <w:rsid w:val="00785180"/>
    <w:rsid w:val="0078520E"/>
    <w:rsid w:val="00785428"/>
    <w:rsid w:val="00785846"/>
    <w:rsid w:val="007869EC"/>
    <w:rsid w:val="00786BD4"/>
    <w:rsid w:val="00786E68"/>
    <w:rsid w:val="00786EF1"/>
    <w:rsid w:val="00787997"/>
    <w:rsid w:val="0079015E"/>
    <w:rsid w:val="0079090F"/>
    <w:rsid w:val="00790B75"/>
    <w:rsid w:val="00790E58"/>
    <w:rsid w:val="0079165C"/>
    <w:rsid w:val="00791A68"/>
    <w:rsid w:val="0079209A"/>
    <w:rsid w:val="007923A8"/>
    <w:rsid w:val="007927D6"/>
    <w:rsid w:val="00792B82"/>
    <w:rsid w:val="00792C0E"/>
    <w:rsid w:val="00792E8D"/>
    <w:rsid w:val="007932C9"/>
    <w:rsid w:val="007933EF"/>
    <w:rsid w:val="007936FB"/>
    <w:rsid w:val="007937EA"/>
    <w:rsid w:val="00793CDE"/>
    <w:rsid w:val="007940E4"/>
    <w:rsid w:val="0079418B"/>
    <w:rsid w:val="0079428C"/>
    <w:rsid w:val="00794DCB"/>
    <w:rsid w:val="00794F31"/>
    <w:rsid w:val="00794FC8"/>
    <w:rsid w:val="0079527D"/>
    <w:rsid w:val="007953F6"/>
    <w:rsid w:val="007963F6"/>
    <w:rsid w:val="00796626"/>
    <w:rsid w:val="00796696"/>
    <w:rsid w:val="00796FE8"/>
    <w:rsid w:val="0079725B"/>
    <w:rsid w:val="00797899"/>
    <w:rsid w:val="00797B7E"/>
    <w:rsid w:val="00797C0E"/>
    <w:rsid w:val="007A024C"/>
    <w:rsid w:val="007A0404"/>
    <w:rsid w:val="007A06E0"/>
    <w:rsid w:val="007A0D89"/>
    <w:rsid w:val="007A212D"/>
    <w:rsid w:val="007A31D9"/>
    <w:rsid w:val="007A3841"/>
    <w:rsid w:val="007A386A"/>
    <w:rsid w:val="007A38EA"/>
    <w:rsid w:val="007A3C82"/>
    <w:rsid w:val="007A3DD6"/>
    <w:rsid w:val="007A3ED7"/>
    <w:rsid w:val="007A3F6E"/>
    <w:rsid w:val="007A4354"/>
    <w:rsid w:val="007A450A"/>
    <w:rsid w:val="007A4555"/>
    <w:rsid w:val="007A4A5F"/>
    <w:rsid w:val="007A521C"/>
    <w:rsid w:val="007A5C33"/>
    <w:rsid w:val="007A5CCD"/>
    <w:rsid w:val="007A5E45"/>
    <w:rsid w:val="007A63C8"/>
    <w:rsid w:val="007A6808"/>
    <w:rsid w:val="007A70FE"/>
    <w:rsid w:val="007A7280"/>
    <w:rsid w:val="007A743A"/>
    <w:rsid w:val="007A7879"/>
    <w:rsid w:val="007A7C7F"/>
    <w:rsid w:val="007B0A21"/>
    <w:rsid w:val="007B0BF5"/>
    <w:rsid w:val="007B1944"/>
    <w:rsid w:val="007B1AC9"/>
    <w:rsid w:val="007B1E97"/>
    <w:rsid w:val="007B231F"/>
    <w:rsid w:val="007B244E"/>
    <w:rsid w:val="007B29AA"/>
    <w:rsid w:val="007B36D3"/>
    <w:rsid w:val="007B3801"/>
    <w:rsid w:val="007B4164"/>
    <w:rsid w:val="007B4306"/>
    <w:rsid w:val="007B54DB"/>
    <w:rsid w:val="007B5652"/>
    <w:rsid w:val="007B65D0"/>
    <w:rsid w:val="007B6A2B"/>
    <w:rsid w:val="007B6CCB"/>
    <w:rsid w:val="007B7122"/>
    <w:rsid w:val="007B729C"/>
    <w:rsid w:val="007B76A5"/>
    <w:rsid w:val="007B77AF"/>
    <w:rsid w:val="007B78EC"/>
    <w:rsid w:val="007B7E06"/>
    <w:rsid w:val="007B7E7D"/>
    <w:rsid w:val="007B7FA2"/>
    <w:rsid w:val="007C049C"/>
    <w:rsid w:val="007C05FE"/>
    <w:rsid w:val="007C0808"/>
    <w:rsid w:val="007C1081"/>
    <w:rsid w:val="007C12AB"/>
    <w:rsid w:val="007C174A"/>
    <w:rsid w:val="007C1F3C"/>
    <w:rsid w:val="007C23BD"/>
    <w:rsid w:val="007C2608"/>
    <w:rsid w:val="007C2664"/>
    <w:rsid w:val="007C29B7"/>
    <w:rsid w:val="007C2B8C"/>
    <w:rsid w:val="007C3384"/>
    <w:rsid w:val="007C383C"/>
    <w:rsid w:val="007C3ABF"/>
    <w:rsid w:val="007C3B04"/>
    <w:rsid w:val="007C3FFB"/>
    <w:rsid w:val="007C4A74"/>
    <w:rsid w:val="007C4B99"/>
    <w:rsid w:val="007C5084"/>
    <w:rsid w:val="007C508F"/>
    <w:rsid w:val="007C5334"/>
    <w:rsid w:val="007C5CB3"/>
    <w:rsid w:val="007C5E60"/>
    <w:rsid w:val="007C5F6F"/>
    <w:rsid w:val="007C6396"/>
    <w:rsid w:val="007C6633"/>
    <w:rsid w:val="007C6A4A"/>
    <w:rsid w:val="007C6C19"/>
    <w:rsid w:val="007C6C8F"/>
    <w:rsid w:val="007C740B"/>
    <w:rsid w:val="007C754F"/>
    <w:rsid w:val="007C798D"/>
    <w:rsid w:val="007C7D1D"/>
    <w:rsid w:val="007C7D41"/>
    <w:rsid w:val="007D0242"/>
    <w:rsid w:val="007D063A"/>
    <w:rsid w:val="007D0BCE"/>
    <w:rsid w:val="007D0FB4"/>
    <w:rsid w:val="007D1348"/>
    <w:rsid w:val="007D143C"/>
    <w:rsid w:val="007D1D68"/>
    <w:rsid w:val="007D2338"/>
    <w:rsid w:val="007D2687"/>
    <w:rsid w:val="007D28B4"/>
    <w:rsid w:val="007D29D0"/>
    <w:rsid w:val="007D4319"/>
    <w:rsid w:val="007D48C5"/>
    <w:rsid w:val="007D4BE7"/>
    <w:rsid w:val="007D4D28"/>
    <w:rsid w:val="007D5367"/>
    <w:rsid w:val="007D5603"/>
    <w:rsid w:val="007D5701"/>
    <w:rsid w:val="007D5A48"/>
    <w:rsid w:val="007D5DB6"/>
    <w:rsid w:val="007D6358"/>
    <w:rsid w:val="007D639E"/>
    <w:rsid w:val="007D6509"/>
    <w:rsid w:val="007D65EC"/>
    <w:rsid w:val="007D6AC3"/>
    <w:rsid w:val="007D70B6"/>
    <w:rsid w:val="007E0940"/>
    <w:rsid w:val="007E15D9"/>
    <w:rsid w:val="007E192A"/>
    <w:rsid w:val="007E1A10"/>
    <w:rsid w:val="007E1DF9"/>
    <w:rsid w:val="007E1F83"/>
    <w:rsid w:val="007E2477"/>
    <w:rsid w:val="007E2E4F"/>
    <w:rsid w:val="007E338A"/>
    <w:rsid w:val="007E33B7"/>
    <w:rsid w:val="007E33C4"/>
    <w:rsid w:val="007E33CC"/>
    <w:rsid w:val="007E34EF"/>
    <w:rsid w:val="007E3E28"/>
    <w:rsid w:val="007E40F9"/>
    <w:rsid w:val="007E46BD"/>
    <w:rsid w:val="007E47D7"/>
    <w:rsid w:val="007E4D5F"/>
    <w:rsid w:val="007E4EAE"/>
    <w:rsid w:val="007E553E"/>
    <w:rsid w:val="007E57A2"/>
    <w:rsid w:val="007E685F"/>
    <w:rsid w:val="007E7124"/>
    <w:rsid w:val="007E741E"/>
    <w:rsid w:val="007E7894"/>
    <w:rsid w:val="007E7BAC"/>
    <w:rsid w:val="007E7ECC"/>
    <w:rsid w:val="007E7FEF"/>
    <w:rsid w:val="007F014B"/>
    <w:rsid w:val="007F0EDD"/>
    <w:rsid w:val="007F0F99"/>
    <w:rsid w:val="007F17D3"/>
    <w:rsid w:val="007F17EF"/>
    <w:rsid w:val="007F1B87"/>
    <w:rsid w:val="007F21DC"/>
    <w:rsid w:val="007F2269"/>
    <w:rsid w:val="007F296C"/>
    <w:rsid w:val="007F2A6A"/>
    <w:rsid w:val="007F2D7B"/>
    <w:rsid w:val="007F32EA"/>
    <w:rsid w:val="007F36FB"/>
    <w:rsid w:val="007F3CF9"/>
    <w:rsid w:val="007F41C8"/>
    <w:rsid w:val="007F4677"/>
    <w:rsid w:val="007F479A"/>
    <w:rsid w:val="007F502A"/>
    <w:rsid w:val="007F51B8"/>
    <w:rsid w:val="007F53D7"/>
    <w:rsid w:val="007F5C2D"/>
    <w:rsid w:val="007F5DF1"/>
    <w:rsid w:val="007F61CB"/>
    <w:rsid w:val="007F6302"/>
    <w:rsid w:val="007F6384"/>
    <w:rsid w:val="007F6753"/>
    <w:rsid w:val="007F68E8"/>
    <w:rsid w:val="007F6C9A"/>
    <w:rsid w:val="007F720E"/>
    <w:rsid w:val="007F73AF"/>
    <w:rsid w:val="007F76E9"/>
    <w:rsid w:val="007F7A67"/>
    <w:rsid w:val="007F7D26"/>
    <w:rsid w:val="0080004D"/>
    <w:rsid w:val="00800235"/>
    <w:rsid w:val="00800B0C"/>
    <w:rsid w:val="00800B15"/>
    <w:rsid w:val="00800C8B"/>
    <w:rsid w:val="008010FC"/>
    <w:rsid w:val="00801136"/>
    <w:rsid w:val="008012AC"/>
    <w:rsid w:val="00801892"/>
    <w:rsid w:val="00801DBE"/>
    <w:rsid w:val="008026DE"/>
    <w:rsid w:val="00802B2F"/>
    <w:rsid w:val="008035D3"/>
    <w:rsid w:val="00803B8F"/>
    <w:rsid w:val="0080427E"/>
    <w:rsid w:val="008046B9"/>
    <w:rsid w:val="008046EB"/>
    <w:rsid w:val="0080497B"/>
    <w:rsid w:val="00804CD0"/>
    <w:rsid w:val="00804DBE"/>
    <w:rsid w:val="00805659"/>
    <w:rsid w:val="00805748"/>
    <w:rsid w:val="0080588E"/>
    <w:rsid w:val="00805D94"/>
    <w:rsid w:val="00806329"/>
    <w:rsid w:val="0080651C"/>
    <w:rsid w:val="00806A28"/>
    <w:rsid w:val="00806B9B"/>
    <w:rsid w:val="00807334"/>
    <w:rsid w:val="0080753C"/>
    <w:rsid w:val="00807846"/>
    <w:rsid w:val="008079EA"/>
    <w:rsid w:val="00807A66"/>
    <w:rsid w:val="00807B9F"/>
    <w:rsid w:val="008105CF"/>
    <w:rsid w:val="00810B9D"/>
    <w:rsid w:val="00811731"/>
    <w:rsid w:val="00811ABE"/>
    <w:rsid w:val="00811DA8"/>
    <w:rsid w:val="00811FA5"/>
    <w:rsid w:val="00812112"/>
    <w:rsid w:val="00812344"/>
    <w:rsid w:val="008125F4"/>
    <w:rsid w:val="00813255"/>
    <w:rsid w:val="0081330C"/>
    <w:rsid w:val="00813942"/>
    <w:rsid w:val="00813AE8"/>
    <w:rsid w:val="00813FFA"/>
    <w:rsid w:val="00814116"/>
    <w:rsid w:val="00815CC1"/>
    <w:rsid w:val="00815E91"/>
    <w:rsid w:val="00816252"/>
    <w:rsid w:val="00816605"/>
    <w:rsid w:val="00816725"/>
    <w:rsid w:val="008167EB"/>
    <w:rsid w:val="00816B50"/>
    <w:rsid w:val="0081715A"/>
    <w:rsid w:val="008173B6"/>
    <w:rsid w:val="00817552"/>
    <w:rsid w:val="00817930"/>
    <w:rsid w:val="00817B55"/>
    <w:rsid w:val="00817D47"/>
    <w:rsid w:val="00817DD6"/>
    <w:rsid w:val="008201BF"/>
    <w:rsid w:val="0082027D"/>
    <w:rsid w:val="0082030C"/>
    <w:rsid w:val="008208B2"/>
    <w:rsid w:val="00820DF8"/>
    <w:rsid w:val="00820EBC"/>
    <w:rsid w:val="008218A7"/>
    <w:rsid w:val="00821B13"/>
    <w:rsid w:val="00821DDB"/>
    <w:rsid w:val="00821EF1"/>
    <w:rsid w:val="00822436"/>
    <w:rsid w:val="00822DF4"/>
    <w:rsid w:val="00822ED9"/>
    <w:rsid w:val="0082383D"/>
    <w:rsid w:val="0082388F"/>
    <w:rsid w:val="00823C39"/>
    <w:rsid w:val="00824453"/>
    <w:rsid w:val="008245E3"/>
    <w:rsid w:val="00824A7C"/>
    <w:rsid w:val="00825227"/>
    <w:rsid w:val="00825FDA"/>
    <w:rsid w:val="008261A5"/>
    <w:rsid w:val="008261FD"/>
    <w:rsid w:val="008263B0"/>
    <w:rsid w:val="00826440"/>
    <w:rsid w:val="00826CC3"/>
    <w:rsid w:val="00826CDD"/>
    <w:rsid w:val="0082736B"/>
    <w:rsid w:val="00827C73"/>
    <w:rsid w:val="00827F23"/>
    <w:rsid w:val="008300F2"/>
    <w:rsid w:val="0083012A"/>
    <w:rsid w:val="00830213"/>
    <w:rsid w:val="00830554"/>
    <w:rsid w:val="00830A19"/>
    <w:rsid w:val="00831050"/>
    <w:rsid w:val="008311D2"/>
    <w:rsid w:val="008316A0"/>
    <w:rsid w:val="00831849"/>
    <w:rsid w:val="00831AA9"/>
    <w:rsid w:val="00831B9A"/>
    <w:rsid w:val="00831D8A"/>
    <w:rsid w:val="00831DA4"/>
    <w:rsid w:val="00832243"/>
    <w:rsid w:val="008323E4"/>
    <w:rsid w:val="00832A08"/>
    <w:rsid w:val="00833388"/>
    <w:rsid w:val="00833432"/>
    <w:rsid w:val="00833B83"/>
    <w:rsid w:val="00833C7F"/>
    <w:rsid w:val="00834641"/>
    <w:rsid w:val="0083489D"/>
    <w:rsid w:val="008353BB"/>
    <w:rsid w:val="008355EC"/>
    <w:rsid w:val="008356DD"/>
    <w:rsid w:val="00835926"/>
    <w:rsid w:val="00835D3F"/>
    <w:rsid w:val="00835DDA"/>
    <w:rsid w:val="00837586"/>
    <w:rsid w:val="00837790"/>
    <w:rsid w:val="0084033C"/>
    <w:rsid w:val="0084067C"/>
    <w:rsid w:val="00840A57"/>
    <w:rsid w:val="00840C4A"/>
    <w:rsid w:val="00840F28"/>
    <w:rsid w:val="00842050"/>
    <w:rsid w:val="008426F1"/>
    <w:rsid w:val="00842AFF"/>
    <w:rsid w:val="00842F00"/>
    <w:rsid w:val="00843009"/>
    <w:rsid w:val="008430E0"/>
    <w:rsid w:val="00843231"/>
    <w:rsid w:val="008433AB"/>
    <w:rsid w:val="0084376A"/>
    <w:rsid w:val="0084430C"/>
    <w:rsid w:val="0084447B"/>
    <w:rsid w:val="008444AF"/>
    <w:rsid w:val="00844AA9"/>
    <w:rsid w:val="00844AC3"/>
    <w:rsid w:val="00844D4D"/>
    <w:rsid w:val="00845C90"/>
    <w:rsid w:val="00846318"/>
    <w:rsid w:val="008468A2"/>
    <w:rsid w:val="008470F8"/>
    <w:rsid w:val="0084731A"/>
    <w:rsid w:val="0084747D"/>
    <w:rsid w:val="008476B0"/>
    <w:rsid w:val="008478FF"/>
    <w:rsid w:val="00847C9C"/>
    <w:rsid w:val="008501CC"/>
    <w:rsid w:val="0085025D"/>
    <w:rsid w:val="00850D03"/>
    <w:rsid w:val="00850F6A"/>
    <w:rsid w:val="00851314"/>
    <w:rsid w:val="00851537"/>
    <w:rsid w:val="00851B1D"/>
    <w:rsid w:val="0085216E"/>
    <w:rsid w:val="00852C1D"/>
    <w:rsid w:val="00852D85"/>
    <w:rsid w:val="00852DB0"/>
    <w:rsid w:val="00852E43"/>
    <w:rsid w:val="00853091"/>
    <w:rsid w:val="008531CD"/>
    <w:rsid w:val="00853640"/>
    <w:rsid w:val="008538C7"/>
    <w:rsid w:val="0085401E"/>
    <w:rsid w:val="008540B5"/>
    <w:rsid w:val="00854614"/>
    <w:rsid w:val="0085471E"/>
    <w:rsid w:val="00854CC7"/>
    <w:rsid w:val="0085502E"/>
    <w:rsid w:val="008552FE"/>
    <w:rsid w:val="00855689"/>
    <w:rsid w:val="00855847"/>
    <w:rsid w:val="00855B64"/>
    <w:rsid w:val="00856107"/>
    <w:rsid w:val="00856683"/>
    <w:rsid w:val="00856E98"/>
    <w:rsid w:val="008572B1"/>
    <w:rsid w:val="0085748F"/>
    <w:rsid w:val="00857847"/>
    <w:rsid w:val="008579CD"/>
    <w:rsid w:val="00857A2D"/>
    <w:rsid w:val="00857CFF"/>
    <w:rsid w:val="00857E05"/>
    <w:rsid w:val="00860052"/>
    <w:rsid w:val="0086047F"/>
    <w:rsid w:val="008604AC"/>
    <w:rsid w:val="0086053B"/>
    <w:rsid w:val="00860571"/>
    <w:rsid w:val="00860AB6"/>
    <w:rsid w:val="0086143F"/>
    <w:rsid w:val="0086171B"/>
    <w:rsid w:val="00861826"/>
    <w:rsid w:val="00862607"/>
    <w:rsid w:val="008626FF"/>
    <w:rsid w:val="00863304"/>
    <w:rsid w:val="00863EF7"/>
    <w:rsid w:val="00863F37"/>
    <w:rsid w:val="00864A5B"/>
    <w:rsid w:val="00865BA2"/>
    <w:rsid w:val="0086636D"/>
    <w:rsid w:val="00866E56"/>
    <w:rsid w:val="00867BC7"/>
    <w:rsid w:val="00867CCE"/>
    <w:rsid w:val="0087039E"/>
    <w:rsid w:val="008703EA"/>
    <w:rsid w:val="008705C0"/>
    <w:rsid w:val="00870BA0"/>
    <w:rsid w:val="00870BE4"/>
    <w:rsid w:val="00870D19"/>
    <w:rsid w:val="008716ED"/>
    <w:rsid w:val="0087170E"/>
    <w:rsid w:val="00871A6F"/>
    <w:rsid w:val="00871AC6"/>
    <w:rsid w:val="00871BFC"/>
    <w:rsid w:val="00871C7A"/>
    <w:rsid w:val="008730D4"/>
    <w:rsid w:val="00873275"/>
    <w:rsid w:val="0087343E"/>
    <w:rsid w:val="008739B4"/>
    <w:rsid w:val="00873BF5"/>
    <w:rsid w:val="00873C64"/>
    <w:rsid w:val="00873EB9"/>
    <w:rsid w:val="00873F0A"/>
    <w:rsid w:val="00874287"/>
    <w:rsid w:val="00875D2E"/>
    <w:rsid w:val="00875F07"/>
    <w:rsid w:val="008767C3"/>
    <w:rsid w:val="00876A1C"/>
    <w:rsid w:val="008773FD"/>
    <w:rsid w:val="0087748A"/>
    <w:rsid w:val="0087764B"/>
    <w:rsid w:val="00877E6D"/>
    <w:rsid w:val="00877F45"/>
    <w:rsid w:val="00880A75"/>
    <w:rsid w:val="00880E3C"/>
    <w:rsid w:val="00880FA8"/>
    <w:rsid w:val="008813D6"/>
    <w:rsid w:val="00881A43"/>
    <w:rsid w:val="00881D4F"/>
    <w:rsid w:val="008824B1"/>
    <w:rsid w:val="0088251B"/>
    <w:rsid w:val="008825EC"/>
    <w:rsid w:val="00882839"/>
    <w:rsid w:val="00882B72"/>
    <w:rsid w:val="00882D0D"/>
    <w:rsid w:val="00882F2F"/>
    <w:rsid w:val="00883676"/>
    <w:rsid w:val="00883A72"/>
    <w:rsid w:val="00883F8B"/>
    <w:rsid w:val="0088434E"/>
    <w:rsid w:val="008843D6"/>
    <w:rsid w:val="0088479E"/>
    <w:rsid w:val="008847A9"/>
    <w:rsid w:val="0088485A"/>
    <w:rsid w:val="00884A13"/>
    <w:rsid w:val="00885103"/>
    <w:rsid w:val="00885204"/>
    <w:rsid w:val="00885B2F"/>
    <w:rsid w:val="008860CE"/>
    <w:rsid w:val="008863CD"/>
    <w:rsid w:val="008864E2"/>
    <w:rsid w:val="0088734C"/>
    <w:rsid w:val="00887DBE"/>
    <w:rsid w:val="00887DC2"/>
    <w:rsid w:val="00887F8C"/>
    <w:rsid w:val="00887FFC"/>
    <w:rsid w:val="008911E3"/>
    <w:rsid w:val="0089173B"/>
    <w:rsid w:val="00891D1A"/>
    <w:rsid w:val="00891E96"/>
    <w:rsid w:val="00892504"/>
    <w:rsid w:val="008925B3"/>
    <w:rsid w:val="0089280B"/>
    <w:rsid w:val="00892CD7"/>
    <w:rsid w:val="00893040"/>
    <w:rsid w:val="008933EA"/>
    <w:rsid w:val="00893498"/>
    <w:rsid w:val="008935ED"/>
    <w:rsid w:val="0089405C"/>
    <w:rsid w:val="008944A0"/>
    <w:rsid w:val="00894769"/>
    <w:rsid w:val="00894BF7"/>
    <w:rsid w:val="00894D6F"/>
    <w:rsid w:val="00895210"/>
    <w:rsid w:val="008952A1"/>
    <w:rsid w:val="00895A81"/>
    <w:rsid w:val="00895DB3"/>
    <w:rsid w:val="008964B8"/>
    <w:rsid w:val="008968C5"/>
    <w:rsid w:val="0089696F"/>
    <w:rsid w:val="008969F5"/>
    <w:rsid w:val="00896BAB"/>
    <w:rsid w:val="00897009"/>
    <w:rsid w:val="008A0373"/>
    <w:rsid w:val="008A05A0"/>
    <w:rsid w:val="008A08BB"/>
    <w:rsid w:val="008A0926"/>
    <w:rsid w:val="008A129A"/>
    <w:rsid w:val="008A1426"/>
    <w:rsid w:val="008A154B"/>
    <w:rsid w:val="008A198F"/>
    <w:rsid w:val="008A28D7"/>
    <w:rsid w:val="008A2F1D"/>
    <w:rsid w:val="008A3868"/>
    <w:rsid w:val="008A41C4"/>
    <w:rsid w:val="008A426D"/>
    <w:rsid w:val="008A429D"/>
    <w:rsid w:val="008A42FF"/>
    <w:rsid w:val="008A43F1"/>
    <w:rsid w:val="008A4419"/>
    <w:rsid w:val="008A478C"/>
    <w:rsid w:val="008A4835"/>
    <w:rsid w:val="008A4ABB"/>
    <w:rsid w:val="008A4F06"/>
    <w:rsid w:val="008A519E"/>
    <w:rsid w:val="008A5918"/>
    <w:rsid w:val="008A59C6"/>
    <w:rsid w:val="008A5BB8"/>
    <w:rsid w:val="008A5CCA"/>
    <w:rsid w:val="008A5EF8"/>
    <w:rsid w:val="008A695E"/>
    <w:rsid w:val="008A71DB"/>
    <w:rsid w:val="008A733C"/>
    <w:rsid w:val="008B0432"/>
    <w:rsid w:val="008B1487"/>
    <w:rsid w:val="008B255F"/>
    <w:rsid w:val="008B2891"/>
    <w:rsid w:val="008B315F"/>
    <w:rsid w:val="008B4132"/>
    <w:rsid w:val="008B430D"/>
    <w:rsid w:val="008B45D1"/>
    <w:rsid w:val="008B4726"/>
    <w:rsid w:val="008B4845"/>
    <w:rsid w:val="008B4E3E"/>
    <w:rsid w:val="008B5D57"/>
    <w:rsid w:val="008B6322"/>
    <w:rsid w:val="008B635A"/>
    <w:rsid w:val="008B6BE4"/>
    <w:rsid w:val="008B6D6B"/>
    <w:rsid w:val="008B70D5"/>
    <w:rsid w:val="008B72F5"/>
    <w:rsid w:val="008B7515"/>
    <w:rsid w:val="008B7D38"/>
    <w:rsid w:val="008B7FFB"/>
    <w:rsid w:val="008C024C"/>
    <w:rsid w:val="008C02C7"/>
    <w:rsid w:val="008C0404"/>
    <w:rsid w:val="008C08FC"/>
    <w:rsid w:val="008C0E45"/>
    <w:rsid w:val="008C147C"/>
    <w:rsid w:val="008C171D"/>
    <w:rsid w:val="008C189F"/>
    <w:rsid w:val="008C1CD9"/>
    <w:rsid w:val="008C23B1"/>
    <w:rsid w:val="008C27A6"/>
    <w:rsid w:val="008C348B"/>
    <w:rsid w:val="008C3F28"/>
    <w:rsid w:val="008C46A0"/>
    <w:rsid w:val="008C4A96"/>
    <w:rsid w:val="008C4B1E"/>
    <w:rsid w:val="008C5078"/>
    <w:rsid w:val="008C50F7"/>
    <w:rsid w:val="008C5478"/>
    <w:rsid w:val="008C54FE"/>
    <w:rsid w:val="008C5667"/>
    <w:rsid w:val="008C585C"/>
    <w:rsid w:val="008C6120"/>
    <w:rsid w:val="008C62F5"/>
    <w:rsid w:val="008C6F7C"/>
    <w:rsid w:val="008C742F"/>
    <w:rsid w:val="008C77C9"/>
    <w:rsid w:val="008C77D9"/>
    <w:rsid w:val="008C7F57"/>
    <w:rsid w:val="008D0507"/>
    <w:rsid w:val="008D092F"/>
    <w:rsid w:val="008D1166"/>
    <w:rsid w:val="008D142C"/>
    <w:rsid w:val="008D17DB"/>
    <w:rsid w:val="008D1915"/>
    <w:rsid w:val="008D19EF"/>
    <w:rsid w:val="008D1D00"/>
    <w:rsid w:val="008D2178"/>
    <w:rsid w:val="008D2412"/>
    <w:rsid w:val="008D28BD"/>
    <w:rsid w:val="008D31F8"/>
    <w:rsid w:val="008D3CB9"/>
    <w:rsid w:val="008D3D8C"/>
    <w:rsid w:val="008D3F02"/>
    <w:rsid w:val="008D4273"/>
    <w:rsid w:val="008D43B5"/>
    <w:rsid w:val="008D5BBA"/>
    <w:rsid w:val="008D6220"/>
    <w:rsid w:val="008D64DB"/>
    <w:rsid w:val="008D6E00"/>
    <w:rsid w:val="008D6EF3"/>
    <w:rsid w:val="008D74B2"/>
    <w:rsid w:val="008D74B5"/>
    <w:rsid w:val="008D7BA8"/>
    <w:rsid w:val="008D7C83"/>
    <w:rsid w:val="008E04B7"/>
    <w:rsid w:val="008E08E7"/>
    <w:rsid w:val="008E0ADD"/>
    <w:rsid w:val="008E0EEF"/>
    <w:rsid w:val="008E114F"/>
    <w:rsid w:val="008E13E5"/>
    <w:rsid w:val="008E158B"/>
    <w:rsid w:val="008E16BD"/>
    <w:rsid w:val="008E1EFA"/>
    <w:rsid w:val="008E2291"/>
    <w:rsid w:val="008E2365"/>
    <w:rsid w:val="008E276D"/>
    <w:rsid w:val="008E2E54"/>
    <w:rsid w:val="008E2E85"/>
    <w:rsid w:val="008E329D"/>
    <w:rsid w:val="008E35DF"/>
    <w:rsid w:val="008E3830"/>
    <w:rsid w:val="008E3A54"/>
    <w:rsid w:val="008E4183"/>
    <w:rsid w:val="008E418C"/>
    <w:rsid w:val="008E437C"/>
    <w:rsid w:val="008E465F"/>
    <w:rsid w:val="008E4F34"/>
    <w:rsid w:val="008E50B1"/>
    <w:rsid w:val="008E5653"/>
    <w:rsid w:val="008E56A5"/>
    <w:rsid w:val="008E57E7"/>
    <w:rsid w:val="008E5868"/>
    <w:rsid w:val="008E5AE7"/>
    <w:rsid w:val="008E5C2F"/>
    <w:rsid w:val="008E5C61"/>
    <w:rsid w:val="008E62EE"/>
    <w:rsid w:val="008E654E"/>
    <w:rsid w:val="008E6E7B"/>
    <w:rsid w:val="008E7603"/>
    <w:rsid w:val="008E7BE7"/>
    <w:rsid w:val="008E7DC3"/>
    <w:rsid w:val="008F06A9"/>
    <w:rsid w:val="008F076A"/>
    <w:rsid w:val="008F0EC4"/>
    <w:rsid w:val="008F1379"/>
    <w:rsid w:val="008F153B"/>
    <w:rsid w:val="008F1734"/>
    <w:rsid w:val="008F1D01"/>
    <w:rsid w:val="008F1E0E"/>
    <w:rsid w:val="008F2224"/>
    <w:rsid w:val="008F2355"/>
    <w:rsid w:val="008F265A"/>
    <w:rsid w:val="008F2778"/>
    <w:rsid w:val="008F2BEC"/>
    <w:rsid w:val="008F2D79"/>
    <w:rsid w:val="008F2EFD"/>
    <w:rsid w:val="008F2F27"/>
    <w:rsid w:val="008F2FA9"/>
    <w:rsid w:val="008F351D"/>
    <w:rsid w:val="008F377F"/>
    <w:rsid w:val="008F3882"/>
    <w:rsid w:val="008F457F"/>
    <w:rsid w:val="008F4853"/>
    <w:rsid w:val="008F4AFC"/>
    <w:rsid w:val="008F4E2C"/>
    <w:rsid w:val="008F4F22"/>
    <w:rsid w:val="008F4F4B"/>
    <w:rsid w:val="008F514B"/>
    <w:rsid w:val="008F575C"/>
    <w:rsid w:val="008F5BC3"/>
    <w:rsid w:val="008F5E75"/>
    <w:rsid w:val="008F624A"/>
    <w:rsid w:val="008F6611"/>
    <w:rsid w:val="008F6987"/>
    <w:rsid w:val="008F6ECE"/>
    <w:rsid w:val="008F7331"/>
    <w:rsid w:val="008F76C4"/>
    <w:rsid w:val="008F7D8B"/>
    <w:rsid w:val="0090020B"/>
    <w:rsid w:val="00900467"/>
    <w:rsid w:val="00900809"/>
    <w:rsid w:val="00900CC4"/>
    <w:rsid w:val="009014BE"/>
    <w:rsid w:val="0090152F"/>
    <w:rsid w:val="00901631"/>
    <w:rsid w:val="0090169A"/>
    <w:rsid w:val="00901BC2"/>
    <w:rsid w:val="009025FC"/>
    <w:rsid w:val="00902727"/>
    <w:rsid w:val="00902825"/>
    <w:rsid w:val="00902FB0"/>
    <w:rsid w:val="00904051"/>
    <w:rsid w:val="0090461C"/>
    <w:rsid w:val="00904B46"/>
    <w:rsid w:val="009051FA"/>
    <w:rsid w:val="009055BE"/>
    <w:rsid w:val="00906FE6"/>
    <w:rsid w:val="0090798E"/>
    <w:rsid w:val="00907D11"/>
    <w:rsid w:val="00907E9A"/>
    <w:rsid w:val="0091038E"/>
    <w:rsid w:val="009104AD"/>
    <w:rsid w:val="0091053D"/>
    <w:rsid w:val="00910576"/>
    <w:rsid w:val="00910671"/>
    <w:rsid w:val="00911050"/>
    <w:rsid w:val="009110CE"/>
    <w:rsid w:val="0091111F"/>
    <w:rsid w:val="009115B6"/>
    <w:rsid w:val="00912120"/>
    <w:rsid w:val="009121DB"/>
    <w:rsid w:val="00912384"/>
    <w:rsid w:val="0091275F"/>
    <w:rsid w:val="00912BC2"/>
    <w:rsid w:val="00912BC6"/>
    <w:rsid w:val="00912F09"/>
    <w:rsid w:val="00913461"/>
    <w:rsid w:val="0091359C"/>
    <w:rsid w:val="009137D8"/>
    <w:rsid w:val="0091436F"/>
    <w:rsid w:val="00914559"/>
    <w:rsid w:val="009149F7"/>
    <w:rsid w:val="00914FD1"/>
    <w:rsid w:val="009156D8"/>
    <w:rsid w:val="00915906"/>
    <w:rsid w:val="00915B84"/>
    <w:rsid w:val="00915D7D"/>
    <w:rsid w:val="00915F10"/>
    <w:rsid w:val="00916679"/>
    <w:rsid w:val="00916783"/>
    <w:rsid w:val="009172D7"/>
    <w:rsid w:val="009179F8"/>
    <w:rsid w:val="00917D57"/>
    <w:rsid w:val="00917E19"/>
    <w:rsid w:val="00920006"/>
    <w:rsid w:val="009203FC"/>
    <w:rsid w:val="00920BFD"/>
    <w:rsid w:val="009213E9"/>
    <w:rsid w:val="009220C6"/>
    <w:rsid w:val="00922457"/>
    <w:rsid w:val="009227F1"/>
    <w:rsid w:val="00923DAB"/>
    <w:rsid w:val="00923E90"/>
    <w:rsid w:val="009243E9"/>
    <w:rsid w:val="00924553"/>
    <w:rsid w:val="009249BE"/>
    <w:rsid w:val="00924BF9"/>
    <w:rsid w:val="00925EA1"/>
    <w:rsid w:val="00925F0B"/>
    <w:rsid w:val="009262B7"/>
    <w:rsid w:val="00926892"/>
    <w:rsid w:val="00926AB2"/>
    <w:rsid w:val="009272D7"/>
    <w:rsid w:val="009272E0"/>
    <w:rsid w:val="009273C2"/>
    <w:rsid w:val="00927412"/>
    <w:rsid w:val="0092788B"/>
    <w:rsid w:val="00927AFD"/>
    <w:rsid w:val="00930995"/>
    <w:rsid w:val="00930A4B"/>
    <w:rsid w:val="00930BC0"/>
    <w:rsid w:val="00930C93"/>
    <w:rsid w:val="00930D9C"/>
    <w:rsid w:val="00930DB3"/>
    <w:rsid w:val="009322C7"/>
    <w:rsid w:val="009322D6"/>
    <w:rsid w:val="00932564"/>
    <w:rsid w:val="0093294A"/>
    <w:rsid w:val="00932F3F"/>
    <w:rsid w:val="009330FA"/>
    <w:rsid w:val="009335EC"/>
    <w:rsid w:val="00934724"/>
    <w:rsid w:val="00934887"/>
    <w:rsid w:val="00935167"/>
    <w:rsid w:val="0093563F"/>
    <w:rsid w:val="00935BFE"/>
    <w:rsid w:val="009365CA"/>
    <w:rsid w:val="00936D06"/>
    <w:rsid w:val="00937C28"/>
    <w:rsid w:val="0094043D"/>
    <w:rsid w:val="009404EC"/>
    <w:rsid w:val="0094059C"/>
    <w:rsid w:val="00940B17"/>
    <w:rsid w:val="0094167F"/>
    <w:rsid w:val="00941B89"/>
    <w:rsid w:val="00941CA0"/>
    <w:rsid w:val="00941F16"/>
    <w:rsid w:val="0094260F"/>
    <w:rsid w:val="009434A3"/>
    <w:rsid w:val="009439BF"/>
    <w:rsid w:val="00944078"/>
    <w:rsid w:val="0094499E"/>
    <w:rsid w:val="00945082"/>
    <w:rsid w:val="009458E5"/>
    <w:rsid w:val="00945B81"/>
    <w:rsid w:val="00945C75"/>
    <w:rsid w:val="0094657E"/>
    <w:rsid w:val="00946685"/>
    <w:rsid w:val="009467AB"/>
    <w:rsid w:val="009467CF"/>
    <w:rsid w:val="009467D3"/>
    <w:rsid w:val="00946CA8"/>
    <w:rsid w:val="00946FF6"/>
    <w:rsid w:val="009474DB"/>
    <w:rsid w:val="009477C6"/>
    <w:rsid w:val="009501C0"/>
    <w:rsid w:val="00950271"/>
    <w:rsid w:val="009509C9"/>
    <w:rsid w:val="00950BB4"/>
    <w:rsid w:val="009510C5"/>
    <w:rsid w:val="009510DB"/>
    <w:rsid w:val="009512F8"/>
    <w:rsid w:val="009514BF"/>
    <w:rsid w:val="00951A81"/>
    <w:rsid w:val="0095207B"/>
    <w:rsid w:val="009520A4"/>
    <w:rsid w:val="0095258E"/>
    <w:rsid w:val="009526BE"/>
    <w:rsid w:val="00952715"/>
    <w:rsid w:val="00952F47"/>
    <w:rsid w:val="00953FA8"/>
    <w:rsid w:val="009540AD"/>
    <w:rsid w:val="009540F9"/>
    <w:rsid w:val="00954B3C"/>
    <w:rsid w:val="00955221"/>
    <w:rsid w:val="0095535C"/>
    <w:rsid w:val="00955497"/>
    <w:rsid w:val="0095591B"/>
    <w:rsid w:val="009562BD"/>
    <w:rsid w:val="0095640F"/>
    <w:rsid w:val="00956468"/>
    <w:rsid w:val="00956867"/>
    <w:rsid w:val="0095699D"/>
    <w:rsid w:val="00956AC3"/>
    <w:rsid w:val="00956B48"/>
    <w:rsid w:val="00957445"/>
    <w:rsid w:val="009575F7"/>
    <w:rsid w:val="00957846"/>
    <w:rsid w:val="00957EBE"/>
    <w:rsid w:val="009607B0"/>
    <w:rsid w:val="00960BF7"/>
    <w:rsid w:val="0096111D"/>
    <w:rsid w:val="00961A12"/>
    <w:rsid w:val="00961A67"/>
    <w:rsid w:val="009625DF"/>
    <w:rsid w:val="00962646"/>
    <w:rsid w:val="009629F4"/>
    <w:rsid w:val="00962B52"/>
    <w:rsid w:val="00962B8D"/>
    <w:rsid w:val="00962D08"/>
    <w:rsid w:val="0096301D"/>
    <w:rsid w:val="0096368A"/>
    <w:rsid w:val="00963CAD"/>
    <w:rsid w:val="0096486C"/>
    <w:rsid w:val="00964A4F"/>
    <w:rsid w:val="00964F57"/>
    <w:rsid w:val="00965409"/>
    <w:rsid w:val="0096644F"/>
    <w:rsid w:val="009666D3"/>
    <w:rsid w:val="009669D1"/>
    <w:rsid w:val="00966CC7"/>
    <w:rsid w:val="00966EF3"/>
    <w:rsid w:val="009670FF"/>
    <w:rsid w:val="00967596"/>
    <w:rsid w:val="00967C24"/>
    <w:rsid w:val="009706C3"/>
    <w:rsid w:val="0097076C"/>
    <w:rsid w:val="00970D64"/>
    <w:rsid w:val="00971340"/>
    <w:rsid w:val="00971A6B"/>
    <w:rsid w:val="00971FFA"/>
    <w:rsid w:val="00972140"/>
    <w:rsid w:val="009724B7"/>
    <w:rsid w:val="00972E56"/>
    <w:rsid w:val="00973562"/>
    <w:rsid w:val="009747D9"/>
    <w:rsid w:val="0097499E"/>
    <w:rsid w:val="00974CB7"/>
    <w:rsid w:val="00975095"/>
    <w:rsid w:val="0097577A"/>
    <w:rsid w:val="00975908"/>
    <w:rsid w:val="00975C6E"/>
    <w:rsid w:val="00975D8F"/>
    <w:rsid w:val="00975F4A"/>
    <w:rsid w:val="00976959"/>
    <w:rsid w:val="009769B8"/>
    <w:rsid w:val="00976B4F"/>
    <w:rsid w:val="00976C52"/>
    <w:rsid w:val="00976F88"/>
    <w:rsid w:val="0097739F"/>
    <w:rsid w:val="0097780F"/>
    <w:rsid w:val="00977C68"/>
    <w:rsid w:val="00977CD6"/>
    <w:rsid w:val="00977EC0"/>
    <w:rsid w:val="009805E2"/>
    <w:rsid w:val="009817B8"/>
    <w:rsid w:val="00981B86"/>
    <w:rsid w:val="009822BA"/>
    <w:rsid w:val="0098235B"/>
    <w:rsid w:val="00982549"/>
    <w:rsid w:val="00982946"/>
    <w:rsid w:val="00982CA1"/>
    <w:rsid w:val="0098351A"/>
    <w:rsid w:val="00983C63"/>
    <w:rsid w:val="00984080"/>
    <w:rsid w:val="00984AF0"/>
    <w:rsid w:val="00984C90"/>
    <w:rsid w:val="00985543"/>
    <w:rsid w:val="009866C3"/>
    <w:rsid w:val="009867A3"/>
    <w:rsid w:val="00986D3C"/>
    <w:rsid w:val="009877AB"/>
    <w:rsid w:val="009877D1"/>
    <w:rsid w:val="00987B6A"/>
    <w:rsid w:val="00987F27"/>
    <w:rsid w:val="009900F8"/>
    <w:rsid w:val="009901F0"/>
    <w:rsid w:val="00990885"/>
    <w:rsid w:val="00990DD2"/>
    <w:rsid w:val="00990E84"/>
    <w:rsid w:val="00991037"/>
    <w:rsid w:val="009912F6"/>
    <w:rsid w:val="00991667"/>
    <w:rsid w:val="00991770"/>
    <w:rsid w:val="00991782"/>
    <w:rsid w:val="00991C44"/>
    <w:rsid w:val="00991C70"/>
    <w:rsid w:val="00991C7F"/>
    <w:rsid w:val="00991CE5"/>
    <w:rsid w:val="00992A31"/>
    <w:rsid w:val="00993358"/>
    <w:rsid w:val="00993AAC"/>
    <w:rsid w:val="0099409E"/>
    <w:rsid w:val="00994153"/>
    <w:rsid w:val="009941F9"/>
    <w:rsid w:val="00994218"/>
    <w:rsid w:val="009942CE"/>
    <w:rsid w:val="00994F68"/>
    <w:rsid w:val="00994F86"/>
    <w:rsid w:val="009952AA"/>
    <w:rsid w:val="009954F0"/>
    <w:rsid w:val="0099578D"/>
    <w:rsid w:val="00995B85"/>
    <w:rsid w:val="00996ADC"/>
    <w:rsid w:val="00996CC4"/>
    <w:rsid w:val="00996D8E"/>
    <w:rsid w:val="00997232"/>
    <w:rsid w:val="0099734B"/>
    <w:rsid w:val="009974F0"/>
    <w:rsid w:val="009974F2"/>
    <w:rsid w:val="00997AEF"/>
    <w:rsid w:val="009A0520"/>
    <w:rsid w:val="009A0D25"/>
    <w:rsid w:val="009A19FE"/>
    <w:rsid w:val="009A1A75"/>
    <w:rsid w:val="009A1A7B"/>
    <w:rsid w:val="009A1B1F"/>
    <w:rsid w:val="009A217A"/>
    <w:rsid w:val="009A231C"/>
    <w:rsid w:val="009A26B4"/>
    <w:rsid w:val="009A2C0F"/>
    <w:rsid w:val="009A2C32"/>
    <w:rsid w:val="009A37EC"/>
    <w:rsid w:val="009A3E73"/>
    <w:rsid w:val="009A3E7D"/>
    <w:rsid w:val="009A4346"/>
    <w:rsid w:val="009A4362"/>
    <w:rsid w:val="009A4C92"/>
    <w:rsid w:val="009A4D6E"/>
    <w:rsid w:val="009A4F2E"/>
    <w:rsid w:val="009A4F4A"/>
    <w:rsid w:val="009A51A0"/>
    <w:rsid w:val="009A51FB"/>
    <w:rsid w:val="009A568D"/>
    <w:rsid w:val="009A5C06"/>
    <w:rsid w:val="009A66FC"/>
    <w:rsid w:val="009A705A"/>
    <w:rsid w:val="009A718A"/>
    <w:rsid w:val="009A783A"/>
    <w:rsid w:val="009A7A03"/>
    <w:rsid w:val="009A7BB7"/>
    <w:rsid w:val="009A7C58"/>
    <w:rsid w:val="009B0027"/>
    <w:rsid w:val="009B09C9"/>
    <w:rsid w:val="009B1019"/>
    <w:rsid w:val="009B1313"/>
    <w:rsid w:val="009B1319"/>
    <w:rsid w:val="009B1397"/>
    <w:rsid w:val="009B15CF"/>
    <w:rsid w:val="009B1D7F"/>
    <w:rsid w:val="009B215C"/>
    <w:rsid w:val="009B29AC"/>
    <w:rsid w:val="009B2DC1"/>
    <w:rsid w:val="009B2ED1"/>
    <w:rsid w:val="009B2FE5"/>
    <w:rsid w:val="009B349B"/>
    <w:rsid w:val="009B3935"/>
    <w:rsid w:val="009B3C2B"/>
    <w:rsid w:val="009B45E3"/>
    <w:rsid w:val="009B4F14"/>
    <w:rsid w:val="009B5520"/>
    <w:rsid w:val="009B5876"/>
    <w:rsid w:val="009B5E1F"/>
    <w:rsid w:val="009B65AA"/>
    <w:rsid w:val="009B6627"/>
    <w:rsid w:val="009B67A6"/>
    <w:rsid w:val="009B69D5"/>
    <w:rsid w:val="009B6AD0"/>
    <w:rsid w:val="009B6ADC"/>
    <w:rsid w:val="009B6D6F"/>
    <w:rsid w:val="009B6F0E"/>
    <w:rsid w:val="009B70C6"/>
    <w:rsid w:val="009B77A3"/>
    <w:rsid w:val="009B79FA"/>
    <w:rsid w:val="009C0054"/>
    <w:rsid w:val="009C0090"/>
    <w:rsid w:val="009C00A1"/>
    <w:rsid w:val="009C0197"/>
    <w:rsid w:val="009C0389"/>
    <w:rsid w:val="009C068F"/>
    <w:rsid w:val="009C06C8"/>
    <w:rsid w:val="009C11BB"/>
    <w:rsid w:val="009C135F"/>
    <w:rsid w:val="009C162A"/>
    <w:rsid w:val="009C1697"/>
    <w:rsid w:val="009C223B"/>
    <w:rsid w:val="009C2B7B"/>
    <w:rsid w:val="009C2E98"/>
    <w:rsid w:val="009C3333"/>
    <w:rsid w:val="009C385A"/>
    <w:rsid w:val="009C3C72"/>
    <w:rsid w:val="009C3F34"/>
    <w:rsid w:val="009C3F45"/>
    <w:rsid w:val="009C4817"/>
    <w:rsid w:val="009C48AE"/>
    <w:rsid w:val="009C493A"/>
    <w:rsid w:val="009C56A9"/>
    <w:rsid w:val="009C5824"/>
    <w:rsid w:val="009C5B23"/>
    <w:rsid w:val="009C657B"/>
    <w:rsid w:val="009C66D1"/>
    <w:rsid w:val="009C6886"/>
    <w:rsid w:val="009C69A5"/>
    <w:rsid w:val="009C6BA8"/>
    <w:rsid w:val="009C6F16"/>
    <w:rsid w:val="009C7692"/>
    <w:rsid w:val="009D01B5"/>
    <w:rsid w:val="009D0225"/>
    <w:rsid w:val="009D0287"/>
    <w:rsid w:val="009D0730"/>
    <w:rsid w:val="009D0852"/>
    <w:rsid w:val="009D08C2"/>
    <w:rsid w:val="009D0CFE"/>
    <w:rsid w:val="009D0FF3"/>
    <w:rsid w:val="009D104D"/>
    <w:rsid w:val="009D1171"/>
    <w:rsid w:val="009D144C"/>
    <w:rsid w:val="009D1ECE"/>
    <w:rsid w:val="009D223B"/>
    <w:rsid w:val="009D2302"/>
    <w:rsid w:val="009D2960"/>
    <w:rsid w:val="009D2AEA"/>
    <w:rsid w:val="009D2C22"/>
    <w:rsid w:val="009D2F68"/>
    <w:rsid w:val="009D303C"/>
    <w:rsid w:val="009D3111"/>
    <w:rsid w:val="009D318E"/>
    <w:rsid w:val="009D3B6D"/>
    <w:rsid w:val="009D3F4B"/>
    <w:rsid w:val="009D4538"/>
    <w:rsid w:val="009D511F"/>
    <w:rsid w:val="009D5DBA"/>
    <w:rsid w:val="009D5EB6"/>
    <w:rsid w:val="009D6464"/>
    <w:rsid w:val="009D6AA1"/>
    <w:rsid w:val="009D6DDB"/>
    <w:rsid w:val="009D6E29"/>
    <w:rsid w:val="009D6F3D"/>
    <w:rsid w:val="009D770C"/>
    <w:rsid w:val="009D7C0A"/>
    <w:rsid w:val="009D7C6B"/>
    <w:rsid w:val="009D7C70"/>
    <w:rsid w:val="009D7E19"/>
    <w:rsid w:val="009D7E3A"/>
    <w:rsid w:val="009E002A"/>
    <w:rsid w:val="009E0200"/>
    <w:rsid w:val="009E0605"/>
    <w:rsid w:val="009E075C"/>
    <w:rsid w:val="009E0B76"/>
    <w:rsid w:val="009E0C63"/>
    <w:rsid w:val="009E0DD4"/>
    <w:rsid w:val="009E101C"/>
    <w:rsid w:val="009E16E7"/>
    <w:rsid w:val="009E1892"/>
    <w:rsid w:val="009E1D8A"/>
    <w:rsid w:val="009E22D8"/>
    <w:rsid w:val="009E26A3"/>
    <w:rsid w:val="009E2E50"/>
    <w:rsid w:val="009E3029"/>
    <w:rsid w:val="009E33DF"/>
    <w:rsid w:val="009E384B"/>
    <w:rsid w:val="009E3AA5"/>
    <w:rsid w:val="009E427A"/>
    <w:rsid w:val="009E447B"/>
    <w:rsid w:val="009E460B"/>
    <w:rsid w:val="009E48F5"/>
    <w:rsid w:val="009E5135"/>
    <w:rsid w:val="009E5562"/>
    <w:rsid w:val="009E557C"/>
    <w:rsid w:val="009E5985"/>
    <w:rsid w:val="009E5C78"/>
    <w:rsid w:val="009E5C7C"/>
    <w:rsid w:val="009E5DAA"/>
    <w:rsid w:val="009E5E2F"/>
    <w:rsid w:val="009E62FD"/>
    <w:rsid w:val="009E680A"/>
    <w:rsid w:val="009E6E71"/>
    <w:rsid w:val="009E6EC4"/>
    <w:rsid w:val="009E743D"/>
    <w:rsid w:val="009E7595"/>
    <w:rsid w:val="009E780C"/>
    <w:rsid w:val="009E7B21"/>
    <w:rsid w:val="009F02BB"/>
    <w:rsid w:val="009F070C"/>
    <w:rsid w:val="009F0819"/>
    <w:rsid w:val="009F085E"/>
    <w:rsid w:val="009F0873"/>
    <w:rsid w:val="009F09A4"/>
    <w:rsid w:val="009F15CD"/>
    <w:rsid w:val="009F1990"/>
    <w:rsid w:val="009F1CA7"/>
    <w:rsid w:val="009F1DEC"/>
    <w:rsid w:val="009F1E43"/>
    <w:rsid w:val="009F26E3"/>
    <w:rsid w:val="009F27DA"/>
    <w:rsid w:val="009F2A73"/>
    <w:rsid w:val="009F2B39"/>
    <w:rsid w:val="009F3274"/>
    <w:rsid w:val="009F3525"/>
    <w:rsid w:val="009F3A6E"/>
    <w:rsid w:val="009F3B1A"/>
    <w:rsid w:val="009F4001"/>
    <w:rsid w:val="009F4400"/>
    <w:rsid w:val="009F487C"/>
    <w:rsid w:val="009F488C"/>
    <w:rsid w:val="009F4D7F"/>
    <w:rsid w:val="009F518F"/>
    <w:rsid w:val="009F53EE"/>
    <w:rsid w:val="009F5C48"/>
    <w:rsid w:val="009F60C8"/>
    <w:rsid w:val="009F615D"/>
    <w:rsid w:val="009F6666"/>
    <w:rsid w:val="009F66EA"/>
    <w:rsid w:val="009F6BB7"/>
    <w:rsid w:val="009F70B4"/>
    <w:rsid w:val="009F711D"/>
    <w:rsid w:val="009F7A62"/>
    <w:rsid w:val="009F7BEA"/>
    <w:rsid w:val="00A008A8"/>
    <w:rsid w:val="00A009CE"/>
    <w:rsid w:val="00A00BC4"/>
    <w:rsid w:val="00A00C76"/>
    <w:rsid w:val="00A011F1"/>
    <w:rsid w:val="00A01C23"/>
    <w:rsid w:val="00A01EC1"/>
    <w:rsid w:val="00A02021"/>
    <w:rsid w:val="00A02160"/>
    <w:rsid w:val="00A02FEC"/>
    <w:rsid w:val="00A0339E"/>
    <w:rsid w:val="00A034C8"/>
    <w:rsid w:val="00A03FB0"/>
    <w:rsid w:val="00A0429A"/>
    <w:rsid w:val="00A042EA"/>
    <w:rsid w:val="00A04EF1"/>
    <w:rsid w:val="00A05016"/>
    <w:rsid w:val="00A051CC"/>
    <w:rsid w:val="00A05961"/>
    <w:rsid w:val="00A05C8D"/>
    <w:rsid w:val="00A05DEB"/>
    <w:rsid w:val="00A062EF"/>
    <w:rsid w:val="00A06654"/>
    <w:rsid w:val="00A069C6"/>
    <w:rsid w:val="00A06B17"/>
    <w:rsid w:val="00A06CF0"/>
    <w:rsid w:val="00A06D96"/>
    <w:rsid w:val="00A072FB"/>
    <w:rsid w:val="00A073F7"/>
    <w:rsid w:val="00A07980"/>
    <w:rsid w:val="00A07CCD"/>
    <w:rsid w:val="00A10729"/>
    <w:rsid w:val="00A108D7"/>
    <w:rsid w:val="00A10F54"/>
    <w:rsid w:val="00A11096"/>
    <w:rsid w:val="00A11207"/>
    <w:rsid w:val="00A11D6A"/>
    <w:rsid w:val="00A1226E"/>
    <w:rsid w:val="00A12512"/>
    <w:rsid w:val="00A12DFC"/>
    <w:rsid w:val="00A13032"/>
    <w:rsid w:val="00A133F8"/>
    <w:rsid w:val="00A13619"/>
    <w:rsid w:val="00A13C52"/>
    <w:rsid w:val="00A14AB2"/>
    <w:rsid w:val="00A14B33"/>
    <w:rsid w:val="00A14D54"/>
    <w:rsid w:val="00A14DD5"/>
    <w:rsid w:val="00A14E50"/>
    <w:rsid w:val="00A14EB5"/>
    <w:rsid w:val="00A14F86"/>
    <w:rsid w:val="00A1555C"/>
    <w:rsid w:val="00A15E1A"/>
    <w:rsid w:val="00A15F3E"/>
    <w:rsid w:val="00A16A8D"/>
    <w:rsid w:val="00A17314"/>
    <w:rsid w:val="00A174BA"/>
    <w:rsid w:val="00A17790"/>
    <w:rsid w:val="00A202F1"/>
    <w:rsid w:val="00A21061"/>
    <w:rsid w:val="00A212E1"/>
    <w:rsid w:val="00A21368"/>
    <w:rsid w:val="00A21686"/>
    <w:rsid w:val="00A21829"/>
    <w:rsid w:val="00A2184C"/>
    <w:rsid w:val="00A2195B"/>
    <w:rsid w:val="00A21F7A"/>
    <w:rsid w:val="00A225D1"/>
    <w:rsid w:val="00A22671"/>
    <w:rsid w:val="00A22788"/>
    <w:rsid w:val="00A22A6D"/>
    <w:rsid w:val="00A22D98"/>
    <w:rsid w:val="00A22E5C"/>
    <w:rsid w:val="00A23233"/>
    <w:rsid w:val="00A23A41"/>
    <w:rsid w:val="00A23C55"/>
    <w:rsid w:val="00A23DA6"/>
    <w:rsid w:val="00A241A0"/>
    <w:rsid w:val="00A244E1"/>
    <w:rsid w:val="00A249BB"/>
    <w:rsid w:val="00A24B2D"/>
    <w:rsid w:val="00A25286"/>
    <w:rsid w:val="00A253B7"/>
    <w:rsid w:val="00A2551D"/>
    <w:rsid w:val="00A25700"/>
    <w:rsid w:val="00A26528"/>
    <w:rsid w:val="00A268F7"/>
    <w:rsid w:val="00A26989"/>
    <w:rsid w:val="00A26A37"/>
    <w:rsid w:val="00A26DE8"/>
    <w:rsid w:val="00A27AC0"/>
    <w:rsid w:val="00A27C67"/>
    <w:rsid w:val="00A27D90"/>
    <w:rsid w:val="00A27EC0"/>
    <w:rsid w:val="00A27F46"/>
    <w:rsid w:val="00A304F1"/>
    <w:rsid w:val="00A305B6"/>
    <w:rsid w:val="00A30A14"/>
    <w:rsid w:val="00A30AD0"/>
    <w:rsid w:val="00A30C31"/>
    <w:rsid w:val="00A30EFA"/>
    <w:rsid w:val="00A3105B"/>
    <w:rsid w:val="00A314E9"/>
    <w:rsid w:val="00A319C6"/>
    <w:rsid w:val="00A32177"/>
    <w:rsid w:val="00A32AD0"/>
    <w:rsid w:val="00A32ADC"/>
    <w:rsid w:val="00A330CA"/>
    <w:rsid w:val="00A331D5"/>
    <w:rsid w:val="00A332CD"/>
    <w:rsid w:val="00A33701"/>
    <w:rsid w:val="00A33C40"/>
    <w:rsid w:val="00A33D00"/>
    <w:rsid w:val="00A340D2"/>
    <w:rsid w:val="00A34D85"/>
    <w:rsid w:val="00A3518E"/>
    <w:rsid w:val="00A355AB"/>
    <w:rsid w:val="00A3577E"/>
    <w:rsid w:val="00A35951"/>
    <w:rsid w:val="00A3605B"/>
    <w:rsid w:val="00A361AE"/>
    <w:rsid w:val="00A36636"/>
    <w:rsid w:val="00A36BB1"/>
    <w:rsid w:val="00A36F70"/>
    <w:rsid w:val="00A37A3A"/>
    <w:rsid w:val="00A4004C"/>
    <w:rsid w:val="00A40091"/>
    <w:rsid w:val="00A403A6"/>
    <w:rsid w:val="00A41299"/>
    <w:rsid w:val="00A41792"/>
    <w:rsid w:val="00A41AE3"/>
    <w:rsid w:val="00A422A8"/>
    <w:rsid w:val="00A428F9"/>
    <w:rsid w:val="00A42BBC"/>
    <w:rsid w:val="00A42C06"/>
    <w:rsid w:val="00A42E8A"/>
    <w:rsid w:val="00A42FF9"/>
    <w:rsid w:val="00A43334"/>
    <w:rsid w:val="00A4370B"/>
    <w:rsid w:val="00A43D9C"/>
    <w:rsid w:val="00A446C6"/>
    <w:rsid w:val="00A44D62"/>
    <w:rsid w:val="00A44E5D"/>
    <w:rsid w:val="00A455D9"/>
    <w:rsid w:val="00A459B8"/>
    <w:rsid w:val="00A45CDA"/>
    <w:rsid w:val="00A46062"/>
    <w:rsid w:val="00A462A2"/>
    <w:rsid w:val="00A47432"/>
    <w:rsid w:val="00A474B9"/>
    <w:rsid w:val="00A47672"/>
    <w:rsid w:val="00A5072E"/>
    <w:rsid w:val="00A5075B"/>
    <w:rsid w:val="00A50825"/>
    <w:rsid w:val="00A50B1A"/>
    <w:rsid w:val="00A50DBF"/>
    <w:rsid w:val="00A50F27"/>
    <w:rsid w:val="00A510C0"/>
    <w:rsid w:val="00A515B7"/>
    <w:rsid w:val="00A51A7E"/>
    <w:rsid w:val="00A51CBE"/>
    <w:rsid w:val="00A52594"/>
    <w:rsid w:val="00A52A57"/>
    <w:rsid w:val="00A530FA"/>
    <w:rsid w:val="00A532C9"/>
    <w:rsid w:val="00A53461"/>
    <w:rsid w:val="00A535D6"/>
    <w:rsid w:val="00A53DB6"/>
    <w:rsid w:val="00A53FCD"/>
    <w:rsid w:val="00A5437F"/>
    <w:rsid w:val="00A55117"/>
    <w:rsid w:val="00A55887"/>
    <w:rsid w:val="00A55C45"/>
    <w:rsid w:val="00A55CD6"/>
    <w:rsid w:val="00A55E14"/>
    <w:rsid w:val="00A562E9"/>
    <w:rsid w:val="00A56617"/>
    <w:rsid w:val="00A56E73"/>
    <w:rsid w:val="00A56E8E"/>
    <w:rsid w:val="00A56F54"/>
    <w:rsid w:val="00A5764F"/>
    <w:rsid w:val="00A57695"/>
    <w:rsid w:val="00A6034D"/>
    <w:rsid w:val="00A60EFC"/>
    <w:rsid w:val="00A6189F"/>
    <w:rsid w:val="00A61ACB"/>
    <w:rsid w:val="00A62476"/>
    <w:rsid w:val="00A625C0"/>
    <w:rsid w:val="00A6275A"/>
    <w:rsid w:val="00A628A2"/>
    <w:rsid w:val="00A62C45"/>
    <w:rsid w:val="00A63086"/>
    <w:rsid w:val="00A63673"/>
    <w:rsid w:val="00A63AA4"/>
    <w:rsid w:val="00A63DC2"/>
    <w:rsid w:val="00A640B0"/>
    <w:rsid w:val="00A643F0"/>
    <w:rsid w:val="00A64626"/>
    <w:rsid w:val="00A64AE0"/>
    <w:rsid w:val="00A65A62"/>
    <w:rsid w:val="00A65C8A"/>
    <w:rsid w:val="00A65DE9"/>
    <w:rsid w:val="00A66B33"/>
    <w:rsid w:val="00A674BD"/>
    <w:rsid w:val="00A675DA"/>
    <w:rsid w:val="00A6762C"/>
    <w:rsid w:val="00A678D6"/>
    <w:rsid w:val="00A67A01"/>
    <w:rsid w:val="00A67F2F"/>
    <w:rsid w:val="00A70997"/>
    <w:rsid w:val="00A70BD3"/>
    <w:rsid w:val="00A70E4A"/>
    <w:rsid w:val="00A715D5"/>
    <w:rsid w:val="00A7171D"/>
    <w:rsid w:val="00A719AF"/>
    <w:rsid w:val="00A72093"/>
    <w:rsid w:val="00A723A2"/>
    <w:rsid w:val="00A7251F"/>
    <w:rsid w:val="00A72780"/>
    <w:rsid w:val="00A72A98"/>
    <w:rsid w:val="00A73116"/>
    <w:rsid w:val="00A73D19"/>
    <w:rsid w:val="00A73FAF"/>
    <w:rsid w:val="00A74064"/>
    <w:rsid w:val="00A743F8"/>
    <w:rsid w:val="00A754AF"/>
    <w:rsid w:val="00A75627"/>
    <w:rsid w:val="00A758BE"/>
    <w:rsid w:val="00A75D90"/>
    <w:rsid w:val="00A7619A"/>
    <w:rsid w:val="00A76273"/>
    <w:rsid w:val="00A76783"/>
    <w:rsid w:val="00A76A80"/>
    <w:rsid w:val="00A76FF8"/>
    <w:rsid w:val="00A7703F"/>
    <w:rsid w:val="00A770E4"/>
    <w:rsid w:val="00A77418"/>
    <w:rsid w:val="00A77D30"/>
    <w:rsid w:val="00A800E8"/>
    <w:rsid w:val="00A80225"/>
    <w:rsid w:val="00A80EEC"/>
    <w:rsid w:val="00A813DF"/>
    <w:rsid w:val="00A81574"/>
    <w:rsid w:val="00A8173E"/>
    <w:rsid w:val="00A819C0"/>
    <w:rsid w:val="00A81AF6"/>
    <w:rsid w:val="00A81F12"/>
    <w:rsid w:val="00A8210D"/>
    <w:rsid w:val="00A82688"/>
    <w:rsid w:val="00A83373"/>
    <w:rsid w:val="00A838CF"/>
    <w:rsid w:val="00A83B47"/>
    <w:rsid w:val="00A83EBF"/>
    <w:rsid w:val="00A847AF"/>
    <w:rsid w:val="00A84969"/>
    <w:rsid w:val="00A85215"/>
    <w:rsid w:val="00A856EF"/>
    <w:rsid w:val="00A857EB"/>
    <w:rsid w:val="00A8585F"/>
    <w:rsid w:val="00A85D46"/>
    <w:rsid w:val="00A85D57"/>
    <w:rsid w:val="00A860BC"/>
    <w:rsid w:val="00A865B1"/>
    <w:rsid w:val="00A86BAC"/>
    <w:rsid w:val="00A8760F"/>
    <w:rsid w:val="00A87658"/>
    <w:rsid w:val="00A87677"/>
    <w:rsid w:val="00A87C5C"/>
    <w:rsid w:val="00A87F91"/>
    <w:rsid w:val="00A90624"/>
    <w:rsid w:val="00A9088E"/>
    <w:rsid w:val="00A90D4E"/>
    <w:rsid w:val="00A91091"/>
    <w:rsid w:val="00A9188E"/>
    <w:rsid w:val="00A927E0"/>
    <w:rsid w:val="00A92C37"/>
    <w:rsid w:val="00A935AA"/>
    <w:rsid w:val="00A9366C"/>
    <w:rsid w:val="00A93D8C"/>
    <w:rsid w:val="00A93D91"/>
    <w:rsid w:val="00A93E4D"/>
    <w:rsid w:val="00A946AA"/>
    <w:rsid w:val="00A946DE"/>
    <w:rsid w:val="00A94AB4"/>
    <w:rsid w:val="00A94B35"/>
    <w:rsid w:val="00A95286"/>
    <w:rsid w:val="00A954FD"/>
    <w:rsid w:val="00A956DA"/>
    <w:rsid w:val="00A956F1"/>
    <w:rsid w:val="00A95D6B"/>
    <w:rsid w:val="00A9635C"/>
    <w:rsid w:val="00A96521"/>
    <w:rsid w:val="00A96A2D"/>
    <w:rsid w:val="00A96BFC"/>
    <w:rsid w:val="00A96D9D"/>
    <w:rsid w:val="00A96E9E"/>
    <w:rsid w:val="00A96FFF"/>
    <w:rsid w:val="00A97340"/>
    <w:rsid w:val="00A97503"/>
    <w:rsid w:val="00A975E8"/>
    <w:rsid w:val="00A9762D"/>
    <w:rsid w:val="00A97774"/>
    <w:rsid w:val="00AA094F"/>
    <w:rsid w:val="00AA09C0"/>
    <w:rsid w:val="00AA1905"/>
    <w:rsid w:val="00AA1A51"/>
    <w:rsid w:val="00AA1D89"/>
    <w:rsid w:val="00AA1D91"/>
    <w:rsid w:val="00AA24EC"/>
    <w:rsid w:val="00AA28A3"/>
    <w:rsid w:val="00AA29D5"/>
    <w:rsid w:val="00AA2C03"/>
    <w:rsid w:val="00AA3612"/>
    <w:rsid w:val="00AA3AA8"/>
    <w:rsid w:val="00AA3B6F"/>
    <w:rsid w:val="00AA3BB2"/>
    <w:rsid w:val="00AA3C90"/>
    <w:rsid w:val="00AA3D52"/>
    <w:rsid w:val="00AA4144"/>
    <w:rsid w:val="00AA4B33"/>
    <w:rsid w:val="00AA4BF5"/>
    <w:rsid w:val="00AA4E0B"/>
    <w:rsid w:val="00AA4F88"/>
    <w:rsid w:val="00AA4FED"/>
    <w:rsid w:val="00AA54BF"/>
    <w:rsid w:val="00AA55B7"/>
    <w:rsid w:val="00AA55CE"/>
    <w:rsid w:val="00AA56EE"/>
    <w:rsid w:val="00AA57E5"/>
    <w:rsid w:val="00AA662A"/>
    <w:rsid w:val="00AA6857"/>
    <w:rsid w:val="00AA69AD"/>
    <w:rsid w:val="00AA69C4"/>
    <w:rsid w:val="00AA6BD5"/>
    <w:rsid w:val="00AA6C5C"/>
    <w:rsid w:val="00AA6C76"/>
    <w:rsid w:val="00AA6EDA"/>
    <w:rsid w:val="00AA71B1"/>
    <w:rsid w:val="00AA7903"/>
    <w:rsid w:val="00AA7BCE"/>
    <w:rsid w:val="00AA7D8F"/>
    <w:rsid w:val="00AB00C3"/>
    <w:rsid w:val="00AB04B5"/>
    <w:rsid w:val="00AB04F4"/>
    <w:rsid w:val="00AB098D"/>
    <w:rsid w:val="00AB0C10"/>
    <w:rsid w:val="00AB14DE"/>
    <w:rsid w:val="00AB189C"/>
    <w:rsid w:val="00AB1AA4"/>
    <w:rsid w:val="00AB1BB8"/>
    <w:rsid w:val="00AB1D08"/>
    <w:rsid w:val="00AB20D2"/>
    <w:rsid w:val="00AB2320"/>
    <w:rsid w:val="00AB2984"/>
    <w:rsid w:val="00AB2FCC"/>
    <w:rsid w:val="00AB30B3"/>
    <w:rsid w:val="00AB3496"/>
    <w:rsid w:val="00AB452F"/>
    <w:rsid w:val="00AB4626"/>
    <w:rsid w:val="00AB463C"/>
    <w:rsid w:val="00AB521C"/>
    <w:rsid w:val="00AB523E"/>
    <w:rsid w:val="00AB5713"/>
    <w:rsid w:val="00AB5998"/>
    <w:rsid w:val="00AB60E3"/>
    <w:rsid w:val="00AB6155"/>
    <w:rsid w:val="00AB6175"/>
    <w:rsid w:val="00AB6A10"/>
    <w:rsid w:val="00AB6F10"/>
    <w:rsid w:val="00AB701F"/>
    <w:rsid w:val="00AB707C"/>
    <w:rsid w:val="00AB7368"/>
    <w:rsid w:val="00AB73BD"/>
    <w:rsid w:val="00AB7635"/>
    <w:rsid w:val="00AB7905"/>
    <w:rsid w:val="00AB7C35"/>
    <w:rsid w:val="00AB7DCE"/>
    <w:rsid w:val="00AC01D5"/>
    <w:rsid w:val="00AC1659"/>
    <w:rsid w:val="00AC1B3B"/>
    <w:rsid w:val="00AC1C6D"/>
    <w:rsid w:val="00AC2A84"/>
    <w:rsid w:val="00AC3225"/>
    <w:rsid w:val="00AC3C27"/>
    <w:rsid w:val="00AC3C5F"/>
    <w:rsid w:val="00AC3E9D"/>
    <w:rsid w:val="00AC401F"/>
    <w:rsid w:val="00AC4C38"/>
    <w:rsid w:val="00AC4C59"/>
    <w:rsid w:val="00AC4C70"/>
    <w:rsid w:val="00AC4C9D"/>
    <w:rsid w:val="00AC523C"/>
    <w:rsid w:val="00AC541E"/>
    <w:rsid w:val="00AC5835"/>
    <w:rsid w:val="00AC5D68"/>
    <w:rsid w:val="00AC6422"/>
    <w:rsid w:val="00AC6916"/>
    <w:rsid w:val="00AC6AC0"/>
    <w:rsid w:val="00AC6AF3"/>
    <w:rsid w:val="00AC6C4C"/>
    <w:rsid w:val="00AC6E23"/>
    <w:rsid w:val="00AC6E4D"/>
    <w:rsid w:val="00AC7188"/>
    <w:rsid w:val="00AC7372"/>
    <w:rsid w:val="00AC7A47"/>
    <w:rsid w:val="00AD033C"/>
    <w:rsid w:val="00AD04B6"/>
    <w:rsid w:val="00AD06D4"/>
    <w:rsid w:val="00AD0B51"/>
    <w:rsid w:val="00AD0F49"/>
    <w:rsid w:val="00AD1010"/>
    <w:rsid w:val="00AD17B5"/>
    <w:rsid w:val="00AD22A9"/>
    <w:rsid w:val="00AD25FB"/>
    <w:rsid w:val="00AD3289"/>
    <w:rsid w:val="00AD350E"/>
    <w:rsid w:val="00AD358A"/>
    <w:rsid w:val="00AD39A3"/>
    <w:rsid w:val="00AD3D80"/>
    <w:rsid w:val="00AD3F3A"/>
    <w:rsid w:val="00AD3F3E"/>
    <w:rsid w:val="00AD408F"/>
    <w:rsid w:val="00AD48EE"/>
    <w:rsid w:val="00AD4D8D"/>
    <w:rsid w:val="00AD4E1D"/>
    <w:rsid w:val="00AD584C"/>
    <w:rsid w:val="00AD5A0F"/>
    <w:rsid w:val="00AD633E"/>
    <w:rsid w:val="00AD637F"/>
    <w:rsid w:val="00AD6393"/>
    <w:rsid w:val="00AD6687"/>
    <w:rsid w:val="00AD6834"/>
    <w:rsid w:val="00AD6AFB"/>
    <w:rsid w:val="00AD743C"/>
    <w:rsid w:val="00AD77B7"/>
    <w:rsid w:val="00AD7EF1"/>
    <w:rsid w:val="00AE0EFE"/>
    <w:rsid w:val="00AE15B4"/>
    <w:rsid w:val="00AE1837"/>
    <w:rsid w:val="00AE1E1F"/>
    <w:rsid w:val="00AE1EB4"/>
    <w:rsid w:val="00AE2229"/>
    <w:rsid w:val="00AE3326"/>
    <w:rsid w:val="00AE3499"/>
    <w:rsid w:val="00AE3585"/>
    <w:rsid w:val="00AE3C86"/>
    <w:rsid w:val="00AE3F97"/>
    <w:rsid w:val="00AE44BF"/>
    <w:rsid w:val="00AE4CA6"/>
    <w:rsid w:val="00AE4EFA"/>
    <w:rsid w:val="00AE5674"/>
    <w:rsid w:val="00AE5806"/>
    <w:rsid w:val="00AE5ECA"/>
    <w:rsid w:val="00AE5ED8"/>
    <w:rsid w:val="00AE678D"/>
    <w:rsid w:val="00AE6FBF"/>
    <w:rsid w:val="00AE7183"/>
    <w:rsid w:val="00AE7D65"/>
    <w:rsid w:val="00AE7DF1"/>
    <w:rsid w:val="00AF0C44"/>
    <w:rsid w:val="00AF11D4"/>
    <w:rsid w:val="00AF170E"/>
    <w:rsid w:val="00AF186C"/>
    <w:rsid w:val="00AF24D3"/>
    <w:rsid w:val="00AF2BD1"/>
    <w:rsid w:val="00AF2E36"/>
    <w:rsid w:val="00AF330C"/>
    <w:rsid w:val="00AF378C"/>
    <w:rsid w:val="00AF39AC"/>
    <w:rsid w:val="00AF3B05"/>
    <w:rsid w:val="00AF3F1D"/>
    <w:rsid w:val="00AF4154"/>
    <w:rsid w:val="00AF4159"/>
    <w:rsid w:val="00AF4527"/>
    <w:rsid w:val="00AF4E79"/>
    <w:rsid w:val="00AF6276"/>
    <w:rsid w:val="00AF648A"/>
    <w:rsid w:val="00AF67BF"/>
    <w:rsid w:val="00AF683A"/>
    <w:rsid w:val="00AF69A8"/>
    <w:rsid w:val="00AF6DB1"/>
    <w:rsid w:val="00AF7732"/>
    <w:rsid w:val="00AF7BC1"/>
    <w:rsid w:val="00B0027A"/>
    <w:rsid w:val="00B00455"/>
    <w:rsid w:val="00B0066D"/>
    <w:rsid w:val="00B006B2"/>
    <w:rsid w:val="00B00D0C"/>
    <w:rsid w:val="00B00E71"/>
    <w:rsid w:val="00B00ED4"/>
    <w:rsid w:val="00B00F50"/>
    <w:rsid w:val="00B020D9"/>
    <w:rsid w:val="00B0375D"/>
    <w:rsid w:val="00B03D35"/>
    <w:rsid w:val="00B03D82"/>
    <w:rsid w:val="00B03E05"/>
    <w:rsid w:val="00B04051"/>
    <w:rsid w:val="00B04132"/>
    <w:rsid w:val="00B04814"/>
    <w:rsid w:val="00B0490B"/>
    <w:rsid w:val="00B049E4"/>
    <w:rsid w:val="00B04F15"/>
    <w:rsid w:val="00B05428"/>
    <w:rsid w:val="00B05710"/>
    <w:rsid w:val="00B05C76"/>
    <w:rsid w:val="00B06494"/>
    <w:rsid w:val="00B06A8D"/>
    <w:rsid w:val="00B06BE9"/>
    <w:rsid w:val="00B06CDA"/>
    <w:rsid w:val="00B06E45"/>
    <w:rsid w:val="00B07165"/>
    <w:rsid w:val="00B07352"/>
    <w:rsid w:val="00B07497"/>
    <w:rsid w:val="00B0776D"/>
    <w:rsid w:val="00B078BD"/>
    <w:rsid w:val="00B07FC2"/>
    <w:rsid w:val="00B1009F"/>
    <w:rsid w:val="00B10853"/>
    <w:rsid w:val="00B10D22"/>
    <w:rsid w:val="00B10EDF"/>
    <w:rsid w:val="00B1185C"/>
    <w:rsid w:val="00B11DD0"/>
    <w:rsid w:val="00B124E8"/>
    <w:rsid w:val="00B1252F"/>
    <w:rsid w:val="00B1286A"/>
    <w:rsid w:val="00B13457"/>
    <w:rsid w:val="00B1350E"/>
    <w:rsid w:val="00B135EA"/>
    <w:rsid w:val="00B136DE"/>
    <w:rsid w:val="00B137B4"/>
    <w:rsid w:val="00B1387D"/>
    <w:rsid w:val="00B13978"/>
    <w:rsid w:val="00B13B60"/>
    <w:rsid w:val="00B13CE9"/>
    <w:rsid w:val="00B13E47"/>
    <w:rsid w:val="00B140BE"/>
    <w:rsid w:val="00B146FE"/>
    <w:rsid w:val="00B14701"/>
    <w:rsid w:val="00B150F6"/>
    <w:rsid w:val="00B15722"/>
    <w:rsid w:val="00B15B1C"/>
    <w:rsid w:val="00B15C1C"/>
    <w:rsid w:val="00B15EC2"/>
    <w:rsid w:val="00B16356"/>
    <w:rsid w:val="00B1650C"/>
    <w:rsid w:val="00B166A7"/>
    <w:rsid w:val="00B167D9"/>
    <w:rsid w:val="00B16EFF"/>
    <w:rsid w:val="00B20319"/>
    <w:rsid w:val="00B206B1"/>
    <w:rsid w:val="00B20AA5"/>
    <w:rsid w:val="00B20AE8"/>
    <w:rsid w:val="00B20DDB"/>
    <w:rsid w:val="00B20DEC"/>
    <w:rsid w:val="00B21048"/>
    <w:rsid w:val="00B213FA"/>
    <w:rsid w:val="00B21B7E"/>
    <w:rsid w:val="00B21C1C"/>
    <w:rsid w:val="00B21C51"/>
    <w:rsid w:val="00B21DD5"/>
    <w:rsid w:val="00B21ED1"/>
    <w:rsid w:val="00B224C0"/>
    <w:rsid w:val="00B226E4"/>
    <w:rsid w:val="00B2272B"/>
    <w:rsid w:val="00B229A4"/>
    <w:rsid w:val="00B22FEC"/>
    <w:rsid w:val="00B2375D"/>
    <w:rsid w:val="00B23FBE"/>
    <w:rsid w:val="00B2417B"/>
    <w:rsid w:val="00B24516"/>
    <w:rsid w:val="00B24600"/>
    <w:rsid w:val="00B24A50"/>
    <w:rsid w:val="00B24AAD"/>
    <w:rsid w:val="00B2545E"/>
    <w:rsid w:val="00B2561F"/>
    <w:rsid w:val="00B2619F"/>
    <w:rsid w:val="00B26B98"/>
    <w:rsid w:val="00B26D25"/>
    <w:rsid w:val="00B26E58"/>
    <w:rsid w:val="00B272C6"/>
    <w:rsid w:val="00B27CB8"/>
    <w:rsid w:val="00B27E0C"/>
    <w:rsid w:val="00B3010E"/>
    <w:rsid w:val="00B3027C"/>
    <w:rsid w:val="00B302A5"/>
    <w:rsid w:val="00B307B0"/>
    <w:rsid w:val="00B30A70"/>
    <w:rsid w:val="00B3133F"/>
    <w:rsid w:val="00B3151B"/>
    <w:rsid w:val="00B317BE"/>
    <w:rsid w:val="00B32B4D"/>
    <w:rsid w:val="00B3301A"/>
    <w:rsid w:val="00B331C8"/>
    <w:rsid w:val="00B33F9B"/>
    <w:rsid w:val="00B3467F"/>
    <w:rsid w:val="00B3497B"/>
    <w:rsid w:val="00B349B5"/>
    <w:rsid w:val="00B35395"/>
    <w:rsid w:val="00B35396"/>
    <w:rsid w:val="00B353BC"/>
    <w:rsid w:val="00B35BE7"/>
    <w:rsid w:val="00B35DE3"/>
    <w:rsid w:val="00B35DE7"/>
    <w:rsid w:val="00B35F39"/>
    <w:rsid w:val="00B36482"/>
    <w:rsid w:val="00B36529"/>
    <w:rsid w:val="00B36BD9"/>
    <w:rsid w:val="00B36CBF"/>
    <w:rsid w:val="00B36EEE"/>
    <w:rsid w:val="00B3710D"/>
    <w:rsid w:val="00B37497"/>
    <w:rsid w:val="00B37B02"/>
    <w:rsid w:val="00B37E95"/>
    <w:rsid w:val="00B40578"/>
    <w:rsid w:val="00B4085D"/>
    <w:rsid w:val="00B4094B"/>
    <w:rsid w:val="00B40F12"/>
    <w:rsid w:val="00B41747"/>
    <w:rsid w:val="00B418B7"/>
    <w:rsid w:val="00B41E11"/>
    <w:rsid w:val="00B420A2"/>
    <w:rsid w:val="00B420B7"/>
    <w:rsid w:val="00B42B2C"/>
    <w:rsid w:val="00B42B69"/>
    <w:rsid w:val="00B43114"/>
    <w:rsid w:val="00B43441"/>
    <w:rsid w:val="00B436F5"/>
    <w:rsid w:val="00B4388A"/>
    <w:rsid w:val="00B43F31"/>
    <w:rsid w:val="00B441C7"/>
    <w:rsid w:val="00B4431B"/>
    <w:rsid w:val="00B4451B"/>
    <w:rsid w:val="00B4456F"/>
    <w:rsid w:val="00B44D57"/>
    <w:rsid w:val="00B44FDF"/>
    <w:rsid w:val="00B45034"/>
    <w:rsid w:val="00B45CC6"/>
    <w:rsid w:val="00B45D8F"/>
    <w:rsid w:val="00B45E36"/>
    <w:rsid w:val="00B46095"/>
    <w:rsid w:val="00B47B9B"/>
    <w:rsid w:val="00B47F5A"/>
    <w:rsid w:val="00B500A8"/>
    <w:rsid w:val="00B501E9"/>
    <w:rsid w:val="00B5072B"/>
    <w:rsid w:val="00B50935"/>
    <w:rsid w:val="00B518CD"/>
    <w:rsid w:val="00B519EF"/>
    <w:rsid w:val="00B51E48"/>
    <w:rsid w:val="00B5245B"/>
    <w:rsid w:val="00B52DB6"/>
    <w:rsid w:val="00B534D6"/>
    <w:rsid w:val="00B53666"/>
    <w:rsid w:val="00B53A56"/>
    <w:rsid w:val="00B54B0B"/>
    <w:rsid w:val="00B54B5E"/>
    <w:rsid w:val="00B54CED"/>
    <w:rsid w:val="00B55409"/>
    <w:rsid w:val="00B55C63"/>
    <w:rsid w:val="00B55FCB"/>
    <w:rsid w:val="00B56152"/>
    <w:rsid w:val="00B5775F"/>
    <w:rsid w:val="00B60936"/>
    <w:rsid w:val="00B60E88"/>
    <w:rsid w:val="00B60F5D"/>
    <w:rsid w:val="00B60FF5"/>
    <w:rsid w:val="00B61190"/>
    <w:rsid w:val="00B61E6E"/>
    <w:rsid w:val="00B621B9"/>
    <w:rsid w:val="00B6321C"/>
    <w:rsid w:val="00B6386E"/>
    <w:rsid w:val="00B63A1C"/>
    <w:rsid w:val="00B63F0D"/>
    <w:rsid w:val="00B64116"/>
    <w:rsid w:val="00B644C8"/>
    <w:rsid w:val="00B646B1"/>
    <w:rsid w:val="00B64713"/>
    <w:rsid w:val="00B6498B"/>
    <w:rsid w:val="00B64A7A"/>
    <w:rsid w:val="00B64D15"/>
    <w:rsid w:val="00B65180"/>
    <w:rsid w:val="00B65283"/>
    <w:rsid w:val="00B65B25"/>
    <w:rsid w:val="00B6602D"/>
    <w:rsid w:val="00B67313"/>
    <w:rsid w:val="00B67611"/>
    <w:rsid w:val="00B67679"/>
    <w:rsid w:val="00B67854"/>
    <w:rsid w:val="00B678A5"/>
    <w:rsid w:val="00B67945"/>
    <w:rsid w:val="00B67C2F"/>
    <w:rsid w:val="00B67E4E"/>
    <w:rsid w:val="00B70EE8"/>
    <w:rsid w:val="00B7176A"/>
    <w:rsid w:val="00B718C6"/>
    <w:rsid w:val="00B72276"/>
    <w:rsid w:val="00B7275D"/>
    <w:rsid w:val="00B728A2"/>
    <w:rsid w:val="00B7290A"/>
    <w:rsid w:val="00B7310F"/>
    <w:rsid w:val="00B7352A"/>
    <w:rsid w:val="00B7381E"/>
    <w:rsid w:val="00B73B3B"/>
    <w:rsid w:val="00B74347"/>
    <w:rsid w:val="00B746BD"/>
    <w:rsid w:val="00B747CF"/>
    <w:rsid w:val="00B7498D"/>
    <w:rsid w:val="00B75522"/>
    <w:rsid w:val="00B75584"/>
    <w:rsid w:val="00B75608"/>
    <w:rsid w:val="00B75BE9"/>
    <w:rsid w:val="00B75DBC"/>
    <w:rsid w:val="00B75E44"/>
    <w:rsid w:val="00B762CD"/>
    <w:rsid w:val="00B766D7"/>
    <w:rsid w:val="00B76B31"/>
    <w:rsid w:val="00B76F5A"/>
    <w:rsid w:val="00B773A2"/>
    <w:rsid w:val="00B8016C"/>
    <w:rsid w:val="00B802C8"/>
    <w:rsid w:val="00B802FF"/>
    <w:rsid w:val="00B80463"/>
    <w:rsid w:val="00B804CF"/>
    <w:rsid w:val="00B81570"/>
    <w:rsid w:val="00B823E0"/>
    <w:rsid w:val="00B83145"/>
    <w:rsid w:val="00B832AF"/>
    <w:rsid w:val="00B835D4"/>
    <w:rsid w:val="00B83745"/>
    <w:rsid w:val="00B838FA"/>
    <w:rsid w:val="00B83B39"/>
    <w:rsid w:val="00B842EB"/>
    <w:rsid w:val="00B847A2"/>
    <w:rsid w:val="00B84F63"/>
    <w:rsid w:val="00B8517D"/>
    <w:rsid w:val="00B85B17"/>
    <w:rsid w:val="00B85BE8"/>
    <w:rsid w:val="00B85F87"/>
    <w:rsid w:val="00B86904"/>
    <w:rsid w:val="00B86B0A"/>
    <w:rsid w:val="00B86C93"/>
    <w:rsid w:val="00B871AC"/>
    <w:rsid w:val="00B87DCE"/>
    <w:rsid w:val="00B902CF"/>
    <w:rsid w:val="00B905F1"/>
    <w:rsid w:val="00B90AA1"/>
    <w:rsid w:val="00B90ADB"/>
    <w:rsid w:val="00B90AE5"/>
    <w:rsid w:val="00B90B87"/>
    <w:rsid w:val="00B90C6C"/>
    <w:rsid w:val="00B90EC0"/>
    <w:rsid w:val="00B910F2"/>
    <w:rsid w:val="00B9118A"/>
    <w:rsid w:val="00B91EF1"/>
    <w:rsid w:val="00B9236B"/>
    <w:rsid w:val="00B92B1D"/>
    <w:rsid w:val="00B92CF2"/>
    <w:rsid w:val="00B92E88"/>
    <w:rsid w:val="00B92F5A"/>
    <w:rsid w:val="00B93906"/>
    <w:rsid w:val="00B93C8F"/>
    <w:rsid w:val="00B93C9D"/>
    <w:rsid w:val="00B94B9F"/>
    <w:rsid w:val="00B94D45"/>
    <w:rsid w:val="00B953C9"/>
    <w:rsid w:val="00B95493"/>
    <w:rsid w:val="00B95873"/>
    <w:rsid w:val="00B9620C"/>
    <w:rsid w:val="00B96508"/>
    <w:rsid w:val="00B969B8"/>
    <w:rsid w:val="00B969D0"/>
    <w:rsid w:val="00B96FEB"/>
    <w:rsid w:val="00B972A5"/>
    <w:rsid w:val="00B975BA"/>
    <w:rsid w:val="00B975CC"/>
    <w:rsid w:val="00BA10B6"/>
    <w:rsid w:val="00BA118A"/>
    <w:rsid w:val="00BA12BB"/>
    <w:rsid w:val="00BA1874"/>
    <w:rsid w:val="00BA1A5D"/>
    <w:rsid w:val="00BA1C51"/>
    <w:rsid w:val="00BA214B"/>
    <w:rsid w:val="00BA2872"/>
    <w:rsid w:val="00BA288D"/>
    <w:rsid w:val="00BA2BCE"/>
    <w:rsid w:val="00BA362C"/>
    <w:rsid w:val="00BA409D"/>
    <w:rsid w:val="00BA45B7"/>
    <w:rsid w:val="00BA45D5"/>
    <w:rsid w:val="00BA4BDD"/>
    <w:rsid w:val="00BA4F78"/>
    <w:rsid w:val="00BA64B5"/>
    <w:rsid w:val="00BA6BFA"/>
    <w:rsid w:val="00BA721F"/>
    <w:rsid w:val="00BA7C25"/>
    <w:rsid w:val="00BB0047"/>
    <w:rsid w:val="00BB0619"/>
    <w:rsid w:val="00BB0C84"/>
    <w:rsid w:val="00BB0EF6"/>
    <w:rsid w:val="00BB11FA"/>
    <w:rsid w:val="00BB1253"/>
    <w:rsid w:val="00BB12C1"/>
    <w:rsid w:val="00BB1E88"/>
    <w:rsid w:val="00BB285A"/>
    <w:rsid w:val="00BB2963"/>
    <w:rsid w:val="00BB29EF"/>
    <w:rsid w:val="00BB3261"/>
    <w:rsid w:val="00BB454E"/>
    <w:rsid w:val="00BB4AB0"/>
    <w:rsid w:val="00BB4C11"/>
    <w:rsid w:val="00BB4E78"/>
    <w:rsid w:val="00BB52BF"/>
    <w:rsid w:val="00BB53AB"/>
    <w:rsid w:val="00BB53F0"/>
    <w:rsid w:val="00BB5405"/>
    <w:rsid w:val="00BB6BBD"/>
    <w:rsid w:val="00BB6BE1"/>
    <w:rsid w:val="00BB6EC9"/>
    <w:rsid w:val="00BB7003"/>
    <w:rsid w:val="00BB7010"/>
    <w:rsid w:val="00BB7398"/>
    <w:rsid w:val="00BB7399"/>
    <w:rsid w:val="00BB7647"/>
    <w:rsid w:val="00BB7DFF"/>
    <w:rsid w:val="00BB7FB9"/>
    <w:rsid w:val="00BC0A7F"/>
    <w:rsid w:val="00BC13E7"/>
    <w:rsid w:val="00BC16CD"/>
    <w:rsid w:val="00BC173F"/>
    <w:rsid w:val="00BC17C3"/>
    <w:rsid w:val="00BC1CB2"/>
    <w:rsid w:val="00BC296C"/>
    <w:rsid w:val="00BC2FA5"/>
    <w:rsid w:val="00BC309A"/>
    <w:rsid w:val="00BC3252"/>
    <w:rsid w:val="00BC33E3"/>
    <w:rsid w:val="00BC3AAD"/>
    <w:rsid w:val="00BC49B5"/>
    <w:rsid w:val="00BC4AFB"/>
    <w:rsid w:val="00BC4C7B"/>
    <w:rsid w:val="00BC4D07"/>
    <w:rsid w:val="00BC4D53"/>
    <w:rsid w:val="00BC4EC5"/>
    <w:rsid w:val="00BC524E"/>
    <w:rsid w:val="00BC54DA"/>
    <w:rsid w:val="00BC57F1"/>
    <w:rsid w:val="00BC5A78"/>
    <w:rsid w:val="00BC5AA0"/>
    <w:rsid w:val="00BC5E5C"/>
    <w:rsid w:val="00BC6014"/>
    <w:rsid w:val="00BC6300"/>
    <w:rsid w:val="00BC6384"/>
    <w:rsid w:val="00BC7288"/>
    <w:rsid w:val="00BC73AF"/>
    <w:rsid w:val="00BC7845"/>
    <w:rsid w:val="00BD038B"/>
    <w:rsid w:val="00BD0604"/>
    <w:rsid w:val="00BD1830"/>
    <w:rsid w:val="00BD27FC"/>
    <w:rsid w:val="00BD40CF"/>
    <w:rsid w:val="00BD44E5"/>
    <w:rsid w:val="00BD4B80"/>
    <w:rsid w:val="00BD506C"/>
    <w:rsid w:val="00BD529A"/>
    <w:rsid w:val="00BD6434"/>
    <w:rsid w:val="00BD6B65"/>
    <w:rsid w:val="00BD6BC9"/>
    <w:rsid w:val="00BD728D"/>
    <w:rsid w:val="00BD7CA0"/>
    <w:rsid w:val="00BD7FC5"/>
    <w:rsid w:val="00BE000D"/>
    <w:rsid w:val="00BE03D0"/>
    <w:rsid w:val="00BE0719"/>
    <w:rsid w:val="00BE0749"/>
    <w:rsid w:val="00BE089C"/>
    <w:rsid w:val="00BE0D6B"/>
    <w:rsid w:val="00BE169A"/>
    <w:rsid w:val="00BE17B1"/>
    <w:rsid w:val="00BE23BD"/>
    <w:rsid w:val="00BE25FB"/>
    <w:rsid w:val="00BE2CBF"/>
    <w:rsid w:val="00BE2D9A"/>
    <w:rsid w:val="00BE314A"/>
    <w:rsid w:val="00BE31E8"/>
    <w:rsid w:val="00BE32C6"/>
    <w:rsid w:val="00BE3A5C"/>
    <w:rsid w:val="00BE3DAD"/>
    <w:rsid w:val="00BE4012"/>
    <w:rsid w:val="00BE4374"/>
    <w:rsid w:val="00BE49A9"/>
    <w:rsid w:val="00BE4B5E"/>
    <w:rsid w:val="00BE5303"/>
    <w:rsid w:val="00BE5428"/>
    <w:rsid w:val="00BE54AE"/>
    <w:rsid w:val="00BE550E"/>
    <w:rsid w:val="00BE5D0E"/>
    <w:rsid w:val="00BE66B9"/>
    <w:rsid w:val="00BE6F3E"/>
    <w:rsid w:val="00BE73F7"/>
    <w:rsid w:val="00BE7427"/>
    <w:rsid w:val="00BE7687"/>
    <w:rsid w:val="00BE7D62"/>
    <w:rsid w:val="00BF09C9"/>
    <w:rsid w:val="00BF09DF"/>
    <w:rsid w:val="00BF1134"/>
    <w:rsid w:val="00BF122F"/>
    <w:rsid w:val="00BF13DF"/>
    <w:rsid w:val="00BF25D9"/>
    <w:rsid w:val="00BF27A2"/>
    <w:rsid w:val="00BF2AA8"/>
    <w:rsid w:val="00BF2E70"/>
    <w:rsid w:val="00BF38C8"/>
    <w:rsid w:val="00BF4144"/>
    <w:rsid w:val="00BF420D"/>
    <w:rsid w:val="00BF5386"/>
    <w:rsid w:val="00BF5422"/>
    <w:rsid w:val="00BF5723"/>
    <w:rsid w:val="00BF5856"/>
    <w:rsid w:val="00BF59CF"/>
    <w:rsid w:val="00BF6746"/>
    <w:rsid w:val="00BF6DFC"/>
    <w:rsid w:val="00BF7244"/>
    <w:rsid w:val="00BF78FA"/>
    <w:rsid w:val="00BF7E27"/>
    <w:rsid w:val="00C00441"/>
    <w:rsid w:val="00C007D1"/>
    <w:rsid w:val="00C0083A"/>
    <w:rsid w:val="00C00EC6"/>
    <w:rsid w:val="00C01771"/>
    <w:rsid w:val="00C01F17"/>
    <w:rsid w:val="00C021BA"/>
    <w:rsid w:val="00C02B42"/>
    <w:rsid w:val="00C035EE"/>
    <w:rsid w:val="00C03A85"/>
    <w:rsid w:val="00C03AB3"/>
    <w:rsid w:val="00C03C5F"/>
    <w:rsid w:val="00C03DA1"/>
    <w:rsid w:val="00C04079"/>
    <w:rsid w:val="00C04A8E"/>
    <w:rsid w:val="00C05090"/>
    <w:rsid w:val="00C052C5"/>
    <w:rsid w:val="00C053B9"/>
    <w:rsid w:val="00C05AA5"/>
    <w:rsid w:val="00C065DF"/>
    <w:rsid w:val="00C0663A"/>
    <w:rsid w:val="00C067F2"/>
    <w:rsid w:val="00C068E4"/>
    <w:rsid w:val="00C06A90"/>
    <w:rsid w:val="00C06DBA"/>
    <w:rsid w:val="00C07D26"/>
    <w:rsid w:val="00C10A9F"/>
    <w:rsid w:val="00C112DF"/>
    <w:rsid w:val="00C114AF"/>
    <w:rsid w:val="00C118FA"/>
    <w:rsid w:val="00C12734"/>
    <w:rsid w:val="00C12B2C"/>
    <w:rsid w:val="00C12CD6"/>
    <w:rsid w:val="00C13889"/>
    <w:rsid w:val="00C13A54"/>
    <w:rsid w:val="00C13AAA"/>
    <w:rsid w:val="00C13F2E"/>
    <w:rsid w:val="00C13FB2"/>
    <w:rsid w:val="00C13FD8"/>
    <w:rsid w:val="00C1423E"/>
    <w:rsid w:val="00C14537"/>
    <w:rsid w:val="00C153A9"/>
    <w:rsid w:val="00C153CF"/>
    <w:rsid w:val="00C15CE4"/>
    <w:rsid w:val="00C168D1"/>
    <w:rsid w:val="00C169D2"/>
    <w:rsid w:val="00C16DE1"/>
    <w:rsid w:val="00C16F3F"/>
    <w:rsid w:val="00C170A4"/>
    <w:rsid w:val="00C1776D"/>
    <w:rsid w:val="00C17BC1"/>
    <w:rsid w:val="00C2017D"/>
    <w:rsid w:val="00C201BF"/>
    <w:rsid w:val="00C20245"/>
    <w:rsid w:val="00C2093A"/>
    <w:rsid w:val="00C21312"/>
    <w:rsid w:val="00C21390"/>
    <w:rsid w:val="00C215FC"/>
    <w:rsid w:val="00C21655"/>
    <w:rsid w:val="00C21CA3"/>
    <w:rsid w:val="00C2201F"/>
    <w:rsid w:val="00C22312"/>
    <w:rsid w:val="00C22517"/>
    <w:rsid w:val="00C22B9F"/>
    <w:rsid w:val="00C23532"/>
    <w:rsid w:val="00C238CE"/>
    <w:rsid w:val="00C2462D"/>
    <w:rsid w:val="00C2464E"/>
    <w:rsid w:val="00C24884"/>
    <w:rsid w:val="00C25058"/>
    <w:rsid w:val="00C25BF0"/>
    <w:rsid w:val="00C25D90"/>
    <w:rsid w:val="00C26233"/>
    <w:rsid w:val="00C26365"/>
    <w:rsid w:val="00C26778"/>
    <w:rsid w:val="00C26801"/>
    <w:rsid w:val="00C26C71"/>
    <w:rsid w:val="00C27123"/>
    <w:rsid w:val="00C27534"/>
    <w:rsid w:val="00C2765A"/>
    <w:rsid w:val="00C27A03"/>
    <w:rsid w:val="00C27B74"/>
    <w:rsid w:val="00C27C92"/>
    <w:rsid w:val="00C27FA2"/>
    <w:rsid w:val="00C301B4"/>
    <w:rsid w:val="00C3035F"/>
    <w:rsid w:val="00C30BD8"/>
    <w:rsid w:val="00C30BEA"/>
    <w:rsid w:val="00C31422"/>
    <w:rsid w:val="00C31A51"/>
    <w:rsid w:val="00C31BE9"/>
    <w:rsid w:val="00C32556"/>
    <w:rsid w:val="00C329E6"/>
    <w:rsid w:val="00C3317D"/>
    <w:rsid w:val="00C334C8"/>
    <w:rsid w:val="00C3464E"/>
    <w:rsid w:val="00C34674"/>
    <w:rsid w:val="00C34AC4"/>
    <w:rsid w:val="00C34D0D"/>
    <w:rsid w:val="00C34E54"/>
    <w:rsid w:val="00C34F17"/>
    <w:rsid w:val="00C35438"/>
    <w:rsid w:val="00C354D9"/>
    <w:rsid w:val="00C35CC8"/>
    <w:rsid w:val="00C35CF4"/>
    <w:rsid w:val="00C35E3F"/>
    <w:rsid w:val="00C360FE"/>
    <w:rsid w:val="00C361E3"/>
    <w:rsid w:val="00C362CA"/>
    <w:rsid w:val="00C362D8"/>
    <w:rsid w:val="00C362ED"/>
    <w:rsid w:val="00C36ADD"/>
    <w:rsid w:val="00C36B27"/>
    <w:rsid w:val="00C37005"/>
    <w:rsid w:val="00C37C08"/>
    <w:rsid w:val="00C40132"/>
    <w:rsid w:val="00C4068B"/>
    <w:rsid w:val="00C40711"/>
    <w:rsid w:val="00C40846"/>
    <w:rsid w:val="00C4117D"/>
    <w:rsid w:val="00C41DCE"/>
    <w:rsid w:val="00C41E76"/>
    <w:rsid w:val="00C41F18"/>
    <w:rsid w:val="00C42103"/>
    <w:rsid w:val="00C422F0"/>
    <w:rsid w:val="00C4234A"/>
    <w:rsid w:val="00C42AC4"/>
    <w:rsid w:val="00C42D11"/>
    <w:rsid w:val="00C42EBA"/>
    <w:rsid w:val="00C431B6"/>
    <w:rsid w:val="00C437D6"/>
    <w:rsid w:val="00C43AF2"/>
    <w:rsid w:val="00C44710"/>
    <w:rsid w:val="00C451D2"/>
    <w:rsid w:val="00C45405"/>
    <w:rsid w:val="00C4541D"/>
    <w:rsid w:val="00C45494"/>
    <w:rsid w:val="00C45678"/>
    <w:rsid w:val="00C45838"/>
    <w:rsid w:val="00C45977"/>
    <w:rsid w:val="00C4626E"/>
    <w:rsid w:val="00C469B5"/>
    <w:rsid w:val="00C46CF9"/>
    <w:rsid w:val="00C4733E"/>
    <w:rsid w:val="00C4787F"/>
    <w:rsid w:val="00C47D0A"/>
    <w:rsid w:val="00C47E25"/>
    <w:rsid w:val="00C5035B"/>
    <w:rsid w:val="00C506C7"/>
    <w:rsid w:val="00C50891"/>
    <w:rsid w:val="00C50DB3"/>
    <w:rsid w:val="00C50EA7"/>
    <w:rsid w:val="00C51561"/>
    <w:rsid w:val="00C51898"/>
    <w:rsid w:val="00C522F5"/>
    <w:rsid w:val="00C5239E"/>
    <w:rsid w:val="00C524F1"/>
    <w:rsid w:val="00C525B9"/>
    <w:rsid w:val="00C526E5"/>
    <w:rsid w:val="00C52990"/>
    <w:rsid w:val="00C53341"/>
    <w:rsid w:val="00C534F9"/>
    <w:rsid w:val="00C53627"/>
    <w:rsid w:val="00C538D6"/>
    <w:rsid w:val="00C53C48"/>
    <w:rsid w:val="00C548E4"/>
    <w:rsid w:val="00C54B92"/>
    <w:rsid w:val="00C54C10"/>
    <w:rsid w:val="00C54DD1"/>
    <w:rsid w:val="00C55B54"/>
    <w:rsid w:val="00C5606C"/>
    <w:rsid w:val="00C563DB"/>
    <w:rsid w:val="00C56B60"/>
    <w:rsid w:val="00C57100"/>
    <w:rsid w:val="00C579D7"/>
    <w:rsid w:val="00C57D79"/>
    <w:rsid w:val="00C60158"/>
    <w:rsid w:val="00C602C6"/>
    <w:rsid w:val="00C603FE"/>
    <w:rsid w:val="00C60543"/>
    <w:rsid w:val="00C6113E"/>
    <w:rsid w:val="00C61865"/>
    <w:rsid w:val="00C61DFD"/>
    <w:rsid w:val="00C61EF5"/>
    <w:rsid w:val="00C6227E"/>
    <w:rsid w:val="00C62A11"/>
    <w:rsid w:val="00C63125"/>
    <w:rsid w:val="00C6339F"/>
    <w:rsid w:val="00C63415"/>
    <w:rsid w:val="00C63AF0"/>
    <w:rsid w:val="00C63F93"/>
    <w:rsid w:val="00C63FF1"/>
    <w:rsid w:val="00C64015"/>
    <w:rsid w:val="00C64ADB"/>
    <w:rsid w:val="00C64CB8"/>
    <w:rsid w:val="00C64CFE"/>
    <w:rsid w:val="00C65463"/>
    <w:rsid w:val="00C65677"/>
    <w:rsid w:val="00C65E4C"/>
    <w:rsid w:val="00C66143"/>
    <w:rsid w:val="00C661C5"/>
    <w:rsid w:val="00C66BB3"/>
    <w:rsid w:val="00C6701D"/>
    <w:rsid w:val="00C67057"/>
    <w:rsid w:val="00C67B1C"/>
    <w:rsid w:val="00C67C10"/>
    <w:rsid w:val="00C7038C"/>
    <w:rsid w:val="00C70963"/>
    <w:rsid w:val="00C70F4B"/>
    <w:rsid w:val="00C71214"/>
    <w:rsid w:val="00C71410"/>
    <w:rsid w:val="00C7165C"/>
    <w:rsid w:val="00C716D1"/>
    <w:rsid w:val="00C71F26"/>
    <w:rsid w:val="00C7209E"/>
    <w:rsid w:val="00C72793"/>
    <w:rsid w:val="00C72870"/>
    <w:rsid w:val="00C72F27"/>
    <w:rsid w:val="00C738AB"/>
    <w:rsid w:val="00C73C3E"/>
    <w:rsid w:val="00C73D97"/>
    <w:rsid w:val="00C73F73"/>
    <w:rsid w:val="00C73FB6"/>
    <w:rsid w:val="00C7426E"/>
    <w:rsid w:val="00C74651"/>
    <w:rsid w:val="00C747CD"/>
    <w:rsid w:val="00C74D30"/>
    <w:rsid w:val="00C752F6"/>
    <w:rsid w:val="00C754F5"/>
    <w:rsid w:val="00C756E9"/>
    <w:rsid w:val="00C75C7D"/>
    <w:rsid w:val="00C75D25"/>
    <w:rsid w:val="00C75EBD"/>
    <w:rsid w:val="00C76195"/>
    <w:rsid w:val="00C763C9"/>
    <w:rsid w:val="00C76C36"/>
    <w:rsid w:val="00C770C7"/>
    <w:rsid w:val="00C7725F"/>
    <w:rsid w:val="00C80195"/>
    <w:rsid w:val="00C8070B"/>
    <w:rsid w:val="00C808EF"/>
    <w:rsid w:val="00C80D03"/>
    <w:rsid w:val="00C811B7"/>
    <w:rsid w:val="00C8158B"/>
    <w:rsid w:val="00C815FB"/>
    <w:rsid w:val="00C81636"/>
    <w:rsid w:val="00C82006"/>
    <w:rsid w:val="00C822C4"/>
    <w:rsid w:val="00C82356"/>
    <w:rsid w:val="00C8321E"/>
    <w:rsid w:val="00C83356"/>
    <w:rsid w:val="00C8346C"/>
    <w:rsid w:val="00C8437B"/>
    <w:rsid w:val="00C84402"/>
    <w:rsid w:val="00C84483"/>
    <w:rsid w:val="00C84882"/>
    <w:rsid w:val="00C848CD"/>
    <w:rsid w:val="00C856B5"/>
    <w:rsid w:val="00C85702"/>
    <w:rsid w:val="00C85717"/>
    <w:rsid w:val="00C859A2"/>
    <w:rsid w:val="00C85D28"/>
    <w:rsid w:val="00C85E1B"/>
    <w:rsid w:val="00C86557"/>
    <w:rsid w:val="00C86676"/>
    <w:rsid w:val="00C86706"/>
    <w:rsid w:val="00C868F3"/>
    <w:rsid w:val="00C87AD9"/>
    <w:rsid w:val="00C87AF6"/>
    <w:rsid w:val="00C90062"/>
    <w:rsid w:val="00C90220"/>
    <w:rsid w:val="00C90732"/>
    <w:rsid w:val="00C90772"/>
    <w:rsid w:val="00C90E5E"/>
    <w:rsid w:val="00C911E4"/>
    <w:rsid w:val="00C91222"/>
    <w:rsid w:val="00C91494"/>
    <w:rsid w:val="00C91984"/>
    <w:rsid w:val="00C91CDD"/>
    <w:rsid w:val="00C91D7E"/>
    <w:rsid w:val="00C925DE"/>
    <w:rsid w:val="00C92BF3"/>
    <w:rsid w:val="00C93084"/>
    <w:rsid w:val="00C9350C"/>
    <w:rsid w:val="00C93575"/>
    <w:rsid w:val="00C93CE6"/>
    <w:rsid w:val="00C941B5"/>
    <w:rsid w:val="00C9434B"/>
    <w:rsid w:val="00C944EF"/>
    <w:rsid w:val="00C94946"/>
    <w:rsid w:val="00C94FDF"/>
    <w:rsid w:val="00C954C8"/>
    <w:rsid w:val="00C956A8"/>
    <w:rsid w:val="00C95F13"/>
    <w:rsid w:val="00C95F3C"/>
    <w:rsid w:val="00C96129"/>
    <w:rsid w:val="00C9662F"/>
    <w:rsid w:val="00C966D5"/>
    <w:rsid w:val="00C96B39"/>
    <w:rsid w:val="00C97A63"/>
    <w:rsid w:val="00C97EEE"/>
    <w:rsid w:val="00C97F5E"/>
    <w:rsid w:val="00CA0325"/>
    <w:rsid w:val="00CA04ED"/>
    <w:rsid w:val="00CA097E"/>
    <w:rsid w:val="00CA10F3"/>
    <w:rsid w:val="00CA1552"/>
    <w:rsid w:val="00CA1E88"/>
    <w:rsid w:val="00CA26DA"/>
    <w:rsid w:val="00CA2B35"/>
    <w:rsid w:val="00CA2E83"/>
    <w:rsid w:val="00CA30B0"/>
    <w:rsid w:val="00CA35F6"/>
    <w:rsid w:val="00CA3B21"/>
    <w:rsid w:val="00CA3CAB"/>
    <w:rsid w:val="00CA4C8C"/>
    <w:rsid w:val="00CA4D62"/>
    <w:rsid w:val="00CA4E70"/>
    <w:rsid w:val="00CA5067"/>
    <w:rsid w:val="00CA53EC"/>
    <w:rsid w:val="00CA5404"/>
    <w:rsid w:val="00CA555B"/>
    <w:rsid w:val="00CA5DA8"/>
    <w:rsid w:val="00CA5F31"/>
    <w:rsid w:val="00CA6089"/>
    <w:rsid w:val="00CA6551"/>
    <w:rsid w:val="00CA665B"/>
    <w:rsid w:val="00CA6696"/>
    <w:rsid w:val="00CA6944"/>
    <w:rsid w:val="00CA77C0"/>
    <w:rsid w:val="00CA7806"/>
    <w:rsid w:val="00CA7F98"/>
    <w:rsid w:val="00CB02D5"/>
    <w:rsid w:val="00CB03C0"/>
    <w:rsid w:val="00CB093C"/>
    <w:rsid w:val="00CB0F9D"/>
    <w:rsid w:val="00CB15D6"/>
    <w:rsid w:val="00CB170F"/>
    <w:rsid w:val="00CB1A4F"/>
    <w:rsid w:val="00CB1B73"/>
    <w:rsid w:val="00CB1FF2"/>
    <w:rsid w:val="00CB2A2B"/>
    <w:rsid w:val="00CB2B0C"/>
    <w:rsid w:val="00CB2E95"/>
    <w:rsid w:val="00CB2F40"/>
    <w:rsid w:val="00CB3F9D"/>
    <w:rsid w:val="00CB4065"/>
    <w:rsid w:val="00CB4236"/>
    <w:rsid w:val="00CB4773"/>
    <w:rsid w:val="00CB48ED"/>
    <w:rsid w:val="00CB4DF7"/>
    <w:rsid w:val="00CB538E"/>
    <w:rsid w:val="00CB545E"/>
    <w:rsid w:val="00CB5875"/>
    <w:rsid w:val="00CB5A6F"/>
    <w:rsid w:val="00CB5CDC"/>
    <w:rsid w:val="00CB671C"/>
    <w:rsid w:val="00CB67F2"/>
    <w:rsid w:val="00CB68A0"/>
    <w:rsid w:val="00CB6B41"/>
    <w:rsid w:val="00CB7059"/>
    <w:rsid w:val="00CB7184"/>
    <w:rsid w:val="00CB73EE"/>
    <w:rsid w:val="00CB79B1"/>
    <w:rsid w:val="00CC0262"/>
    <w:rsid w:val="00CC0431"/>
    <w:rsid w:val="00CC1240"/>
    <w:rsid w:val="00CC13EF"/>
    <w:rsid w:val="00CC156F"/>
    <w:rsid w:val="00CC16B7"/>
    <w:rsid w:val="00CC1859"/>
    <w:rsid w:val="00CC18AA"/>
    <w:rsid w:val="00CC19F0"/>
    <w:rsid w:val="00CC1C24"/>
    <w:rsid w:val="00CC1C79"/>
    <w:rsid w:val="00CC2043"/>
    <w:rsid w:val="00CC2044"/>
    <w:rsid w:val="00CC2453"/>
    <w:rsid w:val="00CC342A"/>
    <w:rsid w:val="00CC3430"/>
    <w:rsid w:val="00CC37A2"/>
    <w:rsid w:val="00CC3926"/>
    <w:rsid w:val="00CC4030"/>
    <w:rsid w:val="00CC4329"/>
    <w:rsid w:val="00CC4E87"/>
    <w:rsid w:val="00CC4F76"/>
    <w:rsid w:val="00CC5632"/>
    <w:rsid w:val="00CC56B7"/>
    <w:rsid w:val="00CC5737"/>
    <w:rsid w:val="00CC5D7F"/>
    <w:rsid w:val="00CC60D9"/>
    <w:rsid w:val="00CC6767"/>
    <w:rsid w:val="00CC692A"/>
    <w:rsid w:val="00CC69FD"/>
    <w:rsid w:val="00CC70EA"/>
    <w:rsid w:val="00CC74D0"/>
    <w:rsid w:val="00CD043C"/>
    <w:rsid w:val="00CD05F7"/>
    <w:rsid w:val="00CD06C7"/>
    <w:rsid w:val="00CD083E"/>
    <w:rsid w:val="00CD0A73"/>
    <w:rsid w:val="00CD0F4E"/>
    <w:rsid w:val="00CD14DD"/>
    <w:rsid w:val="00CD1912"/>
    <w:rsid w:val="00CD19EA"/>
    <w:rsid w:val="00CD1A6D"/>
    <w:rsid w:val="00CD236F"/>
    <w:rsid w:val="00CD2387"/>
    <w:rsid w:val="00CD2634"/>
    <w:rsid w:val="00CD27BA"/>
    <w:rsid w:val="00CD282F"/>
    <w:rsid w:val="00CD3D1F"/>
    <w:rsid w:val="00CD3DA9"/>
    <w:rsid w:val="00CD3FD3"/>
    <w:rsid w:val="00CD42F7"/>
    <w:rsid w:val="00CD53D5"/>
    <w:rsid w:val="00CD6087"/>
    <w:rsid w:val="00CD6094"/>
    <w:rsid w:val="00CD61F3"/>
    <w:rsid w:val="00CD6895"/>
    <w:rsid w:val="00CD6FCC"/>
    <w:rsid w:val="00CD70E5"/>
    <w:rsid w:val="00CD72C9"/>
    <w:rsid w:val="00CD7872"/>
    <w:rsid w:val="00CD79F9"/>
    <w:rsid w:val="00CD7A7B"/>
    <w:rsid w:val="00CD7DCB"/>
    <w:rsid w:val="00CE06C1"/>
    <w:rsid w:val="00CE082B"/>
    <w:rsid w:val="00CE0CC6"/>
    <w:rsid w:val="00CE1DF4"/>
    <w:rsid w:val="00CE1FF0"/>
    <w:rsid w:val="00CE2453"/>
    <w:rsid w:val="00CE2A75"/>
    <w:rsid w:val="00CE334D"/>
    <w:rsid w:val="00CE3AAC"/>
    <w:rsid w:val="00CE3DA0"/>
    <w:rsid w:val="00CE3E1B"/>
    <w:rsid w:val="00CE3F8B"/>
    <w:rsid w:val="00CE4138"/>
    <w:rsid w:val="00CE4353"/>
    <w:rsid w:val="00CE4CAF"/>
    <w:rsid w:val="00CE4CFD"/>
    <w:rsid w:val="00CE5265"/>
    <w:rsid w:val="00CE5453"/>
    <w:rsid w:val="00CE56FB"/>
    <w:rsid w:val="00CE5A3A"/>
    <w:rsid w:val="00CE5A47"/>
    <w:rsid w:val="00CE5DD8"/>
    <w:rsid w:val="00CE5FFD"/>
    <w:rsid w:val="00CE6302"/>
    <w:rsid w:val="00CE65FB"/>
    <w:rsid w:val="00CE67AF"/>
    <w:rsid w:val="00CE7000"/>
    <w:rsid w:val="00CE702D"/>
    <w:rsid w:val="00CE7177"/>
    <w:rsid w:val="00CE7DDB"/>
    <w:rsid w:val="00CF0785"/>
    <w:rsid w:val="00CF0E71"/>
    <w:rsid w:val="00CF14A3"/>
    <w:rsid w:val="00CF167D"/>
    <w:rsid w:val="00CF1B38"/>
    <w:rsid w:val="00CF1C05"/>
    <w:rsid w:val="00CF22B9"/>
    <w:rsid w:val="00CF27CA"/>
    <w:rsid w:val="00CF2B92"/>
    <w:rsid w:val="00CF2D99"/>
    <w:rsid w:val="00CF2E2A"/>
    <w:rsid w:val="00CF39C8"/>
    <w:rsid w:val="00CF4157"/>
    <w:rsid w:val="00CF42C0"/>
    <w:rsid w:val="00CF4364"/>
    <w:rsid w:val="00CF49AB"/>
    <w:rsid w:val="00CF4E2B"/>
    <w:rsid w:val="00CF54C7"/>
    <w:rsid w:val="00CF55CE"/>
    <w:rsid w:val="00CF5B49"/>
    <w:rsid w:val="00CF6158"/>
    <w:rsid w:val="00CF6835"/>
    <w:rsid w:val="00CF6E85"/>
    <w:rsid w:val="00CF732E"/>
    <w:rsid w:val="00CF77D7"/>
    <w:rsid w:val="00CF7903"/>
    <w:rsid w:val="00CF7CE1"/>
    <w:rsid w:val="00CF7DA1"/>
    <w:rsid w:val="00D000AC"/>
    <w:rsid w:val="00D002BB"/>
    <w:rsid w:val="00D00322"/>
    <w:rsid w:val="00D00E97"/>
    <w:rsid w:val="00D00FD0"/>
    <w:rsid w:val="00D010DC"/>
    <w:rsid w:val="00D0114C"/>
    <w:rsid w:val="00D01AE5"/>
    <w:rsid w:val="00D01B5B"/>
    <w:rsid w:val="00D01BD7"/>
    <w:rsid w:val="00D01EBE"/>
    <w:rsid w:val="00D01ECD"/>
    <w:rsid w:val="00D02A21"/>
    <w:rsid w:val="00D02E71"/>
    <w:rsid w:val="00D03D1C"/>
    <w:rsid w:val="00D03D52"/>
    <w:rsid w:val="00D03E97"/>
    <w:rsid w:val="00D040F1"/>
    <w:rsid w:val="00D0425E"/>
    <w:rsid w:val="00D04E18"/>
    <w:rsid w:val="00D056BE"/>
    <w:rsid w:val="00D0582B"/>
    <w:rsid w:val="00D064CD"/>
    <w:rsid w:val="00D06797"/>
    <w:rsid w:val="00D06955"/>
    <w:rsid w:val="00D06BF5"/>
    <w:rsid w:val="00D075F9"/>
    <w:rsid w:val="00D07A80"/>
    <w:rsid w:val="00D07F97"/>
    <w:rsid w:val="00D102C5"/>
    <w:rsid w:val="00D104C9"/>
    <w:rsid w:val="00D106DA"/>
    <w:rsid w:val="00D10770"/>
    <w:rsid w:val="00D10BA7"/>
    <w:rsid w:val="00D10D59"/>
    <w:rsid w:val="00D10F46"/>
    <w:rsid w:val="00D11218"/>
    <w:rsid w:val="00D117A7"/>
    <w:rsid w:val="00D11F51"/>
    <w:rsid w:val="00D12173"/>
    <w:rsid w:val="00D12642"/>
    <w:rsid w:val="00D13298"/>
    <w:rsid w:val="00D132E9"/>
    <w:rsid w:val="00D1356E"/>
    <w:rsid w:val="00D13657"/>
    <w:rsid w:val="00D1365A"/>
    <w:rsid w:val="00D13F98"/>
    <w:rsid w:val="00D14175"/>
    <w:rsid w:val="00D144B5"/>
    <w:rsid w:val="00D14722"/>
    <w:rsid w:val="00D14F0D"/>
    <w:rsid w:val="00D15580"/>
    <w:rsid w:val="00D15910"/>
    <w:rsid w:val="00D15D2B"/>
    <w:rsid w:val="00D1629A"/>
    <w:rsid w:val="00D170A5"/>
    <w:rsid w:val="00D170CE"/>
    <w:rsid w:val="00D17619"/>
    <w:rsid w:val="00D17E52"/>
    <w:rsid w:val="00D2006F"/>
    <w:rsid w:val="00D20408"/>
    <w:rsid w:val="00D20542"/>
    <w:rsid w:val="00D2119F"/>
    <w:rsid w:val="00D21B07"/>
    <w:rsid w:val="00D21E29"/>
    <w:rsid w:val="00D22C48"/>
    <w:rsid w:val="00D23232"/>
    <w:rsid w:val="00D23D09"/>
    <w:rsid w:val="00D23D53"/>
    <w:rsid w:val="00D23F75"/>
    <w:rsid w:val="00D2424A"/>
    <w:rsid w:val="00D247AF"/>
    <w:rsid w:val="00D24BEF"/>
    <w:rsid w:val="00D2585E"/>
    <w:rsid w:val="00D25A75"/>
    <w:rsid w:val="00D25EB3"/>
    <w:rsid w:val="00D26202"/>
    <w:rsid w:val="00D2630A"/>
    <w:rsid w:val="00D265DE"/>
    <w:rsid w:val="00D26625"/>
    <w:rsid w:val="00D26661"/>
    <w:rsid w:val="00D26682"/>
    <w:rsid w:val="00D27475"/>
    <w:rsid w:val="00D274ED"/>
    <w:rsid w:val="00D27790"/>
    <w:rsid w:val="00D2786A"/>
    <w:rsid w:val="00D279D9"/>
    <w:rsid w:val="00D313F1"/>
    <w:rsid w:val="00D314F7"/>
    <w:rsid w:val="00D3159D"/>
    <w:rsid w:val="00D31666"/>
    <w:rsid w:val="00D31F54"/>
    <w:rsid w:val="00D31F65"/>
    <w:rsid w:val="00D32294"/>
    <w:rsid w:val="00D32C6C"/>
    <w:rsid w:val="00D337E3"/>
    <w:rsid w:val="00D340F0"/>
    <w:rsid w:val="00D34897"/>
    <w:rsid w:val="00D348B0"/>
    <w:rsid w:val="00D34CC2"/>
    <w:rsid w:val="00D34DC4"/>
    <w:rsid w:val="00D353C5"/>
    <w:rsid w:val="00D35419"/>
    <w:rsid w:val="00D36219"/>
    <w:rsid w:val="00D36772"/>
    <w:rsid w:val="00D37158"/>
    <w:rsid w:val="00D3769B"/>
    <w:rsid w:val="00D37BAD"/>
    <w:rsid w:val="00D403F7"/>
    <w:rsid w:val="00D40428"/>
    <w:rsid w:val="00D40478"/>
    <w:rsid w:val="00D40A36"/>
    <w:rsid w:val="00D411EA"/>
    <w:rsid w:val="00D419C2"/>
    <w:rsid w:val="00D4220F"/>
    <w:rsid w:val="00D42C37"/>
    <w:rsid w:val="00D42DFD"/>
    <w:rsid w:val="00D4383B"/>
    <w:rsid w:val="00D43B9E"/>
    <w:rsid w:val="00D43C33"/>
    <w:rsid w:val="00D44E3D"/>
    <w:rsid w:val="00D44EC5"/>
    <w:rsid w:val="00D450C1"/>
    <w:rsid w:val="00D451E3"/>
    <w:rsid w:val="00D45F34"/>
    <w:rsid w:val="00D45F8F"/>
    <w:rsid w:val="00D473A4"/>
    <w:rsid w:val="00D47655"/>
    <w:rsid w:val="00D478AB"/>
    <w:rsid w:val="00D50307"/>
    <w:rsid w:val="00D5031B"/>
    <w:rsid w:val="00D50665"/>
    <w:rsid w:val="00D50C97"/>
    <w:rsid w:val="00D51445"/>
    <w:rsid w:val="00D516EF"/>
    <w:rsid w:val="00D51852"/>
    <w:rsid w:val="00D51B1D"/>
    <w:rsid w:val="00D51D61"/>
    <w:rsid w:val="00D523C4"/>
    <w:rsid w:val="00D526E5"/>
    <w:rsid w:val="00D534BC"/>
    <w:rsid w:val="00D5353E"/>
    <w:rsid w:val="00D53606"/>
    <w:rsid w:val="00D53B64"/>
    <w:rsid w:val="00D53E0E"/>
    <w:rsid w:val="00D54025"/>
    <w:rsid w:val="00D54038"/>
    <w:rsid w:val="00D5409B"/>
    <w:rsid w:val="00D54673"/>
    <w:rsid w:val="00D54A28"/>
    <w:rsid w:val="00D54C8C"/>
    <w:rsid w:val="00D55253"/>
    <w:rsid w:val="00D55485"/>
    <w:rsid w:val="00D56284"/>
    <w:rsid w:val="00D56475"/>
    <w:rsid w:val="00D567D3"/>
    <w:rsid w:val="00D56894"/>
    <w:rsid w:val="00D569B9"/>
    <w:rsid w:val="00D57386"/>
    <w:rsid w:val="00D5756D"/>
    <w:rsid w:val="00D57854"/>
    <w:rsid w:val="00D57986"/>
    <w:rsid w:val="00D60800"/>
    <w:rsid w:val="00D6086A"/>
    <w:rsid w:val="00D6090A"/>
    <w:rsid w:val="00D61546"/>
    <w:rsid w:val="00D626D3"/>
    <w:rsid w:val="00D62A8D"/>
    <w:rsid w:val="00D630E2"/>
    <w:rsid w:val="00D63296"/>
    <w:rsid w:val="00D635DF"/>
    <w:rsid w:val="00D6376F"/>
    <w:rsid w:val="00D637EB"/>
    <w:rsid w:val="00D63ED2"/>
    <w:rsid w:val="00D63F2D"/>
    <w:rsid w:val="00D64001"/>
    <w:rsid w:val="00D648BA"/>
    <w:rsid w:val="00D64955"/>
    <w:rsid w:val="00D64CF0"/>
    <w:rsid w:val="00D64E82"/>
    <w:rsid w:val="00D65272"/>
    <w:rsid w:val="00D66513"/>
    <w:rsid w:val="00D665EC"/>
    <w:rsid w:val="00D667C0"/>
    <w:rsid w:val="00D66C3B"/>
    <w:rsid w:val="00D67143"/>
    <w:rsid w:val="00D676C3"/>
    <w:rsid w:val="00D677EF"/>
    <w:rsid w:val="00D70AA4"/>
    <w:rsid w:val="00D70B49"/>
    <w:rsid w:val="00D70D20"/>
    <w:rsid w:val="00D71261"/>
    <w:rsid w:val="00D7198E"/>
    <w:rsid w:val="00D7228B"/>
    <w:rsid w:val="00D72735"/>
    <w:rsid w:val="00D72B33"/>
    <w:rsid w:val="00D72BFB"/>
    <w:rsid w:val="00D72E4B"/>
    <w:rsid w:val="00D732A0"/>
    <w:rsid w:val="00D73308"/>
    <w:rsid w:val="00D73671"/>
    <w:rsid w:val="00D73BD0"/>
    <w:rsid w:val="00D73DF6"/>
    <w:rsid w:val="00D74647"/>
    <w:rsid w:val="00D7472F"/>
    <w:rsid w:val="00D74AF7"/>
    <w:rsid w:val="00D74EC1"/>
    <w:rsid w:val="00D753B8"/>
    <w:rsid w:val="00D75691"/>
    <w:rsid w:val="00D75762"/>
    <w:rsid w:val="00D75D89"/>
    <w:rsid w:val="00D75F55"/>
    <w:rsid w:val="00D760BB"/>
    <w:rsid w:val="00D76136"/>
    <w:rsid w:val="00D7616C"/>
    <w:rsid w:val="00D761D8"/>
    <w:rsid w:val="00D763DA"/>
    <w:rsid w:val="00D76633"/>
    <w:rsid w:val="00D76B47"/>
    <w:rsid w:val="00D77005"/>
    <w:rsid w:val="00D7797C"/>
    <w:rsid w:val="00D77DD0"/>
    <w:rsid w:val="00D80909"/>
    <w:rsid w:val="00D80A21"/>
    <w:rsid w:val="00D80B65"/>
    <w:rsid w:val="00D817C1"/>
    <w:rsid w:val="00D81963"/>
    <w:rsid w:val="00D81D10"/>
    <w:rsid w:val="00D81E7E"/>
    <w:rsid w:val="00D821F1"/>
    <w:rsid w:val="00D82A3D"/>
    <w:rsid w:val="00D82E01"/>
    <w:rsid w:val="00D838CB"/>
    <w:rsid w:val="00D83C37"/>
    <w:rsid w:val="00D83CBC"/>
    <w:rsid w:val="00D84314"/>
    <w:rsid w:val="00D844A1"/>
    <w:rsid w:val="00D846A0"/>
    <w:rsid w:val="00D84DD0"/>
    <w:rsid w:val="00D8526A"/>
    <w:rsid w:val="00D8531C"/>
    <w:rsid w:val="00D853A2"/>
    <w:rsid w:val="00D85A46"/>
    <w:rsid w:val="00D864E0"/>
    <w:rsid w:val="00D86C4A"/>
    <w:rsid w:val="00D87200"/>
    <w:rsid w:val="00D874D9"/>
    <w:rsid w:val="00D87D75"/>
    <w:rsid w:val="00D87FB2"/>
    <w:rsid w:val="00D90358"/>
    <w:rsid w:val="00D904FB"/>
    <w:rsid w:val="00D90552"/>
    <w:rsid w:val="00D905C4"/>
    <w:rsid w:val="00D90BED"/>
    <w:rsid w:val="00D918BF"/>
    <w:rsid w:val="00D91A9B"/>
    <w:rsid w:val="00D924CD"/>
    <w:rsid w:val="00D92824"/>
    <w:rsid w:val="00D92ECD"/>
    <w:rsid w:val="00D93138"/>
    <w:rsid w:val="00D933AB"/>
    <w:rsid w:val="00D933AD"/>
    <w:rsid w:val="00D9347D"/>
    <w:rsid w:val="00D93689"/>
    <w:rsid w:val="00D93D52"/>
    <w:rsid w:val="00D94EEF"/>
    <w:rsid w:val="00D950D7"/>
    <w:rsid w:val="00D95450"/>
    <w:rsid w:val="00D95CFC"/>
    <w:rsid w:val="00D961F6"/>
    <w:rsid w:val="00D96305"/>
    <w:rsid w:val="00D96F81"/>
    <w:rsid w:val="00D97105"/>
    <w:rsid w:val="00D976C3"/>
    <w:rsid w:val="00D97A56"/>
    <w:rsid w:val="00D97F22"/>
    <w:rsid w:val="00DA02C7"/>
    <w:rsid w:val="00DA0D11"/>
    <w:rsid w:val="00DA13F7"/>
    <w:rsid w:val="00DA1760"/>
    <w:rsid w:val="00DA1839"/>
    <w:rsid w:val="00DA1A8D"/>
    <w:rsid w:val="00DA1B4B"/>
    <w:rsid w:val="00DA1CA4"/>
    <w:rsid w:val="00DA2696"/>
    <w:rsid w:val="00DA2935"/>
    <w:rsid w:val="00DA2E64"/>
    <w:rsid w:val="00DA2EED"/>
    <w:rsid w:val="00DA2F28"/>
    <w:rsid w:val="00DA30F9"/>
    <w:rsid w:val="00DA3D0F"/>
    <w:rsid w:val="00DA466B"/>
    <w:rsid w:val="00DA4F89"/>
    <w:rsid w:val="00DA52AB"/>
    <w:rsid w:val="00DA5528"/>
    <w:rsid w:val="00DA5874"/>
    <w:rsid w:val="00DA5F5A"/>
    <w:rsid w:val="00DA6103"/>
    <w:rsid w:val="00DA63B1"/>
    <w:rsid w:val="00DA6AEE"/>
    <w:rsid w:val="00DA702C"/>
    <w:rsid w:val="00DA70E7"/>
    <w:rsid w:val="00DA7291"/>
    <w:rsid w:val="00DA741D"/>
    <w:rsid w:val="00DA79C8"/>
    <w:rsid w:val="00DB131A"/>
    <w:rsid w:val="00DB1BE9"/>
    <w:rsid w:val="00DB1C8D"/>
    <w:rsid w:val="00DB2284"/>
    <w:rsid w:val="00DB2454"/>
    <w:rsid w:val="00DB271D"/>
    <w:rsid w:val="00DB29A9"/>
    <w:rsid w:val="00DB2AB8"/>
    <w:rsid w:val="00DB32BE"/>
    <w:rsid w:val="00DB39B2"/>
    <w:rsid w:val="00DB3BE7"/>
    <w:rsid w:val="00DB3E86"/>
    <w:rsid w:val="00DB49D8"/>
    <w:rsid w:val="00DB4E07"/>
    <w:rsid w:val="00DB50AA"/>
    <w:rsid w:val="00DB576B"/>
    <w:rsid w:val="00DB5931"/>
    <w:rsid w:val="00DB5A9F"/>
    <w:rsid w:val="00DB608A"/>
    <w:rsid w:val="00DB610B"/>
    <w:rsid w:val="00DB61D5"/>
    <w:rsid w:val="00DB6735"/>
    <w:rsid w:val="00DB6FA5"/>
    <w:rsid w:val="00DB7326"/>
    <w:rsid w:val="00DB7C40"/>
    <w:rsid w:val="00DC0213"/>
    <w:rsid w:val="00DC0446"/>
    <w:rsid w:val="00DC09C4"/>
    <w:rsid w:val="00DC0A7A"/>
    <w:rsid w:val="00DC0AFC"/>
    <w:rsid w:val="00DC0ED7"/>
    <w:rsid w:val="00DC12FC"/>
    <w:rsid w:val="00DC1772"/>
    <w:rsid w:val="00DC224C"/>
    <w:rsid w:val="00DC2289"/>
    <w:rsid w:val="00DC23F8"/>
    <w:rsid w:val="00DC2C09"/>
    <w:rsid w:val="00DC2E21"/>
    <w:rsid w:val="00DC33FA"/>
    <w:rsid w:val="00DC3A0E"/>
    <w:rsid w:val="00DC3C11"/>
    <w:rsid w:val="00DC43B3"/>
    <w:rsid w:val="00DC4706"/>
    <w:rsid w:val="00DC576A"/>
    <w:rsid w:val="00DC5B6F"/>
    <w:rsid w:val="00DC5CD2"/>
    <w:rsid w:val="00DC5F49"/>
    <w:rsid w:val="00DC648B"/>
    <w:rsid w:val="00DC649E"/>
    <w:rsid w:val="00DC65B9"/>
    <w:rsid w:val="00DC68FC"/>
    <w:rsid w:val="00DC6C37"/>
    <w:rsid w:val="00DC6D53"/>
    <w:rsid w:val="00DC6E4B"/>
    <w:rsid w:val="00DC6FCF"/>
    <w:rsid w:val="00DC7715"/>
    <w:rsid w:val="00DC7AC9"/>
    <w:rsid w:val="00DD0053"/>
    <w:rsid w:val="00DD078B"/>
    <w:rsid w:val="00DD133C"/>
    <w:rsid w:val="00DD18B8"/>
    <w:rsid w:val="00DD1910"/>
    <w:rsid w:val="00DD1F7E"/>
    <w:rsid w:val="00DD1FF0"/>
    <w:rsid w:val="00DD26EE"/>
    <w:rsid w:val="00DD2AB8"/>
    <w:rsid w:val="00DD2C01"/>
    <w:rsid w:val="00DD3003"/>
    <w:rsid w:val="00DD3BAE"/>
    <w:rsid w:val="00DD417C"/>
    <w:rsid w:val="00DD461A"/>
    <w:rsid w:val="00DD4862"/>
    <w:rsid w:val="00DD4B0D"/>
    <w:rsid w:val="00DD4F10"/>
    <w:rsid w:val="00DD5C21"/>
    <w:rsid w:val="00DD6C4C"/>
    <w:rsid w:val="00DD6E6B"/>
    <w:rsid w:val="00DD7107"/>
    <w:rsid w:val="00DD7173"/>
    <w:rsid w:val="00DD73CA"/>
    <w:rsid w:val="00DD7410"/>
    <w:rsid w:val="00DE0025"/>
    <w:rsid w:val="00DE07B4"/>
    <w:rsid w:val="00DE101A"/>
    <w:rsid w:val="00DE10CD"/>
    <w:rsid w:val="00DE194C"/>
    <w:rsid w:val="00DE1C16"/>
    <w:rsid w:val="00DE2288"/>
    <w:rsid w:val="00DE259D"/>
    <w:rsid w:val="00DE2814"/>
    <w:rsid w:val="00DE2815"/>
    <w:rsid w:val="00DE2AFA"/>
    <w:rsid w:val="00DE2FE4"/>
    <w:rsid w:val="00DE3010"/>
    <w:rsid w:val="00DE31AC"/>
    <w:rsid w:val="00DE3693"/>
    <w:rsid w:val="00DE3A36"/>
    <w:rsid w:val="00DE4186"/>
    <w:rsid w:val="00DE4408"/>
    <w:rsid w:val="00DE4931"/>
    <w:rsid w:val="00DE4BAA"/>
    <w:rsid w:val="00DE4EF9"/>
    <w:rsid w:val="00DE50EA"/>
    <w:rsid w:val="00DE51D6"/>
    <w:rsid w:val="00DE522B"/>
    <w:rsid w:val="00DE5DE0"/>
    <w:rsid w:val="00DE60EA"/>
    <w:rsid w:val="00DE665B"/>
    <w:rsid w:val="00DE6A92"/>
    <w:rsid w:val="00DE6DCE"/>
    <w:rsid w:val="00DE7535"/>
    <w:rsid w:val="00DE78F3"/>
    <w:rsid w:val="00DE79BD"/>
    <w:rsid w:val="00DE7EE6"/>
    <w:rsid w:val="00DE7F06"/>
    <w:rsid w:val="00DF0165"/>
    <w:rsid w:val="00DF02B8"/>
    <w:rsid w:val="00DF06E4"/>
    <w:rsid w:val="00DF0AA5"/>
    <w:rsid w:val="00DF0F90"/>
    <w:rsid w:val="00DF1255"/>
    <w:rsid w:val="00DF2079"/>
    <w:rsid w:val="00DF21B9"/>
    <w:rsid w:val="00DF26E5"/>
    <w:rsid w:val="00DF27B8"/>
    <w:rsid w:val="00DF2BD5"/>
    <w:rsid w:val="00DF2E03"/>
    <w:rsid w:val="00DF2EA6"/>
    <w:rsid w:val="00DF3573"/>
    <w:rsid w:val="00DF41E4"/>
    <w:rsid w:val="00DF43AB"/>
    <w:rsid w:val="00DF4472"/>
    <w:rsid w:val="00DF4477"/>
    <w:rsid w:val="00DF4558"/>
    <w:rsid w:val="00DF4740"/>
    <w:rsid w:val="00DF4760"/>
    <w:rsid w:val="00DF47C4"/>
    <w:rsid w:val="00DF4B77"/>
    <w:rsid w:val="00DF4BDF"/>
    <w:rsid w:val="00DF4FBD"/>
    <w:rsid w:val="00DF5042"/>
    <w:rsid w:val="00DF504D"/>
    <w:rsid w:val="00DF510B"/>
    <w:rsid w:val="00DF51E3"/>
    <w:rsid w:val="00DF534B"/>
    <w:rsid w:val="00DF544D"/>
    <w:rsid w:val="00DF5909"/>
    <w:rsid w:val="00DF6473"/>
    <w:rsid w:val="00DF6E47"/>
    <w:rsid w:val="00DF6FC0"/>
    <w:rsid w:val="00DF7097"/>
    <w:rsid w:val="00DF7647"/>
    <w:rsid w:val="00DF7984"/>
    <w:rsid w:val="00DF79B7"/>
    <w:rsid w:val="00DF7EA8"/>
    <w:rsid w:val="00DF7EEF"/>
    <w:rsid w:val="00E00111"/>
    <w:rsid w:val="00E0118C"/>
    <w:rsid w:val="00E01A07"/>
    <w:rsid w:val="00E01B30"/>
    <w:rsid w:val="00E01BC5"/>
    <w:rsid w:val="00E01C76"/>
    <w:rsid w:val="00E01F25"/>
    <w:rsid w:val="00E026E2"/>
    <w:rsid w:val="00E028D5"/>
    <w:rsid w:val="00E02E4C"/>
    <w:rsid w:val="00E03046"/>
    <w:rsid w:val="00E03776"/>
    <w:rsid w:val="00E03DD6"/>
    <w:rsid w:val="00E03E16"/>
    <w:rsid w:val="00E03E9F"/>
    <w:rsid w:val="00E04002"/>
    <w:rsid w:val="00E0416B"/>
    <w:rsid w:val="00E04F50"/>
    <w:rsid w:val="00E0529F"/>
    <w:rsid w:val="00E057E2"/>
    <w:rsid w:val="00E05ACE"/>
    <w:rsid w:val="00E0661B"/>
    <w:rsid w:val="00E06837"/>
    <w:rsid w:val="00E06B84"/>
    <w:rsid w:val="00E06E85"/>
    <w:rsid w:val="00E07022"/>
    <w:rsid w:val="00E070F5"/>
    <w:rsid w:val="00E077C1"/>
    <w:rsid w:val="00E079F2"/>
    <w:rsid w:val="00E079FA"/>
    <w:rsid w:val="00E1050E"/>
    <w:rsid w:val="00E108EA"/>
    <w:rsid w:val="00E10E87"/>
    <w:rsid w:val="00E1116B"/>
    <w:rsid w:val="00E11619"/>
    <w:rsid w:val="00E1190A"/>
    <w:rsid w:val="00E12147"/>
    <w:rsid w:val="00E12259"/>
    <w:rsid w:val="00E127D1"/>
    <w:rsid w:val="00E12BEC"/>
    <w:rsid w:val="00E13326"/>
    <w:rsid w:val="00E13659"/>
    <w:rsid w:val="00E13A98"/>
    <w:rsid w:val="00E13E6D"/>
    <w:rsid w:val="00E13EA8"/>
    <w:rsid w:val="00E13FC5"/>
    <w:rsid w:val="00E143D7"/>
    <w:rsid w:val="00E145D7"/>
    <w:rsid w:val="00E150BC"/>
    <w:rsid w:val="00E15238"/>
    <w:rsid w:val="00E15998"/>
    <w:rsid w:val="00E15D28"/>
    <w:rsid w:val="00E1607B"/>
    <w:rsid w:val="00E16A65"/>
    <w:rsid w:val="00E16A8B"/>
    <w:rsid w:val="00E16C69"/>
    <w:rsid w:val="00E16EA7"/>
    <w:rsid w:val="00E170D7"/>
    <w:rsid w:val="00E2010B"/>
    <w:rsid w:val="00E2018E"/>
    <w:rsid w:val="00E207CE"/>
    <w:rsid w:val="00E20821"/>
    <w:rsid w:val="00E20DD9"/>
    <w:rsid w:val="00E20E2D"/>
    <w:rsid w:val="00E20E44"/>
    <w:rsid w:val="00E21585"/>
    <w:rsid w:val="00E21594"/>
    <w:rsid w:val="00E21C41"/>
    <w:rsid w:val="00E224F1"/>
    <w:rsid w:val="00E22AB1"/>
    <w:rsid w:val="00E22CE9"/>
    <w:rsid w:val="00E2341F"/>
    <w:rsid w:val="00E235BE"/>
    <w:rsid w:val="00E23644"/>
    <w:rsid w:val="00E237C6"/>
    <w:rsid w:val="00E2394A"/>
    <w:rsid w:val="00E23974"/>
    <w:rsid w:val="00E23AFE"/>
    <w:rsid w:val="00E23C10"/>
    <w:rsid w:val="00E23E61"/>
    <w:rsid w:val="00E2425B"/>
    <w:rsid w:val="00E246A3"/>
    <w:rsid w:val="00E249FC"/>
    <w:rsid w:val="00E2514B"/>
    <w:rsid w:val="00E25370"/>
    <w:rsid w:val="00E255DB"/>
    <w:rsid w:val="00E26436"/>
    <w:rsid w:val="00E26592"/>
    <w:rsid w:val="00E26672"/>
    <w:rsid w:val="00E27147"/>
    <w:rsid w:val="00E27420"/>
    <w:rsid w:val="00E27762"/>
    <w:rsid w:val="00E27923"/>
    <w:rsid w:val="00E279CF"/>
    <w:rsid w:val="00E27B83"/>
    <w:rsid w:val="00E27F75"/>
    <w:rsid w:val="00E3009E"/>
    <w:rsid w:val="00E30106"/>
    <w:rsid w:val="00E3035F"/>
    <w:rsid w:val="00E3099F"/>
    <w:rsid w:val="00E30C48"/>
    <w:rsid w:val="00E30EE7"/>
    <w:rsid w:val="00E31174"/>
    <w:rsid w:val="00E31504"/>
    <w:rsid w:val="00E31603"/>
    <w:rsid w:val="00E32174"/>
    <w:rsid w:val="00E32DED"/>
    <w:rsid w:val="00E333F5"/>
    <w:rsid w:val="00E3346D"/>
    <w:rsid w:val="00E33C22"/>
    <w:rsid w:val="00E33D9A"/>
    <w:rsid w:val="00E34090"/>
    <w:rsid w:val="00E345EC"/>
    <w:rsid w:val="00E34837"/>
    <w:rsid w:val="00E34870"/>
    <w:rsid w:val="00E348DA"/>
    <w:rsid w:val="00E34BC9"/>
    <w:rsid w:val="00E34D3F"/>
    <w:rsid w:val="00E35269"/>
    <w:rsid w:val="00E3555B"/>
    <w:rsid w:val="00E369D2"/>
    <w:rsid w:val="00E36F2A"/>
    <w:rsid w:val="00E373A2"/>
    <w:rsid w:val="00E37FB3"/>
    <w:rsid w:val="00E40462"/>
    <w:rsid w:val="00E40E15"/>
    <w:rsid w:val="00E40F45"/>
    <w:rsid w:val="00E40FD7"/>
    <w:rsid w:val="00E4119D"/>
    <w:rsid w:val="00E4132D"/>
    <w:rsid w:val="00E41B86"/>
    <w:rsid w:val="00E41BA7"/>
    <w:rsid w:val="00E41BC8"/>
    <w:rsid w:val="00E41E67"/>
    <w:rsid w:val="00E42A2E"/>
    <w:rsid w:val="00E4302E"/>
    <w:rsid w:val="00E43097"/>
    <w:rsid w:val="00E43132"/>
    <w:rsid w:val="00E4333F"/>
    <w:rsid w:val="00E4370B"/>
    <w:rsid w:val="00E43A3C"/>
    <w:rsid w:val="00E43A54"/>
    <w:rsid w:val="00E44E21"/>
    <w:rsid w:val="00E4557A"/>
    <w:rsid w:val="00E4563F"/>
    <w:rsid w:val="00E46159"/>
    <w:rsid w:val="00E461F7"/>
    <w:rsid w:val="00E46C59"/>
    <w:rsid w:val="00E46E4C"/>
    <w:rsid w:val="00E47419"/>
    <w:rsid w:val="00E5035A"/>
    <w:rsid w:val="00E50435"/>
    <w:rsid w:val="00E509BD"/>
    <w:rsid w:val="00E50AF6"/>
    <w:rsid w:val="00E50C95"/>
    <w:rsid w:val="00E51107"/>
    <w:rsid w:val="00E51B48"/>
    <w:rsid w:val="00E52299"/>
    <w:rsid w:val="00E5234E"/>
    <w:rsid w:val="00E524B8"/>
    <w:rsid w:val="00E527B2"/>
    <w:rsid w:val="00E52B0B"/>
    <w:rsid w:val="00E52F4C"/>
    <w:rsid w:val="00E52FBB"/>
    <w:rsid w:val="00E53173"/>
    <w:rsid w:val="00E5349B"/>
    <w:rsid w:val="00E535CF"/>
    <w:rsid w:val="00E536A9"/>
    <w:rsid w:val="00E536D2"/>
    <w:rsid w:val="00E53A8F"/>
    <w:rsid w:val="00E53B6B"/>
    <w:rsid w:val="00E53BA1"/>
    <w:rsid w:val="00E53E58"/>
    <w:rsid w:val="00E5477B"/>
    <w:rsid w:val="00E547A7"/>
    <w:rsid w:val="00E548DF"/>
    <w:rsid w:val="00E54F1A"/>
    <w:rsid w:val="00E55207"/>
    <w:rsid w:val="00E55459"/>
    <w:rsid w:val="00E55797"/>
    <w:rsid w:val="00E55AAA"/>
    <w:rsid w:val="00E5609E"/>
    <w:rsid w:val="00E564B0"/>
    <w:rsid w:val="00E56834"/>
    <w:rsid w:val="00E5764E"/>
    <w:rsid w:val="00E576EC"/>
    <w:rsid w:val="00E57745"/>
    <w:rsid w:val="00E578F8"/>
    <w:rsid w:val="00E6043D"/>
    <w:rsid w:val="00E607F1"/>
    <w:rsid w:val="00E60ADD"/>
    <w:rsid w:val="00E60B8C"/>
    <w:rsid w:val="00E60DB8"/>
    <w:rsid w:val="00E61CF1"/>
    <w:rsid w:val="00E62446"/>
    <w:rsid w:val="00E6259A"/>
    <w:rsid w:val="00E62A01"/>
    <w:rsid w:val="00E62FD9"/>
    <w:rsid w:val="00E63437"/>
    <w:rsid w:val="00E6365C"/>
    <w:rsid w:val="00E6374C"/>
    <w:rsid w:val="00E64C33"/>
    <w:rsid w:val="00E64D0A"/>
    <w:rsid w:val="00E6506A"/>
    <w:rsid w:val="00E650C9"/>
    <w:rsid w:val="00E6545A"/>
    <w:rsid w:val="00E65C32"/>
    <w:rsid w:val="00E65DED"/>
    <w:rsid w:val="00E66245"/>
    <w:rsid w:val="00E6682A"/>
    <w:rsid w:val="00E668DD"/>
    <w:rsid w:val="00E66F63"/>
    <w:rsid w:val="00E6715F"/>
    <w:rsid w:val="00E67604"/>
    <w:rsid w:val="00E67711"/>
    <w:rsid w:val="00E67AE5"/>
    <w:rsid w:val="00E67AFD"/>
    <w:rsid w:val="00E67C7F"/>
    <w:rsid w:val="00E67F8F"/>
    <w:rsid w:val="00E705F8"/>
    <w:rsid w:val="00E70D67"/>
    <w:rsid w:val="00E70F6B"/>
    <w:rsid w:val="00E71D68"/>
    <w:rsid w:val="00E72000"/>
    <w:rsid w:val="00E72154"/>
    <w:rsid w:val="00E72305"/>
    <w:rsid w:val="00E7241D"/>
    <w:rsid w:val="00E72644"/>
    <w:rsid w:val="00E7271C"/>
    <w:rsid w:val="00E731A8"/>
    <w:rsid w:val="00E735BE"/>
    <w:rsid w:val="00E7390F"/>
    <w:rsid w:val="00E73922"/>
    <w:rsid w:val="00E742E9"/>
    <w:rsid w:val="00E74A59"/>
    <w:rsid w:val="00E74C5A"/>
    <w:rsid w:val="00E74EBD"/>
    <w:rsid w:val="00E74FD4"/>
    <w:rsid w:val="00E75670"/>
    <w:rsid w:val="00E756E6"/>
    <w:rsid w:val="00E75C95"/>
    <w:rsid w:val="00E76089"/>
    <w:rsid w:val="00E76252"/>
    <w:rsid w:val="00E762DA"/>
    <w:rsid w:val="00E7638A"/>
    <w:rsid w:val="00E76AE1"/>
    <w:rsid w:val="00E76D28"/>
    <w:rsid w:val="00E76F3F"/>
    <w:rsid w:val="00E7718B"/>
    <w:rsid w:val="00E77397"/>
    <w:rsid w:val="00E773DD"/>
    <w:rsid w:val="00E77C82"/>
    <w:rsid w:val="00E77CA5"/>
    <w:rsid w:val="00E80150"/>
    <w:rsid w:val="00E80206"/>
    <w:rsid w:val="00E8026A"/>
    <w:rsid w:val="00E8076C"/>
    <w:rsid w:val="00E8134B"/>
    <w:rsid w:val="00E815D5"/>
    <w:rsid w:val="00E81831"/>
    <w:rsid w:val="00E8218E"/>
    <w:rsid w:val="00E824B2"/>
    <w:rsid w:val="00E82D2E"/>
    <w:rsid w:val="00E830B3"/>
    <w:rsid w:val="00E8388E"/>
    <w:rsid w:val="00E83921"/>
    <w:rsid w:val="00E83AD4"/>
    <w:rsid w:val="00E847B5"/>
    <w:rsid w:val="00E847F8"/>
    <w:rsid w:val="00E84B78"/>
    <w:rsid w:val="00E85003"/>
    <w:rsid w:val="00E8577E"/>
    <w:rsid w:val="00E864EE"/>
    <w:rsid w:val="00E86A58"/>
    <w:rsid w:val="00E87E87"/>
    <w:rsid w:val="00E90524"/>
    <w:rsid w:val="00E9058A"/>
    <w:rsid w:val="00E90FBD"/>
    <w:rsid w:val="00E9102A"/>
    <w:rsid w:val="00E918BC"/>
    <w:rsid w:val="00E919CC"/>
    <w:rsid w:val="00E921F6"/>
    <w:rsid w:val="00E923EA"/>
    <w:rsid w:val="00E928B4"/>
    <w:rsid w:val="00E928E7"/>
    <w:rsid w:val="00E93489"/>
    <w:rsid w:val="00E9353B"/>
    <w:rsid w:val="00E9359F"/>
    <w:rsid w:val="00E9464A"/>
    <w:rsid w:val="00E948B3"/>
    <w:rsid w:val="00E94AAC"/>
    <w:rsid w:val="00E95049"/>
    <w:rsid w:val="00E9595E"/>
    <w:rsid w:val="00E95A7B"/>
    <w:rsid w:val="00E95FE2"/>
    <w:rsid w:val="00E9630B"/>
    <w:rsid w:val="00E9630E"/>
    <w:rsid w:val="00E964D0"/>
    <w:rsid w:val="00E966E6"/>
    <w:rsid w:val="00E96B99"/>
    <w:rsid w:val="00E97E10"/>
    <w:rsid w:val="00EA05A4"/>
    <w:rsid w:val="00EA10D7"/>
    <w:rsid w:val="00EA1257"/>
    <w:rsid w:val="00EA1371"/>
    <w:rsid w:val="00EA1732"/>
    <w:rsid w:val="00EA17C0"/>
    <w:rsid w:val="00EA1EE9"/>
    <w:rsid w:val="00EA2594"/>
    <w:rsid w:val="00EA299A"/>
    <w:rsid w:val="00EA2B11"/>
    <w:rsid w:val="00EA2CAD"/>
    <w:rsid w:val="00EA3ADF"/>
    <w:rsid w:val="00EA4A37"/>
    <w:rsid w:val="00EA4E07"/>
    <w:rsid w:val="00EA5867"/>
    <w:rsid w:val="00EA6305"/>
    <w:rsid w:val="00EA6C9B"/>
    <w:rsid w:val="00EA6F1B"/>
    <w:rsid w:val="00EA73DB"/>
    <w:rsid w:val="00EA77EE"/>
    <w:rsid w:val="00EB0630"/>
    <w:rsid w:val="00EB06DA"/>
    <w:rsid w:val="00EB0933"/>
    <w:rsid w:val="00EB0A7F"/>
    <w:rsid w:val="00EB13D2"/>
    <w:rsid w:val="00EB19B4"/>
    <w:rsid w:val="00EB1AD5"/>
    <w:rsid w:val="00EB2033"/>
    <w:rsid w:val="00EB220B"/>
    <w:rsid w:val="00EB2CF1"/>
    <w:rsid w:val="00EB2E86"/>
    <w:rsid w:val="00EB2ED9"/>
    <w:rsid w:val="00EB2F3B"/>
    <w:rsid w:val="00EB30D0"/>
    <w:rsid w:val="00EB3561"/>
    <w:rsid w:val="00EB37C6"/>
    <w:rsid w:val="00EB389F"/>
    <w:rsid w:val="00EB3CA9"/>
    <w:rsid w:val="00EB3EF0"/>
    <w:rsid w:val="00EB4306"/>
    <w:rsid w:val="00EB4A14"/>
    <w:rsid w:val="00EB4C5F"/>
    <w:rsid w:val="00EB4C95"/>
    <w:rsid w:val="00EB54A7"/>
    <w:rsid w:val="00EB62A9"/>
    <w:rsid w:val="00EB666B"/>
    <w:rsid w:val="00EB6823"/>
    <w:rsid w:val="00EB6854"/>
    <w:rsid w:val="00EB68B0"/>
    <w:rsid w:val="00EB6CC6"/>
    <w:rsid w:val="00EB73A6"/>
    <w:rsid w:val="00EB7436"/>
    <w:rsid w:val="00EB7476"/>
    <w:rsid w:val="00EB74B7"/>
    <w:rsid w:val="00EB7950"/>
    <w:rsid w:val="00EB7A40"/>
    <w:rsid w:val="00EB7AA3"/>
    <w:rsid w:val="00EB7C68"/>
    <w:rsid w:val="00EC0012"/>
    <w:rsid w:val="00EC0218"/>
    <w:rsid w:val="00EC0343"/>
    <w:rsid w:val="00EC0A20"/>
    <w:rsid w:val="00EC0FC3"/>
    <w:rsid w:val="00EC1164"/>
    <w:rsid w:val="00EC16E9"/>
    <w:rsid w:val="00EC1FE9"/>
    <w:rsid w:val="00EC27A0"/>
    <w:rsid w:val="00EC29D7"/>
    <w:rsid w:val="00EC2A36"/>
    <w:rsid w:val="00EC2E0B"/>
    <w:rsid w:val="00EC32AC"/>
    <w:rsid w:val="00EC364C"/>
    <w:rsid w:val="00EC378D"/>
    <w:rsid w:val="00EC46EC"/>
    <w:rsid w:val="00EC4719"/>
    <w:rsid w:val="00EC47B9"/>
    <w:rsid w:val="00EC4A3B"/>
    <w:rsid w:val="00EC5034"/>
    <w:rsid w:val="00EC5565"/>
    <w:rsid w:val="00EC5570"/>
    <w:rsid w:val="00EC56A0"/>
    <w:rsid w:val="00EC61BD"/>
    <w:rsid w:val="00EC647A"/>
    <w:rsid w:val="00EC677D"/>
    <w:rsid w:val="00EC695D"/>
    <w:rsid w:val="00EC6A45"/>
    <w:rsid w:val="00EC6CA5"/>
    <w:rsid w:val="00EC6F1B"/>
    <w:rsid w:val="00EC7036"/>
    <w:rsid w:val="00EC74AC"/>
    <w:rsid w:val="00EC7975"/>
    <w:rsid w:val="00EC7C5F"/>
    <w:rsid w:val="00EC7D85"/>
    <w:rsid w:val="00ED00BA"/>
    <w:rsid w:val="00ED0424"/>
    <w:rsid w:val="00ED054E"/>
    <w:rsid w:val="00ED0898"/>
    <w:rsid w:val="00ED17A9"/>
    <w:rsid w:val="00ED1AB4"/>
    <w:rsid w:val="00ED2A87"/>
    <w:rsid w:val="00ED2BCA"/>
    <w:rsid w:val="00ED30F0"/>
    <w:rsid w:val="00ED31CD"/>
    <w:rsid w:val="00ED32CE"/>
    <w:rsid w:val="00ED37ED"/>
    <w:rsid w:val="00ED3A8D"/>
    <w:rsid w:val="00ED3F92"/>
    <w:rsid w:val="00ED4C4C"/>
    <w:rsid w:val="00ED4E20"/>
    <w:rsid w:val="00ED4EBE"/>
    <w:rsid w:val="00ED5057"/>
    <w:rsid w:val="00ED5067"/>
    <w:rsid w:val="00ED5279"/>
    <w:rsid w:val="00ED57BE"/>
    <w:rsid w:val="00ED5B46"/>
    <w:rsid w:val="00ED6148"/>
    <w:rsid w:val="00ED628C"/>
    <w:rsid w:val="00ED6417"/>
    <w:rsid w:val="00ED6424"/>
    <w:rsid w:val="00ED661B"/>
    <w:rsid w:val="00ED6B04"/>
    <w:rsid w:val="00ED7313"/>
    <w:rsid w:val="00ED733F"/>
    <w:rsid w:val="00ED7AD5"/>
    <w:rsid w:val="00ED7B39"/>
    <w:rsid w:val="00ED7F82"/>
    <w:rsid w:val="00EE0722"/>
    <w:rsid w:val="00EE0750"/>
    <w:rsid w:val="00EE09F8"/>
    <w:rsid w:val="00EE0CB7"/>
    <w:rsid w:val="00EE1122"/>
    <w:rsid w:val="00EE1AAC"/>
    <w:rsid w:val="00EE1BCB"/>
    <w:rsid w:val="00EE227F"/>
    <w:rsid w:val="00EE2751"/>
    <w:rsid w:val="00EE3426"/>
    <w:rsid w:val="00EE3452"/>
    <w:rsid w:val="00EE3616"/>
    <w:rsid w:val="00EE3A40"/>
    <w:rsid w:val="00EE4726"/>
    <w:rsid w:val="00EE4A1F"/>
    <w:rsid w:val="00EE4A39"/>
    <w:rsid w:val="00EE4FCB"/>
    <w:rsid w:val="00EE6FCA"/>
    <w:rsid w:val="00EE755E"/>
    <w:rsid w:val="00EE7582"/>
    <w:rsid w:val="00EE7793"/>
    <w:rsid w:val="00EE7948"/>
    <w:rsid w:val="00EE7D06"/>
    <w:rsid w:val="00EE7E78"/>
    <w:rsid w:val="00EF00C1"/>
    <w:rsid w:val="00EF0176"/>
    <w:rsid w:val="00EF02B1"/>
    <w:rsid w:val="00EF0B59"/>
    <w:rsid w:val="00EF0C38"/>
    <w:rsid w:val="00EF0F65"/>
    <w:rsid w:val="00EF1048"/>
    <w:rsid w:val="00EF1F31"/>
    <w:rsid w:val="00EF269A"/>
    <w:rsid w:val="00EF3078"/>
    <w:rsid w:val="00EF350E"/>
    <w:rsid w:val="00EF38E5"/>
    <w:rsid w:val="00EF3B79"/>
    <w:rsid w:val="00EF3BD1"/>
    <w:rsid w:val="00EF3E06"/>
    <w:rsid w:val="00EF3E42"/>
    <w:rsid w:val="00EF40AD"/>
    <w:rsid w:val="00EF4188"/>
    <w:rsid w:val="00EF4396"/>
    <w:rsid w:val="00EF4588"/>
    <w:rsid w:val="00EF513A"/>
    <w:rsid w:val="00EF544A"/>
    <w:rsid w:val="00EF5C5E"/>
    <w:rsid w:val="00EF5F41"/>
    <w:rsid w:val="00EF6396"/>
    <w:rsid w:val="00EF7400"/>
    <w:rsid w:val="00EF746E"/>
    <w:rsid w:val="00EF7AF5"/>
    <w:rsid w:val="00EF7CF3"/>
    <w:rsid w:val="00EF7EC4"/>
    <w:rsid w:val="00F0094C"/>
    <w:rsid w:val="00F00C00"/>
    <w:rsid w:val="00F013C5"/>
    <w:rsid w:val="00F01546"/>
    <w:rsid w:val="00F015B4"/>
    <w:rsid w:val="00F01A8A"/>
    <w:rsid w:val="00F01F0E"/>
    <w:rsid w:val="00F021DE"/>
    <w:rsid w:val="00F02442"/>
    <w:rsid w:val="00F02D77"/>
    <w:rsid w:val="00F02E39"/>
    <w:rsid w:val="00F02FCC"/>
    <w:rsid w:val="00F03111"/>
    <w:rsid w:val="00F03430"/>
    <w:rsid w:val="00F039CC"/>
    <w:rsid w:val="00F03AFA"/>
    <w:rsid w:val="00F03F12"/>
    <w:rsid w:val="00F03FD5"/>
    <w:rsid w:val="00F048AE"/>
    <w:rsid w:val="00F04D63"/>
    <w:rsid w:val="00F04E38"/>
    <w:rsid w:val="00F0547B"/>
    <w:rsid w:val="00F054D3"/>
    <w:rsid w:val="00F05F4B"/>
    <w:rsid w:val="00F0659E"/>
    <w:rsid w:val="00F0676E"/>
    <w:rsid w:val="00F0737D"/>
    <w:rsid w:val="00F076D1"/>
    <w:rsid w:val="00F07952"/>
    <w:rsid w:val="00F10161"/>
    <w:rsid w:val="00F1083F"/>
    <w:rsid w:val="00F10D48"/>
    <w:rsid w:val="00F11FB1"/>
    <w:rsid w:val="00F122CE"/>
    <w:rsid w:val="00F12530"/>
    <w:rsid w:val="00F125BC"/>
    <w:rsid w:val="00F12624"/>
    <w:rsid w:val="00F12DB0"/>
    <w:rsid w:val="00F12DBA"/>
    <w:rsid w:val="00F12EEC"/>
    <w:rsid w:val="00F13286"/>
    <w:rsid w:val="00F13465"/>
    <w:rsid w:val="00F13469"/>
    <w:rsid w:val="00F137D5"/>
    <w:rsid w:val="00F1399F"/>
    <w:rsid w:val="00F13C1B"/>
    <w:rsid w:val="00F13FA4"/>
    <w:rsid w:val="00F14034"/>
    <w:rsid w:val="00F1472A"/>
    <w:rsid w:val="00F14835"/>
    <w:rsid w:val="00F157C3"/>
    <w:rsid w:val="00F15A19"/>
    <w:rsid w:val="00F15A46"/>
    <w:rsid w:val="00F16288"/>
    <w:rsid w:val="00F164B3"/>
    <w:rsid w:val="00F164F7"/>
    <w:rsid w:val="00F16A50"/>
    <w:rsid w:val="00F16C11"/>
    <w:rsid w:val="00F16CF1"/>
    <w:rsid w:val="00F173EA"/>
    <w:rsid w:val="00F17443"/>
    <w:rsid w:val="00F17593"/>
    <w:rsid w:val="00F17610"/>
    <w:rsid w:val="00F1783F"/>
    <w:rsid w:val="00F17B8D"/>
    <w:rsid w:val="00F17F08"/>
    <w:rsid w:val="00F206BF"/>
    <w:rsid w:val="00F206DF"/>
    <w:rsid w:val="00F2095A"/>
    <w:rsid w:val="00F21D68"/>
    <w:rsid w:val="00F22330"/>
    <w:rsid w:val="00F237D6"/>
    <w:rsid w:val="00F23A58"/>
    <w:rsid w:val="00F246A5"/>
    <w:rsid w:val="00F24A33"/>
    <w:rsid w:val="00F24D07"/>
    <w:rsid w:val="00F24EAA"/>
    <w:rsid w:val="00F2589E"/>
    <w:rsid w:val="00F25C27"/>
    <w:rsid w:val="00F26200"/>
    <w:rsid w:val="00F262EF"/>
    <w:rsid w:val="00F263D1"/>
    <w:rsid w:val="00F26418"/>
    <w:rsid w:val="00F26775"/>
    <w:rsid w:val="00F26FBD"/>
    <w:rsid w:val="00F30988"/>
    <w:rsid w:val="00F30B60"/>
    <w:rsid w:val="00F31E72"/>
    <w:rsid w:val="00F31F8D"/>
    <w:rsid w:val="00F3241C"/>
    <w:rsid w:val="00F324DA"/>
    <w:rsid w:val="00F326E4"/>
    <w:rsid w:val="00F32983"/>
    <w:rsid w:val="00F335F4"/>
    <w:rsid w:val="00F339A5"/>
    <w:rsid w:val="00F33F2E"/>
    <w:rsid w:val="00F3574F"/>
    <w:rsid w:val="00F35785"/>
    <w:rsid w:val="00F35A94"/>
    <w:rsid w:val="00F35D52"/>
    <w:rsid w:val="00F36174"/>
    <w:rsid w:val="00F36620"/>
    <w:rsid w:val="00F36AE8"/>
    <w:rsid w:val="00F36F8B"/>
    <w:rsid w:val="00F371A6"/>
    <w:rsid w:val="00F37B7F"/>
    <w:rsid w:val="00F37C25"/>
    <w:rsid w:val="00F37E11"/>
    <w:rsid w:val="00F4037E"/>
    <w:rsid w:val="00F409FF"/>
    <w:rsid w:val="00F40D1E"/>
    <w:rsid w:val="00F412D4"/>
    <w:rsid w:val="00F41D67"/>
    <w:rsid w:val="00F42238"/>
    <w:rsid w:val="00F4234A"/>
    <w:rsid w:val="00F42758"/>
    <w:rsid w:val="00F428D6"/>
    <w:rsid w:val="00F429DB"/>
    <w:rsid w:val="00F429FD"/>
    <w:rsid w:val="00F42C54"/>
    <w:rsid w:val="00F432A9"/>
    <w:rsid w:val="00F4372B"/>
    <w:rsid w:val="00F43947"/>
    <w:rsid w:val="00F43DAC"/>
    <w:rsid w:val="00F43FDB"/>
    <w:rsid w:val="00F442B5"/>
    <w:rsid w:val="00F442C7"/>
    <w:rsid w:val="00F443F1"/>
    <w:rsid w:val="00F444E4"/>
    <w:rsid w:val="00F44637"/>
    <w:rsid w:val="00F4470A"/>
    <w:rsid w:val="00F448EE"/>
    <w:rsid w:val="00F44FE6"/>
    <w:rsid w:val="00F4530D"/>
    <w:rsid w:val="00F4531B"/>
    <w:rsid w:val="00F45DFA"/>
    <w:rsid w:val="00F46346"/>
    <w:rsid w:val="00F465C0"/>
    <w:rsid w:val="00F46873"/>
    <w:rsid w:val="00F46A6C"/>
    <w:rsid w:val="00F46D3B"/>
    <w:rsid w:val="00F4720F"/>
    <w:rsid w:val="00F476A9"/>
    <w:rsid w:val="00F478A9"/>
    <w:rsid w:val="00F47CF3"/>
    <w:rsid w:val="00F500F8"/>
    <w:rsid w:val="00F507B9"/>
    <w:rsid w:val="00F50823"/>
    <w:rsid w:val="00F5099A"/>
    <w:rsid w:val="00F5169A"/>
    <w:rsid w:val="00F51BEA"/>
    <w:rsid w:val="00F51FC3"/>
    <w:rsid w:val="00F520E9"/>
    <w:rsid w:val="00F52241"/>
    <w:rsid w:val="00F523BC"/>
    <w:rsid w:val="00F52465"/>
    <w:rsid w:val="00F5296C"/>
    <w:rsid w:val="00F52B77"/>
    <w:rsid w:val="00F5309C"/>
    <w:rsid w:val="00F53CEB"/>
    <w:rsid w:val="00F53D95"/>
    <w:rsid w:val="00F5438F"/>
    <w:rsid w:val="00F545C2"/>
    <w:rsid w:val="00F549F2"/>
    <w:rsid w:val="00F54A6E"/>
    <w:rsid w:val="00F54DB4"/>
    <w:rsid w:val="00F54EC8"/>
    <w:rsid w:val="00F558BA"/>
    <w:rsid w:val="00F55A5B"/>
    <w:rsid w:val="00F55EF3"/>
    <w:rsid w:val="00F56108"/>
    <w:rsid w:val="00F563FB"/>
    <w:rsid w:val="00F56AD7"/>
    <w:rsid w:val="00F57307"/>
    <w:rsid w:val="00F577E4"/>
    <w:rsid w:val="00F57F39"/>
    <w:rsid w:val="00F6021C"/>
    <w:rsid w:val="00F60A28"/>
    <w:rsid w:val="00F6139F"/>
    <w:rsid w:val="00F613E3"/>
    <w:rsid w:val="00F6186D"/>
    <w:rsid w:val="00F61BF9"/>
    <w:rsid w:val="00F61FEA"/>
    <w:rsid w:val="00F62A57"/>
    <w:rsid w:val="00F62BD2"/>
    <w:rsid w:val="00F62C68"/>
    <w:rsid w:val="00F62D77"/>
    <w:rsid w:val="00F63047"/>
    <w:rsid w:val="00F63096"/>
    <w:rsid w:val="00F63619"/>
    <w:rsid w:val="00F636A1"/>
    <w:rsid w:val="00F63BE7"/>
    <w:rsid w:val="00F63C14"/>
    <w:rsid w:val="00F63FDB"/>
    <w:rsid w:val="00F641DA"/>
    <w:rsid w:val="00F6453E"/>
    <w:rsid w:val="00F648EB"/>
    <w:rsid w:val="00F64AA9"/>
    <w:rsid w:val="00F650F7"/>
    <w:rsid w:val="00F651B3"/>
    <w:rsid w:val="00F65CF3"/>
    <w:rsid w:val="00F6607A"/>
    <w:rsid w:val="00F660FB"/>
    <w:rsid w:val="00F6656F"/>
    <w:rsid w:val="00F66801"/>
    <w:rsid w:val="00F66D2C"/>
    <w:rsid w:val="00F6729C"/>
    <w:rsid w:val="00F6740D"/>
    <w:rsid w:val="00F679A8"/>
    <w:rsid w:val="00F679C4"/>
    <w:rsid w:val="00F67D9A"/>
    <w:rsid w:val="00F70852"/>
    <w:rsid w:val="00F70888"/>
    <w:rsid w:val="00F70D76"/>
    <w:rsid w:val="00F710F8"/>
    <w:rsid w:val="00F7114B"/>
    <w:rsid w:val="00F719C8"/>
    <w:rsid w:val="00F71A88"/>
    <w:rsid w:val="00F72175"/>
    <w:rsid w:val="00F72539"/>
    <w:rsid w:val="00F72D6F"/>
    <w:rsid w:val="00F72ED9"/>
    <w:rsid w:val="00F73346"/>
    <w:rsid w:val="00F73A48"/>
    <w:rsid w:val="00F73D9E"/>
    <w:rsid w:val="00F73FD3"/>
    <w:rsid w:val="00F74C19"/>
    <w:rsid w:val="00F74CC6"/>
    <w:rsid w:val="00F75525"/>
    <w:rsid w:val="00F75618"/>
    <w:rsid w:val="00F758CA"/>
    <w:rsid w:val="00F75F8F"/>
    <w:rsid w:val="00F767FF"/>
    <w:rsid w:val="00F77290"/>
    <w:rsid w:val="00F775F0"/>
    <w:rsid w:val="00F776A8"/>
    <w:rsid w:val="00F77E1B"/>
    <w:rsid w:val="00F77E55"/>
    <w:rsid w:val="00F803C7"/>
    <w:rsid w:val="00F80777"/>
    <w:rsid w:val="00F80779"/>
    <w:rsid w:val="00F80B12"/>
    <w:rsid w:val="00F8108B"/>
    <w:rsid w:val="00F81258"/>
    <w:rsid w:val="00F8182C"/>
    <w:rsid w:val="00F81C6E"/>
    <w:rsid w:val="00F81E42"/>
    <w:rsid w:val="00F81E7A"/>
    <w:rsid w:val="00F823E3"/>
    <w:rsid w:val="00F8266A"/>
    <w:rsid w:val="00F828FD"/>
    <w:rsid w:val="00F82CA4"/>
    <w:rsid w:val="00F8345B"/>
    <w:rsid w:val="00F83491"/>
    <w:rsid w:val="00F83712"/>
    <w:rsid w:val="00F83852"/>
    <w:rsid w:val="00F83CB6"/>
    <w:rsid w:val="00F83E0B"/>
    <w:rsid w:val="00F84928"/>
    <w:rsid w:val="00F849D5"/>
    <w:rsid w:val="00F84A5C"/>
    <w:rsid w:val="00F8506E"/>
    <w:rsid w:val="00F854FE"/>
    <w:rsid w:val="00F85C4D"/>
    <w:rsid w:val="00F86556"/>
    <w:rsid w:val="00F86D0B"/>
    <w:rsid w:val="00F86DA0"/>
    <w:rsid w:val="00F86F2E"/>
    <w:rsid w:val="00F86FF6"/>
    <w:rsid w:val="00F8712C"/>
    <w:rsid w:val="00F8721E"/>
    <w:rsid w:val="00F87843"/>
    <w:rsid w:val="00F878C1"/>
    <w:rsid w:val="00F87B55"/>
    <w:rsid w:val="00F87C8C"/>
    <w:rsid w:val="00F9042F"/>
    <w:rsid w:val="00F904DC"/>
    <w:rsid w:val="00F91637"/>
    <w:rsid w:val="00F91725"/>
    <w:rsid w:val="00F917A8"/>
    <w:rsid w:val="00F9188C"/>
    <w:rsid w:val="00F91FA6"/>
    <w:rsid w:val="00F92258"/>
    <w:rsid w:val="00F923C0"/>
    <w:rsid w:val="00F924FD"/>
    <w:rsid w:val="00F92CD6"/>
    <w:rsid w:val="00F92D44"/>
    <w:rsid w:val="00F93424"/>
    <w:rsid w:val="00F93670"/>
    <w:rsid w:val="00F93CE9"/>
    <w:rsid w:val="00F94043"/>
    <w:rsid w:val="00F9422B"/>
    <w:rsid w:val="00F9462F"/>
    <w:rsid w:val="00F94CC8"/>
    <w:rsid w:val="00F94FCA"/>
    <w:rsid w:val="00F9573E"/>
    <w:rsid w:val="00F9591A"/>
    <w:rsid w:val="00F95986"/>
    <w:rsid w:val="00F95DE3"/>
    <w:rsid w:val="00F96510"/>
    <w:rsid w:val="00F96536"/>
    <w:rsid w:val="00F9661F"/>
    <w:rsid w:val="00F96710"/>
    <w:rsid w:val="00F96893"/>
    <w:rsid w:val="00F96B43"/>
    <w:rsid w:val="00F96DB7"/>
    <w:rsid w:val="00F970D2"/>
    <w:rsid w:val="00F971A2"/>
    <w:rsid w:val="00F97C49"/>
    <w:rsid w:val="00F97E09"/>
    <w:rsid w:val="00FA0891"/>
    <w:rsid w:val="00FA095A"/>
    <w:rsid w:val="00FA0971"/>
    <w:rsid w:val="00FA17EB"/>
    <w:rsid w:val="00FA1B2B"/>
    <w:rsid w:val="00FA1D07"/>
    <w:rsid w:val="00FA1D90"/>
    <w:rsid w:val="00FA2276"/>
    <w:rsid w:val="00FA239C"/>
    <w:rsid w:val="00FA27E2"/>
    <w:rsid w:val="00FA2886"/>
    <w:rsid w:val="00FA29ED"/>
    <w:rsid w:val="00FA2A49"/>
    <w:rsid w:val="00FA2DA3"/>
    <w:rsid w:val="00FA2FB1"/>
    <w:rsid w:val="00FA3177"/>
    <w:rsid w:val="00FA34C8"/>
    <w:rsid w:val="00FA3832"/>
    <w:rsid w:val="00FA38E8"/>
    <w:rsid w:val="00FA3AA7"/>
    <w:rsid w:val="00FA3BB5"/>
    <w:rsid w:val="00FA3C1C"/>
    <w:rsid w:val="00FA3DC2"/>
    <w:rsid w:val="00FA3DCD"/>
    <w:rsid w:val="00FA3F24"/>
    <w:rsid w:val="00FA3F66"/>
    <w:rsid w:val="00FA4086"/>
    <w:rsid w:val="00FA4141"/>
    <w:rsid w:val="00FA4864"/>
    <w:rsid w:val="00FA4C72"/>
    <w:rsid w:val="00FA5182"/>
    <w:rsid w:val="00FA5379"/>
    <w:rsid w:val="00FA552E"/>
    <w:rsid w:val="00FA56EE"/>
    <w:rsid w:val="00FA6070"/>
    <w:rsid w:val="00FA644E"/>
    <w:rsid w:val="00FA665D"/>
    <w:rsid w:val="00FA6F63"/>
    <w:rsid w:val="00FA724F"/>
    <w:rsid w:val="00FA7329"/>
    <w:rsid w:val="00FA742F"/>
    <w:rsid w:val="00FA75CB"/>
    <w:rsid w:val="00FA75F8"/>
    <w:rsid w:val="00FA7A06"/>
    <w:rsid w:val="00FA7D64"/>
    <w:rsid w:val="00FA7D8A"/>
    <w:rsid w:val="00FA7EC1"/>
    <w:rsid w:val="00FB04B1"/>
    <w:rsid w:val="00FB0534"/>
    <w:rsid w:val="00FB0B6E"/>
    <w:rsid w:val="00FB0F32"/>
    <w:rsid w:val="00FB137C"/>
    <w:rsid w:val="00FB187E"/>
    <w:rsid w:val="00FB1B19"/>
    <w:rsid w:val="00FB1B26"/>
    <w:rsid w:val="00FB2113"/>
    <w:rsid w:val="00FB239D"/>
    <w:rsid w:val="00FB25AF"/>
    <w:rsid w:val="00FB2602"/>
    <w:rsid w:val="00FB280D"/>
    <w:rsid w:val="00FB2F04"/>
    <w:rsid w:val="00FB39A9"/>
    <w:rsid w:val="00FB3DF6"/>
    <w:rsid w:val="00FB41C2"/>
    <w:rsid w:val="00FB4414"/>
    <w:rsid w:val="00FB48FC"/>
    <w:rsid w:val="00FB4B1C"/>
    <w:rsid w:val="00FB4B2B"/>
    <w:rsid w:val="00FB5297"/>
    <w:rsid w:val="00FB5344"/>
    <w:rsid w:val="00FB53C7"/>
    <w:rsid w:val="00FB5562"/>
    <w:rsid w:val="00FB58CF"/>
    <w:rsid w:val="00FB67EC"/>
    <w:rsid w:val="00FB6AB9"/>
    <w:rsid w:val="00FB6BE8"/>
    <w:rsid w:val="00FB7404"/>
    <w:rsid w:val="00FB7835"/>
    <w:rsid w:val="00FB7EC4"/>
    <w:rsid w:val="00FC0037"/>
    <w:rsid w:val="00FC06AE"/>
    <w:rsid w:val="00FC0A37"/>
    <w:rsid w:val="00FC0DC5"/>
    <w:rsid w:val="00FC201F"/>
    <w:rsid w:val="00FC219E"/>
    <w:rsid w:val="00FC236F"/>
    <w:rsid w:val="00FC2669"/>
    <w:rsid w:val="00FC2702"/>
    <w:rsid w:val="00FC2B7E"/>
    <w:rsid w:val="00FC2BAC"/>
    <w:rsid w:val="00FC2C20"/>
    <w:rsid w:val="00FC2DB6"/>
    <w:rsid w:val="00FC2F7C"/>
    <w:rsid w:val="00FC3297"/>
    <w:rsid w:val="00FC34B6"/>
    <w:rsid w:val="00FC378B"/>
    <w:rsid w:val="00FC4165"/>
    <w:rsid w:val="00FC440C"/>
    <w:rsid w:val="00FC4830"/>
    <w:rsid w:val="00FC4947"/>
    <w:rsid w:val="00FC4979"/>
    <w:rsid w:val="00FC4E7E"/>
    <w:rsid w:val="00FC502E"/>
    <w:rsid w:val="00FC5137"/>
    <w:rsid w:val="00FC56E8"/>
    <w:rsid w:val="00FC5C51"/>
    <w:rsid w:val="00FC62FD"/>
    <w:rsid w:val="00FC665A"/>
    <w:rsid w:val="00FC66BF"/>
    <w:rsid w:val="00FC72AA"/>
    <w:rsid w:val="00FC79B4"/>
    <w:rsid w:val="00FC7CDE"/>
    <w:rsid w:val="00FC7E4D"/>
    <w:rsid w:val="00FD0889"/>
    <w:rsid w:val="00FD0995"/>
    <w:rsid w:val="00FD0A74"/>
    <w:rsid w:val="00FD0B74"/>
    <w:rsid w:val="00FD0CDA"/>
    <w:rsid w:val="00FD0E6C"/>
    <w:rsid w:val="00FD1055"/>
    <w:rsid w:val="00FD1713"/>
    <w:rsid w:val="00FD338E"/>
    <w:rsid w:val="00FD3B9C"/>
    <w:rsid w:val="00FD402D"/>
    <w:rsid w:val="00FD4186"/>
    <w:rsid w:val="00FD4ACF"/>
    <w:rsid w:val="00FD4C22"/>
    <w:rsid w:val="00FD4D51"/>
    <w:rsid w:val="00FD5559"/>
    <w:rsid w:val="00FD5779"/>
    <w:rsid w:val="00FD58A8"/>
    <w:rsid w:val="00FD59DB"/>
    <w:rsid w:val="00FD625B"/>
    <w:rsid w:val="00FD6EEB"/>
    <w:rsid w:val="00FD72E3"/>
    <w:rsid w:val="00FD7498"/>
    <w:rsid w:val="00FD7A1A"/>
    <w:rsid w:val="00FD7DCB"/>
    <w:rsid w:val="00FD7E76"/>
    <w:rsid w:val="00FE0045"/>
    <w:rsid w:val="00FE0557"/>
    <w:rsid w:val="00FE0C12"/>
    <w:rsid w:val="00FE0E1B"/>
    <w:rsid w:val="00FE0ED3"/>
    <w:rsid w:val="00FE10CD"/>
    <w:rsid w:val="00FE1379"/>
    <w:rsid w:val="00FE191E"/>
    <w:rsid w:val="00FE1E52"/>
    <w:rsid w:val="00FE28CC"/>
    <w:rsid w:val="00FE2FFB"/>
    <w:rsid w:val="00FE4A6B"/>
    <w:rsid w:val="00FE5506"/>
    <w:rsid w:val="00FE5561"/>
    <w:rsid w:val="00FE5A1D"/>
    <w:rsid w:val="00FE5E8C"/>
    <w:rsid w:val="00FE5E9E"/>
    <w:rsid w:val="00FE5EC0"/>
    <w:rsid w:val="00FE5F5D"/>
    <w:rsid w:val="00FE6002"/>
    <w:rsid w:val="00FE66F6"/>
    <w:rsid w:val="00FE6AA9"/>
    <w:rsid w:val="00FE6E50"/>
    <w:rsid w:val="00FE7195"/>
    <w:rsid w:val="00FE777F"/>
    <w:rsid w:val="00FE7B11"/>
    <w:rsid w:val="00FE7B4C"/>
    <w:rsid w:val="00FF0A86"/>
    <w:rsid w:val="00FF0DD9"/>
    <w:rsid w:val="00FF1178"/>
    <w:rsid w:val="00FF117B"/>
    <w:rsid w:val="00FF1548"/>
    <w:rsid w:val="00FF1EEB"/>
    <w:rsid w:val="00FF20B0"/>
    <w:rsid w:val="00FF2290"/>
    <w:rsid w:val="00FF2331"/>
    <w:rsid w:val="00FF2607"/>
    <w:rsid w:val="00FF285B"/>
    <w:rsid w:val="00FF2F8F"/>
    <w:rsid w:val="00FF34C9"/>
    <w:rsid w:val="00FF37A9"/>
    <w:rsid w:val="00FF46A1"/>
    <w:rsid w:val="00FF4D13"/>
    <w:rsid w:val="00FF5189"/>
    <w:rsid w:val="00FF523B"/>
    <w:rsid w:val="00FF5839"/>
    <w:rsid w:val="00FF5BDC"/>
    <w:rsid w:val="00FF5EB0"/>
    <w:rsid w:val="00FF6444"/>
    <w:rsid w:val="00FF655F"/>
    <w:rsid w:val="00FF6E3C"/>
    <w:rsid w:val="00FF73F0"/>
    <w:rsid w:val="00FF758C"/>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3"/>
    <o:shapelayout v:ext="edit">
      <o:idmap v:ext="edit" data="1"/>
    </o:shapelayout>
  </w:shapeDefaults>
  <w:decimalSymbol w:val="."/>
  <w:listSeparator w:val=","/>
  <w14:docId w14:val="1D100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iPriority="0"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semiHidden="1" w:uiPriority="1" w:unhideWhenUsed="1"/>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iPriority="0" w:unhideWhenUsed="1"/>
    <w:lsdException w:name="HTML Bottom of Form" w:locked="1" w:semiHidden="1" w:uiPriority="0" w:unhideWhenUsed="1"/>
    <w:lsdException w:name="Normal (Web)" w:locked="1" w:semiHidden="1" w:unhideWhenUsed="1"/>
    <w:lsdException w:name="HTML Acronym" w:locked="1" w:semiHidden="1" w:uiPriority="0" w:unhideWhenUsed="1"/>
    <w:lsdException w:name="HTML Address" w:locked="1" w:semiHidden="1" w:unhideWhenUsed="1"/>
    <w:lsdException w:name="HTML Cite" w:locked="1" w:semiHidden="1" w:uiPriority="0" w:unhideWhenUsed="1"/>
    <w:lsdException w:name="HTML Code" w:locked="1" w:semiHidden="1" w:uiPriority="0" w:unhideWhenUsed="1"/>
    <w:lsdException w:name="HTML Definition" w:locked="1" w:semiHidden="1" w:uiPriority="0" w:unhideWhenUsed="1"/>
    <w:lsdException w:name="HTML Keyboard" w:locked="1" w:semiHidden="1" w:uiPriority="0" w:unhideWhenUsed="1"/>
    <w:lsdException w:name="HTML Preformatted" w:locked="1" w:semiHidden="1" w:unhideWhenUsed="1"/>
    <w:lsdException w:name="HTML Sample" w:locked="1" w:semiHidden="1" w:uiPriority="0" w:unhideWhenUsed="1"/>
    <w:lsdException w:name="HTML Typewriter" w:locked="1" w:semiHidden="1" w:uiPriority="0" w:unhideWhenUsed="1"/>
    <w:lsdException w:name="HTML Variable" w:locked="1" w:semiHidden="1" w:uiPriority="0" w:unhideWhenUsed="1"/>
    <w:lsdException w:name="Normal Table" w:locked="1" w:semiHidden="1" w:uiPriority="0" w:unhideWhenUsed="1"/>
    <w:lsdException w:name="annotation subject" w:locked="1" w:semiHidden="1" w:unhideWhenUsed="1"/>
    <w:lsdException w:name="No List" w:locked="1" w:semiHidden="1" w:unhideWhenUsed="1"/>
    <w:lsdException w:name="Outline List 1" w:locked="1" w:semiHidden="1" w:uiPriority="0" w:unhideWhenUsed="1"/>
    <w:lsdException w:name="Outline List 2" w:locked="1" w:semiHidden="1" w:uiPriority="0" w:unhideWhenUsed="1"/>
    <w:lsdException w:name="Outline List 3" w:locked="1" w:semiHidden="1" w:uiPriority="0" w:unhideWhenUsed="1"/>
    <w:lsdException w:name="Table Simple 1" w:locked="1" w:semiHidden="1" w:uiPriority="0" w:unhideWhenUsed="1"/>
    <w:lsdException w:name="Table Simple 2" w:locked="1" w:semiHidden="1" w:uiPriority="0" w:unhideWhenUsed="1"/>
    <w:lsdException w:name="Table Simple 3" w:locked="1" w:semiHidden="1" w:uiPriority="0" w:unhideWhenUsed="1"/>
    <w:lsdException w:name="Table Classic 1" w:locked="1" w:semiHidden="1" w:uiPriority="0" w:unhideWhenUsed="1"/>
    <w:lsdException w:name="Table Classic 2" w:locked="1" w:semiHidden="1" w:uiPriority="0" w:unhideWhenUsed="1"/>
    <w:lsdException w:name="Table Classic 3" w:locked="1" w:semiHidden="1" w:uiPriority="0" w:unhideWhenUsed="1"/>
    <w:lsdException w:name="Table Classic 4" w:locked="1" w:semiHidden="1" w:uiPriority="0" w:unhideWhenUsed="1"/>
    <w:lsdException w:name="Table Colorful 1" w:locked="1" w:semiHidden="1" w:uiPriority="0" w:unhideWhenUsed="1"/>
    <w:lsdException w:name="Table Colorful 2" w:locked="1" w:semiHidden="1" w:uiPriority="0" w:unhideWhenUsed="1"/>
    <w:lsdException w:name="Table Colorful 3" w:locked="1" w:semiHidden="1" w:uiPriority="0" w:unhideWhenUsed="1"/>
    <w:lsdException w:name="Table Columns 1" w:locked="1" w:semiHidden="1" w:uiPriority="0" w:unhideWhenUsed="1"/>
    <w:lsdException w:name="Table Columns 2" w:locked="1" w:semiHidden="1" w:uiPriority="0" w:unhideWhenUsed="1"/>
    <w:lsdException w:name="Table Columns 3" w:locked="1" w:semiHidden="1" w:uiPriority="0" w:unhideWhenUsed="1"/>
    <w:lsdException w:name="Table Columns 4" w:locked="1" w:semiHidden="1" w:uiPriority="0" w:unhideWhenUsed="1"/>
    <w:lsdException w:name="Table Columns 5" w:locked="1" w:semiHidden="1" w:uiPriority="0" w:unhideWhenUsed="1"/>
    <w:lsdException w:name="Table Grid 1" w:locked="1" w:semiHidden="1" w:uiPriority="0" w:unhideWhenUsed="1"/>
    <w:lsdException w:name="Table Grid 2" w:locked="1" w:semiHidden="1" w:uiPriority="0" w:unhideWhenUsed="1"/>
    <w:lsdException w:name="Table Grid 3" w:locked="1" w:semiHidden="1" w:uiPriority="0" w:unhideWhenUsed="1"/>
    <w:lsdException w:name="Table Grid 4" w:locked="1" w:semiHidden="1" w:uiPriority="0" w:unhideWhenUsed="1"/>
    <w:lsdException w:name="Table Grid 5" w:locked="1" w:semiHidden="1" w:uiPriority="0" w:unhideWhenUsed="1"/>
    <w:lsdException w:name="Table Grid 6" w:locked="1" w:semiHidden="1" w:uiPriority="0" w:unhideWhenUsed="1"/>
    <w:lsdException w:name="Table Grid 7" w:locked="1" w:semiHidden="1" w:uiPriority="0" w:unhideWhenUsed="1"/>
    <w:lsdException w:name="Table Grid 8" w:locked="1" w:semiHidden="1" w:uiPriority="0" w:unhideWhenUsed="1"/>
    <w:lsdException w:name="Table List 1" w:locked="1" w:semiHidden="1" w:uiPriority="0" w:unhideWhenUsed="1"/>
    <w:lsdException w:name="Table List 2" w:locked="1" w:semiHidden="1" w:uiPriority="0" w:unhideWhenUsed="1"/>
    <w:lsdException w:name="Table List 3" w:locked="1" w:semiHidden="1" w:uiPriority="0" w:unhideWhenUsed="1"/>
    <w:lsdException w:name="Table List 4" w:locked="1" w:semiHidden="1" w:uiPriority="0" w:unhideWhenUsed="1"/>
    <w:lsdException w:name="Table List 5" w:locked="1" w:semiHidden="1" w:uiPriority="0" w:unhideWhenUsed="1"/>
    <w:lsdException w:name="Table List 6" w:locked="1" w:semiHidden="1" w:uiPriority="0" w:unhideWhenUsed="1"/>
    <w:lsdException w:name="Table List 7" w:locked="1" w:semiHidden="1" w:uiPriority="0" w:unhideWhenUsed="1"/>
    <w:lsdException w:name="Table List 8" w:locked="1" w:semiHidden="1" w:uiPriority="0" w:unhideWhenUsed="1"/>
    <w:lsdException w:name="Table 3D effects 1" w:locked="1" w:semiHidden="1" w:uiPriority="0" w:unhideWhenUsed="1"/>
    <w:lsdException w:name="Table 3D effects 2" w:locked="1" w:semiHidden="1" w:uiPriority="0" w:unhideWhenUsed="1"/>
    <w:lsdException w:name="Table 3D effects 3" w:locked="1" w:semiHidden="1" w:uiPriority="0" w:unhideWhenUsed="1"/>
    <w:lsdException w:name="Table Contemporary" w:locked="1" w:semiHidden="1" w:uiPriority="0" w:unhideWhenUsed="1"/>
    <w:lsdException w:name="Table Elegant" w:locked="1" w:semiHidden="1" w:uiPriority="0" w:unhideWhenUsed="1"/>
    <w:lsdException w:name="Table Professional" w:locked="1" w:semiHidden="1" w:uiPriority="0" w:unhideWhenUsed="1"/>
    <w:lsdException w:name="Table Subtle 1" w:locked="1" w:semiHidden="1" w:uiPriority="0" w:unhideWhenUsed="1"/>
    <w:lsdException w:name="Table Subtle 2" w:locked="1" w:semiHidden="1" w:uiPriority="0" w:unhideWhenUsed="1"/>
    <w:lsdException w:name="Table Web 1" w:locked="1" w:semiHidden="1" w:uiPriority="0" w:unhideWhenUsed="1"/>
    <w:lsdException w:name="Table Web 2" w:locked="1" w:semiHidden="1" w:uiPriority="0" w:unhideWhenUsed="1"/>
    <w:lsdException w:name="Table Web 3" w:locked="1" w:semiHidden="1" w:uiPriority="0" w:unhideWhenUsed="1"/>
    <w:lsdException w:name="Balloon Text" w:locked="1" w:semiHidden="1" w:unhideWhenUsed="1"/>
    <w:lsdException w:name="Table Grid" w:uiPriority="39"/>
    <w:lsdException w:name="Table Theme" w:locked="1" w:semiHidden="1" w:uiPriority="0"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3F34"/>
    <w:pPr>
      <w:spacing w:before="120" w:after="120"/>
    </w:pPr>
    <w:rPr>
      <w:rFonts w:ascii="Calibri" w:hAnsi="Calibri"/>
      <w:sz w:val="22"/>
      <w:szCs w:val="24"/>
      <w:lang w:eastAsia="en-US"/>
    </w:rPr>
  </w:style>
  <w:style w:type="paragraph" w:styleId="Heading1">
    <w:name w:val="heading 1"/>
    <w:basedOn w:val="Normal"/>
    <w:next w:val="Normal"/>
    <w:link w:val="Heading1Char"/>
    <w:uiPriority w:val="9"/>
    <w:qFormat/>
    <w:rsid w:val="0015509E"/>
    <w:pPr>
      <w:keepNext/>
      <w:pageBreakBefore/>
      <w:numPr>
        <w:numId w:val="4"/>
      </w:numPr>
      <w:spacing w:before="240" w:after="60"/>
      <w:outlineLvl w:val="0"/>
    </w:pPr>
    <w:rPr>
      <w:rFonts w:ascii="Arial" w:hAnsi="Arial" w:cs="Arial"/>
      <w:b/>
      <w:kern w:val="32"/>
      <w:sz w:val="36"/>
      <w:szCs w:val="36"/>
    </w:rPr>
  </w:style>
  <w:style w:type="paragraph" w:styleId="Heading2">
    <w:name w:val="heading 2"/>
    <w:basedOn w:val="Normal"/>
    <w:next w:val="Normal"/>
    <w:link w:val="Heading2Char"/>
    <w:uiPriority w:val="9"/>
    <w:qFormat/>
    <w:rsid w:val="0015509E"/>
    <w:pPr>
      <w:keepNext/>
      <w:numPr>
        <w:ilvl w:val="1"/>
        <w:numId w:val="4"/>
      </w:numPr>
      <w:spacing w:before="240" w:after="60"/>
      <w:outlineLvl w:val="1"/>
    </w:pPr>
    <w:rPr>
      <w:rFonts w:ascii="Arial" w:hAnsi="Arial" w:cs="Arial"/>
      <w:b/>
      <w:sz w:val="24"/>
    </w:rPr>
  </w:style>
  <w:style w:type="paragraph" w:styleId="Heading3">
    <w:name w:val="heading 3"/>
    <w:aliases w:val="3rd Level Heading"/>
    <w:basedOn w:val="Normal"/>
    <w:next w:val="Normal"/>
    <w:link w:val="Heading3Char"/>
    <w:uiPriority w:val="9"/>
    <w:qFormat/>
    <w:rsid w:val="00AF186C"/>
    <w:pPr>
      <w:keepNext/>
      <w:numPr>
        <w:ilvl w:val="2"/>
        <w:numId w:val="28"/>
      </w:numPr>
      <w:spacing w:before="240" w:after="60"/>
      <w:outlineLvl w:val="2"/>
    </w:pPr>
    <w:rPr>
      <w:rFonts w:ascii="Times New Roman" w:hAnsi="Times New Roman"/>
      <w:b/>
      <w:sz w:val="26"/>
      <w:szCs w:val="20"/>
      <w:lang w:eastAsia="x-none"/>
    </w:rPr>
  </w:style>
  <w:style w:type="paragraph" w:styleId="Heading4">
    <w:name w:val="heading 4"/>
    <w:aliases w:val="4th Level Heading"/>
    <w:basedOn w:val="Normal"/>
    <w:next w:val="Normal"/>
    <w:link w:val="Heading4Char"/>
    <w:uiPriority w:val="99"/>
    <w:qFormat/>
    <w:rsid w:val="00AF186C"/>
    <w:pPr>
      <w:keepNext/>
      <w:numPr>
        <w:ilvl w:val="3"/>
        <w:numId w:val="28"/>
      </w:numPr>
      <w:spacing w:before="240" w:after="60"/>
      <w:outlineLvl w:val="3"/>
    </w:pPr>
    <w:rPr>
      <w:rFonts w:ascii="Times New Roman" w:hAnsi="Times New Roman"/>
      <w:i/>
      <w:sz w:val="28"/>
      <w:szCs w:val="20"/>
      <w:lang w:eastAsia="x-none"/>
    </w:rPr>
  </w:style>
  <w:style w:type="paragraph" w:styleId="Heading5">
    <w:name w:val="heading 5"/>
    <w:basedOn w:val="Normal"/>
    <w:next w:val="Normal"/>
    <w:link w:val="Heading5Char"/>
    <w:uiPriority w:val="99"/>
    <w:qFormat/>
    <w:rsid w:val="00AF186C"/>
    <w:pPr>
      <w:numPr>
        <w:ilvl w:val="4"/>
        <w:numId w:val="28"/>
      </w:numPr>
      <w:spacing w:before="240" w:after="60"/>
      <w:outlineLvl w:val="4"/>
    </w:pPr>
    <w:rPr>
      <w:rFonts w:ascii="Times New Roman" w:hAnsi="Times New Roman"/>
      <w:sz w:val="24"/>
      <w:szCs w:val="20"/>
      <w:u w:val="single"/>
    </w:rPr>
  </w:style>
  <w:style w:type="paragraph" w:styleId="Heading6">
    <w:name w:val="heading 6"/>
    <w:basedOn w:val="Normal"/>
    <w:next w:val="Normal"/>
    <w:link w:val="Heading6Char"/>
    <w:uiPriority w:val="99"/>
    <w:qFormat/>
    <w:rsid w:val="00AF186C"/>
    <w:pPr>
      <w:numPr>
        <w:ilvl w:val="5"/>
        <w:numId w:val="28"/>
      </w:numPr>
      <w:spacing w:before="240" w:after="60"/>
      <w:outlineLvl w:val="5"/>
    </w:pPr>
    <w:rPr>
      <w:rFonts w:ascii="Times New Roman" w:hAnsi="Times New Roman"/>
      <w:b/>
      <w:szCs w:val="20"/>
      <w:lang w:eastAsia="x-none"/>
    </w:rPr>
  </w:style>
  <w:style w:type="paragraph" w:styleId="Heading7">
    <w:name w:val="heading 7"/>
    <w:basedOn w:val="Normal"/>
    <w:next w:val="Normal"/>
    <w:link w:val="Heading7Char"/>
    <w:uiPriority w:val="99"/>
    <w:qFormat/>
    <w:rsid w:val="00AF186C"/>
    <w:pPr>
      <w:keepNext/>
      <w:numPr>
        <w:ilvl w:val="6"/>
        <w:numId w:val="28"/>
      </w:numPr>
      <w:jc w:val="center"/>
      <w:outlineLvl w:val="6"/>
    </w:pPr>
    <w:rPr>
      <w:rFonts w:ascii="Arial" w:hAnsi="Arial"/>
      <w:b/>
      <w:sz w:val="20"/>
      <w:szCs w:val="20"/>
      <w:lang w:eastAsia="x-none"/>
    </w:rPr>
  </w:style>
  <w:style w:type="paragraph" w:styleId="Heading8">
    <w:name w:val="heading 8"/>
    <w:basedOn w:val="Normal"/>
    <w:next w:val="Normal"/>
    <w:link w:val="Heading8Char"/>
    <w:uiPriority w:val="99"/>
    <w:qFormat/>
    <w:rsid w:val="004A36C2"/>
    <w:pPr>
      <w:keepNext/>
      <w:keepLines/>
      <w:numPr>
        <w:ilvl w:val="7"/>
        <w:numId w:val="28"/>
      </w:numPr>
      <w:spacing w:before="200" w:after="0"/>
      <w:jc w:val="both"/>
      <w:outlineLvl w:val="7"/>
    </w:pPr>
    <w:rPr>
      <w:rFonts w:ascii="Cambria" w:eastAsia="Calibri" w:hAnsi="Cambria"/>
      <w:color w:val="404040"/>
      <w:sz w:val="20"/>
      <w:szCs w:val="20"/>
      <w:lang w:val="en-US"/>
    </w:rPr>
  </w:style>
  <w:style w:type="paragraph" w:styleId="Heading9">
    <w:name w:val="heading 9"/>
    <w:basedOn w:val="Normal"/>
    <w:next w:val="Normal"/>
    <w:link w:val="Heading9Char"/>
    <w:uiPriority w:val="99"/>
    <w:qFormat/>
    <w:rsid w:val="00AF186C"/>
    <w:pPr>
      <w:keepNext/>
      <w:numPr>
        <w:ilvl w:val="8"/>
        <w:numId w:val="28"/>
      </w:numPr>
      <w:outlineLvl w:val="8"/>
    </w:pPr>
    <w:rPr>
      <w:rFonts w:ascii="Arial" w:eastAsia="Arial Unicode MS" w:hAnsi="Arial"/>
      <w:b/>
      <w:sz w:val="16"/>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15509E"/>
    <w:rPr>
      <w:rFonts w:ascii="Arial" w:hAnsi="Arial" w:cs="Arial"/>
      <w:b/>
      <w:kern w:val="32"/>
      <w:sz w:val="36"/>
      <w:szCs w:val="36"/>
      <w:lang w:eastAsia="en-US"/>
    </w:rPr>
  </w:style>
  <w:style w:type="character" w:customStyle="1" w:styleId="Heading2Char">
    <w:name w:val="Heading 2 Char"/>
    <w:link w:val="Heading2"/>
    <w:uiPriority w:val="9"/>
    <w:locked/>
    <w:rsid w:val="0015509E"/>
    <w:rPr>
      <w:rFonts w:ascii="Arial" w:hAnsi="Arial" w:cs="Arial"/>
      <w:b/>
      <w:sz w:val="24"/>
      <w:szCs w:val="24"/>
      <w:lang w:eastAsia="en-US"/>
    </w:rPr>
  </w:style>
  <w:style w:type="character" w:customStyle="1" w:styleId="Heading3Char">
    <w:name w:val="Heading 3 Char"/>
    <w:aliases w:val="3rd Level Heading Char"/>
    <w:link w:val="Heading3"/>
    <w:uiPriority w:val="9"/>
    <w:locked/>
    <w:rsid w:val="00AF186C"/>
    <w:rPr>
      <w:b/>
      <w:sz w:val="26"/>
      <w:lang w:eastAsia="x-none"/>
    </w:rPr>
  </w:style>
  <w:style w:type="character" w:customStyle="1" w:styleId="Heading4Char">
    <w:name w:val="Heading 4 Char"/>
    <w:aliases w:val="4th Level Heading Char"/>
    <w:link w:val="Heading4"/>
    <w:uiPriority w:val="99"/>
    <w:locked/>
    <w:rsid w:val="00AF186C"/>
    <w:rPr>
      <w:i/>
      <w:sz w:val="28"/>
      <w:lang w:eastAsia="x-none"/>
    </w:rPr>
  </w:style>
  <w:style w:type="character" w:customStyle="1" w:styleId="Heading5Char">
    <w:name w:val="Heading 5 Char"/>
    <w:link w:val="Heading5"/>
    <w:uiPriority w:val="99"/>
    <w:locked/>
    <w:rsid w:val="00AF186C"/>
    <w:rPr>
      <w:sz w:val="24"/>
      <w:u w:val="single"/>
      <w:lang w:eastAsia="en-US"/>
    </w:rPr>
  </w:style>
  <w:style w:type="character" w:customStyle="1" w:styleId="Heading6Char">
    <w:name w:val="Heading 6 Char"/>
    <w:link w:val="Heading6"/>
    <w:uiPriority w:val="99"/>
    <w:locked/>
    <w:rsid w:val="00AF186C"/>
    <w:rPr>
      <w:b/>
      <w:sz w:val="22"/>
      <w:lang w:eastAsia="x-none"/>
    </w:rPr>
  </w:style>
  <w:style w:type="character" w:customStyle="1" w:styleId="Heading7Char">
    <w:name w:val="Heading 7 Char"/>
    <w:link w:val="Heading7"/>
    <w:uiPriority w:val="99"/>
    <w:locked/>
    <w:rsid w:val="00AF186C"/>
    <w:rPr>
      <w:rFonts w:ascii="Arial" w:hAnsi="Arial"/>
      <w:b/>
      <w:lang w:eastAsia="x-none"/>
    </w:rPr>
  </w:style>
  <w:style w:type="character" w:customStyle="1" w:styleId="Heading8Char">
    <w:name w:val="Heading 8 Char"/>
    <w:link w:val="Heading8"/>
    <w:uiPriority w:val="99"/>
    <w:locked/>
    <w:rsid w:val="004A36C2"/>
    <w:rPr>
      <w:rFonts w:ascii="Cambria" w:eastAsia="Calibri" w:hAnsi="Cambria"/>
      <w:color w:val="404040"/>
      <w:lang w:val="en-US" w:eastAsia="en-US"/>
    </w:rPr>
  </w:style>
  <w:style w:type="character" w:customStyle="1" w:styleId="Heading9Char">
    <w:name w:val="Heading 9 Char"/>
    <w:link w:val="Heading9"/>
    <w:uiPriority w:val="99"/>
    <w:locked/>
    <w:rsid w:val="00AF186C"/>
    <w:rPr>
      <w:rFonts w:ascii="Arial" w:eastAsia="Arial Unicode MS" w:hAnsi="Arial"/>
      <w:b/>
      <w:sz w:val="16"/>
      <w:lang w:eastAsia="x-none"/>
    </w:rPr>
  </w:style>
  <w:style w:type="paragraph" w:styleId="TOC1">
    <w:name w:val="toc 1"/>
    <w:basedOn w:val="Normal"/>
    <w:next w:val="Normal"/>
    <w:autoRedefine/>
    <w:uiPriority w:val="39"/>
    <w:unhideWhenUsed/>
    <w:qFormat/>
    <w:rsid w:val="00FF2607"/>
    <w:pPr>
      <w:tabs>
        <w:tab w:val="right" w:leader="dot" w:pos="9060"/>
      </w:tabs>
      <w:jc w:val="both"/>
    </w:pPr>
    <w:rPr>
      <w:rFonts w:ascii="Arial" w:hAnsi="Arial"/>
      <w:b/>
      <w:bCs/>
      <w:szCs w:val="20"/>
    </w:rPr>
  </w:style>
  <w:style w:type="paragraph" w:styleId="TOC2">
    <w:name w:val="toc 2"/>
    <w:basedOn w:val="Normal"/>
    <w:next w:val="Normal"/>
    <w:autoRedefine/>
    <w:uiPriority w:val="39"/>
    <w:unhideWhenUsed/>
    <w:qFormat/>
    <w:rsid w:val="00B87DCE"/>
    <w:pPr>
      <w:spacing w:before="0" w:after="0"/>
      <w:ind w:left="221"/>
      <w:jc w:val="both"/>
    </w:pPr>
    <w:rPr>
      <w:rFonts w:ascii="Arial" w:hAnsi="Arial"/>
      <w:sz w:val="18"/>
      <w:szCs w:val="20"/>
    </w:rPr>
  </w:style>
  <w:style w:type="paragraph" w:styleId="TOC3">
    <w:name w:val="toc 3"/>
    <w:basedOn w:val="Normal"/>
    <w:next w:val="Normal"/>
    <w:autoRedefine/>
    <w:uiPriority w:val="39"/>
    <w:unhideWhenUsed/>
    <w:qFormat/>
    <w:rsid w:val="00FF2607"/>
    <w:pPr>
      <w:spacing w:before="0" w:after="0"/>
      <w:ind w:left="442"/>
      <w:jc w:val="both"/>
    </w:pPr>
    <w:rPr>
      <w:rFonts w:ascii="Arial" w:hAnsi="Arial"/>
      <w:iCs/>
      <w:sz w:val="18"/>
      <w:szCs w:val="20"/>
    </w:rPr>
  </w:style>
  <w:style w:type="paragraph" w:styleId="Revision">
    <w:name w:val="Revision"/>
    <w:hidden/>
    <w:uiPriority w:val="99"/>
    <w:semiHidden/>
    <w:rsid w:val="004316F7"/>
    <w:rPr>
      <w:sz w:val="24"/>
      <w:szCs w:val="24"/>
      <w:lang w:eastAsia="en-US"/>
    </w:rPr>
  </w:style>
  <w:style w:type="paragraph" w:customStyle="1" w:styleId="BasicParagraph">
    <w:name w:val="[Basic Paragraph]"/>
    <w:basedOn w:val="Normal"/>
    <w:rsid w:val="004A36C2"/>
    <w:pPr>
      <w:autoSpaceDE w:val="0"/>
      <w:autoSpaceDN w:val="0"/>
      <w:adjustRightInd w:val="0"/>
      <w:spacing w:before="0" w:after="0" w:line="288" w:lineRule="auto"/>
      <w:textAlignment w:val="center"/>
    </w:pPr>
    <w:rPr>
      <w:rFonts w:ascii="Times New Roman" w:hAnsi="Times New Roman"/>
      <w:color w:val="000000"/>
      <w:sz w:val="24"/>
      <w:lang w:val="en-GB"/>
    </w:rPr>
  </w:style>
  <w:style w:type="character" w:styleId="Hyperlink">
    <w:name w:val="Hyperlink"/>
    <w:basedOn w:val="DefaultParagraphFont"/>
    <w:uiPriority w:val="99"/>
    <w:unhideWhenUsed/>
    <w:locked/>
    <w:rsid w:val="002B44D4"/>
    <w:rPr>
      <w:color w:val="0563C1" w:themeColor="hyperlink"/>
      <w:u w:val="single"/>
    </w:rPr>
  </w:style>
  <w:style w:type="paragraph" w:styleId="TableofFigures">
    <w:name w:val="table of figures"/>
    <w:basedOn w:val="Normal"/>
    <w:next w:val="Normal"/>
    <w:uiPriority w:val="99"/>
    <w:unhideWhenUsed/>
    <w:locked/>
    <w:rsid w:val="003D3BA7"/>
    <w:pPr>
      <w:spacing w:after="0"/>
    </w:pPr>
  </w:style>
  <w:style w:type="paragraph" w:styleId="Caption">
    <w:name w:val="caption"/>
    <w:aliases w:val="Caption Char Char,Tables,Figures,Caption Figure,Monitoring Table Caption,Monitoring Fig Caption,Caption Figure1,Monitoring Table Caption1,Monitoring Fig Caption1,Caption Figure2,Monitoring Table Caption2,Monitoring Fig Caption2,Caption1"/>
    <w:basedOn w:val="Normal"/>
    <w:next w:val="Normal"/>
    <w:link w:val="CaptionChar"/>
    <w:uiPriority w:val="35"/>
    <w:qFormat/>
    <w:rsid w:val="002868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eastAsia="SimSun"/>
      <w:szCs w:val="20"/>
      <w:lang w:val="en-GB"/>
    </w:rPr>
  </w:style>
  <w:style w:type="character" w:customStyle="1" w:styleId="CaptionChar">
    <w:name w:val="Caption Char"/>
    <w:aliases w:val="Caption Char Char Char,Tables Char,Figures Char,Caption Figure Char,Monitoring Table Caption Char,Monitoring Fig Caption Char,Caption Figure1 Char,Monitoring Table Caption1 Char,Monitoring Fig Caption1 Char,Caption Figure2 Char"/>
    <w:link w:val="Caption"/>
    <w:locked/>
    <w:rsid w:val="002868E0"/>
    <w:rPr>
      <w:rFonts w:ascii="Calibri" w:eastAsia="SimSun" w:hAnsi="Calibri"/>
      <w:sz w:val="22"/>
      <w:lang w:val="en-GB" w:eastAsia="en-US"/>
    </w:rPr>
  </w:style>
  <w:style w:type="paragraph" w:styleId="BalloonText">
    <w:name w:val="Balloon Text"/>
    <w:basedOn w:val="Normal"/>
    <w:link w:val="BalloonTextChar"/>
    <w:uiPriority w:val="99"/>
    <w:semiHidden/>
    <w:unhideWhenUsed/>
    <w:locked/>
    <w:rsid w:val="00EB19B4"/>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19B4"/>
    <w:rPr>
      <w:rFonts w:ascii="Segoe UI" w:hAnsi="Segoe UI" w:cs="Segoe UI"/>
      <w:sz w:val="18"/>
      <w:szCs w:val="18"/>
      <w:lang w:eastAsia="en-US"/>
    </w:rPr>
  </w:style>
  <w:style w:type="paragraph" w:styleId="Header">
    <w:name w:val="header"/>
    <w:basedOn w:val="Normal"/>
    <w:link w:val="HeaderChar"/>
    <w:uiPriority w:val="99"/>
    <w:unhideWhenUsed/>
    <w:locked/>
    <w:rsid w:val="00144A58"/>
    <w:pPr>
      <w:tabs>
        <w:tab w:val="center" w:pos="4513"/>
        <w:tab w:val="right" w:pos="9026"/>
      </w:tabs>
      <w:spacing w:before="0" w:after="0"/>
    </w:pPr>
  </w:style>
  <w:style w:type="character" w:customStyle="1" w:styleId="HeaderChar">
    <w:name w:val="Header Char"/>
    <w:basedOn w:val="DefaultParagraphFont"/>
    <w:link w:val="Header"/>
    <w:uiPriority w:val="99"/>
    <w:rsid w:val="00144A58"/>
    <w:rPr>
      <w:rFonts w:ascii="Calibri" w:hAnsi="Calibri"/>
      <w:sz w:val="22"/>
      <w:szCs w:val="24"/>
      <w:lang w:eastAsia="en-US"/>
    </w:rPr>
  </w:style>
  <w:style w:type="paragraph" w:styleId="Footer">
    <w:name w:val="footer"/>
    <w:basedOn w:val="Normal"/>
    <w:link w:val="FooterChar"/>
    <w:uiPriority w:val="99"/>
    <w:unhideWhenUsed/>
    <w:locked/>
    <w:rsid w:val="00144A58"/>
    <w:pPr>
      <w:tabs>
        <w:tab w:val="center" w:pos="4513"/>
        <w:tab w:val="right" w:pos="9026"/>
      </w:tabs>
      <w:spacing w:before="0" w:after="0"/>
    </w:pPr>
  </w:style>
  <w:style w:type="character" w:customStyle="1" w:styleId="FooterChar">
    <w:name w:val="Footer Char"/>
    <w:basedOn w:val="DefaultParagraphFont"/>
    <w:link w:val="Footer"/>
    <w:uiPriority w:val="99"/>
    <w:rsid w:val="00144A58"/>
    <w:rPr>
      <w:rFonts w:ascii="Calibri" w:hAnsi="Calibri"/>
      <w:sz w:val="22"/>
      <w:szCs w:val="24"/>
      <w:lang w:eastAsia="en-US"/>
    </w:rPr>
  </w:style>
  <w:style w:type="paragraph" w:styleId="TOC4">
    <w:name w:val="toc 4"/>
    <w:basedOn w:val="Normal"/>
    <w:next w:val="Normal"/>
    <w:autoRedefine/>
    <w:uiPriority w:val="39"/>
    <w:unhideWhenUsed/>
    <w:rsid w:val="00693D54"/>
    <w:pPr>
      <w:spacing w:before="0" w:after="0"/>
      <w:ind w:left="1134"/>
      <w:jc w:val="both"/>
    </w:pPr>
    <w:rPr>
      <w:rFonts w:asciiTheme="minorHAnsi" w:hAnsiTheme="minorHAnsi"/>
      <w:sz w:val="18"/>
      <w:szCs w:val="18"/>
    </w:rPr>
  </w:style>
  <w:style w:type="paragraph" w:styleId="TOC5">
    <w:name w:val="toc 5"/>
    <w:basedOn w:val="Normal"/>
    <w:next w:val="Normal"/>
    <w:autoRedefine/>
    <w:uiPriority w:val="39"/>
    <w:unhideWhenUsed/>
    <w:rsid w:val="00A2195B"/>
    <w:pPr>
      <w:spacing w:before="0" w:after="0"/>
      <w:ind w:left="880"/>
    </w:pPr>
    <w:rPr>
      <w:rFonts w:asciiTheme="minorHAnsi" w:hAnsiTheme="minorHAnsi"/>
      <w:sz w:val="18"/>
      <w:szCs w:val="18"/>
    </w:rPr>
  </w:style>
  <w:style w:type="paragraph" w:styleId="TOC6">
    <w:name w:val="toc 6"/>
    <w:basedOn w:val="Normal"/>
    <w:next w:val="Normal"/>
    <w:autoRedefine/>
    <w:uiPriority w:val="39"/>
    <w:unhideWhenUsed/>
    <w:rsid w:val="00A2195B"/>
    <w:pPr>
      <w:spacing w:before="0" w:after="0"/>
      <w:ind w:left="1100"/>
    </w:pPr>
    <w:rPr>
      <w:rFonts w:asciiTheme="minorHAnsi" w:hAnsiTheme="minorHAnsi"/>
      <w:sz w:val="18"/>
      <w:szCs w:val="18"/>
    </w:rPr>
  </w:style>
  <w:style w:type="paragraph" w:styleId="TOC7">
    <w:name w:val="toc 7"/>
    <w:basedOn w:val="Normal"/>
    <w:next w:val="Normal"/>
    <w:autoRedefine/>
    <w:uiPriority w:val="39"/>
    <w:unhideWhenUsed/>
    <w:rsid w:val="00A2195B"/>
    <w:pPr>
      <w:spacing w:before="0" w:after="0"/>
      <w:ind w:left="1320"/>
    </w:pPr>
    <w:rPr>
      <w:rFonts w:asciiTheme="minorHAnsi" w:hAnsiTheme="minorHAnsi"/>
      <w:sz w:val="18"/>
      <w:szCs w:val="18"/>
    </w:rPr>
  </w:style>
  <w:style w:type="paragraph" w:styleId="TOC8">
    <w:name w:val="toc 8"/>
    <w:basedOn w:val="Normal"/>
    <w:next w:val="Normal"/>
    <w:autoRedefine/>
    <w:uiPriority w:val="39"/>
    <w:unhideWhenUsed/>
    <w:rsid w:val="00A2195B"/>
    <w:pPr>
      <w:spacing w:before="0" w:after="0"/>
      <w:ind w:left="1540"/>
    </w:pPr>
    <w:rPr>
      <w:rFonts w:asciiTheme="minorHAnsi" w:hAnsiTheme="minorHAnsi"/>
      <w:sz w:val="18"/>
      <w:szCs w:val="18"/>
    </w:rPr>
  </w:style>
  <w:style w:type="paragraph" w:styleId="TOC9">
    <w:name w:val="toc 9"/>
    <w:basedOn w:val="Normal"/>
    <w:next w:val="Normal"/>
    <w:autoRedefine/>
    <w:uiPriority w:val="39"/>
    <w:unhideWhenUsed/>
    <w:rsid w:val="00A2195B"/>
    <w:pPr>
      <w:spacing w:before="0" w:after="0"/>
      <w:ind w:left="1760"/>
    </w:pPr>
    <w:rPr>
      <w:rFonts w:asciiTheme="minorHAnsi" w:hAnsiTheme="minorHAnsi"/>
      <w:sz w:val="18"/>
      <w:szCs w:val="18"/>
    </w:rPr>
  </w:style>
  <w:style w:type="paragraph" w:styleId="ListParagraph">
    <w:name w:val="List Paragraph"/>
    <w:basedOn w:val="Normal"/>
    <w:uiPriority w:val="34"/>
    <w:qFormat/>
    <w:rsid w:val="004E4950"/>
    <w:pPr>
      <w:ind w:left="720"/>
      <w:contextualSpacing/>
    </w:pPr>
  </w:style>
  <w:style w:type="character" w:styleId="CommentReference">
    <w:name w:val="annotation reference"/>
    <w:basedOn w:val="DefaultParagraphFont"/>
    <w:uiPriority w:val="99"/>
    <w:unhideWhenUsed/>
    <w:locked/>
    <w:rsid w:val="00AD3D80"/>
    <w:rPr>
      <w:sz w:val="18"/>
      <w:szCs w:val="18"/>
    </w:rPr>
  </w:style>
  <w:style w:type="paragraph" w:styleId="CommentText">
    <w:name w:val="annotation text"/>
    <w:basedOn w:val="Normal"/>
    <w:link w:val="CommentTextChar"/>
    <w:uiPriority w:val="99"/>
    <w:unhideWhenUsed/>
    <w:locked/>
    <w:rsid w:val="00AD3D80"/>
    <w:rPr>
      <w:sz w:val="24"/>
    </w:rPr>
  </w:style>
  <w:style w:type="character" w:customStyle="1" w:styleId="CommentTextChar">
    <w:name w:val="Comment Text Char"/>
    <w:basedOn w:val="DefaultParagraphFont"/>
    <w:link w:val="CommentText"/>
    <w:uiPriority w:val="99"/>
    <w:rsid w:val="00AD3D80"/>
    <w:rPr>
      <w:rFonts w:ascii="Calibri" w:hAnsi="Calibri"/>
      <w:sz w:val="24"/>
      <w:szCs w:val="24"/>
      <w:lang w:eastAsia="en-US"/>
    </w:rPr>
  </w:style>
  <w:style w:type="character" w:styleId="FollowedHyperlink">
    <w:name w:val="FollowedHyperlink"/>
    <w:basedOn w:val="DefaultParagraphFont"/>
    <w:uiPriority w:val="99"/>
    <w:semiHidden/>
    <w:unhideWhenUsed/>
    <w:locked/>
    <w:rsid w:val="007C3ABF"/>
    <w:rPr>
      <w:color w:val="954F72" w:themeColor="followedHyperlink"/>
      <w:u w:val="single"/>
    </w:rPr>
  </w:style>
  <w:style w:type="paragraph" w:customStyle="1" w:styleId="Infopage">
    <w:name w:val="Info page"/>
    <w:basedOn w:val="Normal"/>
    <w:uiPriority w:val="99"/>
    <w:rsid w:val="006070CB"/>
    <w:pPr>
      <w:spacing w:before="0"/>
      <w:jc w:val="both"/>
    </w:pPr>
    <w:rPr>
      <w:rFonts w:ascii="Arial Narrow" w:hAnsi="Arial Narrow"/>
      <w:szCs w:val="22"/>
      <w:lang w:val="en-GB"/>
    </w:rPr>
  </w:style>
  <w:style w:type="character" w:styleId="PageNumber">
    <w:name w:val="page number"/>
    <w:basedOn w:val="DefaultParagraphFont"/>
    <w:uiPriority w:val="99"/>
    <w:locked/>
    <w:rsid w:val="006070CB"/>
    <w:rPr>
      <w:rFonts w:cs="Times New Roman"/>
    </w:rPr>
  </w:style>
  <w:style w:type="paragraph" w:styleId="BodyText3">
    <w:name w:val="Body Text 3"/>
    <w:basedOn w:val="Normal"/>
    <w:link w:val="BodyText3Char"/>
    <w:uiPriority w:val="99"/>
    <w:unhideWhenUsed/>
    <w:locked/>
    <w:rsid w:val="006070CB"/>
    <w:pPr>
      <w:spacing w:before="0"/>
      <w:jc w:val="both"/>
    </w:pPr>
    <w:rPr>
      <w:rFonts w:ascii="Arial" w:hAnsi="Arial"/>
      <w:sz w:val="16"/>
      <w:szCs w:val="16"/>
      <w:lang w:val="en-GB"/>
    </w:rPr>
  </w:style>
  <w:style w:type="character" w:customStyle="1" w:styleId="BodyText3Char">
    <w:name w:val="Body Text 3 Char"/>
    <w:basedOn w:val="DefaultParagraphFont"/>
    <w:link w:val="BodyText3"/>
    <w:uiPriority w:val="99"/>
    <w:rsid w:val="006070CB"/>
    <w:rPr>
      <w:rFonts w:ascii="Arial" w:hAnsi="Arial"/>
      <w:sz w:val="16"/>
      <w:szCs w:val="16"/>
      <w:lang w:val="en-GB" w:eastAsia="en-US"/>
    </w:rPr>
  </w:style>
  <w:style w:type="paragraph" w:customStyle="1" w:styleId="EndNoteBibliographyTitle">
    <w:name w:val="EndNote Bibliography Title"/>
    <w:basedOn w:val="Normal"/>
    <w:link w:val="EndNoteBibliographyTitleChar"/>
    <w:rsid w:val="005B0C7C"/>
    <w:pPr>
      <w:spacing w:after="0"/>
      <w:jc w:val="center"/>
    </w:pPr>
    <w:rPr>
      <w:noProof/>
      <w:sz w:val="20"/>
      <w:lang w:val="en-US"/>
    </w:rPr>
  </w:style>
  <w:style w:type="character" w:customStyle="1" w:styleId="EndNoteBibliographyTitleChar">
    <w:name w:val="EndNote Bibliography Title Char"/>
    <w:basedOn w:val="DefaultParagraphFont"/>
    <w:link w:val="EndNoteBibliographyTitle"/>
    <w:rsid w:val="005B0C7C"/>
    <w:rPr>
      <w:rFonts w:ascii="Calibri" w:hAnsi="Calibri"/>
      <w:noProof/>
      <w:szCs w:val="24"/>
      <w:lang w:val="en-US" w:eastAsia="en-US"/>
    </w:rPr>
  </w:style>
  <w:style w:type="paragraph" w:customStyle="1" w:styleId="EndNoteBibliography">
    <w:name w:val="EndNote Bibliography"/>
    <w:basedOn w:val="Normal"/>
    <w:link w:val="EndNoteBibliographyChar"/>
    <w:rsid w:val="005B0C7C"/>
    <w:rPr>
      <w:noProof/>
      <w:sz w:val="20"/>
      <w:lang w:val="en-US"/>
    </w:rPr>
  </w:style>
  <w:style w:type="character" w:customStyle="1" w:styleId="EndNoteBibliographyChar">
    <w:name w:val="EndNote Bibliography Char"/>
    <w:basedOn w:val="DefaultParagraphFont"/>
    <w:link w:val="EndNoteBibliography"/>
    <w:rsid w:val="005B0C7C"/>
    <w:rPr>
      <w:rFonts w:ascii="Calibri" w:hAnsi="Calibri"/>
      <w:noProof/>
      <w:szCs w:val="24"/>
      <w:lang w:val="en-US" w:eastAsia="en-US"/>
    </w:rPr>
  </w:style>
  <w:style w:type="paragraph" w:styleId="CommentSubject">
    <w:name w:val="annotation subject"/>
    <w:basedOn w:val="CommentText"/>
    <w:next w:val="CommentText"/>
    <w:link w:val="CommentSubjectChar"/>
    <w:uiPriority w:val="99"/>
    <w:semiHidden/>
    <w:unhideWhenUsed/>
    <w:locked/>
    <w:rsid w:val="0013328A"/>
    <w:rPr>
      <w:b/>
      <w:bCs/>
      <w:sz w:val="20"/>
      <w:szCs w:val="20"/>
    </w:rPr>
  </w:style>
  <w:style w:type="character" w:customStyle="1" w:styleId="CommentSubjectChar">
    <w:name w:val="Comment Subject Char"/>
    <w:basedOn w:val="CommentTextChar"/>
    <w:link w:val="CommentSubject"/>
    <w:uiPriority w:val="99"/>
    <w:semiHidden/>
    <w:rsid w:val="0013328A"/>
    <w:rPr>
      <w:rFonts w:ascii="Calibri" w:hAnsi="Calibri"/>
      <w:b/>
      <w:bCs/>
      <w:sz w:val="24"/>
      <w:szCs w:val="24"/>
      <w:lang w:eastAsia="en-US"/>
    </w:rPr>
  </w:style>
  <w:style w:type="paragraph" w:styleId="NormalWeb">
    <w:name w:val="Normal (Web)"/>
    <w:basedOn w:val="Normal"/>
    <w:uiPriority w:val="99"/>
    <w:unhideWhenUsed/>
    <w:locked/>
    <w:rsid w:val="00517CB7"/>
    <w:pPr>
      <w:spacing w:before="100" w:beforeAutospacing="1" w:after="100" w:afterAutospacing="1"/>
    </w:pPr>
    <w:rPr>
      <w:rFonts w:ascii="Times New Roman" w:eastAsiaTheme="minorEastAsia" w:hAnsi="Times New Roman"/>
      <w:sz w:val="24"/>
      <w:lang w:eastAsia="en-AU"/>
    </w:rPr>
  </w:style>
  <w:style w:type="table" w:styleId="TableGrid">
    <w:name w:val="Table Grid"/>
    <w:basedOn w:val="TableNormal"/>
    <w:uiPriority w:val="39"/>
    <w:rsid w:val="008D4273"/>
    <w:rPr>
      <w:rFonts w:asciiTheme="minorHAnsi" w:eastAsiaTheme="minorHAnsi" w:hAnsiTheme="minorHAnsi" w:cstheme="minorBidi"/>
      <w:sz w:val="24"/>
      <w:szCs w:val="24"/>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8D4273"/>
    <w:rPr>
      <w:b/>
      <w:bCs/>
    </w:rPr>
  </w:style>
  <w:style w:type="paragraph" w:customStyle="1" w:styleId="p1">
    <w:name w:val="p1"/>
    <w:basedOn w:val="Normal"/>
    <w:rsid w:val="00E2341F"/>
    <w:pPr>
      <w:spacing w:before="0" w:after="0"/>
    </w:pPr>
    <w:rPr>
      <w:rFonts w:ascii="Helvetica" w:hAnsi="Helvetica"/>
      <w:sz w:val="18"/>
      <w:szCs w:val="18"/>
      <w:lang w:val="en-GB" w:eastAsia="en-GB"/>
    </w:rPr>
  </w:style>
  <w:style w:type="character" w:customStyle="1" w:styleId="apple-converted-space">
    <w:name w:val="apple-converted-space"/>
    <w:basedOn w:val="DefaultParagraphFont"/>
    <w:rsid w:val="00E2341F"/>
  </w:style>
  <w:style w:type="character" w:customStyle="1" w:styleId="s1">
    <w:name w:val="s1"/>
    <w:basedOn w:val="DefaultParagraphFont"/>
    <w:rsid w:val="003A22B1"/>
    <w:rPr>
      <w:color w:val="000000"/>
    </w:rPr>
  </w:style>
  <w:style w:type="table" w:styleId="PlainTable5">
    <w:name w:val="Plain Table 5"/>
    <w:basedOn w:val="TableNormal"/>
    <w:uiPriority w:val="45"/>
    <w:rsid w:val="003A22B1"/>
    <w:rPr>
      <w:rFonts w:asciiTheme="minorHAnsi" w:eastAsiaTheme="minorHAnsi" w:hAnsiTheme="minorHAnsi" w:cstheme="minorBidi"/>
      <w:sz w:val="24"/>
      <w:szCs w:val="24"/>
      <w:lang w:val="en-GB"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7D5603"/>
    <w:rPr>
      <w:rFonts w:asciiTheme="minorHAnsi" w:eastAsiaTheme="minorHAnsi" w:hAnsiTheme="minorHAnsi" w:cstheme="minorBidi"/>
      <w:sz w:val="24"/>
      <w:szCs w:val="24"/>
      <w:lang w:val="en-US" w:eastAsia="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PlainText">
    <w:name w:val="Plain Text"/>
    <w:basedOn w:val="Normal"/>
    <w:link w:val="PlainTextChar"/>
    <w:uiPriority w:val="99"/>
    <w:semiHidden/>
    <w:unhideWhenUsed/>
    <w:locked/>
    <w:rsid w:val="007C6C19"/>
    <w:pPr>
      <w:spacing w:before="0" w:after="0"/>
    </w:pPr>
    <w:rPr>
      <w:rFonts w:eastAsiaTheme="minorHAnsi" w:cstheme="minorBidi"/>
      <w:szCs w:val="21"/>
    </w:rPr>
  </w:style>
  <w:style w:type="character" w:customStyle="1" w:styleId="PlainTextChar">
    <w:name w:val="Plain Text Char"/>
    <w:basedOn w:val="DefaultParagraphFont"/>
    <w:link w:val="PlainText"/>
    <w:uiPriority w:val="99"/>
    <w:semiHidden/>
    <w:rsid w:val="007C6C19"/>
    <w:rPr>
      <w:rFonts w:ascii="Calibri" w:eastAsiaTheme="minorHAnsi" w:hAnsi="Calibri" w:cstheme="minorBidi"/>
      <w:sz w:val="22"/>
      <w:szCs w:val="21"/>
      <w:lang w:eastAsia="en-US"/>
    </w:rPr>
  </w:style>
  <w:style w:type="paragraph" w:customStyle="1" w:styleId="Figure">
    <w:name w:val="Figure"/>
    <w:basedOn w:val="Normal"/>
    <w:link w:val="FigureChar"/>
    <w:qFormat/>
    <w:rsid w:val="00264FE9"/>
    <w:pPr>
      <w:jc w:val="both"/>
    </w:pPr>
    <w:rPr>
      <w:rFonts w:ascii="Arial" w:hAnsi="Arial"/>
      <w:sz w:val="18"/>
      <w:szCs w:val="20"/>
      <w:lang w:val="en-GB"/>
    </w:rPr>
  </w:style>
  <w:style w:type="character" w:customStyle="1" w:styleId="FigureChar">
    <w:name w:val="Figure Char"/>
    <w:link w:val="Figure"/>
    <w:locked/>
    <w:rsid w:val="00264FE9"/>
    <w:rPr>
      <w:rFonts w:ascii="Arial" w:hAnsi="Arial"/>
      <w:sz w:val="18"/>
      <w:lang w:val="en-GB" w:eastAsia="en-US"/>
    </w:rPr>
  </w:style>
  <w:style w:type="character" w:styleId="IntenseReference">
    <w:name w:val="Intense Reference"/>
    <w:aliases w:val="fig tab body"/>
    <w:basedOn w:val="FigureChar"/>
    <w:uiPriority w:val="32"/>
    <w:qFormat/>
    <w:rsid w:val="00264FE9"/>
    <w:rPr>
      <w:rFonts w:ascii="Arial" w:hAnsi="Arial"/>
      <w:b w:val="0"/>
      <w:bCs/>
      <w:caps w:val="0"/>
      <w:smallCaps w:val="0"/>
      <w:color w:val="000000" w:themeColor="text1"/>
      <w:spacing w:val="0"/>
      <w:w w:val="100"/>
      <w:sz w:val="18"/>
      <w:u w:val="none"/>
      <w:lang w:val="en-GB" w:eastAsia="en-US"/>
    </w:rPr>
  </w:style>
  <w:style w:type="character" w:customStyle="1" w:styleId="UnresolvedMention1">
    <w:name w:val="Unresolved Mention1"/>
    <w:basedOn w:val="DefaultParagraphFont"/>
    <w:uiPriority w:val="99"/>
    <w:semiHidden/>
    <w:unhideWhenUsed/>
    <w:rsid w:val="008C348B"/>
    <w:rPr>
      <w:color w:val="808080"/>
      <w:shd w:val="clear" w:color="auto" w:fill="E6E6E6"/>
    </w:rPr>
  </w:style>
  <w:style w:type="paragraph" w:styleId="BodyText">
    <w:name w:val="Body Text"/>
    <w:basedOn w:val="Normal"/>
    <w:link w:val="BodyTextChar"/>
    <w:locked/>
    <w:rsid w:val="00306220"/>
    <w:pPr>
      <w:spacing w:before="0"/>
      <w:jc w:val="both"/>
    </w:pPr>
    <w:rPr>
      <w:rFonts w:cs="Calibri"/>
      <w:szCs w:val="22"/>
      <w:lang w:eastAsia="en-AU"/>
    </w:rPr>
  </w:style>
  <w:style w:type="character" w:customStyle="1" w:styleId="BodyTextChar">
    <w:name w:val="Body Text Char"/>
    <w:basedOn w:val="DefaultParagraphFont"/>
    <w:link w:val="BodyText"/>
    <w:rsid w:val="00306220"/>
    <w:rPr>
      <w:rFonts w:ascii="Calibri" w:hAnsi="Calibri" w:cs="Calibri"/>
      <w:sz w:val="22"/>
      <w:szCs w:val="22"/>
    </w:rPr>
  </w:style>
  <w:style w:type="paragraph" w:styleId="EndnoteText">
    <w:name w:val="endnote text"/>
    <w:basedOn w:val="Normal"/>
    <w:link w:val="EndnoteTextChar"/>
    <w:uiPriority w:val="99"/>
    <w:semiHidden/>
    <w:unhideWhenUsed/>
    <w:locked/>
    <w:rsid w:val="00F03111"/>
    <w:pPr>
      <w:spacing w:before="0" w:after="0"/>
    </w:pPr>
    <w:rPr>
      <w:sz w:val="20"/>
      <w:szCs w:val="20"/>
    </w:rPr>
  </w:style>
  <w:style w:type="character" w:customStyle="1" w:styleId="EndnoteTextChar">
    <w:name w:val="Endnote Text Char"/>
    <w:basedOn w:val="DefaultParagraphFont"/>
    <w:link w:val="EndnoteText"/>
    <w:uiPriority w:val="99"/>
    <w:semiHidden/>
    <w:rsid w:val="00F03111"/>
    <w:rPr>
      <w:rFonts w:ascii="Calibri" w:hAnsi="Calibri"/>
      <w:lang w:eastAsia="en-US"/>
    </w:rPr>
  </w:style>
  <w:style w:type="character" w:styleId="EndnoteReference">
    <w:name w:val="endnote reference"/>
    <w:basedOn w:val="DefaultParagraphFont"/>
    <w:uiPriority w:val="99"/>
    <w:semiHidden/>
    <w:unhideWhenUsed/>
    <w:locked/>
    <w:rsid w:val="00F03111"/>
    <w:rPr>
      <w:vertAlign w:val="superscript"/>
    </w:rPr>
  </w:style>
  <w:style w:type="character" w:customStyle="1" w:styleId="UnresolvedMention2">
    <w:name w:val="Unresolved Mention2"/>
    <w:basedOn w:val="DefaultParagraphFont"/>
    <w:uiPriority w:val="99"/>
    <w:semiHidden/>
    <w:unhideWhenUsed/>
    <w:rsid w:val="00735866"/>
    <w:rPr>
      <w:color w:val="605E5C"/>
      <w:shd w:val="clear" w:color="auto" w:fill="E1DFDD"/>
    </w:rPr>
  </w:style>
  <w:style w:type="paragraph" w:styleId="FootnoteText">
    <w:name w:val="footnote text"/>
    <w:basedOn w:val="Normal"/>
    <w:link w:val="FootnoteTextChar"/>
    <w:uiPriority w:val="99"/>
    <w:locked/>
    <w:rsid w:val="00431E0D"/>
    <w:pPr>
      <w:jc w:val="both"/>
    </w:pPr>
    <w:rPr>
      <w:rFonts w:ascii="Gill Sans MT" w:hAnsi="Gill Sans MT"/>
      <w:sz w:val="20"/>
      <w:szCs w:val="20"/>
      <w:lang w:val="en-GB"/>
    </w:rPr>
  </w:style>
  <w:style w:type="character" w:customStyle="1" w:styleId="FootnoteTextChar">
    <w:name w:val="Footnote Text Char"/>
    <w:basedOn w:val="DefaultParagraphFont"/>
    <w:link w:val="FootnoteText"/>
    <w:uiPriority w:val="99"/>
    <w:rsid w:val="00431E0D"/>
    <w:rPr>
      <w:rFonts w:ascii="Gill Sans MT" w:hAnsi="Gill Sans MT"/>
      <w:lang w:val="en-GB" w:eastAsia="en-US"/>
    </w:rPr>
  </w:style>
  <w:style w:type="character" w:styleId="Emphasis">
    <w:name w:val="Emphasis"/>
    <w:basedOn w:val="DefaultParagraphFont"/>
    <w:uiPriority w:val="20"/>
    <w:qFormat/>
    <w:rsid w:val="00431E0D"/>
    <w:rPr>
      <w:rFonts w:cs="Times New Roman"/>
      <w:i/>
    </w:rPr>
  </w:style>
  <w:style w:type="character" w:styleId="FootnoteReference">
    <w:name w:val="footnote reference"/>
    <w:aliases w:val="Footnote symbol"/>
    <w:basedOn w:val="DefaultParagraphFont"/>
    <w:uiPriority w:val="99"/>
    <w:locked/>
    <w:rsid w:val="00431E0D"/>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7409799">
      <w:bodyDiv w:val="1"/>
      <w:marLeft w:val="0"/>
      <w:marRight w:val="0"/>
      <w:marTop w:val="0"/>
      <w:marBottom w:val="0"/>
      <w:divBdr>
        <w:top w:val="none" w:sz="0" w:space="0" w:color="auto"/>
        <w:left w:val="none" w:sz="0" w:space="0" w:color="auto"/>
        <w:bottom w:val="none" w:sz="0" w:space="0" w:color="auto"/>
        <w:right w:val="none" w:sz="0" w:space="0" w:color="auto"/>
      </w:divBdr>
    </w:div>
    <w:div w:id="27149358">
      <w:bodyDiv w:val="1"/>
      <w:marLeft w:val="0"/>
      <w:marRight w:val="0"/>
      <w:marTop w:val="0"/>
      <w:marBottom w:val="0"/>
      <w:divBdr>
        <w:top w:val="none" w:sz="0" w:space="0" w:color="auto"/>
        <w:left w:val="none" w:sz="0" w:space="0" w:color="auto"/>
        <w:bottom w:val="none" w:sz="0" w:space="0" w:color="auto"/>
        <w:right w:val="none" w:sz="0" w:space="0" w:color="auto"/>
      </w:divBdr>
    </w:div>
    <w:div w:id="61488739">
      <w:bodyDiv w:val="1"/>
      <w:marLeft w:val="0"/>
      <w:marRight w:val="0"/>
      <w:marTop w:val="0"/>
      <w:marBottom w:val="0"/>
      <w:divBdr>
        <w:top w:val="none" w:sz="0" w:space="0" w:color="auto"/>
        <w:left w:val="none" w:sz="0" w:space="0" w:color="auto"/>
        <w:bottom w:val="none" w:sz="0" w:space="0" w:color="auto"/>
        <w:right w:val="none" w:sz="0" w:space="0" w:color="auto"/>
      </w:divBdr>
    </w:div>
    <w:div w:id="76362949">
      <w:bodyDiv w:val="1"/>
      <w:marLeft w:val="0"/>
      <w:marRight w:val="0"/>
      <w:marTop w:val="0"/>
      <w:marBottom w:val="0"/>
      <w:divBdr>
        <w:top w:val="none" w:sz="0" w:space="0" w:color="auto"/>
        <w:left w:val="none" w:sz="0" w:space="0" w:color="auto"/>
        <w:bottom w:val="none" w:sz="0" w:space="0" w:color="auto"/>
        <w:right w:val="none" w:sz="0" w:space="0" w:color="auto"/>
      </w:divBdr>
    </w:div>
    <w:div w:id="97723391">
      <w:bodyDiv w:val="1"/>
      <w:marLeft w:val="0"/>
      <w:marRight w:val="0"/>
      <w:marTop w:val="0"/>
      <w:marBottom w:val="0"/>
      <w:divBdr>
        <w:top w:val="none" w:sz="0" w:space="0" w:color="auto"/>
        <w:left w:val="none" w:sz="0" w:space="0" w:color="auto"/>
        <w:bottom w:val="none" w:sz="0" w:space="0" w:color="auto"/>
        <w:right w:val="none" w:sz="0" w:space="0" w:color="auto"/>
      </w:divBdr>
    </w:div>
    <w:div w:id="159732929">
      <w:bodyDiv w:val="1"/>
      <w:marLeft w:val="0"/>
      <w:marRight w:val="0"/>
      <w:marTop w:val="0"/>
      <w:marBottom w:val="0"/>
      <w:divBdr>
        <w:top w:val="none" w:sz="0" w:space="0" w:color="auto"/>
        <w:left w:val="none" w:sz="0" w:space="0" w:color="auto"/>
        <w:bottom w:val="none" w:sz="0" w:space="0" w:color="auto"/>
        <w:right w:val="none" w:sz="0" w:space="0" w:color="auto"/>
      </w:divBdr>
    </w:div>
    <w:div w:id="175661287">
      <w:bodyDiv w:val="1"/>
      <w:marLeft w:val="0"/>
      <w:marRight w:val="0"/>
      <w:marTop w:val="0"/>
      <w:marBottom w:val="0"/>
      <w:divBdr>
        <w:top w:val="none" w:sz="0" w:space="0" w:color="auto"/>
        <w:left w:val="none" w:sz="0" w:space="0" w:color="auto"/>
        <w:bottom w:val="none" w:sz="0" w:space="0" w:color="auto"/>
        <w:right w:val="none" w:sz="0" w:space="0" w:color="auto"/>
      </w:divBdr>
    </w:div>
    <w:div w:id="211429021">
      <w:bodyDiv w:val="1"/>
      <w:marLeft w:val="0"/>
      <w:marRight w:val="0"/>
      <w:marTop w:val="0"/>
      <w:marBottom w:val="0"/>
      <w:divBdr>
        <w:top w:val="none" w:sz="0" w:space="0" w:color="auto"/>
        <w:left w:val="none" w:sz="0" w:space="0" w:color="auto"/>
        <w:bottom w:val="none" w:sz="0" w:space="0" w:color="auto"/>
        <w:right w:val="none" w:sz="0" w:space="0" w:color="auto"/>
      </w:divBdr>
    </w:div>
    <w:div w:id="215897193">
      <w:bodyDiv w:val="1"/>
      <w:marLeft w:val="0"/>
      <w:marRight w:val="0"/>
      <w:marTop w:val="0"/>
      <w:marBottom w:val="0"/>
      <w:divBdr>
        <w:top w:val="none" w:sz="0" w:space="0" w:color="auto"/>
        <w:left w:val="none" w:sz="0" w:space="0" w:color="auto"/>
        <w:bottom w:val="none" w:sz="0" w:space="0" w:color="auto"/>
        <w:right w:val="none" w:sz="0" w:space="0" w:color="auto"/>
      </w:divBdr>
    </w:div>
    <w:div w:id="230119805">
      <w:bodyDiv w:val="1"/>
      <w:marLeft w:val="0"/>
      <w:marRight w:val="0"/>
      <w:marTop w:val="0"/>
      <w:marBottom w:val="0"/>
      <w:divBdr>
        <w:top w:val="none" w:sz="0" w:space="0" w:color="auto"/>
        <w:left w:val="none" w:sz="0" w:space="0" w:color="auto"/>
        <w:bottom w:val="none" w:sz="0" w:space="0" w:color="auto"/>
        <w:right w:val="none" w:sz="0" w:space="0" w:color="auto"/>
      </w:divBdr>
    </w:div>
    <w:div w:id="240674936">
      <w:bodyDiv w:val="1"/>
      <w:marLeft w:val="0"/>
      <w:marRight w:val="0"/>
      <w:marTop w:val="0"/>
      <w:marBottom w:val="0"/>
      <w:divBdr>
        <w:top w:val="none" w:sz="0" w:space="0" w:color="auto"/>
        <w:left w:val="none" w:sz="0" w:space="0" w:color="auto"/>
        <w:bottom w:val="none" w:sz="0" w:space="0" w:color="auto"/>
        <w:right w:val="none" w:sz="0" w:space="0" w:color="auto"/>
      </w:divBdr>
    </w:div>
    <w:div w:id="241062200">
      <w:bodyDiv w:val="1"/>
      <w:marLeft w:val="0"/>
      <w:marRight w:val="0"/>
      <w:marTop w:val="0"/>
      <w:marBottom w:val="0"/>
      <w:divBdr>
        <w:top w:val="none" w:sz="0" w:space="0" w:color="auto"/>
        <w:left w:val="none" w:sz="0" w:space="0" w:color="auto"/>
        <w:bottom w:val="none" w:sz="0" w:space="0" w:color="auto"/>
        <w:right w:val="none" w:sz="0" w:space="0" w:color="auto"/>
      </w:divBdr>
    </w:div>
    <w:div w:id="243925918">
      <w:bodyDiv w:val="1"/>
      <w:marLeft w:val="0"/>
      <w:marRight w:val="0"/>
      <w:marTop w:val="0"/>
      <w:marBottom w:val="0"/>
      <w:divBdr>
        <w:top w:val="none" w:sz="0" w:space="0" w:color="auto"/>
        <w:left w:val="none" w:sz="0" w:space="0" w:color="auto"/>
        <w:bottom w:val="none" w:sz="0" w:space="0" w:color="auto"/>
        <w:right w:val="none" w:sz="0" w:space="0" w:color="auto"/>
      </w:divBdr>
    </w:div>
    <w:div w:id="268129176">
      <w:bodyDiv w:val="1"/>
      <w:marLeft w:val="0"/>
      <w:marRight w:val="0"/>
      <w:marTop w:val="0"/>
      <w:marBottom w:val="0"/>
      <w:divBdr>
        <w:top w:val="none" w:sz="0" w:space="0" w:color="auto"/>
        <w:left w:val="none" w:sz="0" w:space="0" w:color="auto"/>
        <w:bottom w:val="none" w:sz="0" w:space="0" w:color="auto"/>
        <w:right w:val="none" w:sz="0" w:space="0" w:color="auto"/>
      </w:divBdr>
    </w:div>
    <w:div w:id="314383602">
      <w:bodyDiv w:val="1"/>
      <w:marLeft w:val="0"/>
      <w:marRight w:val="0"/>
      <w:marTop w:val="0"/>
      <w:marBottom w:val="0"/>
      <w:divBdr>
        <w:top w:val="none" w:sz="0" w:space="0" w:color="auto"/>
        <w:left w:val="none" w:sz="0" w:space="0" w:color="auto"/>
        <w:bottom w:val="none" w:sz="0" w:space="0" w:color="auto"/>
        <w:right w:val="none" w:sz="0" w:space="0" w:color="auto"/>
      </w:divBdr>
    </w:div>
    <w:div w:id="335764099">
      <w:bodyDiv w:val="1"/>
      <w:marLeft w:val="0"/>
      <w:marRight w:val="0"/>
      <w:marTop w:val="0"/>
      <w:marBottom w:val="0"/>
      <w:divBdr>
        <w:top w:val="none" w:sz="0" w:space="0" w:color="auto"/>
        <w:left w:val="none" w:sz="0" w:space="0" w:color="auto"/>
        <w:bottom w:val="none" w:sz="0" w:space="0" w:color="auto"/>
        <w:right w:val="none" w:sz="0" w:space="0" w:color="auto"/>
      </w:divBdr>
    </w:div>
    <w:div w:id="360866259">
      <w:bodyDiv w:val="1"/>
      <w:marLeft w:val="0"/>
      <w:marRight w:val="0"/>
      <w:marTop w:val="0"/>
      <w:marBottom w:val="0"/>
      <w:divBdr>
        <w:top w:val="none" w:sz="0" w:space="0" w:color="auto"/>
        <w:left w:val="none" w:sz="0" w:space="0" w:color="auto"/>
        <w:bottom w:val="none" w:sz="0" w:space="0" w:color="auto"/>
        <w:right w:val="none" w:sz="0" w:space="0" w:color="auto"/>
      </w:divBdr>
    </w:div>
    <w:div w:id="372194104">
      <w:bodyDiv w:val="1"/>
      <w:marLeft w:val="0"/>
      <w:marRight w:val="0"/>
      <w:marTop w:val="0"/>
      <w:marBottom w:val="0"/>
      <w:divBdr>
        <w:top w:val="none" w:sz="0" w:space="0" w:color="auto"/>
        <w:left w:val="none" w:sz="0" w:space="0" w:color="auto"/>
        <w:bottom w:val="none" w:sz="0" w:space="0" w:color="auto"/>
        <w:right w:val="none" w:sz="0" w:space="0" w:color="auto"/>
      </w:divBdr>
    </w:div>
    <w:div w:id="407271730">
      <w:bodyDiv w:val="1"/>
      <w:marLeft w:val="0"/>
      <w:marRight w:val="0"/>
      <w:marTop w:val="0"/>
      <w:marBottom w:val="0"/>
      <w:divBdr>
        <w:top w:val="none" w:sz="0" w:space="0" w:color="auto"/>
        <w:left w:val="none" w:sz="0" w:space="0" w:color="auto"/>
        <w:bottom w:val="none" w:sz="0" w:space="0" w:color="auto"/>
        <w:right w:val="none" w:sz="0" w:space="0" w:color="auto"/>
      </w:divBdr>
    </w:div>
    <w:div w:id="431096942">
      <w:bodyDiv w:val="1"/>
      <w:marLeft w:val="0"/>
      <w:marRight w:val="0"/>
      <w:marTop w:val="0"/>
      <w:marBottom w:val="0"/>
      <w:divBdr>
        <w:top w:val="none" w:sz="0" w:space="0" w:color="auto"/>
        <w:left w:val="none" w:sz="0" w:space="0" w:color="auto"/>
        <w:bottom w:val="none" w:sz="0" w:space="0" w:color="auto"/>
        <w:right w:val="none" w:sz="0" w:space="0" w:color="auto"/>
      </w:divBdr>
    </w:div>
    <w:div w:id="534780420">
      <w:bodyDiv w:val="1"/>
      <w:marLeft w:val="0"/>
      <w:marRight w:val="0"/>
      <w:marTop w:val="0"/>
      <w:marBottom w:val="0"/>
      <w:divBdr>
        <w:top w:val="none" w:sz="0" w:space="0" w:color="auto"/>
        <w:left w:val="none" w:sz="0" w:space="0" w:color="auto"/>
        <w:bottom w:val="none" w:sz="0" w:space="0" w:color="auto"/>
        <w:right w:val="none" w:sz="0" w:space="0" w:color="auto"/>
      </w:divBdr>
    </w:div>
    <w:div w:id="553547998">
      <w:bodyDiv w:val="1"/>
      <w:marLeft w:val="0"/>
      <w:marRight w:val="0"/>
      <w:marTop w:val="0"/>
      <w:marBottom w:val="0"/>
      <w:divBdr>
        <w:top w:val="none" w:sz="0" w:space="0" w:color="auto"/>
        <w:left w:val="none" w:sz="0" w:space="0" w:color="auto"/>
        <w:bottom w:val="none" w:sz="0" w:space="0" w:color="auto"/>
        <w:right w:val="none" w:sz="0" w:space="0" w:color="auto"/>
      </w:divBdr>
    </w:div>
    <w:div w:id="559630863">
      <w:bodyDiv w:val="1"/>
      <w:marLeft w:val="0"/>
      <w:marRight w:val="0"/>
      <w:marTop w:val="0"/>
      <w:marBottom w:val="0"/>
      <w:divBdr>
        <w:top w:val="none" w:sz="0" w:space="0" w:color="auto"/>
        <w:left w:val="none" w:sz="0" w:space="0" w:color="auto"/>
        <w:bottom w:val="none" w:sz="0" w:space="0" w:color="auto"/>
        <w:right w:val="none" w:sz="0" w:space="0" w:color="auto"/>
      </w:divBdr>
    </w:div>
    <w:div w:id="563489019">
      <w:bodyDiv w:val="1"/>
      <w:marLeft w:val="0"/>
      <w:marRight w:val="0"/>
      <w:marTop w:val="0"/>
      <w:marBottom w:val="0"/>
      <w:divBdr>
        <w:top w:val="none" w:sz="0" w:space="0" w:color="auto"/>
        <w:left w:val="none" w:sz="0" w:space="0" w:color="auto"/>
        <w:bottom w:val="none" w:sz="0" w:space="0" w:color="auto"/>
        <w:right w:val="none" w:sz="0" w:space="0" w:color="auto"/>
      </w:divBdr>
    </w:div>
    <w:div w:id="570851291">
      <w:bodyDiv w:val="1"/>
      <w:marLeft w:val="0"/>
      <w:marRight w:val="0"/>
      <w:marTop w:val="0"/>
      <w:marBottom w:val="0"/>
      <w:divBdr>
        <w:top w:val="none" w:sz="0" w:space="0" w:color="auto"/>
        <w:left w:val="none" w:sz="0" w:space="0" w:color="auto"/>
        <w:bottom w:val="none" w:sz="0" w:space="0" w:color="auto"/>
        <w:right w:val="none" w:sz="0" w:space="0" w:color="auto"/>
      </w:divBdr>
    </w:div>
    <w:div w:id="579751325">
      <w:bodyDiv w:val="1"/>
      <w:marLeft w:val="0"/>
      <w:marRight w:val="0"/>
      <w:marTop w:val="0"/>
      <w:marBottom w:val="0"/>
      <w:divBdr>
        <w:top w:val="none" w:sz="0" w:space="0" w:color="auto"/>
        <w:left w:val="none" w:sz="0" w:space="0" w:color="auto"/>
        <w:bottom w:val="none" w:sz="0" w:space="0" w:color="auto"/>
        <w:right w:val="none" w:sz="0" w:space="0" w:color="auto"/>
      </w:divBdr>
    </w:div>
    <w:div w:id="625280090">
      <w:bodyDiv w:val="1"/>
      <w:marLeft w:val="0"/>
      <w:marRight w:val="0"/>
      <w:marTop w:val="0"/>
      <w:marBottom w:val="0"/>
      <w:divBdr>
        <w:top w:val="none" w:sz="0" w:space="0" w:color="auto"/>
        <w:left w:val="none" w:sz="0" w:space="0" w:color="auto"/>
        <w:bottom w:val="none" w:sz="0" w:space="0" w:color="auto"/>
        <w:right w:val="none" w:sz="0" w:space="0" w:color="auto"/>
      </w:divBdr>
    </w:div>
    <w:div w:id="640428166">
      <w:bodyDiv w:val="1"/>
      <w:marLeft w:val="0"/>
      <w:marRight w:val="0"/>
      <w:marTop w:val="0"/>
      <w:marBottom w:val="0"/>
      <w:divBdr>
        <w:top w:val="none" w:sz="0" w:space="0" w:color="auto"/>
        <w:left w:val="none" w:sz="0" w:space="0" w:color="auto"/>
        <w:bottom w:val="none" w:sz="0" w:space="0" w:color="auto"/>
        <w:right w:val="none" w:sz="0" w:space="0" w:color="auto"/>
      </w:divBdr>
    </w:div>
    <w:div w:id="681591073">
      <w:bodyDiv w:val="1"/>
      <w:marLeft w:val="0"/>
      <w:marRight w:val="0"/>
      <w:marTop w:val="0"/>
      <w:marBottom w:val="0"/>
      <w:divBdr>
        <w:top w:val="none" w:sz="0" w:space="0" w:color="auto"/>
        <w:left w:val="none" w:sz="0" w:space="0" w:color="auto"/>
        <w:bottom w:val="none" w:sz="0" w:space="0" w:color="auto"/>
        <w:right w:val="none" w:sz="0" w:space="0" w:color="auto"/>
      </w:divBdr>
    </w:div>
    <w:div w:id="683290941">
      <w:bodyDiv w:val="1"/>
      <w:marLeft w:val="0"/>
      <w:marRight w:val="0"/>
      <w:marTop w:val="0"/>
      <w:marBottom w:val="0"/>
      <w:divBdr>
        <w:top w:val="none" w:sz="0" w:space="0" w:color="auto"/>
        <w:left w:val="none" w:sz="0" w:space="0" w:color="auto"/>
        <w:bottom w:val="none" w:sz="0" w:space="0" w:color="auto"/>
        <w:right w:val="none" w:sz="0" w:space="0" w:color="auto"/>
      </w:divBdr>
    </w:div>
    <w:div w:id="781346280">
      <w:bodyDiv w:val="1"/>
      <w:marLeft w:val="0"/>
      <w:marRight w:val="0"/>
      <w:marTop w:val="0"/>
      <w:marBottom w:val="0"/>
      <w:divBdr>
        <w:top w:val="none" w:sz="0" w:space="0" w:color="auto"/>
        <w:left w:val="none" w:sz="0" w:space="0" w:color="auto"/>
        <w:bottom w:val="none" w:sz="0" w:space="0" w:color="auto"/>
        <w:right w:val="none" w:sz="0" w:space="0" w:color="auto"/>
      </w:divBdr>
    </w:div>
    <w:div w:id="799416871">
      <w:bodyDiv w:val="1"/>
      <w:marLeft w:val="0"/>
      <w:marRight w:val="0"/>
      <w:marTop w:val="0"/>
      <w:marBottom w:val="0"/>
      <w:divBdr>
        <w:top w:val="none" w:sz="0" w:space="0" w:color="auto"/>
        <w:left w:val="none" w:sz="0" w:space="0" w:color="auto"/>
        <w:bottom w:val="none" w:sz="0" w:space="0" w:color="auto"/>
        <w:right w:val="none" w:sz="0" w:space="0" w:color="auto"/>
      </w:divBdr>
    </w:div>
    <w:div w:id="834613894">
      <w:bodyDiv w:val="1"/>
      <w:marLeft w:val="0"/>
      <w:marRight w:val="0"/>
      <w:marTop w:val="0"/>
      <w:marBottom w:val="0"/>
      <w:divBdr>
        <w:top w:val="none" w:sz="0" w:space="0" w:color="auto"/>
        <w:left w:val="none" w:sz="0" w:space="0" w:color="auto"/>
        <w:bottom w:val="none" w:sz="0" w:space="0" w:color="auto"/>
        <w:right w:val="none" w:sz="0" w:space="0" w:color="auto"/>
      </w:divBdr>
    </w:div>
    <w:div w:id="839929137">
      <w:bodyDiv w:val="1"/>
      <w:marLeft w:val="0"/>
      <w:marRight w:val="0"/>
      <w:marTop w:val="0"/>
      <w:marBottom w:val="0"/>
      <w:divBdr>
        <w:top w:val="none" w:sz="0" w:space="0" w:color="auto"/>
        <w:left w:val="none" w:sz="0" w:space="0" w:color="auto"/>
        <w:bottom w:val="none" w:sz="0" w:space="0" w:color="auto"/>
        <w:right w:val="none" w:sz="0" w:space="0" w:color="auto"/>
      </w:divBdr>
    </w:div>
    <w:div w:id="879055871">
      <w:bodyDiv w:val="1"/>
      <w:marLeft w:val="0"/>
      <w:marRight w:val="0"/>
      <w:marTop w:val="0"/>
      <w:marBottom w:val="0"/>
      <w:divBdr>
        <w:top w:val="none" w:sz="0" w:space="0" w:color="auto"/>
        <w:left w:val="none" w:sz="0" w:space="0" w:color="auto"/>
        <w:bottom w:val="none" w:sz="0" w:space="0" w:color="auto"/>
        <w:right w:val="none" w:sz="0" w:space="0" w:color="auto"/>
      </w:divBdr>
    </w:div>
    <w:div w:id="948315688">
      <w:bodyDiv w:val="1"/>
      <w:marLeft w:val="0"/>
      <w:marRight w:val="0"/>
      <w:marTop w:val="0"/>
      <w:marBottom w:val="0"/>
      <w:divBdr>
        <w:top w:val="none" w:sz="0" w:space="0" w:color="auto"/>
        <w:left w:val="none" w:sz="0" w:space="0" w:color="auto"/>
        <w:bottom w:val="none" w:sz="0" w:space="0" w:color="auto"/>
        <w:right w:val="none" w:sz="0" w:space="0" w:color="auto"/>
      </w:divBdr>
    </w:div>
    <w:div w:id="974481268">
      <w:bodyDiv w:val="1"/>
      <w:marLeft w:val="0"/>
      <w:marRight w:val="0"/>
      <w:marTop w:val="0"/>
      <w:marBottom w:val="0"/>
      <w:divBdr>
        <w:top w:val="none" w:sz="0" w:space="0" w:color="auto"/>
        <w:left w:val="none" w:sz="0" w:space="0" w:color="auto"/>
        <w:bottom w:val="none" w:sz="0" w:space="0" w:color="auto"/>
        <w:right w:val="none" w:sz="0" w:space="0" w:color="auto"/>
      </w:divBdr>
    </w:div>
    <w:div w:id="977685534">
      <w:bodyDiv w:val="1"/>
      <w:marLeft w:val="0"/>
      <w:marRight w:val="0"/>
      <w:marTop w:val="0"/>
      <w:marBottom w:val="0"/>
      <w:divBdr>
        <w:top w:val="none" w:sz="0" w:space="0" w:color="auto"/>
        <w:left w:val="none" w:sz="0" w:space="0" w:color="auto"/>
        <w:bottom w:val="none" w:sz="0" w:space="0" w:color="auto"/>
        <w:right w:val="none" w:sz="0" w:space="0" w:color="auto"/>
      </w:divBdr>
    </w:div>
    <w:div w:id="990016575">
      <w:bodyDiv w:val="1"/>
      <w:marLeft w:val="0"/>
      <w:marRight w:val="0"/>
      <w:marTop w:val="0"/>
      <w:marBottom w:val="0"/>
      <w:divBdr>
        <w:top w:val="none" w:sz="0" w:space="0" w:color="auto"/>
        <w:left w:val="none" w:sz="0" w:space="0" w:color="auto"/>
        <w:bottom w:val="none" w:sz="0" w:space="0" w:color="auto"/>
        <w:right w:val="none" w:sz="0" w:space="0" w:color="auto"/>
      </w:divBdr>
    </w:div>
    <w:div w:id="1000743318">
      <w:bodyDiv w:val="1"/>
      <w:marLeft w:val="0"/>
      <w:marRight w:val="0"/>
      <w:marTop w:val="0"/>
      <w:marBottom w:val="0"/>
      <w:divBdr>
        <w:top w:val="none" w:sz="0" w:space="0" w:color="auto"/>
        <w:left w:val="none" w:sz="0" w:space="0" w:color="auto"/>
        <w:bottom w:val="none" w:sz="0" w:space="0" w:color="auto"/>
        <w:right w:val="none" w:sz="0" w:space="0" w:color="auto"/>
      </w:divBdr>
    </w:div>
    <w:div w:id="1006056958">
      <w:bodyDiv w:val="1"/>
      <w:marLeft w:val="0"/>
      <w:marRight w:val="0"/>
      <w:marTop w:val="0"/>
      <w:marBottom w:val="0"/>
      <w:divBdr>
        <w:top w:val="none" w:sz="0" w:space="0" w:color="auto"/>
        <w:left w:val="none" w:sz="0" w:space="0" w:color="auto"/>
        <w:bottom w:val="none" w:sz="0" w:space="0" w:color="auto"/>
        <w:right w:val="none" w:sz="0" w:space="0" w:color="auto"/>
      </w:divBdr>
    </w:div>
    <w:div w:id="1021975402">
      <w:bodyDiv w:val="1"/>
      <w:marLeft w:val="0"/>
      <w:marRight w:val="0"/>
      <w:marTop w:val="0"/>
      <w:marBottom w:val="0"/>
      <w:divBdr>
        <w:top w:val="none" w:sz="0" w:space="0" w:color="auto"/>
        <w:left w:val="none" w:sz="0" w:space="0" w:color="auto"/>
        <w:bottom w:val="none" w:sz="0" w:space="0" w:color="auto"/>
        <w:right w:val="none" w:sz="0" w:space="0" w:color="auto"/>
      </w:divBdr>
    </w:div>
    <w:div w:id="1026448205">
      <w:bodyDiv w:val="1"/>
      <w:marLeft w:val="0"/>
      <w:marRight w:val="0"/>
      <w:marTop w:val="0"/>
      <w:marBottom w:val="0"/>
      <w:divBdr>
        <w:top w:val="none" w:sz="0" w:space="0" w:color="auto"/>
        <w:left w:val="none" w:sz="0" w:space="0" w:color="auto"/>
        <w:bottom w:val="none" w:sz="0" w:space="0" w:color="auto"/>
        <w:right w:val="none" w:sz="0" w:space="0" w:color="auto"/>
      </w:divBdr>
    </w:div>
    <w:div w:id="1044448402">
      <w:bodyDiv w:val="1"/>
      <w:marLeft w:val="0"/>
      <w:marRight w:val="0"/>
      <w:marTop w:val="0"/>
      <w:marBottom w:val="0"/>
      <w:divBdr>
        <w:top w:val="none" w:sz="0" w:space="0" w:color="auto"/>
        <w:left w:val="none" w:sz="0" w:space="0" w:color="auto"/>
        <w:bottom w:val="none" w:sz="0" w:space="0" w:color="auto"/>
        <w:right w:val="none" w:sz="0" w:space="0" w:color="auto"/>
      </w:divBdr>
    </w:div>
    <w:div w:id="1046032381">
      <w:bodyDiv w:val="1"/>
      <w:marLeft w:val="0"/>
      <w:marRight w:val="0"/>
      <w:marTop w:val="0"/>
      <w:marBottom w:val="0"/>
      <w:divBdr>
        <w:top w:val="none" w:sz="0" w:space="0" w:color="auto"/>
        <w:left w:val="none" w:sz="0" w:space="0" w:color="auto"/>
        <w:bottom w:val="none" w:sz="0" w:space="0" w:color="auto"/>
        <w:right w:val="none" w:sz="0" w:space="0" w:color="auto"/>
      </w:divBdr>
    </w:div>
    <w:div w:id="1070468467">
      <w:bodyDiv w:val="1"/>
      <w:marLeft w:val="0"/>
      <w:marRight w:val="0"/>
      <w:marTop w:val="0"/>
      <w:marBottom w:val="0"/>
      <w:divBdr>
        <w:top w:val="none" w:sz="0" w:space="0" w:color="auto"/>
        <w:left w:val="none" w:sz="0" w:space="0" w:color="auto"/>
        <w:bottom w:val="none" w:sz="0" w:space="0" w:color="auto"/>
        <w:right w:val="none" w:sz="0" w:space="0" w:color="auto"/>
      </w:divBdr>
    </w:div>
    <w:div w:id="1092820970">
      <w:bodyDiv w:val="1"/>
      <w:marLeft w:val="0"/>
      <w:marRight w:val="0"/>
      <w:marTop w:val="0"/>
      <w:marBottom w:val="0"/>
      <w:divBdr>
        <w:top w:val="none" w:sz="0" w:space="0" w:color="auto"/>
        <w:left w:val="none" w:sz="0" w:space="0" w:color="auto"/>
        <w:bottom w:val="none" w:sz="0" w:space="0" w:color="auto"/>
        <w:right w:val="none" w:sz="0" w:space="0" w:color="auto"/>
      </w:divBdr>
    </w:div>
    <w:div w:id="1154372202">
      <w:bodyDiv w:val="1"/>
      <w:marLeft w:val="0"/>
      <w:marRight w:val="0"/>
      <w:marTop w:val="0"/>
      <w:marBottom w:val="0"/>
      <w:divBdr>
        <w:top w:val="none" w:sz="0" w:space="0" w:color="auto"/>
        <w:left w:val="none" w:sz="0" w:space="0" w:color="auto"/>
        <w:bottom w:val="none" w:sz="0" w:space="0" w:color="auto"/>
        <w:right w:val="none" w:sz="0" w:space="0" w:color="auto"/>
      </w:divBdr>
    </w:div>
    <w:div w:id="1192302594">
      <w:bodyDiv w:val="1"/>
      <w:marLeft w:val="0"/>
      <w:marRight w:val="0"/>
      <w:marTop w:val="0"/>
      <w:marBottom w:val="0"/>
      <w:divBdr>
        <w:top w:val="none" w:sz="0" w:space="0" w:color="auto"/>
        <w:left w:val="none" w:sz="0" w:space="0" w:color="auto"/>
        <w:bottom w:val="none" w:sz="0" w:space="0" w:color="auto"/>
        <w:right w:val="none" w:sz="0" w:space="0" w:color="auto"/>
      </w:divBdr>
    </w:div>
    <w:div w:id="1200824596">
      <w:bodyDiv w:val="1"/>
      <w:marLeft w:val="0"/>
      <w:marRight w:val="0"/>
      <w:marTop w:val="0"/>
      <w:marBottom w:val="0"/>
      <w:divBdr>
        <w:top w:val="none" w:sz="0" w:space="0" w:color="auto"/>
        <w:left w:val="none" w:sz="0" w:space="0" w:color="auto"/>
        <w:bottom w:val="none" w:sz="0" w:space="0" w:color="auto"/>
        <w:right w:val="none" w:sz="0" w:space="0" w:color="auto"/>
      </w:divBdr>
    </w:div>
    <w:div w:id="1214924702">
      <w:bodyDiv w:val="1"/>
      <w:marLeft w:val="0"/>
      <w:marRight w:val="0"/>
      <w:marTop w:val="0"/>
      <w:marBottom w:val="0"/>
      <w:divBdr>
        <w:top w:val="none" w:sz="0" w:space="0" w:color="auto"/>
        <w:left w:val="none" w:sz="0" w:space="0" w:color="auto"/>
        <w:bottom w:val="none" w:sz="0" w:space="0" w:color="auto"/>
        <w:right w:val="none" w:sz="0" w:space="0" w:color="auto"/>
      </w:divBdr>
    </w:div>
    <w:div w:id="1284382757">
      <w:bodyDiv w:val="1"/>
      <w:marLeft w:val="0"/>
      <w:marRight w:val="0"/>
      <w:marTop w:val="0"/>
      <w:marBottom w:val="0"/>
      <w:divBdr>
        <w:top w:val="none" w:sz="0" w:space="0" w:color="auto"/>
        <w:left w:val="none" w:sz="0" w:space="0" w:color="auto"/>
        <w:bottom w:val="none" w:sz="0" w:space="0" w:color="auto"/>
        <w:right w:val="none" w:sz="0" w:space="0" w:color="auto"/>
      </w:divBdr>
    </w:div>
    <w:div w:id="1380982031">
      <w:bodyDiv w:val="1"/>
      <w:marLeft w:val="0"/>
      <w:marRight w:val="0"/>
      <w:marTop w:val="0"/>
      <w:marBottom w:val="0"/>
      <w:divBdr>
        <w:top w:val="none" w:sz="0" w:space="0" w:color="auto"/>
        <w:left w:val="none" w:sz="0" w:space="0" w:color="auto"/>
        <w:bottom w:val="none" w:sz="0" w:space="0" w:color="auto"/>
        <w:right w:val="none" w:sz="0" w:space="0" w:color="auto"/>
      </w:divBdr>
    </w:div>
    <w:div w:id="1439564915">
      <w:bodyDiv w:val="1"/>
      <w:marLeft w:val="0"/>
      <w:marRight w:val="0"/>
      <w:marTop w:val="0"/>
      <w:marBottom w:val="0"/>
      <w:divBdr>
        <w:top w:val="none" w:sz="0" w:space="0" w:color="auto"/>
        <w:left w:val="none" w:sz="0" w:space="0" w:color="auto"/>
        <w:bottom w:val="none" w:sz="0" w:space="0" w:color="auto"/>
        <w:right w:val="none" w:sz="0" w:space="0" w:color="auto"/>
      </w:divBdr>
    </w:div>
    <w:div w:id="1507135696">
      <w:bodyDiv w:val="1"/>
      <w:marLeft w:val="0"/>
      <w:marRight w:val="0"/>
      <w:marTop w:val="0"/>
      <w:marBottom w:val="0"/>
      <w:divBdr>
        <w:top w:val="none" w:sz="0" w:space="0" w:color="auto"/>
        <w:left w:val="none" w:sz="0" w:space="0" w:color="auto"/>
        <w:bottom w:val="none" w:sz="0" w:space="0" w:color="auto"/>
        <w:right w:val="none" w:sz="0" w:space="0" w:color="auto"/>
      </w:divBdr>
    </w:div>
    <w:div w:id="1510098368">
      <w:bodyDiv w:val="1"/>
      <w:marLeft w:val="0"/>
      <w:marRight w:val="0"/>
      <w:marTop w:val="0"/>
      <w:marBottom w:val="0"/>
      <w:divBdr>
        <w:top w:val="none" w:sz="0" w:space="0" w:color="auto"/>
        <w:left w:val="none" w:sz="0" w:space="0" w:color="auto"/>
        <w:bottom w:val="none" w:sz="0" w:space="0" w:color="auto"/>
        <w:right w:val="none" w:sz="0" w:space="0" w:color="auto"/>
      </w:divBdr>
    </w:div>
    <w:div w:id="1577471069">
      <w:bodyDiv w:val="1"/>
      <w:marLeft w:val="0"/>
      <w:marRight w:val="0"/>
      <w:marTop w:val="0"/>
      <w:marBottom w:val="0"/>
      <w:divBdr>
        <w:top w:val="none" w:sz="0" w:space="0" w:color="auto"/>
        <w:left w:val="none" w:sz="0" w:space="0" w:color="auto"/>
        <w:bottom w:val="none" w:sz="0" w:space="0" w:color="auto"/>
        <w:right w:val="none" w:sz="0" w:space="0" w:color="auto"/>
      </w:divBdr>
    </w:div>
    <w:div w:id="1601061258">
      <w:bodyDiv w:val="1"/>
      <w:marLeft w:val="0"/>
      <w:marRight w:val="0"/>
      <w:marTop w:val="0"/>
      <w:marBottom w:val="0"/>
      <w:divBdr>
        <w:top w:val="none" w:sz="0" w:space="0" w:color="auto"/>
        <w:left w:val="none" w:sz="0" w:space="0" w:color="auto"/>
        <w:bottom w:val="none" w:sz="0" w:space="0" w:color="auto"/>
        <w:right w:val="none" w:sz="0" w:space="0" w:color="auto"/>
      </w:divBdr>
    </w:div>
    <w:div w:id="1605963609">
      <w:bodyDiv w:val="1"/>
      <w:marLeft w:val="0"/>
      <w:marRight w:val="0"/>
      <w:marTop w:val="0"/>
      <w:marBottom w:val="0"/>
      <w:divBdr>
        <w:top w:val="none" w:sz="0" w:space="0" w:color="auto"/>
        <w:left w:val="none" w:sz="0" w:space="0" w:color="auto"/>
        <w:bottom w:val="none" w:sz="0" w:space="0" w:color="auto"/>
        <w:right w:val="none" w:sz="0" w:space="0" w:color="auto"/>
      </w:divBdr>
    </w:div>
    <w:div w:id="1614509116">
      <w:bodyDiv w:val="1"/>
      <w:marLeft w:val="0"/>
      <w:marRight w:val="0"/>
      <w:marTop w:val="0"/>
      <w:marBottom w:val="0"/>
      <w:divBdr>
        <w:top w:val="none" w:sz="0" w:space="0" w:color="auto"/>
        <w:left w:val="none" w:sz="0" w:space="0" w:color="auto"/>
        <w:bottom w:val="none" w:sz="0" w:space="0" w:color="auto"/>
        <w:right w:val="none" w:sz="0" w:space="0" w:color="auto"/>
      </w:divBdr>
    </w:div>
    <w:div w:id="1622149312">
      <w:bodyDiv w:val="1"/>
      <w:marLeft w:val="0"/>
      <w:marRight w:val="0"/>
      <w:marTop w:val="0"/>
      <w:marBottom w:val="0"/>
      <w:divBdr>
        <w:top w:val="none" w:sz="0" w:space="0" w:color="auto"/>
        <w:left w:val="none" w:sz="0" w:space="0" w:color="auto"/>
        <w:bottom w:val="none" w:sz="0" w:space="0" w:color="auto"/>
        <w:right w:val="none" w:sz="0" w:space="0" w:color="auto"/>
      </w:divBdr>
    </w:div>
    <w:div w:id="1682389909">
      <w:bodyDiv w:val="1"/>
      <w:marLeft w:val="0"/>
      <w:marRight w:val="0"/>
      <w:marTop w:val="0"/>
      <w:marBottom w:val="0"/>
      <w:divBdr>
        <w:top w:val="none" w:sz="0" w:space="0" w:color="auto"/>
        <w:left w:val="none" w:sz="0" w:space="0" w:color="auto"/>
        <w:bottom w:val="none" w:sz="0" w:space="0" w:color="auto"/>
        <w:right w:val="none" w:sz="0" w:space="0" w:color="auto"/>
      </w:divBdr>
    </w:div>
    <w:div w:id="1714503342">
      <w:bodyDiv w:val="1"/>
      <w:marLeft w:val="0"/>
      <w:marRight w:val="0"/>
      <w:marTop w:val="0"/>
      <w:marBottom w:val="0"/>
      <w:divBdr>
        <w:top w:val="none" w:sz="0" w:space="0" w:color="auto"/>
        <w:left w:val="none" w:sz="0" w:space="0" w:color="auto"/>
        <w:bottom w:val="none" w:sz="0" w:space="0" w:color="auto"/>
        <w:right w:val="none" w:sz="0" w:space="0" w:color="auto"/>
      </w:divBdr>
    </w:div>
    <w:div w:id="1728259394">
      <w:bodyDiv w:val="1"/>
      <w:marLeft w:val="0"/>
      <w:marRight w:val="0"/>
      <w:marTop w:val="0"/>
      <w:marBottom w:val="0"/>
      <w:divBdr>
        <w:top w:val="none" w:sz="0" w:space="0" w:color="auto"/>
        <w:left w:val="none" w:sz="0" w:space="0" w:color="auto"/>
        <w:bottom w:val="none" w:sz="0" w:space="0" w:color="auto"/>
        <w:right w:val="none" w:sz="0" w:space="0" w:color="auto"/>
      </w:divBdr>
    </w:div>
    <w:div w:id="1793673597">
      <w:bodyDiv w:val="1"/>
      <w:marLeft w:val="0"/>
      <w:marRight w:val="0"/>
      <w:marTop w:val="0"/>
      <w:marBottom w:val="0"/>
      <w:divBdr>
        <w:top w:val="none" w:sz="0" w:space="0" w:color="auto"/>
        <w:left w:val="none" w:sz="0" w:space="0" w:color="auto"/>
        <w:bottom w:val="none" w:sz="0" w:space="0" w:color="auto"/>
        <w:right w:val="none" w:sz="0" w:space="0" w:color="auto"/>
      </w:divBdr>
    </w:div>
    <w:div w:id="1809203698">
      <w:bodyDiv w:val="1"/>
      <w:marLeft w:val="0"/>
      <w:marRight w:val="0"/>
      <w:marTop w:val="0"/>
      <w:marBottom w:val="0"/>
      <w:divBdr>
        <w:top w:val="none" w:sz="0" w:space="0" w:color="auto"/>
        <w:left w:val="none" w:sz="0" w:space="0" w:color="auto"/>
        <w:bottom w:val="none" w:sz="0" w:space="0" w:color="auto"/>
        <w:right w:val="none" w:sz="0" w:space="0" w:color="auto"/>
      </w:divBdr>
    </w:div>
    <w:div w:id="1853841436">
      <w:bodyDiv w:val="1"/>
      <w:marLeft w:val="0"/>
      <w:marRight w:val="0"/>
      <w:marTop w:val="0"/>
      <w:marBottom w:val="0"/>
      <w:divBdr>
        <w:top w:val="none" w:sz="0" w:space="0" w:color="auto"/>
        <w:left w:val="none" w:sz="0" w:space="0" w:color="auto"/>
        <w:bottom w:val="none" w:sz="0" w:space="0" w:color="auto"/>
        <w:right w:val="none" w:sz="0" w:space="0" w:color="auto"/>
      </w:divBdr>
    </w:div>
    <w:div w:id="1870680183">
      <w:bodyDiv w:val="1"/>
      <w:marLeft w:val="0"/>
      <w:marRight w:val="0"/>
      <w:marTop w:val="0"/>
      <w:marBottom w:val="0"/>
      <w:divBdr>
        <w:top w:val="none" w:sz="0" w:space="0" w:color="auto"/>
        <w:left w:val="none" w:sz="0" w:space="0" w:color="auto"/>
        <w:bottom w:val="none" w:sz="0" w:space="0" w:color="auto"/>
        <w:right w:val="none" w:sz="0" w:space="0" w:color="auto"/>
      </w:divBdr>
    </w:div>
    <w:div w:id="1898279868">
      <w:bodyDiv w:val="1"/>
      <w:marLeft w:val="0"/>
      <w:marRight w:val="0"/>
      <w:marTop w:val="0"/>
      <w:marBottom w:val="0"/>
      <w:divBdr>
        <w:top w:val="none" w:sz="0" w:space="0" w:color="auto"/>
        <w:left w:val="none" w:sz="0" w:space="0" w:color="auto"/>
        <w:bottom w:val="none" w:sz="0" w:space="0" w:color="auto"/>
        <w:right w:val="none" w:sz="0" w:space="0" w:color="auto"/>
      </w:divBdr>
    </w:div>
    <w:div w:id="1973632731">
      <w:bodyDiv w:val="1"/>
      <w:marLeft w:val="0"/>
      <w:marRight w:val="0"/>
      <w:marTop w:val="0"/>
      <w:marBottom w:val="0"/>
      <w:divBdr>
        <w:top w:val="none" w:sz="0" w:space="0" w:color="auto"/>
        <w:left w:val="none" w:sz="0" w:space="0" w:color="auto"/>
        <w:bottom w:val="none" w:sz="0" w:space="0" w:color="auto"/>
        <w:right w:val="none" w:sz="0" w:space="0" w:color="auto"/>
      </w:divBdr>
    </w:div>
    <w:div w:id="2004357680">
      <w:bodyDiv w:val="1"/>
      <w:marLeft w:val="0"/>
      <w:marRight w:val="0"/>
      <w:marTop w:val="0"/>
      <w:marBottom w:val="0"/>
      <w:divBdr>
        <w:top w:val="none" w:sz="0" w:space="0" w:color="auto"/>
        <w:left w:val="none" w:sz="0" w:space="0" w:color="auto"/>
        <w:bottom w:val="none" w:sz="0" w:space="0" w:color="auto"/>
        <w:right w:val="none" w:sz="0" w:space="0" w:color="auto"/>
      </w:divBdr>
    </w:div>
    <w:div w:id="2040665865">
      <w:bodyDiv w:val="1"/>
      <w:marLeft w:val="0"/>
      <w:marRight w:val="0"/>
      <w:marTop w:val="0"/>
      <w:marBottom w:val="0"/>
      <w:divBdr>
        <w:top w:val="none" w:sz="0" w:space="0" w:color="auto"/>
        <w:left w:val="none" w:sz="0" w:space="0" w:color="auto"/>
        <w:bottom w:val="none" w:sz="0" w:space="0" w:color="auto"/>
        <w:right w:val="none" w:sz="0" w:space="0" w:color="auto"/>
      </w:divBdr>
    </w:div>
    <w:div w:id="2091779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5.png"/><Relationship Id="rId21" Type="http://schemas.openxmlformats.org/officeDocument/2006/relationships/image" Target="media/image2.png"/><Relationship Id="rId42" Type="http://schemas.openxmlformats.org/officeDocument/2006/relationships/image" Target="media/image7.png"/><Relationship Id="rId63" Type="http://schemas.openxmlformats.org/officeDocument/2006/relationships/image" Target="media/image21.png"/><Relationship Id="rId84" Type="http://schemas.openxmlformats.org/officeDocument/2006/relationships/image" Target="media/image42.png"/><Relationship Id="rId138" Type="http://schemas.openxmlformats.org/officeDocument/2006/relationships/hyperlink" Target="https://doi.org/10.1016/j.isci.2019.02.020" TargetMode="External"/><Relationship Id="rId159" Type="http://schemas.openxmlformats.org/officeDocument/2006/relationships/image" Target="media/image91.wmf"/><Relationship Id="rId170" Type="http://schemas.openxmlformats.org/officeDocument/2006/relationships/image" Target="media/image100.png"/><Relationship Id="rId191" Type="http://schemas.openxmlformats.org/officeDocument/2006/relationships/image" Target="media/image116.png"/><Relationship Id="rId205" Type="http://schemas.openxmlformats.org/officeDocument/2006/relationships/image" Target="media/image130.png"/><Relationship Id="rId107" Type="http://schemas.openxmlformats.org/officeDocument/2006/relationships/image" Target="media/image65.png"/><Relationship Id="rId11" Type="http://schemas.openxmlformats.org/officeDocument/2006/relationships/endnotes" Target="endnotes.xml"/><Relationship Id="rId32" Type="http://schemas.openxmlformats.org/officeDocument/2006/relationships/image" Target="media/image3.png"/><Relationship Id="rId53" Type="http://schemas.openxmlformats.org/officeDocument/2006/relationships/image" Target="media/image11.png"/><Relationship Id="rId74" Type="http://schemas.openxmlformats.org/officeDocument/2006/relationships/image" Target="media/image32.png"/><Relationship Id="rId128" Type="http://schemas.openxmlformats.org/officeDocument/2006/relationships/image" Target="media/image86.png"/><Relationship Id="rId149" Type="http://schemas.openxmlformats.org/officeDocument/2006/relationships/hyperlink" Target="http://dx.doi.org/10.1016/j.marpolbul.2014.02.013" TargetMode="External"/><Relationship Id="rId5" Type="http://schemas.openxmlformats.org/officeDocument/2006/relationships/customXml" Target="../customXml/item5.xml"/><Relationship Id="rId95" Type="http://schemas.openxmlformats.org/officeDocument/2006/relationships/image" Target="media/image53.png"/><Relationship Id="rId160" Type="http://schemas.openxmlformats.org/officeDocument/2006/relationships/oleObject" Target="embeddings/oleObject1.bin"/><Relationship Id="rId181" Type="http://schemas.openxmlformats.org/officeDocument/2006/relationships/image" Target="media/image106.png"/><Relationship Id="rId216" Type="http://schemas.openxmlformats.org/officeDocument/2006/relationships/header" Target="header26.xml"/><Relationship Id="rId22" Type="http://schemas.openxmlformats.org/officeDocument/2006/relationships/hyperlink" Target="mailto:Tropwater@jcu.edu.au" TargetMode="External"/><Relationship Id="rId43" Type="http://schemas.openxmlformats.org/officeDocument/2006/relationships/footer" Target="footer9.xml"/><Relationship Id="rId64" Type="http://schemas.openxmlformats.org/officeDocument/2006/relationships/image" Target="media/image22.png"/><Relationship Id="rId118" Type="http://schemas.openxmlformats.org/officeDocument/2006/relationships/image" Target="media/image76.png"/><Relationship Id="rId139" Type="http://schemas.openxmlformats.org/officeDocument/2006/relationships/hyperlink" Target="http://www.gbrmpa.gov.au/our-work/our-programs-and-projects/reef-2050-marine-monitoring-program" TargetMode="External"/><Relationship Id="rId85" Type="http://schemas.openxmlformats.org/officeDocument/2006/relationships/image" Target="media/image43.png"/><Relationship Id="rId150" Type="http://schemas.openxmlformats.org/officeDocument/2006/relationships/hyperlink" Target="http://dx.doi.org/10.1016/j.marpolbul.2015.08.016" TargetMode="External"/><Relationship Id="rId171" Type="http://schemas.openxmlformats.org/officeDocument/2006/relationships/image" Target="media/image101.png"/><Relationship Id="rId192" Type="http://schemas.openxmlformats.org/officeDocument/2006/relationships/image" Target="media/image117.emf"/><Relationship Id="rId206" Type="http://schemas.openxmlformats.org/officeDocument/2006/relationships/image" Target="media/image131.png"/><Relationship Id="rId12" Type="http://schemas.openxmlformats.org/officeDocument/2006/relationships/header" Target="header1.xml"/><Relationship Id="rId33" Type="http://schemas.openxmlformats.org/officeDocument/2006/relationships/header" Target="header10.xml"/><Relationship Id="rId108" Type="http://schemas.openxmlformats.org/officeDocument/2006/relationships/image" Target="media/image66.png"/><Relationship Id="rId129" Type="http://schemas.openxmlformats.org/officeDocument/2006/relationships/image" Target="media/image87.png"/><Relationship Id="rId54" Type="http://schemas.openxmlformats.org/officeDocument/2006/relationships/image" Target="media/image12.png"/><Relationship Id="rId75" Type="http://schemas.openxmlformats.org/officeDocument/2006/relationships/image" Target="media/image33.png"/><Relationship Id="rId96" Type="http://schemas.openxmlformats.org/officeDocument/2006/relationships/image" Target="media/image54.png"/><Relationship Id="rId140" Type="http://schemas.openxmlformats.org/officeDocument/2006/relationships/hyperlink" Target="http://dx.doi.org/10.1016/j.scitotenv.2015.04.061" TargetMode="External"/><Relationship Id="rId161" Type="http://schemas.openxmlformats.org/officeDocument/2006/relationships/image" Target="media/image92.wmf"/><Relationship Id="rId182" Type="http://schemas.openxmlformats.org/officeDocument/2006/relationships/image" Target="media/image107.png"/><Relationship Id="rId217" Type="http://schemas.openxmlformats.org/officeDocument/2006/relationships/fontTable" Target="fontTable.xml"/><Relationship Id="rId6" Type="http://schemas.openxmlformats.org/officeDocument/2006/relationships/numbering" Target="numbering.xml"/><Relationship Id="rId23" Type="http://schemas.openxmlformats.org/officeDocument/2006/relationships/header" Target="header4.xml"/><Relationship Id="rId119" Type="http://schemas.openxmlformats.org/officeDocument/2006/relationships/image" Target="media/image77.png"/><Relationship Id="rId44" Type="http://schemas.openxmlformats.org/officeDocument/2006/relationships/header" Target="header13.xml"/><Relationship Id="rId65" Type="http://schemas.openxmlformats.org/officeDocument/2006/relationships/image" Target="media/image23.png"/><Relationship Id="rId86" Type="http://schemas.openxmlformats.org/officeDocument/2006/relationships/image" Target="media/image44.png"/><Relationship Id="rId130" Type="http://schemas.openxmlformats.org/officeDocument/2006/relationships/image" Target="media/image88.png"/><Relationship Id="rId151" Type="http://schemas.openxmlformats.org/officeDocument/2006/relationships/hyperlink" Target="https://doi.org/10.1016/j.cub.2018.09.027" TargetMode="External"/><Relationship Id="rId172" Type="http://schemas.openxmlformats.org/officeDocument/2006/relationships/hyperlink" Target="file:///E:/New_Appendices%202014_15.docx" TargetMode="External"/><Relationship Id="rId193" Type="http://schemas.openxmlformats.org/officeDocument/2006/relationships/image" Target="media/image118.emf"/><Relationship Id="rId207" Type="http://schemas.openxmlformats.org/officeDocument/2006/relationships/image" Target="media/image132.png"/><Relationship Id="rId13" Type="http://schemas.openxmlformats.org/officeDocument/2006/relationships/header" Target="header2.xml"/><Relationship Id="rId109" Type="http://schemas.openxmlformats.org/officeDocument/2006/relationships/image" Target="media/image67.png"/><Relationship Id="rId34" Type="http://schemas.openxmlformats.org/officeDocument/2006/relationships/header" Target="header11.xml"/><Relationship Id="rId55" Type="http://schemas.openxmlformats.org/officeDocument/2006/relationships/image" Target="media/image13.png"/><Relationship Id="rId76" Type="http://schemas.openxmlformats.org/officeDocument/2006/relationships/image" Target="media/image34.png"/><Relationship Id="rId97" Type="http://schemas.openxmlformats.org/officeDocument/2006/relationships/image" Target="media/image55.png"/><Relationship Id="rId120" Type="http://schemas.openxmlformats.org/officeDocument/2006/relationships/image" Target="media/image78.emf"/><Relationship Id="rId141" Type="http://schemas.openxmlformats.org/officeDocument/2006/relationships/hyperlink" Target="http://rrrc.org.au/wp-content/uploads/2014/06/113-QDPIF-McKenzie-L-2009-June-Milestone-Report.pdf" TargetMode="External"/><Relationship Id="rId7" Type="http://schemas.openxmlformats.org/officeDocument/2006/relationships/styles" Target="styles.xml"/><Relationship Id="rId162" Type="http://schemas.openxmlformats.org/officeDocument/2006/relationships/oleObject" Target="embeddings/oleObject2.bin"/><Relationship Id="rId183" Type="http://schemas.openxmlformats.org/officeDocument/2006/relationships/image" Target="media/image108.png"/><Relationship Id="rId218" Type="http://schemas.openxmlformats.org/officeDocument/2006/relationships/theme" Target="theme/theme1.xml"/><Relationship Id="rId24" Type="http://schemas.openxmlformats.org/officeDocument/2006/relationships/header" Target="header5.xml"/><Relationship Id="rId45" Type="http://schemas.openxmlformats.org/officeDocument/2006/relationships/header" Target="header14.xml"/><Relationship Id="rId66" Type="http://schemas.openxmlformats.org/officeDocument/2006/relationships/image" Target="media/image24.png"/><Relationship Id="rId87" Type="http://schemas.openxmlformats.org/officeDocument/2006/relationships/image" Target="media/image45.png"/><Relationship Id="rId110" Type="http://schemas.openxmlformats.org/officeDocument/2006/relationships/image" Target="media/image68.png"/><Relationship Id="rId131" Type="http://schemas.openxmlformats.org/officeDocument/2006/relationships/image" Target="media/image89.png"/><Relationship Id="rId152" Type="http://schemas.openxmlformats.org/officeDocument/2006/relationships/hyperlink" Target="http://www.nature.com/articles/srep13167" TargetMode="External"/><Relationship Id="rId173" Type="http://schemas.openxmlformats.org/officeDocument/2006/relationships/image" Target="media/image102.wmf"/><Relationship Id="rId194" Type="http://schemas.openxmlformats.org/officeDocument/2006/relationships/image" Target="media/image119.emf"/><Relationship Id="rId208" Type="http://schemas.openxmlformats.org/officeDocument/2006/relationships/image" Target="media/image133.png"/><Relationship Id="rId14" Type="http://schemas.openxmlformats.org/officeDocument/2006/relationships/footer" Target="footer1.xml"/><Relationship Id="rId30" Type="http://schemas.openxmlformats.org/officeDocument/2006/relationships/footer" Target="footer6.xml"/><Relationship Id="rId35" Type="http://schemas.openxmlformats.org/officeDocument/2006/relationships/footer" Target="footer7.xml"/><Relationship Id="rId56" Type="http://schemas.openxmlformats.org/officeDocument/2006/relationships/image" Target="media/image14.png"/><Relationship Id="rId77" Type="http://schemas.openxmlformats.org/officeDocument/2006/relationships/image" Target="media/image35.png"/><Relationship Id="rId100" Type="http://schemas.openxmlformats.org/officeDocument/2006/relationships/image" Target="media/image58.png"/><Relationship Id="rId105" Type="http://schemas.openxmlformats.org/officeDocument/2006/relationships/image" Target="media/image63.png"/><Relationship Id="rId126" Type="http://schemas.openxmlformats.org/officeDocument/2006/relationships/image" Target="media/image84.png"/><Relationship Id="rId147" Type="http://schemas.openxmlformats.org/officeDocument/2006/relationships/hyperlink" Target="http://dx.doi.org/10.1016/j.marenvres.2014.03.006" TargetMode="External"/><Relationship Id="rId168" Type="http://schemas.openxmlformats.org/officeDocument/2006/relationships/image" Target="media/image98.png"/><Relationship Id="rId8" Type="http://schemas.openxmlformats.org/officeDocument/2006/relationships/settings" Target="settings.xml"/><Relationship Id="rId51" Type="http://schemas.openxmlformats.org/officeDocument/2006/relationships/image" Target="media/image9.jpg"/><Relationship Id="rId72" Type="http://schemas.openxmlformats.org/officeDocument/2006/relationships/image" Target="media/image30.png"/><Relationship Id="rId93" Type="http://schemas.openxmlformats.org/officeDocument/2006/relationships/image" Target="media/image51.png"/><Relationship Id="rId98" Type="http://schemas.openxmlformats.org/officeDocument/2006/relationships/image" Target="media/image56.png"/><Relationship Id="rId121" Type="http://schemas.openxmlformats.org/officeDocument/2006/relationships/image" Target="media/image79.png"/><Relationship Id="rId142" Type="http://schemas.openxmlformats.org/officeDocument/2006/relationships/hyperlink" Target="http://doi.pangaea.de/10.1594/PANGAEA.826368" TargetMode="External"/><Relationship Id="rId163" Type="http://schemas.openxmlformats.org/officeDocument/2006/relationships/image" Target="media/image93.png"/><Relationship Id="rId184" Type="http://schemas.openxmlformats.org/officeDocument/2006/relationships/image" Target="media/image109.png"/><Relationship Id="rId189" Type="http://schemas.openxmlformats.org/officeDocument/2006/relationships/image" Target="media/image114.png"/><Relationship Id="rId3" Type="http://schemas.openxmlformats.org/officeDocument/2006/relationships/customXml" Target="../customXml/item3.xml"/><Relationship Id="rId214" Type="http://schemas.openxmlformats.org/officeDocument/2006/relationships/image" Target="media/image139.png"/><Relationship Id="rId25" Type="http://schemas.openxmlformats.org/officeDocument/2006/relationships/footer" Target="footer4.xml"/><Relationship Id="rId46" Type="http://schemas.openxmlformats.org/officeDocument/2006/relationships/header" Target="header15.xml"/><Relationship Id="rId67" Type="http://schemas.openxmlformats.org/officeDocument/2006/relationships/image" Target="media/image25.png"/><Relationship Id="rId116" Type="http://schemas.openxmlformats.org/officeDocument/2006/relationships/image" Target="media/image74.png"/><Relationship Id="rId137" Type="http://schemas.openxmlformats.org/officeDocument/2006/relationships/hyperlink" Target="http://www.reefplan.qld.gov.au/measuring-success/methods/scoring-system.aspx" TargetMode="External"/><Relationship Id="rId158" Type="http://schemas.openxmlformats.org/officeDocument/2006/relationships/hyperlink" Target="https://www.mathworks.com/products/compiler/matlab-runtime.html" TargetMode="External"/><Relationship Id="rId20" Type="http://schemas.openxmlformats.org/officeDocument/2006/relationships/hyperlink" Target="http://creativecommons.org/licences/by/3.0/au" TargetMode="External"/><Relationship Id="rId41" Type="http://schemas.openxmlformats.org/officeDocument/2006/relationships/image" Target="media/image6.png"/><Relationship Id="rId62" Type="http://schemas.openxmlformats.org/officeDocument/2006/relationships/image" Target="media/image20.png"/><Relationship Id="rId83" Type="http://schemas.openxmlformats.org/officeDocument/2006/relationships/image" Target="media/image41.png"/><Relationship Id="rId88" Type="http://schemas.openxmlformats.org/officeDocument/2006/relationships/image" Target="media/image46.png"/><Relationship Id="rId111" Type="http://schemas.openxmlformats.org/officeDocument/2006/relationships/image" Target="media/image69.png"/><Relationship Id="rId132" Type="http://schemas.openxmlformats.org/officeDocument/2006/relationships/hyperlink" Target="https://doi.org/10.1016/j.marenvres.2018.02.006" TargetMode="External"/><Relationship Id="rId153" Type="http://schemas.openxmlformats.org/officeDocument/2006/relationships/header" Target="header19.xml"/><Relationship Id="rId174" Type="http://schemas.openxmlformats.org/officeDocument/2006/relationships/header" Target="header22.xml"/><Relationship Id="rId179" Type="http://schemas.openxmlformats.org/officeDocument/2006/relationships/image" Target="media/image104.png"/><Relationship Id="rId195" Type="http://schemas.openxmlformats.org/officeDocument/2006/relationships/image" Target="media/image120.emf"/><Relationship Id="rId209" Type="http://schemas.openxmlformats.org/officeDocument/2006/relationships/image" Target="media/image134.png"/><Relationship Id="rId190" Type="http://schemas.openxmlformats.org/officeDocument/2006/relationships/image" Target="media/image115.png"/><Relationship Id="rId204" Type="http://schemas.openxmlformats.org/officeDocument/2006/relationships/image" Target="media/image129.png"/><Relationship Id="rId15" Type="http://schemas.openxmlformats.org/officeDocument/2006/relationships/footer" Target="footer2.xml"/><Relationship Id="rId36" Type="http://schemas.openxmlformats.org/officeDocument/2006/relationships/header" Target="header12.xml"/><Relationship Id="rId57" Type="http://schemas.openxmlformats.org/officeDocument/2006/relationships/image" Target="media/image15.png"/><Relationship Id="rId106" Type="http://schemas.openxmlformats.org/officeDocument/2006/relationships/image" Target="media/image64.png"/><Relationship Id="rId127" Type="http://schemas.openxmlformats.org/officeDocument/2006/relationships/image" Target="media/image85.png"/><Relationship Id="rId10" Type="http://schemas.openxmlformats.org/officeDocument/2006/relationships/footnotes" Target="footnotes.xml"/><Relationship Id="rId31" Type="http://schemas.openxmlformats.org/officeDocument/2006/relationships/header" Target="header9.xml"/><Relationship Id="rId52" Type="http://schemas.openxmlformats.org/officeDocument/2006/relationships/image" Target="media/image10.jpg"/><Relationship Id="rId73" Type="http://schemas.openxmlformats.org/officeDocument/2006/relationships/image" Target="media/image31.png"/><Relationship Id="rId78" Type="http://schemas.openxmlformats.org/officeDocument/2006/relationships/image" Target="media/image36.png"/><Relationship Id="rId94" Type="http://schemas.openxmlformats.org/officeDocument/2006/relationships/image" Target="media/image52.png"/><Relationship Id="rId99" Type="http://schemas.openxmlformats.org/officeDocument/2006/relationships/image" Target="media/image57.png"/><Relationship Id="rId101" Type="http://schemas.openxmlformats.org/officeDocument/2006/relationships/image" Target="media/image59.png"/><Relationship Id="rId122" Type="http://schemas.openxmlformats.org/officeDocument/2006/relationships/image" Target="media/image80.png"/><Relationship Id="rId143" Type="http://schemas.openxmlformats.org/officeDocument/2006/relationships/hyperlink" Target="http://dx.doi.org/10.1016/j.marpolbul.2014.07.019" TargetMode="External"/><Relationship Id="rId148" Type="http://schemas.openxmlformats.org/officeDocument/2006/relationships/hyperlink" Target="http://www.R-project.org/" TargetMode="External"/><Relationship Id="rId164" Type="http://schemas.openxmlformats.org/officeDocument/2006/relationships/image" Target="media/image94.png"/><Relationship Id="rId169" Type="http://schemas.openxmlformats.org/officeDocument/2006/relationships/image" Target="media/image99.png"/><Relationship Id="rId185" Type="http://schemas.openxmlformats.org/officeDocument/2006/relationships/image" Target="media/image110.png"/><Relationship Id="rId4" Type="http://schemas.openxmlformats.org/officeDocument/2006/relationships/customXml" Target="../customXml/item4.xml"/><Relationship Id="rId9" Type="http://schemas.openxmlformats.org/officeDocument/2006/relationships/webSettings" Target="webSettings.xml"/><Relationship Id="rId180" Type="http://schemas.openxmlformats.org/officeDocument/2006/relationships/image" Target="media/image105.png"/><Relationship Id="rId210" Type="http://schemas.openxmlformats.org/officeDocument/2006/relationships/image" Target="media/image135.png"/><Relationship Id="rId215" Type="http://schemas.openxmlformats.org/officeDocument/2006/relationships/header" Target="header25.xml"/><Relationship Id="rId26" Type="http://schemas.openxmlformats.org/officeDocument/2006/relationships/header" Target="header6.xml"/><Relationship Id="rId47" Type="http://schemas.openxmlformats.org/officeDocument/2006/relationships/header" Target="header16.xml"/><Relationship Id="rId68" Type="http://schemas.openxmlformats.org/officeDocument/2006/relationships/image" Target="media/image26.png"/><Relationship Id="rId89" Type="http://schemas.openxmlformats.org/officeDocument/2006/relationships/image" Target="media/image47.png"/><Relationship Id="rId112" Type="http://schemas.openxmlformats.org/officeDocument/2006/relationships/image" Target="media/image70.png"/><Relationship Id="rId133" Type="http://schemas.openxmlformats.org/officeDocument/2006/relationships/hyperlink" Target="http://dx.doi.org/10.1016/j.ecolind.2016.02.050" TargetMode="External"/><Relationship Id="rId154" Type="http://schemas.openxmlformats.org/officeDocument/2006/relationships/header" Target="header20.xml"/><Relationship Id="rId175" Type="http://schemas.openxmlformats.org/officeDocument/2006/relationships/header" Target="header23.xml"/><Relationship Id="rId196" Type="http://schemas.openxmlformats.org/officeDocument/2006/relationships/image" Target="media/image121.emf"/><Relationship Id="rId200" Type="http://schemas.openxmlformats.org/officeDocument/2006/relationships/image" Target="media/image125.png"/><Relationship Id="rId16" Type="http://schemas.openxmlformats.org/officeDocument/2006/relationships/header" Target="header3.xml"/><Relationship Id="rId37" Type="http://schemas.openxmlformats.org/officeDocument/2006/relationships/footer" Target="footer8.xml"/><Relationship Id="rId58" Type="http://schemas.openxmlformats.org/officeDocument/2006/relationships/image" Target="media/image16.png"/><Relationship Id="rId79" Type="http://schemas.openxmlformats.org/officeDocument/2006/relationships/image" Target="media/image37.png"/><Relationship Id="rId102" Type="http://schemas.openxmlformats.org/officeDocument/2006/relationships/image" Target="media/image60.png"/><Relationship Id="rId123" Type="http://schemas.openxmlformats.org/officeDocument/2006/relationships/image" Target="media/image81.png"/><Relationship Id="rId144" Type="http://schemas.openxmlformats.org/officeDocument/2006/relationships/hyperlink" Target="http://www.environment.gov.au/water/publications/environmental/rivers/nrhp/bioassess.html" TargetMode="External"/><Relationship Id="rId90" Type="http://schemas.openxmlformats.org/officeDocument/2006/relationships/image" Target="media/image48.png"/><Relationship Id="rId165" Type="http://schemas.openxmlformats.org/officeDocument/2006/relationships/image" Target="media/image95.png"/><Relationship Id="rId186" Type="http://schemas.openxmlformats.org/officeDocument/2006/relationships/image" Target="media/image111.png"/><Relationship Id="rId211" Type="http://schemas.openxmlformats.org/officeDocument/2006/relationships/image" Target="media/image136.png"/><Relationship Id="rId27" Type="http://schemas.openxmlformats.org/officeDocument/2006/relationships/header" Target="header7.xml"/><Relationship Id="rId48" Type="http://schemas.openxmlformats.org/officeDocument/2006/relationships/header" Target="header17.xml"/><Relationship Id="rId69" Type="http://schemas.openxmlformats.org/officeDocument/2006/relationships/image" Target="media/image27.png"/><Relationship Id="rId113" Type="http://schemas.openxmlformats.org/officeDocument/2006/relationships/image" Target="media/image71.png"/><Relationship Id="rId134" Type="http://schemas.openxmlformats.org/officeDocument/2006/relationships/hyperlink" Target="http://dx.doi.org/10.1016/j.jembe.2008.12.003" TargetMode="External"/><Relationship Id="rId80" Type="http://schemas.openxmlformats.org/officeDocument/2006/relationships/image" Target="media/image38.png"/><Relationship Id="rId155" Type="http://schemas.openxmlformats.org/officeDocument/2006/relationships/header" Target="header21.xml"/><Relationship Id="rId176" Type="http://schemas.openxmlformats.org/officeDocument/2006/relationships/footer" Target="footer11.xml"/><Relationship Id="rId197" Type="http://schemas.openxmlformats.org/officeDocument/2006/relationships/image" Target="media/image122.emf"/><Relationship Id="rId201" Type="http://schemas.openxmlformats.org/officeDocument/2006/relationships/image" Target="media/image126.png"/><Relationship Id="rId222" Type="http://schemas.microsoft.com/office/2016/09/relationships/commentsIds" Target="commentsIds.xml"/><Relationship Id="rId17" Type="http://schemas.openxmlformats.org/officeDocument/2006/relationships/footer" Target="footer3.xml"/><Relationship Id="rId38" Type="http://schemas.openxmlformats.org/officeDocument/2006/relationships/image" Target="media/image4.png"/><Relationship Id="rId59" Type="http://schemas.openxmlformats.org/officeDocument/2006/relationships/image" Target="media/image17.png"/><Relationship Id="rId103" Type="http://schemas.openxmlformats.org/officeDocument/2006/relationships/image" Target="media/image61.png"/><Relationship Id="rId124" Type="http://schemas.openxmlformats.org/officeDocument/2006/relationships/image" Target="media/image82.png"/><Relationship Id="rId70" Type="http://schemas.openxmlformats.org/officeDocument/2006/relationships/image" Target="media/image28.png"/><Relationship Id="rId91" Type="http://schemas.openxmlformats.org/officeDocument/2006/relationships/image" Target="media/image49.png"/><Relationship Id="rId145" Type="http://schemas.openxmlformats.org/officeDocument/2006/relationships/hyperlink" Target="http://dx.doi.org/10.1016/j.ecolind.2016.11.035" TargetMode="External"/><Relationship Id="rId166" Type="http://schemas.openxmlformats.org/officeDocument/2006/relationships/image" Target="media/image96.png"/><Relationship Id="rId187" Type="http://schemas.openxmlformats.org/officeDocument/2006/relationships/image" Target="media/image112.png"/><Relationship Id="rId1" Type="http://schemas.openxmlformats.org/officeDocument/2006/relationships/customXml" Target="../customXml/item1.xml"/><Relationship Id="rId212" Type="http://schemas.openxmlformats.org/officeDocument/2006/relationships/image" Target="media/image137.png"/><Relationship Id="rId28" Type="http://schemas.openxmlformats.org/officeDocument/2006/relationships/header" Target="header8.xml"/><Relationship Id="rId49" Type="http://schemas.openxmlformats.org/officeDocument/2006/relationships/header" Target="header18.xml"/><Relationship Id="rId114" Type="http://schemas.openxmlformats.org/officeDocument/2006/relationships/image" Target="media/image72.png"/><Relationship Id="rId60" Type="http://schemas.openxmlformats.org/officeDocument/2006/relationships/image" Target="media/image18.png"/><Relationship Id="rId81" Type="http://schemas.openxmlformats.org/officeDocument/2006/relationships/image" Target="media/image39.png"/><Relationship Id="rId135" Type="http://schemas.openxmlformats.org/officeDocument/2006/relationships/hyperlink" Target="http://dx.doi.org/10.1016/j.marpolbul.2014.03.050" TargetMode="External"/><Relationship Id="rId156" Type="http://schemas.openxmlformats.org/officeDocument/2006/relationships/footer" Target="footer10.xml"/><Relationship Id="rId177" Type="http://schemas.openxmlformats.org/officeDocument/2006/relationships/header" Target="header24.xml"/><Relationship Id="rId198" Type="http://schemas.openxmlformats.org/officeDocument/2006/relationships/image" Target="media/image123.emf"/><Relationship Id="rId202" Type="http://schemas.openxmlformats.org/officeDocument/2006/relationships/image" Target="media/image127.png"/><Relationship Id="rId18" Type="http://schemas.openxmlformats.org/officeDocument/2006/relationships/image" Target="media/image1.jpeg"/><Relationship Id="rId39" Type="http://schemas.openxmlformats.org/officeDocument/2006/relationships/hyperlink" Target="http://bit.ly/2mbB8bE" TargetMode="External"/><Relationship Id="rId50" Type="http://schemas.openxmlformats.org/officeDocument/2006/relationships/image" Target="media/image8.wmf"/><Relationship Id="rId104" Type="http://schemas.openxmlformats.org/officeDocument/2006/relationships/image" Target="media/image62.png"/><Relationship Id="rId125" Type="http://schemas.openxmlformats.org/officeDocument/2006/relationships/image" Target="media/image83.png"/><Relationship Id="rId146" Type="http://schemas.openxmlformats.org/officeDocument/2006/relationships/hyperlink" Target="http://dx.doi.org/10.1016/j.marpolbul.2004.03.020" TargetMode="External"/><Relationship Id="rId167" Type="http://schemas.openxmlformats.org/officeDocument/2006/relationships/image" Target="media/image97.wmf"/><Relationship Id="rId188" Type="http://schemas.openxmlformats.org/officeDocument/2006/relationships/image" Target="media/image113.png"/><Relationship Id="rId71" Type="http://schemas.openxmlformats.org/officeDocument/2006/relationships/image" Target="media/image29.png"/><Relationship Id="rId92" Type="http://schemas.openxmlformats.org/officeDocument/2006/relationships/image" Target="media/image50.png"/><Relationship Id="rId213" Type="http://schemas.openxmlformats.org/officeDocument/2006/relationships/image" Target="media/image138.png"/><Relationship Id="rId2" Type="http://schemas.openxmlformats.org/officeDocument/2006/relationships/customXml" Target="../customXml/item2.xml"/><Relationship Id="rId29" Type="http://schemas.openxmlformats.org/officeDocument/2006/relationships/footer" Target="footer5.xml"/><Relationship Id="rId40" Type="http://schemas.openxmlformats.org/officeDocument/2006/relationships/image" Target="media/image5.png"/><Relationship Id="rId115" Type="http://schemas.openxmlformats.org/officeDocument/2006/relationships/image" Target="media/image73.png"/><Relationship Id="rId136" Type="http://schemas.openxmlformats.org/officeDocument/2006/relationships/hyperlink" Target="http://dx.doi.org/10.1016/j.marpolbul.2013.06.001" TargetMode="External"/><Relationship Id="rId157" Type="http://schemas.openxmlformats.org/officeDocument/2006/relationships/image" Target="media/image90.png"/><Relationship Id="rId178" Type="http://schemas.openxmlformats.org/officeDocument/2006/relationships/image" Target="media/image103.png"/><Relationship Id="rId61" Type="http://schemas.openxmlformats.org/officeDocument/2006/relationships/image" Target="media/image19.png"/><Relationship Id="rId82" Type="http://schemas.openxmlformats.org/officeDocument/2006/relationships/image" Target="media/image40.png"/><Relationship Id="rId199" Type="http://schemas.openxmlformats.org/officeDocument/2006/relationships/image" Target="media/image124.png"/><Relationship Id="rId203" Type="http://schemas.openxmlformats.org/officeDocument/2006/relationships/image" Target="media/image128.png"/><Relationship Id="rId19" Type="http://schemas.openxmlformats.org/officeDocument/2006/relationships/hyperlink" Target="http://creativecommons.org/licences/by/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PROJ-1577287649-484</_dlc_DocId>
    <_dlc_DocIdUrl xmlns="8ccc4631-9afc-4718-b120-5e2e37a03cc7">
      <Url>http://thedock.gbrmpa.gov.au/sites/Projects/P000056/_layouts/DocIdRedir.aspx?ID=PROJ-1577287649-484</Url>
      <Description>PROJ-1577287649-484</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1" ma:contentTypeDescription="" ma:contentTypeScope="" ma:versionID="f41771c3f254d78a79e3b18b63e0aad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b371de03ca1b4b5272b2bcf92d22e30"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801CC7-A6FF-4016-A0A8-6B552A181B05}"/>
</file>

<file path=customXml/itemProps2.xml><?xml version="1.0" encoding="utf-8"?>
<ds:datastoreItem xmlns:ds="http://schemas.openxmlformats.org/officeDocument/2006/customXml" ds:itemID="{BFDBAFE9-09F6-4D4A-A66F-B2E39A23850A}"/>
</file>

<file path=customXml/itemProps3.xml><?xml version="1.0" encoding="utf-8"?>
<ds:datastoreItem xmlns:ds="http://schemas.openxmlformats.org/officeDocument/2006/customXml" ds:itemID="{2BECE341-2256-4A32-941B-6780EAA997EE}"/>
</file>

<file path=customXml/itemProps4.xml><?xml version="1.0" encoding="utf-8"?>
<ds:datastoreItem xmlns:ds="http://schemas.openxmlformats.org/officeDocument/2006/customXml" ds:itemID="{593501EB-2322-463C-96BB-AC655AD01B44}"/>
</file>

<file path=customXml/itemProps5.xml><?xml version="1.0" encoding="utf-8"?>
<ds:datastoreItem xmlns:ds="http://schemas.openxmlformats.org/officeDocument/2006/customXml" ds:itemID="{002A3ABD-AF0A-4B84-8BE6-32CB75F33659}"/>
</file>

<file path=docProps/app.xml><?xml version="1.0" encoding="utf-8"?>
<Properties xmlns="http://schemas.openxmlformats.org/officeDocument/2006/extended-properties" xmlns:vt="http://schemas.openxmlformats.org/officeDocument/2006/docPropsVTypes">
  <Template>Normal</Template>
  <TotalTime>0</TotalTime>
  <Pages>204</Pages>
  <Words>54935</Words>
  <Characters>533862</Characters>
  <Application>Microsoft Office Word</Application>
  <DocSecurity>0</DocSecurity>
  <Lines>4448</Lines>
  <Paragraphs>1175</Paragraphs>
  <ScaleCrop>false</ScaleCrop>
  <HeadingPairs>
    <vt:vector size="2" baseType="variant">
      <vt:variant>
        <vt:lpstr>Title</vt:lpstr>
      </vt:variant>
      <vt:variant>
        <vt:i4>1</vt:i4>
      </vt:variant>
    </vt:vector>
  </HeadingPairs>
  <TitlesOfParts>
    <vt:vector size="1" baseType="lpstr">
      <vt:lpstr>Marine Monitoring Program Inshore Seagrass Report 2017-2018</vt:lpstr>
    </vt:vector>
  </TitlesOfParts>
  <Manager/>
  <Company/>
  <LinksUpToDate>false</LinksUpToDate>
  <CharactersWithSpaces>587622</CharactersWithSpaces>
  <SharedDoc>false</SharedDoc>
  <HLinks>
    <vt:vector size="4842" baseType="variant">
      <vt:variant>
        <vt:i4>4653067</vt:i4>
      </vt:variant>
      <vt:variant>
        <vt:i4>6818</vt:i4>
      </vt:variant>
      <vt:variant>
        <vt:i4>0</vt:i4>
      </vt:variant>
      <vt:variant>
        <vt:i4>5</vt:i4>
      </vt:variant>
      <vt:variant>
        <vt:lpwstr/>
      </vt:variant>
      <vt:variant>
        <vt:lpwstr>_ENREF_64</vt:lpwstr>
      </vt:variant>
      <vt:variant>
        <vt:i4>4653067</vt:i4>
      </vt:variant>
      <vt:variant>
        <vt:i4>6809</vt:i4>
      </vt:variant>
      <vt:variant>
        <vt:i4>0</vt:i4>
      </vt:variant>
      <vt:variant>
        <vt:i4>5</vt:i4>
      </vt:variant>
      <vt:variant>
        <vt:lpwstr/>
      </vt:variant>
      <vt:variant>
        <vt:lpwstr>_ENREF_64</vt:lpwstr>
      </vt:variant>
      <vt:variant>
        <vt:i4>4653067</vt:i4>
      </vt:variant>
      <vt:variant>
        <vt:i4>6797</vt:i4>
      </vt:variant>
      <vt:variant>
        <vt:i4>0</vt:i4>
      </vt:variant>
      <vt:variant>
        <vt:i4>5</vt:i4>
      </vt:variant>
      <vt:variant>
        <vt:lpwstr/>
      </vt:variant>
      <vt:variant>
        <vt:lpwstr>_ENREF_64</vt:lpwstr>
      </vt:variant>
      <vt:variant>
        <vt:i4>4653067</vt:i4>
      </vt:variant>
      <vt:variant>
        <vt:i4>6788</vt:i4>
      </vt:variant>
      <vt:variant>
        <vt:i4>0</vt:i4>
      </vt:variant>
      <vt:variant>
        <vt:i4>5</vt:i4>
      </vt:variant>
      <vt:variant>
        <vt:lpwstr/>
      </vt:variant>
      <vt:variant>
        <vt:lpwstr>_ENREF_64</vt:lpwstr>
      </vt:variant>
      <vt:variant>
        <vt:i4>4653067</vt:i4>
      </vt:variant>
      <vt:variant>
        <vt:i4>6776</vt:i4>
      </vt:variant>
      <vt:variant>
        <vt:i4>0</vt:i4>
      </vt:variant>
      <vt:variant>
        <vt:i4>5</vt:i4>
      </vt:variant>
      <vt:variant>
        <vt:lpwstr/>
      </vt:variant>
      <vt:variant>
        <vt:lpwstr>_ENREF_64</vt:lpwstr>
      </vt:variant>
      <vt:variant>
        <vt:i4>4653067</vt:i4>
      </vt:variant>
      <vt:variant>
        <vt:i4>6767</vt:i4>
      </vt:variant>
      <vt:variant>
        <vt:i4>0</vt:i4>
      </vt:variant>
      <vt:variant>
        <vt:i4>5</vt:i4>
      </vt:variant>
      <vt:variant>
        <vt:lpwstr/>
      </vt:variant>
      <vt:variant>
        <vt:lpwstr>_ENREF_64</vt:lpwstr>
      </vt:variant>
      <vt:variant>
        <vt:i4>4653067</vt:i4>
      </vt:variant>
      <vt:variant>
        <vt:i4>6758</vt:i4>
      </vt:variant>
      <vt:variant>
        <vt:i4>0</vt:i4>
      </vt:variant>
      <vt:variant>
        <vt:i4>5</vt:i4>
      </vt:variant>
      <vt:variant>
        <vt:lpwstr/>
      </vt:variant>
      <vt:variant>
        <vt:lpwstr>_ENREF_64</vt:lpwstr>
      </vt:variant>
      <vt:variant>
        <vt:i4>4653067</vt:i4>
      </vt:variant>
      <vt:variant>
        <vt:i4>6749</vt:i4>
      </vt:variant>
      <vt:variant>
        <vt:i4>0</vt:i4>
      </vt:variant>
      <vt:variant>
        <vt:i4>5</vt:i4>
      </vt:variant>
      <vt:variant>
        <vt:lpwstr/>
      </vt:variant>
      <vt:variant>
        <vt:lpwstr>_ENREF_64</vt:lpwstr>
      </vt:variant>
      <vt:variant>
        <vt:i4>4653067</vt:i4>
      </vt:variant>
      <vt:variant>
        <vt:i4>6740</vt:i4>
      </vt:variant>
      <vt:variant>
        <vt:i4>0</vt:i4>
      </vt:variant>
      <vt:variant>
        <vt:i4>5</vt:i4>
      </vt:variant>
      <vt:variant>
        <vt:lpwstr/>
      </vt:variant>
      <vt:variant>
        <vt:lpwstr>_ENREF_64</vt:lpwstr>
      </vt:variant>
      <vt:variant>
        <vt:i4>7340088</vt:i4>
      </vt:variant>
      <vt:variant>
        <vt:i4>6602</vt:i4>
      </vt:variant>
      <vt:variant>
        <vt:i4>0</vt:i4>
      </vt:variant>
      <vt:variant>
        <vt:i4>5</vt:i4>
      </vt:variant>
      <vt:variant>
        <vt:lpwstr/>
      </vt:variant>
      <vt:variant>
        <vt:lpwstr>_ENREF_130</vt:lpwstr>
      </vt:variant>
      <vt:variant>
        <vt:i4>7667771</vt:i4>
      </vt:variant>
      <vt:variant>
        <vt:i4>6569</vt:i4>
      </vt:variant>
      <vt:variant>
        <vt:i4>0</vt:i4>
      </vt:variant>
      <vt:variant>
        <vt:i4>5</vt:i4>
      </vt:variant>
      <vt:variant>
        <vt:lpwstr/>
      </vt:variant>
      <vt:variant>
        <vt:lpwstr>_ENREF_105</vt:lpwstr>
      </vt:variant>
      <vt:variant>
        <vt:i4>7340090</vt:i4>
      </vt:variant>
      <vt:variant>
        <vt:i4>6565</vt:i4>
      </vt:variant>
      <vt:variant>
        <vt:i4>0</vt:i4>
      </vt:variant>
      <vt:variant>
        <vt:i4>5</vt:i4>
      </vt:variant>
      <vt:variant>
        <vt:lpwstr/>
      </vt:variant>
      <vt:variant>
        <vt:lpwstr>_ENREF_110</vt:lpwstr>
      </vt:variant>
      <vt:variant>
        <vt:i4>4718603</vt:i4>
      </vt:variant>
      <vt:variant>
        <vt:i4>6562</vt:i4>
      </vt:variant>
      <vt:variant>
        <vt:i4>0</vt:i4>
      </vt:variant>
      <vt:variant>
        <vt:i4>5</vt:i4>
      </vt:variant>
      <vt:variant>
        <vt:lpwstr/>
      </vt:variant>
      <vt:variant>
        <vt:lpwstr>_ENREF_93</vt:lpwstr>
      </vt:variant>
      <vt:variant>
        <vt:i4>4194315</vt:i4>
      </vt:variant>
      <vt:variant>
        <vt:i4>6559</vt:i4>
      </vt:variant>
      <vt:variant>
        <vt:i4>0</vt:i4>
      </vt:variant>
      <vt:variant>
        <vt:i4>5</vt:i4>
      </vt:variant>
      <vt:variant>
        <vt:lpwstr/>
      </vt:variant>
      <vt:variant>
        <vt:lpwstr>_ENREF_10</vt:lpwstr>
      </vt:variant>
      <vt:variant>
        <vt:i4>7929914</vt:i4>
      </vt:variant>
      <vt:variant>
        <vt:i4>6551</vt:i4>
      </vt:variant>
      <vt:variant>
        <vt:i4>0</vt:i4>
      </vt:variant>
      <vt:variant>
        <vt:i4>5</vt:i4>
      </vt:variant>
      <vt:variant>
        <vt:lpwstr/>
      </vt:variant>
      <vt:variant>
        <vt:lpwstr>_ENREF_119</vt:lpwstr>
      </vt:variant>
      <vt:variant>
        <vt:i4>4325387</vt:i4>
      </vt:variant>
      <vt:variant>
        <vt:i4>6548</vt:i4>
      </vt:variant>
      <vt:variant>
        <vt:i4>0</vt:i4>
      </vt:variant>
      <vt:variant>
        <vt:i4>5</vt:i4>
      </vt:variant>
      <vt:variant>
        <vt:lpwstr/>
      </vt:variant>
      <vt:variant>
        <vt:lpwstr>_ENREF_3</vt:lpwstr>
      </vt:variant>
      <vt:variant>
        <vt:i4>7667770</vt:i4>
      </vt:variant>
      <vt:variant>
        <vt:i4>6460</vt:i4>
      </vt:variant>
      <vt:variant>
        <vt:i4>0</vt:i4>
      </vt:variant>
      <vt:variant>
        <vt:i4>5</vt:i4>
      </vt:variant>
      <vt:variant>
        <vt:lpwstr/>
      </vt:variant>
      <vt:variant>
        <vt:lpwstr>_ENREF_115</vt:lpwstr>
      </vt:variant>
      <vt:variant>
        <vt:i4>7602232</vt:i4>
      </vt:variant>
      <vt:variant>
        <vt:i4>6454</vt:i4>
      </vt:variant>
      <vt:variant>
        <vt:i4>0</vt:i4>
      </vt:variant>
      <vt:variant>
        <vt:i4>5</vt:i4>
      </vt:variant>
      <vt:variant>
        <vt:lpwstr/>
      </vt:variant>
      <vt:variant>
        <vt:lpwstr>_ENREF_237</vt:lpwstr>
      </vt:variant>
      <vt:variant>
        <vt:i4>4587531</vt:i4>
      </vt:variant>
      <vt:variant>
        <vt:i4>6448</vt:i4>
      </vt:variant>
      <vt:variant>
        <vt:i4>0</vt:i4>
      </vt:variant>
      <vt:variant>
        <vt:i4>5</vt:i4>
      </vt:variant>
      <vt:variant>
        <vt:lpwstr/>
      </vt:variant>
      <vt:variant>
        <vt:lpwstr>_ENREF_74</vt:lpwstr>
      </vt:variant>
      <vt:variant>
        <vt:i4>4784139</vt:i4>
      </vt:variant>
      <vt:variant>
        <vt:i4>6442</vt:i4>
      </vt:variant>
      <vt:variant>
        <vt:i4>0</vt:i4>
      </vt:variant>
      <vt:variant>
        <vt:i4>5</vt:i4>
      </vt:variant>
      <vt:variant>
        <vt:lpwstr/>
      </vt:variant>
      <vt:variant>
        <vt:lpwstr>_ENREF_85</vt:lpwstr>
      </vt:variant>
      <vt:variant>
        <vt:i4>4521995</vt:i4>
      </vt:variant>
      <vt:variant>
        <vt:i4>6436</vt:i4>
      </vt:variant>
      <vt:variant>
        <vt:i4>0</vt:i4>
      </vt:variant>
      <vt:variant>
        <vt:i4>5</vt:i4>
      </vt:variant>
      <vt:variant>
        <vt:lpwstr/>
      </vt:variant>
      <vt:variant>
        <vt:lpwstr>_ENREF_42</vt:lpwstr>
      </vt:variant>
      <vt:variant>
        <vt:i4>7536696</vt:i4>
      </vt:variant>
      <vt:variant>
        <vt:i4>6430</vt:i4>
      </vt:variant>
      <vt:variant>
        <vt:i4>0</vt:i4>
      </vt:variant>
      <vt:variant>
        <vt:i4>5</vt:i4>
      </vt:variant>
      <vt:variant>
        <vt:lpwstr/>
      </vt:variant>
      <vt:variant>
        <vt:lpwstr>_ENREF_230</vt:lpwstr>
      </vt:variant>
      <vt:variant>
        <vt:i4>7340090</vt:i4>
      </vt:variant>
      <vt:variant>
        <vt:i4>6424</vt:i4>
      </vt:variant>
      <vt:variant>
        <vt:i4>0</vt:i4>
      </vt:variant>
      <vt:variant>
        <vt:i4>5</vt:i4>
      </vt:variant>
      <vt:variant>
        <vt:lpwstr/>
      </vt:variant>
      <vt:variant>
        <vt:lpwstr>_ENREF_213</vt:lpwstr>
      </vt:variant>
      <vt:variant>
        <vt:i4>4587531</vt:i4>
      </vt:variant>
      <vt:variant>
        <vt:i4>6418</vt:i4>
      </vt:variant>
      <vt:variant>
        <vt:i4>0</vt:i4>
      </vt:variant>
      <vt:variant>
        <vt:i4>5</vt:i4>
      </vt:variant>
      <vt:variant>
        <vt:lpwstr/>
      </vt:variant>
      <vt:variant>
        <vt:lpwstr>_ENREF_70</vt:lpwstr>
      </vt:variant>
      <vt:variant>
        <vt:i4>7995448</vt:i4>
      </vt:variant>
      <vt:variant>
        <vt:i4>6412</vt:i4>
      </vt:variant>
      <vt:variant>
        <vt:i4>0</vt:i4>
      </vt:variant>
      <vt:variant>
        <vt:i4>5</vt:i4>
      </vt:variant>
      <vt:variant>
        <vt:lpwstr/>
      </vt:variant>
      <vt:variant>
        <vt:lpwstr>_ENREF_239</vt:lpwstr>
      </vt:variant>
      <vt:variant>
        <vt:i4>7340095</vt:i4>
      </vt:variant>
      <vt:variant>
        <vt:i4>6406</vt:i4>
      </vt:variant>
      <vt:variant>
        <vt:i4>0</vt:i4>
      </vt:variant>
      <vt:variant>
        <vt:i4>5</vt:i4>
      </vt:variant>
      <vt:variant>
        <vt:lpwstr/>
      </vt:variant>
      <vt:variant>
        <vt:lpwstr>_ENREF_243</vt:lpwstr>
      </vt:variant>
      <vt:variant>
        <vt:i4>4194315</vt:i4>
      </vt:variant>
      <vt:variant>
        <vt:i4>6400</vt:i4>
      </vt:variant>
      <vt:variant>
        <vt:i4>0</vt:i4>
      </vt:variant>
      <vt:variant>
        <vt:i4>5</vt:i4>
      </vt:variant>
      <vt:variant>
        <vt:lpwstr/>
      </vt:variant>
      <vt:variant>
        <vt:lpwstr>_ENREF_1</vt:lpwstr>
      </vt:variant>
      <vt:variant>
        <vt:i4>4325387</vt:i4>
      </vt:variant>
      <vt:variant>
        <vt:i4>6394</vt:i4>
      </vt:variant>
      <vt:variant>
        <vt:i4>0</vt:i4>
      </vt:variant>
      <vt:variant>
        <vt:i4>5</vt:i4>
      </vt:variant>
      <vt:variant>
        <vt:lpwstr/>
      </vt:variant>
      <vt:variant>
        <vt:lpwstr>_ENREF_39</vt:lpwstr>
      </vt:variant>
      <vt:variant>
        <vt:i4>7995449</vt:i4>
      </vt:variant>
      <vt:variant>
        <vt:i4>6388</vt:i4>
      </vt:variant>
      <vt:variant>
        <vt:i4>0</vt:i4>
      </vt:variant>
      <vt:variant>
        <vt:i4>5</vt:i4>
      </vt:variant>
      <vt:variant>
        <vt:lpwstr/>
      </vt:variant>
      <vt:variant>
        <vt:lpwstr>_ENREF_229</vt:lpwstr>
      </vt:variant>
      <vt:variant>
        <vt:i4>7733306</vt:i4>
      </vt:variant>
      <vt:variant>
        <vt:i4>6382</vt:i4>
      </vt:variant>
      <vt:variant>
        <vt:i4>0</vt:i4>
      </vt:variant>
      <vt:variant>
        <vt:i4>5</vt:i4>
      </vt:variant>
      <vt:variant>
        <vt:lpwstr/>
      </vt:variant>
      <vt:variant>
        <vt:lpwstr>_ENREF_116</vt:lpwstr>
      </vt:variant>
      <vt:variant>
        <vt:i4>7405625</vt:i4>
      </vt:variant>
      <vt:variant>
        <vt:i4>6376</vt:i4>
      </vt:variant>
      <vt:variant>
        <vt:i4>0</vt:i4>
      </vt:variant>
      <vt:variant>
        <vt:i4>5</vt:i4>
      </vt:variant>
      <vt:variant>
        <vt:lpwstr/>
      </vt:variant>
      <vt:variant>
        <vt:lpwstr>_ENREF_121</vt:lpwstr>
      </vt:variant>
      <vt:variant>
        <vt:i4>7340092</vt:i4>
      </vt:variant>
      <vt:variant>
        <vt:i4>6370</vt:i4>
      </vt:variant>
      <vt:variant>
        <vt:i4>0</vt:i4>
      </vt:variant>
      <vt:variant>
        <vt:i4>5</vt:i4>
      </vt:variant>
      <vt:variant>
        <vt:lpwstr/>
      </vt:variant>
      <vt:variant>
        <vt:lpwstr>_ENREF_170</vt:lpwstr>
      </vt:variant>
      <vt:variant>
        <vt:i4>7995451</vt:i4>
      </vt:variant>
      <vt:variant>
        <vt:i4>6364</vt:i4>
      </vt:variant>
      <vt:variant>
        <vt:i4>0</vt:i4>
      </vt:variant>
      <vt:variant>
        <vt:i4>5</vt:i4>
      </vt:variant>
      <vt:variant>
        <vt:lpwstr/>
      </vt:variant>
      <vt:variant>
        <vt:lpwstr>_ENREF_209</vt:lpwstr>
      </vt:variant>
      <vt:variant>
        <vt:i4>4194315</vt:i4>
      </vt:variant>
      <vt:variant>
        <vt:i4>6358</vt:i4>
      </vt:variant>
      <vt:variant>
        <vt:i4>0</vt:i4>
      </vt:variant>
      <vt:variant>
        <vt:i4>5</vt:i4>
      </vt:variant>
      <vt:variant>
        <vt:lpwstr/>
      </vt:variant>
      <vt:variant>
        <vt:lpwstr>_ENREF_18</vt:lpwstr>
      </vt:variant>
      <vt:variant>
        <vt:i4>7667775</vt:i4>
      </vt:variant>
      <vt:variant>
        <vt:i4>6352</vt:i4>
      </vt:variant>
      <vt:variant>
        <vt:i4>0</vt:i4>
      </vt:variant>
      <vt:variant>
        <vt:i4>5</vt:i4>
      </vt:variant>
      <vt:variant>
        <vt:lpwstr/>
      </vt:variant>
      <vt:variant>
        <vt:lpwstr>_ENREF_145</vt:lpwstr>
      </vt:variant>
      <vt:variant>
        <vt:i4>4587531</vt:i4>
      </vt:variant>
      <vt:variant>
        <vt:i4>6346</vt:i4>
      </vt:variant>
      <vt:variant>
        <vt:i4>0</vt:i4>
      </vt:variant>
      <vt:variant>
        <vt:i4>5</vt:i4>
      </vt:variant>
      <vt:variant>
        <vt:lpwstr/>
      </vt:variant>
      <vt:variant>
        <vt:lpwstr>_ENREF_7</vt:lpwstr>
      </vt:variant>
      <vt:variant>
        <vt:i4>8060987</vt:i4>
      </vt:variant>
      <vt:variant>
        <vt:i4>6340</vt:i4>
      </vt:variant>
      <vt:variant>
        <vt:i4>0</vt:i4>
      </vt:variant>
      <vt:variant>
        <vt:i4>5</vt:i4>
      </vt:variant>
      <vt:variant>
        <vt:lpwstr/>
      </vt:variant>
      <vt:variant>
        <vt:lpwstr>_ENREF_208</vt:lpwstr>
      </vt:variant>
      <vt:variant>
        <vt:i4>7405627</vt:i4>
      </vt:variant>
      <vt:variant>
        <vt:i4>6334</vt:i4>
      </vt:variant>
      <vt:variant>
        <vt:i4>0</vt:i4>
      </vt:variant>
      <vt:variant>
        <vt:i4>5</vt:i4>
      </vt:variant>
      <vt:variant>
        <vt:lpwstr/>
      </vt:variant>
      <vt:variant>
        <vt:lpwstr>_ENREF_202</vt:lpwstr>
      </vt:variant>
      <vt:variant>
        <vt:i4>7536696</vt:i4>
      </vt:variant>
      <vt:variant>
        <vt:i4>6328</vt:i4>
      </vt:variant>
      <vt:variant>
        <vt:i4>0</vt:i4>
      </vt:variant>
      <vt:variant>
        <vt:i4>5</vt:i4>
      </vt:variant>
      <vt:variant>
        <vt:lpwstr/>
      </vt:variant>
      <vt:variant>
        <vt:lpwstr>_ENREF_133</vt:lpwstr>
      </vt:variant>
      <vt:variant>
        <vt:i4>4718603</vt:i4>
      </vt:variant>
      <vt:variant>
        <vt:i4>6322</vt:i4>
      </vt:variant>
      <vt:variant>
        <vt:i4>0</vt:i4>
      </vt:variant>
      <vt:variant>
        <vt:i4>5</vt:i4>
      </vt:variant>
      <vt:variant>
        <vt:lpwstr/>
      </vt:variant>
      <vt:variant>
        <vt:lpwstr>_ENREF_96</vt:lpwstr>
      </vt:variant>
      <vt:variant>
        <vt:i4>4784139</vt:i4>
      </vt:variant>
      <vt:variant>
        <vt:i4>6316</vt:i4>
      </vt:variant>
      <vt:variant>
        <vt:i4>0</vt:i4>
      </vt:variant>
      <vt:variant>
        <vt:i4>5</vt:i4>
      </vt:variant>
      <vt:variant>
        <vt:lpwstr/>
      </vt:variant>
      <vt:variant>
        <vt:lpwstr>_ENREF_8</vt:lpwstr>
      </vt:variant>
      <vt:variant>
        <vt:i4>7405630</vt:i4>
      </vt:variant>
      <vt:variant>
        <vt:i4>6310</vt:i4>
      </vt:variant>
      <vt:variant>
        <vt:i4>0</vt:i4>
      </vt:variant>
      <vt:variant>
        <vt:i4>5</vt:i4>
      </vt:variant>
      <vt:variant>
        <vt:lpwstr/>
      </vt:variant>
      <vt:variant>
        <vt:lpwstr>_ENREF_252</vt:lpwstr>
      </vt:variant>
      <vt:variant>
        <vt:i4>7602232</vt:i4>
      </vt:variant>
      <vt:variant>
        <vt:i4>6304</vt:i4>
      </vt:variant>
      <vt:variant>
        <vt:i4>0</vt:i4>
      </vt:variant>
      <vt:variant>
        <vt:i4>5</vt:i4>
      </vt:variant>
      <vt:variant>
        <vt:lpwstr/>
      </vt:variant>
      <vt:variant>
        <vt:lpwstr>_ENREF_134</vt:lpwstr>
      </vt:variant>
      <vt:variant>
        <vt:i4>7798834</vt:i4>
      </vt:variant>
      <vt:variant>
        <vt:i4>6298</vt:i4>
      </vt:variant>
      <vt:variant>
        <vt:i4>0</vt:i4>
      </vt:variant>
      <vt:variant>
        <vt:i4>5</vt:i4>
      </vt:variant>
      <vt:variant>
        <vt:lpwstr/>
      </vt:variant>
      <vt:variant>
        <vt:lpwstr>_ENREF_197</vt:lpwstr>
      </vt:variant>
      <vt:variant>
        <vt:i4>4587531</vt:i4>
      </vt:variant>
      <vt:variant>
        <vt:i4>6292</vt:i4>
      </vt:variant>
      <vt:variant>
        <vt:i4>0</vt:i4>
      </vt:variant>
      <vt:variant>
        <vt:i4>5</vt:i4>
      </vt:variant>
      <vt:variant>
        <vt:lpwstr/>
      </vt:variant>
      <vt:variant>
        <vt:lpwstr>_ENREF_76</vt:lpwstr>
      </vt:variant>
      <vt:variant>
        <vt:i4>4521995</vt:i4>
      </vt:variant>
      <vt:variant>
        <vt:i4>6286</vt:i4>
      </vt:variant>
      <vt:variant>
        <vt:i4>0</vt:i4>
      </vt:variant>
      <vt:variant>
        <vt:i4>5</vt:i4>
      </vt:variant>
      <vt:variant>
        <vt:lpwstr/>
      </vt:variant>
      <vt:variant>
        <vt:lpwstr>_ENREF_48</vt:lpwstr>
      </vt:variant>
      <vt:variant>
        <vt:i4>8060984</vt:i4>
      </vt:variant>
      <vt:variant>
        <vt:i4>6280</vt:i4>
      </vt:variant>
      <vt:variant>
        <vt:i4>0</vt:i4>
      </vt:variant>
      <vt:variant>
        <vt:i4>5</vt:i4>
      </vt:variant>
      <vt:variant>
        <vt:lpwstr/>
      </vt:variant>
      <vt:variant>
        <vt:lpwstr>_ENREF_238</vt:lpwstr>
      </vt:variant>
      <vt:variant>
        <vt:i4>7405626</vt:i4>
      </vt:variant>
      <vt:variant>
        <vt:i4>6274</vt:i4>
      </vt:variant>
      <vt:variant>
        <vt:i4>0</vt:i4>
      </vt:variant>
      <vt:variant>
        <vt:i4>5</vt:i4>
      </vt:variant>
      <vt:variant>
        <vt:lpwstr/>
      </vt:variant>
      <vt:variant>
        <vt:lpwstr>_ENREF_212</vt:lpwstr>
      </vt:variant>
      <vt:variant>
        <vt:i4>4194315</vt:i4>
      </vt:variant>
      <vt:variant>
        <vt:i4>6268</vt:i4>
      </vt:variant>
      <vt:variant>
        <vt:i4>0</vt:i4>
      </vt:variant>
      <vt:variant>
        <vt:i4>5</vt:i4>
      </vt:variant>
      <vt:variant>
        <vt:lpwstr/>
      </vt:variant>
      <vt:variant>
        <vt:lpwstr>_ENREF_11</vt:lpwstr>
      </vt:variant>
      <vt:variant>
        <vt:i4>7667768</vt:i4>
      </vt:variant>
      <vt:variant>
        <vt:i4>6262</vt:i4>
      </vt:variant>
      <vt:variant>
        <vt:i4>0</vt:i4>
      </vt:variant>
      <vt:variant>
        <vt:i4>5</vt:i4>
      </vt:variant>
      <vt:variant>
        <vt:lpwstr/>
      </vt:variant>
      <vt:variant>
        <vt:lpwstr>_ENREF_135</vt:lpwstr>
      </vt:variant>
      <vt:variant>
        <vt:i4>7667773</vt:i4>
      </vt:variant>
      <vt:variant>
        <vt:i4>6256</vt:i4>
      </vt:variant>
      <vt:variant>
        <vt:i4>0</vt:i4>
      </vt:variant>
      <vt:variant>
        <vt:i4>5</vt:i4>
      </vt:variant>
      <vt:variant>
        <vt:lpwstr/>
      </vt:variant>
      <vt:variant>
        <vt:lpwstr>_ENREF_266</vt:lpwstr>
      </vt:variant>
      <vt:variant>
        <vt:i4>7733304</vt:i4>
      </vt:variant>
      <vt:variant>
        <vt:i4>6250</vt:i4>
      </vt:variant>
      <vt:variant>
        <vt:i4>0</vt:i4>
      </vt:variant>
      <vt:variant>
        <vt:i4>5</vt:i4>
      </vt:variant>
      <vt:variant>
        <vt:lpwstr/>
      </vt:variant>
      <vt:variant>
        <vt:lpwstr>_ENREF_136</vt:lpwstr>
      </vt:variant>
      <vt:variant>
        <vt:i4>7471162</vt:i4>
      </vt:variant>
      <vt:variant>
        <vt:i4>6244</vt:i4>
      </vt:variant>
      <vt:variant>
        <vt:i4>0</vt:i4>
      </vt:variant>
      <vt:variant>
        <vt:i4>5</vt:i4>
      </vt:variant>
      <vt:variant>
        <vt:lpwstr/>
      </vt:variant>
      <vt:variant>
        <vt:lpwstr>_ENREF_211</vt:lpwstr>
      </vt:variant>
      <vt:variant>
        <vt:i4>4194315</vt:i4>
      </vt:variant>
      <vt:variant>
        <vt:i4>6238</vt:i4>
      </vt:variant>
      <vt:variant>
        <vt:i4>0</vt:i4>
      </vt:variant>
      <vt:variant>
        <vt:i4>5</vt:i4>
      </vt:variant>
      <vt:variant>
        <vt:lpwstr/>
      </vt:variant>
      <vt:variant>
        <vt:lpwstr>_ENREF_15</vt:lpwstr>
      </vt:variant>
      <vt:variant>
        <vt:i4>4784139</vt:i4>
      </vt:variant>
      <vt:variant>
        <vt:i4>6232</vt:i4>
      </vt:variant>
      <vt:variant>
        <vt:i4>0</vt:i4>
      </vt:variant>
      <vt:variant>
        <vt:i4>5</vt:i4>
      </vt:variant>
      <vt:variant>
        <vt:lpwstr/>
      </vt:variant>
      <vt:variant>
        <vt:lpwstr>_ENREF_83</vt:lpwstr>
      </vt:variant>
      <vt:variant>
        <vt:i4>7340088</vt:i4>
      </vt:variant>
      <vt:variant>
        <vt:i4>6226</vt:i4>
      </vt:variant>
      <vt:variant>
        <vt:i4>0</vt:i4>
      </vt:variant>
      <vt:variant>
        <vt:i4>5</vt:i4>
      </vt:variant>
      <vt:variant>
        <vt:lpwstr/>
      </vt:variant>
      <vt:variant>
        <vt:lpwstr>_ENREF_233</vt:lpwstr>
      </vt:variant>
      <vt:variant>
        <vt:i4>7471167</vt:i4>
      </vt:variant>
      <vt:variant>
        <vt:i4>6220</vt:i4>
      </vt:variant>
      <vt:variant>
        <vt:i4>0</vt:i4>
      </vt:variant>
      <vt:variant>
        <vt:i4>5</vt:i4>
      </vt:variant>
      <vt:variant>
        <vt:lpwstr/>
      </vt:variant>
      <vt:variant>
        <vt:lpwstr>_ENREF_241</vt:lpwstr>
      </vt:variant>
      <vt:variant>
        <vt:i4>7405624</vt:i4>
      </vt:variant>
      <vt:variant>
        <vt:i4>6214</vt:i4>
      </vt:variant>
      <vt:variant>
        <vt:i4>0</vt:i4>
      </vt:variant>
      <vt:variant>
        <vt:i4>5</vt:i4>
      </vt:variant>
      <vt:variant>
        <vt:lpwstr/>
      </vt:variant>
      <vt:variant>
        <vt:lpwstr>_ENREF_232</vt:lpwstr>
      </vt:variant>
      <vt:variant>
        <vt:i4>7471162</vt:i4>
      </vt:variant>
      <vt:variant>
        <vt:i4>6208</vt:i4>
      </vt:variant>
      <vt:variant>
        <vt:i4>0</vt:i4>
      </vt:variant>
      <vt:variant>
        <vt:i4>5</vt:i4>
      </vt:variant>
      <vt:variant>
        <vt:lpwstr/>
      </vt:variant>
      <vt:variant>
        <vt:lpwstr>_ENREF_112</vt:lpwstr>
      </vt:variant>
      <vt:variant>
        <vt:i4>7471160</vt:i4>
      </vt:variant>
      <vt:variant>
        <vt:i4>6202</vt:i4>
      </vt:variant>
      <vt:variant>
        <vt:i4>0</vt:i4>
      </vt:variant>
      <vt:variant>
        <vt:i4>5</vt:i4>
      </vt:variant>
      <vt:variant>
        <vt:lpwstr/>
      </vt:variant>
      <vt:variant>
        <vt:lpwstr>_ENREF_132</vt:lpwstr>
      </vt:variant>
      <vt:variant>
        <vt:i4>7864378</vt:i4>
      </vt:variant>
      <vt:variant>
        <vt:i4>6196</vt:i4>
      </vt:variant>
      <vt:variant>
        <vt:i4>0</vt:i4>
      </vt:variant>
      <vt:variant>
        <vt:i4>5</vt:i4>
      </vt:variant>
      <vt:variant>
        <vt:lpwstr/>
      </vt:variant>
      <vt:variant>
        <vt:lpwstr>_ENREF_118</vt:lpwstr>
      </vt:variant>
      <vt:variant>
        <vt:i4>7798846</vt:i4>
      </vt:variant>
      <vt:variant>
        <vt:i4>6190</vt:i4>
      </vt:variant>
      <vt:variant>
        <vt:i4>0</vt:i4>
      </vt:variant>
      <vt:variant>
        <vt:i4>5</vt:i4>
      </vt:variant>
      <vt:variant>
        <vt:lpwstr/>
      </vt:variant>
      <vt:variant>
        <vt:lpwstr>_ENREF_157</vt:lpwstr>
      </vt:variant>
      <vt:variant>
        <vt:i4>4194315</vt:i4>
      </vt:variant>
      <vt:variant>
        <vt:i4>6184</vt:i4>
      </vt:variant>
      <vt:variant>
        <vt:i4>0</vt:i4>
      </vt:variant>
      <vt:variant>
        <vt:i4>5</vt:i4>
      </vt:variant>
      <vt:variant>
        <vt:lpwstr/>
      </vt:variant>
      <vt:variant>
        <vt:lpwstr>_ENREF_12</vt:lpwstr>
      </vt:variant>
      <vt:variant>
        <vt:i4>7340089</vt:i4>
      </vt:variant>
      <vt:variant>
        <vt:i4>6178</vt:i4>
      </vt:variant>
      <vt:variant>
        <vt:i4>0</vt:i4>
      </vt:variant>
      <vt:variant>
        <vt:i4>5</vt:i4>
      </vt:variant>
      <vt:variant>
        <vt:lpwstr/>
      </vt:variant>
      <vt:variant>
        <vt:lpwstr>_ENREF_223</vt:lpwstr>
      </vt:variant>
      <vt:variant>
        <vt:i4>4718603</vt:i4>
      </vt:variant>
      <vt:variant>
        <vt:i4>6172</vt:i4>
      </vt:variant>
      <vt:variant>
        <vt:i4>0</vt:i4>
      </vt:variant>
      <vt:variant>
        <vt:i4>5</vt:i4>
      </vt:variant>
      <vt:variant>
        <vt:lpwstr/>
      </vt:variant>
      <vt:variant>
        <vt:lpwstr>_ENREF_99</vt:lpwstr>
      </vt:variant>
      <vt:variant>
        <vt:i4>7471165</vt:i4>
      </vt:variant>
      <vt:variant>
        <vt:i4>6166</vt:i4>
      </vt:variant>
      <vt:variant>
        <vt:i4>0</vt:i4>
      </vt:variant>
      <vt:variant>
        <vt:i4>5</vt:i4>
      </vt:variant>
      <vt:variant>
        <vt:lpwstr/>
      </vt:variant>
      <vt:variant>
        <vt:lpwstr>_ENREF_162</vt:lpwstr>
      </vt:variant>
      <vt:variant>
        <vt:i4>4521995</vt:i4>
      </vt:variant>
      <vt:variant>
        <vt:i4>6160</vt:i4>
      </vt:variant>
      <vt:variant>
        <vt:i4>0</vt:i4>
      </vt:variant>
      <vt:variant>
        <vt:i4>5</vt:i4>
      </vt:variant>
      <vt:variant>
        <vt:lpwstr/>
      </vt:variant>
      <vt:variant>
        <vt:lpwstr>_ENREF_44</vt:lpwstr>
      </vt:variant>
      <vt:variant>
        <vt:i4>4194315</vt:i4>
      </vt:variant>
      <vt:variant>
        <vt:i4>6154</vt:i4>
      </vt:variant>
      <vt:variant>
        <vt:i4>0</vt:i4>
      </vt:variant>
      <vt:variant>
        <vt:i4>5</vt:i4>
      </vt:variant>
      <vt:variant>
        <vt:lpwstr/>
      </vt:variant>
      <vt:variant>
        <vt:lpwstr>_ENREF_16</vt:lpwstr>
      </vt:variant>
      <vt:variant>
        <vt:i4>7798847</vt:i4>
      </vt:variant>
      <vt:variant>
        <vt:i4>6148</vt:i4>
      </vt:variant>
      <vt:variant>
        <vt:i4>0</vt:i4>
      </vt:variant>
      <vt:variant>
        <vt:i4>5</vt:i4>
      </vt:variant>
      <vt:variant>
        <vt:lpwstr/>
      </vt:variant>
      <vt:variant>
        <vt:lpwstr>_ENREF_244</vt:lpwstr>
      </vt:variant>
      <vt:variant>
        <vt:i4>7536699</vt:i4>
      </vt:variant>
      <vt:variant>
        <vt:i4>6142</vt:i4>
      </vt:variant>
      <vt:variant>
        <vt:i4>0</vt:i4>
      </vt:variant>
      <vt:variant>
        <vt:i4>5</vt:i4>
      </vt:variant>
      <vt:variant>
        <vt:lpwstr/>
      </vt:variant>
      <vt:variant>
        <vt:lpwstr>_ENREF_200</vt:lpwstr>
      </vt:variant>
      <vt:variant>
        <vt:i4>7536697</vt:i4>
      </vt:variant>
      <vt:variant>
        <vt:i4>6136</vt:i4>
      </vt:variant>
      <vt:variant>
        <vt:i4>0</vt:i4>
      </vt:variant>
      <vt:variant>
        <vt:i4>5</vt:i4>
      </vt:variant>
      <vt:variant>
        <vt:lpwstr/>
      </vt:variant>
      <vt:variant>
        <vt:lpwstr>_ENREF_123</vt:lpwstr>
      </vt:variant>
      <vt:variant>
        <vt:i4>7864370</vt:i4>
      </vt:variant>
      <vt:variant>
        <vt:i4>6130</vt:i4>
      </vt:variant>
      <vt:variant>
        <vt:i4>0</vt:i4>
      </vt:variant>
      <vt:variant>
        <vt:i4>5</vt:i4>
      </vt:variant>
      <vt:variant>
        <vt:lpwstr/>
      </vt:variant>
      <vt:variant>
        <vt:lpwstr>_ENREF_198</vt:lpwstr>
      </vt:variant>
      <vt:variant>
        <vt:i4>4718603</vt:i4>
      </vt:variant>
      <vt:variant>
        <vt:i4>6124</vt:i4>
      </vt:variant>
      <vt:variant>
        <vt:i4>0</vt:i4>
      </vt:variant>
      <vt:variant>
        <vt:i4>5</vt:i4>
      </vt:variant>
      <vt:variant>
        <vt:lpwstr/>
      </vt:variant>
      <vt:variant>
        <vt:lpwstr>_ENREF_97</vt:lpwstr>
      </vt:variant>
      <vt:variant>
        <vt:i4>7733305</vt:i4>
      </vt:variant>
      <vt:variant>
        <vt:i4>6118</vt:i4>
      </vt:variant>
      <vt:variant>
        <vt:i4>0</vt:i4>
      </vt:variant>
      <vt:variant>
        <vt:i4>5</vt:i4>
      </vt:variant>
      <vt:variant>
        <vt:lpwstr/>
      </vt:variant>
      <vt:variant>
        <vt:lpwstr>_ENREF_225</vt:lpwstr>
      </vt:variant>
      <vt:variant>
        <vt:i4>4194315</vt:i4>
      </vt:variant>
      <vt:variant>
        <vt:i4>6112</vt:i4>
      </vt:variant>
      <vt:variant>
        <vt:i4>0</vt:i4>
      </vt:variant>
      <vt:variant>
        <vt:i4>5</vt:i4>
      </vt:variant>
      <vt:variant>
        <vt:lpwstr/>
      </vt:variant>
      <vt:variant>
        <vt:lpwstr>_ENREF_19</vt:lpwstr>
      </vt:variant>
      <vt:variant>
        <vt:i4>7405618</vt:i4>
      </vt:variant>
      <vt:variant>
        <vt:i4>6106</vt:i4>
      </vt:variant>
      <vt:variant>
        <vt:i4>0</vt:i4>
      </vt:variant>
      <vt:variant>
        <vt:i4>5</vt:i4>
      </vt:variant>
      <vt:variant>
        <vt:lpwstr/>
      </vt:variant>
      <vt:variant>
        <vt:lpwstr>_ENREF_191</vt:lpwstr>
      </vt:variant>
      <vt:variant>
        <vt:i4>7733305</vt:i4>
      </vt:variant>
      <vt:variant>
        <vt:i4>6100</vt:i4>
      </vt:variant>
      <vt:variant>
        <vt:i4>0</vt:i4>
      </vt:variant>
      <vt:variant>
        <vt:i4>5</vt:i4>
      </vt:variant>
      <vt:variant>
        <vt:lpwstr/>
      </vt:variant>
      <vt:variant>
        <vt:lpwstr>_ENREF_126</vt:lpwstr>
      </vt:variant>
      <vt:variant>
        <vt:i4>7667769</vt:i4>
      </vt:variant>
      <vt:variant>
        <vt:i4>6094</vt:i4>
      </vt:variant>
      <vt:variant>
        <vt:i4>0</vt:i4>
      </vt:variant>
      <vt:variant>
        <vt:i4>5</vt:i4>
      </vt:variant>
      <vt:variant>
        <vt:lpwstr/>
      </vt:variant>
      <vt:variant>
        <vt:lpwstr>_ENREF_125</vt:lpwstr>
      </vt:variant>
      <vt:variant>
        <vt:i4>7602239</vt:i4>
      </vt:variant>
      <vt:variant>
        <vt:i4>6088</vt:i4>
      </vt:variant>
      <vt:variant>
        <vt:i4>0</vt:i4>
      </vt:variant>
      <vt:variant>
        <vt:i4>5</vt:i4>
      </vt:variant>
      <vt:variant>
        <vt:lpwstr/>
      </vt:variant>
      <vt:variant>
        <vt:lpwstr>_ENREF_247</vt:lpwstr>
      </vt:variant>
      <vt:variant>
        <vt:i4>4784139</vt:i4>
      </vt:variant>
      <vt:variant>
        <vt:i4>6028</vt:i4>
      </vt:variant>
      <vt:variant>
        <vt:i4>0</vt:i4>
      </vt:variant>
      <vt:variant>
        <vt:i4>5</vt:i4>
      </vt:variant>
      <vt:variant>
        <vt:lpwstr/>
      </vt:variant>
      <vt:variant>
        <vt:lpwstr>_ENREF_89</vt:lpwstr>
      </vt:variant>
      <vt:variant>
        <vt:i4>4653067</vt:i4>
      </vt:variant>
      <vt:variant>
        <vt:i4>6001</vt:i4>
      </vt:variant>
      <vt:variant>
        <vt:i4>0</vt:i4>
      </vt:variant>
      <vt:variant>
        <vt:i4>5</vt:i4>
      </vt:variant>
      <vt:variant>
        <vt:lpwstr/>
      </vt:variant>
      <vt:variant>
        <vt:lpwstr>_ENREF_6</vt:lpwstr>
      </vt:variant>
      <vt:variant>
        <vt:i4>4784139</vt:i4>
      </vt:variant>
      <vt:variant>
        <vt:i4>5992</vt:i4>
      </vt:variant>
      <vt:variant>
        <vt:i4>0</vt:i4>
      </vt:variant>
      <vt:variant>
        <vt:i4>5</vt:i4>
      </vt:variant>
      <vt:variant>
        <vt:lpwstr/>
      </vt:variant>
      <vt:variant>
        <vt:lpwstr>_ENREF_88</vt:lpwstr>
      </vt:variant>
      <vt:variant>
        <vt:i4>4521995</vt:i4>
      </vt:variant>
      <vt:variant>
        <vt:i4>5986</vt:i4>
      </vt:variant>
      <vt:variant>
        <vt:i4>0</vt:i4>
      </vt:variant>
      <vt:variant>
        <vt:i4>5</vt:i4>
      </vt:variant>
      <vt:variant>
        <vt:lpwstr/>
      </vt:variant>
      <vt:variant>
        <vt:lpwstr>_ENREF_41</vt:lpwstr>
      </vt:variant>
      <vt:variant>
        <vt:i4>4390923</vt:i4>
      </vt:variant>
      <vt:variant>
        <vt:i4>5982</vt:i4>
      </vt:variant>
      <vt:variant>
        <vt:i4>0</vt:i4>
      </vt:variant>
      <vt:variant>
        <vt:i4>5</vt:i4>
      </vt:variant>
      <vt:variant>
        <vt:lpwstr/>
      </vt:variant>
      <vt:variant>
        <vt:lpwstr>_ENREF_26</vt:lpwstr>
      </vt:variant>
      <vt:variant>
        <vt:i4>4194315</vt:i4>
      </vt:variant>
      <vt:variant>
        <vt:i4>5979</vt:i4>
      </vt:variant>
      <vt:variant>
        <vt:i4>0</vt:i4>
      </vt:variant>
      <vt:variant>
        <vt:i4>5</vt:i4>
      </vt:variant>
      <vt:variant>
        <vt:lpwstr/>
      </vt:variant>
      <vt:variant>
        <vt:lpwstr>_ENREF_13</vt:lpwstr>
      </vt:variant>
      <vt:variant>
        <vt:i4>7471165</vt:i4>
      </vt:variant>
      <vt:variant>
        <vt:i4>5976</vt:i4>
      </vt:variant>
      <vt:variant>
        <vt:i4>0</vt:i4>
      </vt:variant>
      <vt:variant>
        <vt:i4>5</vt:i4>
      </vt:variant>
      <vt:variant>
        <vt:lpwstr/>
      </vt:variant>
      <vt:variant>
        <vt:lpwstr>_ENREF_261</vt:lpwstr>
      </vt:variant>
      <vt:variant>
        <vt:i4>7733309</vt:i4>
      </vt:variant>
      <vt:variant>
        <vt:i4>5973</vt:i4>
      </vt:variant>
      <vt:variant>
        <vt:i4>0</vt:i4>
      </vt:variant>
      <vt:variant>
        <vt:i4>5</vt:i4>
      </vt:variant>
      <vt:variant>
        <vt:lpwstr/>
      </vt:variant>
      <vt:variant>
        <vt:lpwstr>_ENREF_166</vt:lpwstr>
      </vt:variant>
      <vt:variant>
        <vt:i4>7929906</vt:i4>
      </vt:variant>
      <vt:variant>
        <vt:i4>5963</vt:i4>
      </vt:variant>
      <vt:variant>
        <vt:i4>0</vt:i4>
      </vt:variant>
      <vt:variant>
        <vt:i4>5</vt:i4>
      </vt:variant>
      <vt:variant>
        <vt:lpwstr/>
      </vt:variant>
      <vt:variant>
        <vt:lpwstr>_ENREF_199</vt:lpwstr>
      </vt:variant>
      <vt:variant>
        <vt:i4>4325387</vt:i4>
      </vt:variant>
      <vt:variant>
        <vt:i4>5957</vt:i4>
      </vt:variant>
      <vt:variant>
        <vt:i4>0</vt:i4>
      </vt:variant>
      <vt:variant>
        <vt:i4>5</vt:i4>
      </vt:variant>
      <vt:variant>
        <vt:lpwstr/>
      </vt:variant>
      <vt:variant>
        <vt:lpwstr>_ENREF_38</vt:lpwstr>
      </vt:variant>
      <vt:variant>
        <vt:i4>7536700</vt:i4>
      </vt:variant>
      <vt:variant>
        <vt:i4>5951</vt:i4>
      </vt:variant>
      <vt:variant>
        <vt:i4>0</vt:i4>
      </vt:variant>
      <vt:variant>
        <vt:i4>5</vt:i4>
      </vt:variant>
      <vt:variant>
        <vt:lpwstr/>
      </vt:variant>
      <vt:variant>
        <vt:lpwstr>_ENREF_173</vt:lpwstr>
      </vt:variant>
      <vt:variant>
        <vt:i4>7536691</vt:i4>
      </vt:variant>
      <vt:variant>
        <vt:i4>5941</vt:i4>
      </vt:variant>
      <vt:variant>
        <vt:i4>0</vt:i4>
      </vt:variant>
      <vt:variant>
        <vt:i4>5</vt:i4>
      </vt:variant>
      <vt:variant>
        <vt:lpwstr/>
      </vt:variant>
      <vt:variant>
        <vt:lpwstr>_ENREF_183</vt:lpwstr>
      </vt:variant>
      <vt:variant>
        <vt:i4>7602238</vt:i4>
      </vt:variant>
      <vt:variant>
        <vt:i4>5938</vt:i4>
      </vt:variant>
      <vt:variant>
        <vt:i4>0</vt:i4>
      </vt:variant>
      <vt:variant>
        <vt:i4>5</vt:i4>
      </vt:variant>
      <vt:variant>
        <vt:lpwstr/>
      </vt:variant>
      <vt:variant>
        <vt:lpwstr>_ENREF_154</vt:lpwstr>
      </vt:variant>
      <vt:variant>
        <vt:i4>7667763</vt:i4>
      </vt:variant>
      <vt:variant>
        <vt:i4>5935</vt:i4>
      </vt:variant>
      <vt:variant>
        <vt:i4>0</vt:i4>
      </vt:variant>
      <vt:variant>
        <vt:i4>5</vt:i4>
      </vt:variant>
      <vt:variant>
        <vt:lpwstr/>
      </vt:variant>
      <vt:variant>
        <vt:lpwstr>_ENREF_185</vt:lpwstr>
      </vt:variant>
      <vt:variant>
        <vt:i4>7340083</vt:i4>
      </vt:variant>
      <vt:variant>
        <vt:i4>5925</vt:i4>
      </vt:variant>
      <vt:variant>
        <vt:i4>0</vt:i4>
      </vt:variant>
      <vt:variant>
        <vt:i4>5</vt:i4>
      </vt:variant>
      <vt:variant>
        <vt:lpwstr/>
      </vt:variant>
      <vt:variant>
        <vt:lpwstr>_ENREF_180</vt:lpwstr>
      </vt:variant>
      <vt:variant>
        <vt:i4>3604542</vt:i4>
      </vt:variant>
      <vt:variant>
        <vt:i4>5916</vt:i4>
      </vt:variant>
      <vt:variant>
        <vt:i4>0</vt:i4>
      </vt:variant>
      <vt:variant>
        <vt:i4>5</vt:i4>
      </vt:variant>
      <vt:variant>
        <vt:lpwstr>http://www.nata.asn.au/</vt:lpwstr>
      </vt:variant>
      <vt:variant>
        <vt:lpwstr/>
      </vt:variant>
      <vt:variant>
        <vt:i4>7602236</vt:i4>
      </vt:variant>
      <vt:variant>
        <vt:i4>5901</vt:i4>
      </vt:variant>
      <vt:variant>
        <vt:i4>0</vt:i4>
      </vt:variant>
      <vt:variant>
        <vt:i4>5</vt:i4>
      </vt:variant>
      <vt:variant>
        <vt:lpwstr/>
      </vt:variant>
      <vt:variant>
        <vt:lpwstr>_ENREF_174</vt:lpwstr>
      </vt:variant>
      <vt:variant>
        <vt:i4>7536703</vt:i4>
      </vt:variant>
      <vt:variant>
        <vt:i4>5892</vt:i4>
      </vt:variant>
      <vt:variant>
        <vt:i4>0</vt:i4>
      </vt:variant>
      <vt:variant>
        <vt:i4>5</vt:i4>
      </vt:variant>
      <vt:variant>
        <vt:lpwstr/>
      </vt:variant>
      <vt:variant>
        <vt:lpwstr>_ENREF_143</vt:lpwstr>
      </vt:variant>
      <vt:variant>
        <vt:i4>7405628</vt:i4>
      </vt:variant>
      <vt:variant>
        <vt:i4>5886</vt:i4>
      </vt:variant>
      <vt:variant>
        <vt:i4>0</vt:i4>
      </vt:variant>
      <vt:variant>
        <vt:i4>5</vt:i4>
      </vt:variant>
      <vt:variant>
        <vt:lpwstr/>
      </vt:variant>
      <vt:variant>
        <vt:lpwstr>_ENREF_171</vt:lpwstr>
      </vt:variant>
      <vt:variant>
        <vt:i4>7929913</vt:i4>
      </vt:variant>
      <vt:variant>
        <vt:i4>5880</vt:i4>
      </vt:variant>
      <vt:variant>
        <vt:i4>0</vt:i4>
      </vt:variant>
      <vt:variant>
        <vt:i4>5</vt:i4>
      </vt:variant>
      <vt:variant>
        <vt:lpwstr/>
      </vt:variant>
      <vt:variant>
        <vt:lpwstr>_ENREF_129</vt:lpwstr>
      </vt:variant>
      <vt:variant>
        <vt:i4>7471155</vt:i4>
      </vt:variant>
      <vt:variant>
        <vt:i4>5874</vt:i4>
      </vt:variant>
      <vt:variant>
        <vt:i4>0</vt:i4>
      </vt:variant>
      <vt:variant>
        <vt:i4>5</vt:i4>
      </vt:variant>
      <vt:variant>
        <vt:lpwstr/>
      </vt:variant>
      <vt:variant>
        <vt:lpwstr>_ENREF_182</vt:lpwstr>
      </vt:variant>
      <vt:variant>
        <vt:i4>7602236</vt:i4>
      </vt:variant>
      <vt:variant>
        <vt:i4>5868</vt:i4>
      </vt:variant>
      <vt:variant>
        <vt:i4>0</vt:i4>
      </vt:variant>
      <vt:variant>
        <vt:i4>5</vt:i4>
      </vt:variant>
      <vt:variant>
        <vt:lpwstr/>
      </vt:variant>
      <vt:variant>
        <vt:lpwstr>_ENREF_174</vt:lpwstr>
      </vt:variant>
      <vt:variant>
        <vt:i4>7929917</vt:i4>
      </vt:variant>
      <vt:variant>
        <vt:i4>5859</vt:i4>
      </vt:variant>
      <vt:variant>
        <vt:i4>0</vt:i4>
      </vt:variant>
      <vt:variant>
        <vt:i4>5</vt:i4>
      </vt:variant>
      <vt:variant>
        <vt:lpwstr/>
      </vt:variant>
      <vt:variant>
        <vt:lpwstr>_ENREF_169</vt:lpwstr>
      </vt:variant>
      <vt:variant>
        <vt:i4>7340094</vt:i4>
      </vt:variant>
      <vt:variant>
        <vt:i4>5850</vt:i4>
      </vt:variant>
      <vt:variant>
        <vt:i4>0</vt:i4>
      </vt:variant>
      <vt:variant>
        <vt:i4>5</vt:i4>
      </vt:variant>
      <vt:variant>
        <vt:lpwstr/>
      </vt:variant>
      <vt:variant>
        <vt:lpwstr>_ENREF_253</vt:lpwstr>
      </vt:variant>
      <vt:variant>
        <vt:i4>7733308</vt:i4>
      </vt:variant>
      <vt:variant>
        <vt:i4>5844</vt:i4>
      </vt:variant>
      <vt:variant>
        <vt:i4>0</vt:i4>
      </vt:variant>
      <vt:variant>
        <vt:i4>5</vt:i4>
      </vt:variant>
      <vt:variant>
        <vt:lpwstr/>
      </vt:variant>
      <vt:variant>
        <vt:lpwstr>_ENREF_176</vt:lpwstr>
      </vt:variant>
      <vt:variant>
        <vt:i4>4653067</vt:i4>
      </vt:variant>
      <vt:variant>
        <vt:i4>5832</vt:i4>
      </vt:variant>
      <vt:variant>
        <vt:i4>0</vt:i4>
      </vt:variant>
      <vt:variant>
        <vt:i4>5</vt:i4>
      </vt:variant>
      <vt:variant>
        <vt:lpwstr/>
      </vt:variant>
      <vt:variant>
        <vt:lpwstr>_ENREF_64</vt:lpwstr>
      </vt:variant>
      <vt:variant>
        <vt:i4>7667771</vt:i4>
      </vt:variant>
      <vt:variant>
        <vt:i4>5709</vt:i4>
      </vt:variant>
      <vt:variant>
        <vt:i4>0</vt:i4>
      </vt:variant>
      <vt:variant>
        <vt:i4>5</vt:i4>
      </vt:variant>
      <vt:variant>
        <vt:lpwstr/>
      </vt:variant>
      <vt:variant>
        <vt:lpwstr>_ENREF_105</vt:lpwstr>
      </vt:variant>
      <vt:variant>
        <vt:i4>7340090</vt:i4>
      </vt:variant>
      <vt:variant>
        <vt:i4>5705</vt:i4>
      </vt:variant>
      <vt:variant>
        <vt:i4>0</vt:i4>
      </vt:variant>
      <vt:variant>
        <vt:i4>5</vt:i4>
      </vt:variant>
      <vt:variant>
        <vt:lpwstr/>
      </vt:variant>
      <vt:variant>
        <vt:lpwstr>_ENREF_110</vt:lpwstr>
      </vt:variant>
      <vt:variant>
        <vt:i4>4718603</vt:i4>
      </vt:variant>
      <vt:variant>
        <vt:i4>5702</vt:i4>
      </vt:variant>
      <vt:variant>
        <vt:i4>0</vt:i4>
      </vt:variant>
      <vt:variant>
        <vt:i4>5</vt:i4>
      </vt:variant>
      <vt:variant>
        <vt:lpwstr/>
      </vt:variant>
      <vt:variant>
        <vt:lpwstr>_ENREF_93</vt:lpwstr>
      </vt:variant>
      <vt:variant>
        <vt:i4>4194315</vt:i4>
      </vt:variant>
      <vt:variant>
        <vt:i4>5699</vt:i4>
      </vt:variant>
      <vt:variant>
        <vt:i4>0</vt:i4>
      </vt:variant>
      <vt:variant>
        <vt:i4>5</vt:i4>
      </vt:variant>
      <vt:variant>
        <vt:lpwstr/>
      </vt:variant>
      <vt:variant>
        <vt:lpwstr>_ENREF_10</vt:lpwstr>
      </vt:variant>
      <vt:variant>
        <vt:i4>7929914</vt:i4>
      </vt:variant>
      <vt:variant>
        <vt:i4>5691</vt:i4>
      </vt:variant>
      <vt:variant>
        <vt:i4>0</vt:i4>
      </vt:variant>
      <vt:variant>
        <vt:i4>5</vt:i4>
      </vt:variant>
      <vt:variant>
        <vt:lpwstr/>
      </vt:variant>
      <vt:variant>
        <vt:lpwstr>_ENREF_119</vt:lpwstr>
      </vt:variant>
      <vt:variant>
        <vt:i4>4325387</vt:i4>
      </vt:variant>
      <vt:variant>
        <vt:i4>5688</vt:i4>
      </vt:variant>
      <vt:variant>
        <vt:i4>0</vt:i4>
      </vt:variant>
      <vt:variant>
        <vt:i4>5</vt:i4>
      </vt:variant>
      <vt:variant>
        <vt:lpwstr/>
      </vt:variant>
      <vt:variant>
        <vt:lpwstr>_ENREF_3</vt:lpwstr>
      </vt:variant>
      <vt:variant>
        <vt:i4>7733308</vt:i4>
      </vt:variant>
      <vt:variant>
        <vt:i4>5627</vt:i4>
      </vt:variant>
      <vt:variant>
        <vt:i4>0</vt:i4>
      </vt:variant>
      <vt:variant>
        <vt:i4>5</vt:i4>
      </vt:variant>
      <vt:variant>
        <vt:lpwstr/>
      </vt:variant>
      <vt:variant>
        <vt:lpwstr>_ENREF_176</vt:lpwstr>
      </vt:variant>
      <vt:variant>
        <vt:i4>7864371</vt:i4>
      </vt:variant>
      <vt:variant>
        <vt:i4>5615</vt:i4>
      </vt:variant>
      <vt:variant>
        <vt:i4>0</vt:i4>
      </vt:variant>
      <vt:variant>
        <vt:i4>5</vt:i4>
      </vt:variant>
      <vt:variant>
        <vt:lpwstr/>
      </vt:variant>
      <vt:variant>
        <vt:lpwstr>_ENREF_188</vt:lpwstr>
      </vt:variant>
      <vt:variant>
        <vt:i4>7864371</vt:i4>
      </vt:variant>
      <vt:variant>
        <vt:i4>5609</vt:i4>
      </vt:variant>
      <vt:variant>
        <vt:i4>0</vt:i4>
      </vt:variant>
      <vt:variant>
        <vt:i4>5</vt:i4>
      </vt:variant>
      <vt:variant>
        <vt:lpwstr/>
      </vt:variant>
      <vt:variant>
        <vt:lpwstr>_ENREF_188</vt:lpwstr>
      </vt:variant>
      <vt:variant>
        <vt:i4>4521995</vt:i4>
      </vt:variant>
      <vt:variant>
        <vt:i4>5603</vt:i4>
      </vt:variant>
      <vt:variant>
        <vt:i4>0</vt:i4>
      </vt:variant>
      <vt:variant>
        <vt:i4>5</vt:i4>
      </vt:variant>
      <vt:variant>
        <vt:lpwstr/>
      </vt:variant>
      <vt:variant>
        <vt:lpwstr>_ENREF_47</vt:lpwstr>
      </vt:variant>
      <vt:variant>
        <vt:i4>7864371</vt:i4>
      </vt:variant>
      <vt:variant>
        <vt:i4>5597</vt:i4>
      </vt:variant>
      <vt:variant>
        <vt:i4>0</vt:i4>
      </vt:variant>
      <vt:variant>
        <vt:i4>5</vt:i4>
      </vt:variant>
      <vt:variant>
        <vt:lpwstr/>
      </vt:variant>
      <vt:variant>
        <vt:lpwstr>_ENREF_188</vt:lpwstr>
      </vt:variant>
      <vt:variant>
        <vt:i4>7602234</vt:i4>
      </vt:variant>
      <vt:variant>
        <vt:i4>5591</vt:i4>
      </vt:variant>
      <vt:variant>
        <vt:i4>0</vt:i4>
      </vt:variant>
      <vt:variant>
        <vt:i4>5</vt:i4>
      </vt:variant>
      <vt:variant>
        <vt:lpwstr/>
      </vt:variant>
      <vt:variant>
        <vt:lpwstr>_ENREF_217</vt:lpwstr>
      </vt:variant>
      <vt:variant>
        <vt:i4>7405630</vt:i4>
      </vt:variant>
      <vt:variant>
        <vt:i4>5585</vt:i4>
      </vt:variant>
      <vt:variant>
        <vt:i4>0</vt:i4>
      </vt:variant>
      <vt:variant>
        <vt:i4>5</vt:i4>
      </vt:variant>
      <vt:variant>
        <vt:lpwstr/>
      </vt:variant>
      <vt:variant>
        <vt:lpwstr>_ENREF_151</vt:lpwstr>
      </vt:variant>
      <vt:variant>
        <vt:i4>7405627</vt:i4>
      </vt:variant>
      <vt:variant>
        <vt:i4>5579</vt:i4>
      </vt:variant>
      <vt:variant>
        <vt:i4>0</vt:i4>
      </vt:variant>
      <vt:variant>
        <vt:i4>5</vt:i4>
      </vt:variant>
      <vt:variant>
        <vt:lpwstr/>
      </vt:variant>
      <vt:variant>
        <vt:lpwstr>_ENREF_101</vt:lpwstr>
      </vt:variant>
      <vt:variant>
        <vt:i4>4718603</vt:i4>
      </vt:variant>
      <vt:variant>
        <vt:i4>5573</vt:i4>
      </vt:variant>
      <vt:variant>
        <vt:i4>0</vt:i4>
      </vt:variant>
      <vt:variant>
        <vt:i4>5</vt:i4>
      </vt:variant>
      <vt:variant>
        <vt:lpwstr/>
      </vt:variant>
      <vt:variant>
        <vt:lpwstr>_ENREF_91</vt:lpwstr>
      </vt:variant>
      <vt:variant>
        <vt:i4>7733310</vt:i4>
      </vt:variant>
      <vt:variant>
        <vt:i4>5567</vt:i4>
      </vt:variant>
      <vt:variant>
        <vt:i4>0</vt:i4>
      </vt:variant>
      <vt:variant>
        <vt:i4>5</vt:i4>
      </vt:variant>
      <vt:variant>
        <vt:lpwstr/>
      </vt:variant>
      <vt:variant>
        <vt:lpwstr>_ENREF_255</vt:lpwstr>
      </vt:variant>
      <vt:variant>
        <vt:i4>4325387</vt:i4>
      </vt:variant>
      <vt:variant>
        <vt:i4>5561</vt:i4>
      </vt:variant>
      <vt:variant>
        <vt:i4>0</vt:i4>
      </vt:variant>
      <vt:variant>
        <vt:i4>5</vt:i4>
      </vt:variant>
      <vt:variant>
        <vt:lpwstr/>
      </vt:variant>
      <vt:variant>
        <vt:lpwstr>_ENREF_33</vt:lpwstr>
      </vt:variant>
      <vt:variant>
        <vt:i4>7602235</vt:i4>
      </vt:variant>
      <vt:variant>
        <vt:i4>5555</vt:i4>
      </vt:variant>
      <vt:variant>
        <vt:i4>0</vt:i4>
      </vt:variant>
      <vt:variant>
        <vt:i4>5</vt:i4>
      </vt:variant>
      <vt:variant>
        <vt:lpwstr/>
      </vt:variant>
      <vt:variant>
        <vt:lpwstr>_ENREF_104</vt:lpwstr>
      </vt:variant>
      <vt:variant>
        <vt:i4>7602235</vt:i4>
      </vt:variant>
      <vt:variant>
        <vt:i4>5549</vt:i4>
      </vt:variant>
      <vt:variant>
        <vt:i4>0</vt:i4>
      </vt:variant>
      <vt:variant>
        <vt:i4>5</vt:i4>
      </vt:variant>
      <vt:variant>
        <vt:lpwstr/>
      </vt:variant>
      <vt:variant>
        <vt:lpwstr>_ENREF_207</vt:lpwstr>
      </vt:variant>
      <vt:variant>
        <vt:i4>4325387</vt:i4>
      </vt:variant>
      <vt:variant>
        <vt:i4>5543</vt:i4>
      </vt:variant>
      <vt:variant>
        <vt:i4>0</vt:i4>
      </vt:variant>
      <vt:variant>
        <vt:i4>5</vt:i4>
      </vt:variant>
      <vt:variant>
        <vt:lpwstr/>
      </vt:variant>
      <vt:variant>
        <vt:lpwstr>_ENREF_32</vt:lpwstr>
      </vt:variant>
      <vt:variant>
        <vt:i4>4325387</vt:i4>
      </vt:variant>
      <vt:variant>
        <vt:i4>5534</vt:i4>
      </vt:variant>
      <vt:variant>
        <vt:i4>0</vt:i4>
      </vt:variant>
      <vt:variant>
        <vt:i4>5</vt:i4>
      </vt:variant>
      <vt:variant>
        <vt:lpwstr/>
      </vt:variant>
      <vt:variant>
        <vt:lpwstr>_ENREF_31</vt:lpwstr>
      </vt:variant>
      <vt:variant>
        <vt:i4>4653067</vt:i4>
      </vt:variant>
      <vt:variant>
        <vt:i4>5525</vt:i4>
      </vt:variant>
      <vt:variant>
        <vt:i4>0</vt:i4>
      </vt:variant>
      <vt:variant>
        <vt:i4>5</vt:i4>
      </vt:variant>
      <vt:variant>
        <vt:lpwstr/>
      </vt:variant>
      <vt:variant>
        <vt:lpwstr>_ENREF_66</vt:lpwstr>
      </vt:variant>
      <vt:variant>
        <vt:i4>4456459</vt:i4>
      </vt:variant>
      <vt:variant>
        <vt:i4>5504</vt:i4>
      </vt:variant>
      <vt:variant>
        <vt:i4>0</vt:i4>
      </vt:variant>
      <vt:variant>
        <vt:i4>5</vt:i4>
      </vt:variant>
      <vt:variant>
        <vt:lpwstr/>
      </vt:variant>
      <vt:variant>
        <vt:lpwstr>_ENREF_57</vt:lpwstr>
      </vt:variant>
      <vt:variant>
        <vt:i4>4325387</vt:i4>
      </vt:variant>
      <vt:variant>
        <vt:i4>5474</vt:i4>
      </vt:variant>
      <vt:variant>
        <vt:i4>0</vt:i4>
      </vt:variant>
      <vt:variant>
        <vt:i4>5</vt:i4>
      </vt:variant>
      <vt:variant>
        <vt:lpwstr/>
      </vt:variant>
      <vt:variant>
        <vt:lpwstr>_ENREF_39</vt:lpwstr>
      </vt:variant>
      <vt:variant>
        <vt:i4>7864382</vt:i4>
      </vt:variant>
      <vt:variant>
        <vt:i4>5462</vt:i4>
      </vt:variant>
      <vt:variant>
        <vt:i4>0</vt:i4>
      </vt:variant>
      <vt:variant>
        <vt:i4>5</vt:i4>
      </vt:variant>
      <vt:variant>
        <vt:lpwstr/>
      </vt:variant>
      <vt:variant>
        <vt:lpwstr>_ENREF_158</vt:lpwstr>
      </vt:variant>
      <vt:variant>
        <vt:i4>7667773</vt:i4>
      </vt:variant>
      <vt:variant>
        <vt:i4>5450</vt:i4>
      </vt:variant>
      <vt:variant>
        <vt:i4>0</vt:i4>
      </vt:variant>
      <vt:variant>
        <vt:i4>5</vt:i4>
      </vt:variant>
      <vt:variant>
        <vt:lpwstr/>
      </vt:variant>
      <vt:variant>
        <vt:lpwstr>_ENREF_165</vt:lpwstr>
      </vt:variant>
      <vt:variant>
        <vt:i4>7929914</vt:i4>
      </vt:variant>
      <vt:variant>
        <vt:i4>5389</vt:i4>
      </vt:variant>
      <vt:variant>
        <vt:i4>0</vt:i4>
      </vt:variant>
      <vt:variant>
        <vt:i4>5</vt:i4>
      </vt:variant>
      <vt:variant>
        <vt:lpwstr/>
      </vt:variant>
      <vt:variant>
        <vt:lpwstr>_ENREF_119</vt:lpwstr>
      </vt:variant>
      <vt:variant>
        <vt:i4>4325387</vt:i4>
      </vt:variant>
      <vt:variant>
        <vt:i4>5386</vt:i4>
      </vt:variant>
      <vt:variant>
        <vt:i4>0</vt:i4>
      </vt:variant>
      <vt:variant>
        <vt:i4>5</vt:i4>
      </vt:variant>
      <vt:variant>
        <vt:lpwstr/>
      </vt:variant>
      <vt:variant>
        <vt:lpwstr>_ENREF_3</vt:lpwstr>
      </vt:variant>
      <vt:variant>
        <vt:i4>4390923</vt:i4>
      </vt:variant>
      <vt:variant>
        <vt:i4>5340</vt:i4>
      </vt:variant>
      <vt:variant>
        <vt:i4>0</vt:i4>
      </vt:variant>
      <vt:variant>
        <vt:i4>5</vt:i4>
      </vt:variant>
      <vt:variant>
        <vt:lpwstr/>
      </vt:variant>
      <vt:variant>
        <vt:lpwstr>_ENREF_29</vt:lpwstr>
      </vt:variant>
      <vt:variant>
        <vt:i4>4390923</vt:i4>
      </vt:variant>
      <vt:variant>
        <vt:i4>5334</vt:i4>
      </vt:variant>
      <vt:variant>
        <vt:i4>0</vt:i4>
      </vt:variant>
      <vt:variant>
        <vt:i4>5</vt:i4>
      </vt:variant>
      <vt:variant>
        <vt:lpwstr/>
      </vt:variant>
      <vt:variant>
        <vt:lpwstr>_ENREF_29</vt:lpwstr>
      </vt:variant>
      <vt:variant>
        <vt:i4>4390923</vt:i4>
      </vt:variant>
      <vt:variant>
        <vt:i4>5328</vt:i4>
      </vt:variant>
      <vt:variant>
        <vt:i4>0</vt:i4>
      </vt:variant>
      <vt:variant>
        <vt:i4>5</vt:i4>
      </vt:variant>
      <vt:variant>
        <vt:lpwstr/>
      </vt:variant>
      <vt:variant>
        <vt:lpwstr>_ENREF_29</vt:lpwstr>
      </vt:variant>
      <vt:variant>
        <vt:i4>4390923</vt:i4>
      </vt:variant>
      <vt:variant>
        <vt:i4>5322</vt:i4>
      </vt:variant>
      <vt:variant>
        <vt:i4>0</vt:i4>
      </vt:variant>
      <vt:variant>
        <vt:i4>5</vt:i4>
      </vt:variant>
      <vt:variant>
        <vt:lpwstr/>
      </vt:variant>
      <vt:variant>
        <vt:lpwstr>_ENREF_29</vt:lpwstr>
      </vt:variant>
      <vt:variant>
        <vt:i4>4390923</vt:i4>
      </vt:variant>
      <vt:variant>
        <vt:i4>5316</vt:i4>
      </vt:variant>
      <vt:variant>
        <vt:i4>0</vt:i4>
      </vt:variant>
      <vt:variant>
        <vt:i4>5</vt:i4>
      </vt:variant>
      <vt:variant>
        <vt:lpwstr/>
      </vt:variant>
      <vt:variant>
        <vt:lpwstr>_ENREF_29</vt:lpwstr>
      </vt:variant>
      <vt:variant>
        <vt:i4>4521995</vt:i4>
      </vt:variant>
      <vt:variant>
        <vt:i4>5265</vt:i4>
      </vt:variant>
      <vt:variant>
        <vt:i4>0</vt:i4>
      </vt:variant>
      <vt:variant>
        <vt:i4>5</vt:i4>
      </vt:variant>
      <vt:variant>
        <vt:lpwstr/>
      </vt:variant>
      <vt:variant>
        <vt:lpwstr>_ENREF_48</vt:lpwstr>
      </vt:variant>
      <vt:variant>
        <vt:i4>4521995</vt:i4>
      </vt:variant>
      <vt:variant>
        <vt:i4>5259</vt:i4>
      </vt:variant>
      <vt:variant>
        <vt:i4>0</vt:i4>
      </vt:variant>
      <vt:variant>
        <vt:i4>5</vt:i4>
      </vt:variant>
      <vt:variant>
        <vt:lpwstr/>
      </vt:variant>
      <vt:variant>
        <vt:lpwstr>_ENREF_47</vt:lpwstr>
      </vt:variant>
      <vt:variant>
        <vt:i4>4521995</vt:i4>
      </vt:variant>
      <vt:variant>
        <vt:i4>5253</vt:i4>
      </vt:variant>
      <vt:variant>
        <vt:i4>0</vt:i4>
      </vt:variant>
      <vt:variant>
        <vt:i4>5</vt:i4>
      </vt:variant>
      <vt:variant>
        <vt:lpwstr/>
      </vt:variant>
      <vt:variant>
        <vt:lpwstr>_ENREF_47</vt:lpwstr>
      </vt:variant>
      <vt:variant>
        <vt:i4>7340082</vt:i4>
      </vt:variant>
      <vt:variant>
        <vt:i4>5247</vt:i4>
      </vt:variant>
      <vt:variant>
        <vt:i4>0</vt:i4>
      </vt:variant>
      <vt:variant>
        <vt:i4>5</vt:i4>
      </vt:variant>
      <vt:variant>
        <vt:lpwstr/>
      </vt:variant>
      <vt:variant>
        <vt:lpwstr>_ENREF_190</vt:lpwstr>
      </vt:variant>
      <vt:variant>
        <vt:i4>7602234</vt:i4>
      </vt:variant>
      <vt:variant>
        <vt:i4>5241</vt:i4>
      </vt:variant>
      <vt:variant>
        <vt:i4>0</vt:i4>
      </vt:variant>
      <vt:variant>
        <vt:i4>5</vt:i4>
      </vt:variant>
      <vt:variant>
        <vt:lpwstr/>
      </vt:variant>
      <vt:variant>
        <vt:lpwstr>_ENREF_217</vt:lpwstr>
      </vt:variant>
      <vt:variant>
        <vt:i4>4456459</vt:i4>
      </vt:variant>
      <vt:variant>
        <vt:i4>5235</vt:i4>
      </vt:variant>
      <vt:variant>
        <vt:i4>0</vt:i4>
      </vt:variant>
      <vt:variant>
        <vt:i4>5</vt:i4>
      </vt:variant>
      <vt:variant>
        <vt:lpwstr/>
      </vt:variant>
      <vt:variant>
        <vt:lpwstr>_ENREF_50</vt:lpwstr>
      </vt:variant>
      <vt:variant>
        <vt:i4>7471166</vt:i4>
      </vt:variant>
      <vt:variant>
        <vt:i4>5229</vt:i4>
      </vt:variant>
      <vt:variant>
        <vt:i4>0</vt:i4>
      </vt:variant>
      <vt:variant>
        <vt:i4>5</vt:i4>
      </vt:variant>
      <vt:variant>
        <vt:lpwstr/>
      </vt:variant>
      <vt:variant>
        <vt:lpwstr>_ENREF_152</vt:lpwstr>
      </vt:variant>
      <vt:variant>
        <vt:i4>4521995</vt:i4>
      </vt:variant>
      <vt:variant>
        <vt:i4>5223</vt:i4>
      </vt:variant>
      <vt:variant>
        <vt:i4>0</vt:i4>
      </vt:variant>
      <vt:variant>
        <vt:i4>5</vt:i4>
      </vt:variant>
      <vt:variant>
        <vt:lpwstr/>
      </vt:variant>
      <vt:variant>
        <vt:lpwstr>_ENREF_45</vt:lpwstr>
      </vt:variant>
      <vt:variant>
        <vt:i4>4653067</vt:i4>
      </vt:variant>
      <vt:variant>
        <vt:i4>5217</vt:i4>
      </vt:variant>
      <vt:variant>
        <vt:i4>0</vt:i4>
      </vt:variant>
      <vt:variant>
        <vt:i4>5</vt:i4>
      </vt:variant>
      <vt:variant>
        <vt:lpwstr/>
      </vt:variant>
      <vt:variant>
        <vt:lpwstr>_ENREF_67</vt:lpwstr>
      </vt:variant>
      <vt:variant>
        <vt:i4>4390923</vt:i4>
      </vt:variant>
      <vt:variant>
        <vt:i4>5205</vt:i4>
      </vt:variant>
      <vt:variant>
        <vt:i4>0</vt:i4>
      </vt:variant>
      <vt:variant>
        <vt:i4>5</vt:i4>
      </vt:variant>
      <vt:variant>
        <vt:lpwstr/>
      </vt:variant>
      <vt:variant>
        <vt:lpwstr>_ENREF_29</vt:lpwstr>
      </vt:variant>
      <vt:variant>
        <vt:i4>4456459</vt:i4>
      </vt:variant>
      <vt:variant>
        <vt:i4>5187</vt:i4>
      </vt:variant>
      <vt:variant>
        <vt:i4>0</vt:i4>
      </vt:variant>
      <vt:variant>
        <vt:i4>5</vt:i4>
      </vt:variant>
      <vt:variant>
        <vt:lpwstr/>
      </vt:variant>
      <vt:variant>
        <vt:lpwstr>_ENREF_57</vt:lpwstr>
      </vt:variant>
      <vt:variant>
        <vt:i4>4325387</vt:i4>
      </vt:variant>
      <vt:variant>
        <vt:i4>5157</vt:i4>
      </vt:variant>
      <vt:variant>
        <vt:i4>0</vt:i4>
      </vt:variant>
      <vt:variant>
        <vt:i4>5</vt:i4>
      </vt:variant>
      <vt:variant>
        <vt:lpwstr/>
      </vt:variant>
      <vt:variant>
        <vt:lpwstr>_ENREF_39</vt:lpwstr>
      </vt:variant>
      <vt:variant>
        <vt:i4>7667771</vt:i4>
      </vt:variant>
      <vt:variant>
        <vt:i4>5088</vt:i4>
      </vt:variant>
      <vt:variant>
        <vt:i4>0</vt:i4>
      </vt:variant>
      <vt:variant>
        <vt:i4>5</vt:i4>
      </vt:variant>
      <vt:variant>
        <vt:lpwstr/>
      </vt:variant>
      <vt:variant>
        <vt:lpwstr>_ENREF_105</vt:lpwstr>
      </vt:variant>
      <vt:variant>
        <vt:i4>7340090</vt:i4>
      </vt:variant>
      <vt:variant>
        <vt:i4>5084</vt:i4>
      </vt:variant>
      <vt:variant>
        <vt:i4>0</vt:i4>
      </vt:variant>
      <vt:variant>
        <vt:i4>5</vt:i4>
      </vt:variant>
      <vt:variant>
        <vt:lpwstr/>
      </vt:variant>
      <vt:variant>
        <vt:lpwstr>_ENREF_110</vt:lpwstr>
      </vt:variant>
      <vt:variant>
        <vt:i4>4718603</vt:i4>
      </vt:variant>
      <vt:variant>
        <vt:i4>5081</vt:i4>
      </vt:variant>
      <vt:variant>
        <vt:i4>0</vt:i4>
      </vt:variant>
      <vt:variant>
        <vt:i4>5</vt:i4>
      </vt:variant>
      <vt:variant>
        <vt:lpwstr/>
      </vt:variant>
      <vt:variant>
        <vt:lpwstr>_ENREF_93</vt:lpwstr>
      </vt:variant>
      <vt:variant>
        <vt:i4>4194315</vt:i4>
      </vt:variant>
      <vt:variant>
        <vt:i4>5078</vt:i4>
      </vt:variant>
      <vt:variant>
        <vt:i4>0</vt:i4>
      </vt:variant>
      <vt:variant>
        <vt:i4>5</vt:i4>
      </vt:variant>
      <vt:variant>
        <vt:lpwstr/>
      </vt:variant>
      <vt:variant>
        <vt:lpwstr>_ENREF_10</vt:lpwstr>
      </vt:variant>
      <vt:variant>
        <vt:i4>7929914</vt:i4>
      </vt:variant>
      <vt:variant>
        <vt:i4>5058</vt:i4>
      </vt:variant>
      <vt:variant>
        <vt:i4>0</vt:i4>
      </vt:variant>
      <vt:variant>
        <vt:i4>5</vt:i4>
      </vt:variant>
      <vt:variant>
        <vt:lpwstr/>
      </vt:variant>
      <vt:variant>
        <vt:lpwstr>_ENREF_119</vt:lpwstr>
      </vt:variant>
      <vt:variant>
        <vt:i4>4325387</vt:i4>
      </vt:variant>
      <vt:variant>
        <vt:i4>5055</vt:i4>
      </vt:variant>
      <vt:variant>
        <vt:i4>0</vt:i4>
      </vt:variant>
      <vt:variant>
        <vt:i4>5</vt:i4>
      </vt:variant>
      <vt:variant>
        <vt:lpwstr/>
      </vt:variant>
      <vt:variant>
        <vt:lpwstr>_ENREF_3</vt:lpwstr>
      </vt:variant>
      <vt:variant>
        <vt:i4>7798844</vt:i4>
      </vt:variant>
      <vt:variant>
        <vt:i4>4970</vt:i4>
      </vt:variant>
      <vt:variant>
        <vt:i4>0</vt:i4>
      </vt:variant>
      <vt:variant>
        <vt:i4>5</vt:i4>
      </vt:variant>
      <vt:variant>
        <vt:lpwstr/>
      </vt:variant>
      <vt:variant>
        <vt:lpwstr>_ENREF_177</vt:lpwstr>
      </vt:variant>
      <vt:variant>
        <vt:i4>4390923</vt:i4>
      </vt:variant>
      <vt:variant>
        <vt:i4>4949</vt:i4>
      </vt:variant>
      <vt:variant>
        <vt:i4>0</vt:i4>
      </vt:variant>
      <vt:variant>
        <vt:i4>5</vt:i4>
      </vt:variant>
      <vt:variant>
        <vt:lpwstr/>
      </vt:variant>
      <vt:variant>
        <vt:lpwstr>_ENREF_24</vt:lpwstr>
      </vt:variant>
      <vt:variant>
        <vt:i4>7929907</vt:i4>
      </vt:variant>
      <vt:variant>
        <vt:i4>4943</vt:i4>
      </vt:variant>
      <vt:variant>
        <vt:i4>0</vt:i4>
      </vt:variant>
      <vt:variant>
        <vt:i4>5</vt:i4>
      </vt:variant>
      <vt:variant>
        <vt:lpwstr/>
      </vt:variant>
      <vt:variant>
        <vt:lpwstr>_ENREF_189</vt:lpwstr>
      </vt:variant>
      <vt:variant>
        <vt:i4>7929907</vt:i4>
      </vt:variant>
      <vt:variant>
        <vt:i4>4937</vt:i4>
      </vt:variant>
      <vt:variant>
        <vt:i4>0</vt:i4>
      </vt:variant>
      <vt:variant>
        <vt:i4>5</vt:i4>
      </vt:variant>
      <vt:variant>
        <vt:lpwstr/>
      </vt:variant>
      <vt:variant>
        <vt:lpwstr>_ENREF_189</vt:lpwstr>
      </vt:variant>
      <vt:variant>
        <vt:i4>4521995</vt:i4>
      </vt:variant>
      <vt:variant>
        <vt:i4>4931</vt:i4>
      </vt:variant>
      <vt:variant>
        <vt:i4>0</vt:i4>
      </vt:variant>
      <vt:variant>
        <vt:i4>5</vt:i4>
      </vt:variant>
      <vt:variant>
        <vt:lpwstr/>
      </vt:variant>
      <vt:variant>
        <vt:lpwstr>_ENREF_40</vt:lpwstr>
      </vt:variant>
      <vt:variant>
        <vt:i4>7340082</vt:i4>
      </vt:variant>
      <vt:variant>
        <vt:i4>4925</vt:i4>
      </vt:variant>
      <vt:variant>
        <vt:i4>0</vt:i4>
      </vt:variant>
      <vt:variant>
        <vt:i4>5</vt:i4>
      </vt:variant>
      <vt:variant>
        <vt:lpwstr/>
      </vt:variant>
      <vt:variant>
        <vt:lpwstr>_ENREF_190</vt:lpwstr>
      </vt:variant>
      <vt:variant>
        <vt:i4>7536701</vt:i4>
      </vt:variant>
      <vt:variant>
        <vt:i4>4919</vt:i4>
      </vt:variant>
      <vt:variant>
        <vt:i4>0</vt:i4>
      </vt:variant>
      <vt:variant>
        <vt:i4>5</vt:i4>
      </vt:variant>
      <vt:variant>
        <vt:lpwstr/>
      </vt:variant>
      <vt:variant>
        <vt:lpwstr>_ENREF_163</vt:lpwstr>
      </vt:variant>
      <vt:variant>
        <vt:i4>4653067</vt:i4>
      </vt:variant>
      <vt:variant>
        <vt:i4>4910</vt:i4>
      </vt:variant>
      <vt:variant>
        <vt:i4>0</vt:i4>
      </vt:variant>
      <vt:variant>
        <vt:i4>5</vt:i4>
      </vt:variant>
      <vt:variant>
        <vt:lpwstr/>
      </vt:variant>
      <vt:variant>
        <vt:lpwstr>_ENREF_68</vt:lpwstr>
      </vt:variant>
      <vt:variant>
        <vt:i4>4653067</vt:i4>
      </vt:variant>
      <vt:variant>
        <vt:i4>4867</vt:i4>
      </vt:variant>
      <vt:variant>
        <vt:i4>0</vt:i4>
      </vt:variant>
      <vt:variant>
        <vt:i4>5</vt:i4>
      </vt:variant>
      <vt:variant>
        <vt:lpwstr/>
      </vt:variant>
      <vt:variant>
        <vt:lpwstr>_ENREF_64</vt:lpwstr>
      </vt:variant>
      <vt:variant>
        <vt:i4>4194315</vt:i4>
      </vt:variant>
      <vt:variant>
        <vt:i4>4864</vt:i4>
      </vt:variant>
      <vt:variant>
        <vt:i4>0</vt:i4>
      </vt:variant>
      <vt:variant>
        <vt:i4>5</vt:i4>
      </vt:variant>
      <vt:variant>
        <vt:lpwstr/>
      </vt:variant>
      <vt:variant>
        <vt:lpwstr>_ENREF_1</vt:lpwstr>
      </vt:variant>
      <vt:variant>
        <vt:i4>4325387</vt:i4>
      </vt:variant>
      <vt:variant>
        <vt:i4>4839</vt:i4>
      </vt:variant>
      <vt:variant>
        <vt:i4>0</vt:i4>
      </vt:variant>
      <vt:variant>
        <vt:i4>5</vt:i4>
      </vt:variant>
      <vt:variant>
        <vt:lpwstr/>
      </vt:variant>
      <vt:variant>
        <vt:lpwstr>_ENREF_39</vt:lpwstr>
      </vt:variant>
      <vt:variant>
        <vt:i4>4325387</vt:i4>
      </vt:variant>
      <vt:variant>
        <vt:i4>4830</vt:i4>
      </vt:variant>
      <vt:variant>
        <vt:i4>0</vt:i4>
      </vt:variant>
      <vt:variant>
        <vt:i4>5</vt:i4>
      </vt:variant>
      <vt:variant>
        <vt:lpwstr/>
      </vt:variant>
      <vt:variant>
        <vt:lpwstr>_ENREF_39</vt:lpwstr>
      </vt:variant>
      <vt:variant>
        <vt:i4>7929914</vt:i4>
      </vt:variant>
      <vt:variant>
        <vt:i4>4703</vt:i4>
      </vt:variant>
      <vt:variant>
        <vt:i4>0</vt:i4>
      </vt:variant>
      <vt:variant>
        <vt:i4>5</vt:i4>
      </vt:variant>
      <vt:variant>
        <vt:lpwstr/>
      </vt:variant>
      <vt:variant>
        <vt:lpwstr>_ENREF_119</vt:lpwstr>
      </vt:variant>
      <vt:variant>
        <vt:i4>4325387</vt:i4>
      </vt:variant>
      <vt:variant>
        <vt:i4>4700</vt:i4>
      </vt:variant>
      <vt:variant>
        <vt:i4>0</vt:i4>
      </vt:variant>
      <vt:variant>
        <vt:i4>5</vt:i4>
      </vt:variant>
      <vt:variant>
        <vt:lpwstr/>
      </vt:variant>
      <vt:variant>
        <vt:lpwstr>_ENREF_3</vt:lpwstr>
      </vt:variant>
      <vt:variant>
        <vt:i4>7798845</vt:i4>
      </vt:variant>
      <vt:variant>
        <vt:i4>4654</vt:i4>
      </vt:variant>
      <vt:variant>
        <vt:i4>0</vt:i4>
      </vt:variant>
      <vt:variant>
        <vt:i4>5</vt:i4>
      </vt:variant>
      <vt:variant>
        <vt:lpwstr/>
      </vt:variant>
      <vt:variant>
        <vt:lpwstr>_ENREF_167</vt:lpwstr>
      </vt:variant>
      <vt:variant>
        <vt:i4>7864381</vt:i4>
      </vt:variant>
      <vt:variant>
        <vt:i4>4648</vt:i4>
      </vt:variant>
      <vt:variant>
        <vt:i4>0</vt:i4>
      </vt:variant>
      <vt:variant>
        <vt:i4>5</vt:i4>
      </vt:variant>
      <vt:variant>
        <vt:lpwstr/>
      </vt:variant>
      <vt:variant>
        <vt:lpwstr>_ENREF_168</vt:lpwstr>
      </vt:variant>
      <vt:variant>
        <vt:i4>7864381</vt:i4>
      </vt:variant>
      <vt:variant>
        <vt:i4>4642</vt:i4>
      </vt:variant>
      <vt:variant>
        <vt:i4>0</vt:i4>
      </vt:variant>
      <vt:variant>
        <vt:i4>5</vt:i4>
      </vt:variant>
      <vt:variant>
        <vt:lpwstr/>
      </vt:variant>
      <vt:variant>
        <vt:lpwstr>_ENREF_168</vt:lpwstr>
      </vt:variant>
      <vt:variant>
        <vt:i4>7864381</vt:i4>
      </vt:variant>
      <vt:variant>
        <vt:i4>4636</vt:i4>
      </vt:variant>
      <vt:variant>
        <vt:i4>0</vt:i4>
      </vt:variant>
      <vt:variant>
        <vt:i4>5</vt:i4>
      </vt:variant>
      <vt:variant>
        <vt:lpwstr/>
      </vt:variant>
      <vt:variant>
        <vt:lpwstr>_ENREF_168</vt:lpwstr>
      </vt:variant>
      <vt:variant>
        <vt:i4>4456459</vt:i4>
      </vt:variant>
      <vt:variant>
        <vt:i4>4632</vt:i4>
      </vt:variant>
      <vt:variant>
        <vt:i4>0</vt:i4>
      </vt:variant>
      <vt:variant>
        <vt:i4>5</vt:i4>
      </vt:variant>
      <vt:variant>
        <vt:lpwstr/>
      </vt:variant>
      <vt:variant>
        <vt:lpwstr>_ENREF_53</vt:lpwstr>
      </vt:variant>
      <vt:variant>
        <vt:i4>4521995</vt:i4>
      </vt:variant>
      <vt:variant>
        <vt:i4>4629</vt:i4>
      </vt:variant>
      <vt:variant>
        <vt:i4>0</vt:i4>
      </vt:variant>
      <vt:variant>
        <vt:i4>5</vt:i4>
      </vt:variant>
      <vt:variant>
        <vt:lpwstr/>
      </vt:variant>
      <vt:variant>
        <vt:lpwstr>_ENREF_49</vt:lpwstr>
      </vt:variant>
      <vt:variant>
        <vt:i4>4587531</vt:i4>
      </vt:variant>
      <vt:variant>
        <vt:i4>4621</vt:i4>
      </vt:variant>
      <vt:variant>
        <vt:i4>0</vt:i4>
      </vt:variant>
      <vt:variant>
        <vt:i4>5</vt:i4>
      </vt:variant>
      <vt:variant>
        <vt:lpwstr/>
      </vt:variant>
      <vt:variant>
        <vt:lpwstr>_ENREF_79</vt:lpwstr>
      </vt:variant>
      <vt:variant>
        <vt:i4>4587531</vt:i4>
      </vt:variant>
      <vt:variant>
        <vt:i4>4615</vt:i4>
      </vt:variant>
      <vt:variant>
        <vt:i4>0</vt:i4>
      </vt:variant>
      <vt:variant>
        <vt:i4>5</vt:i4>
      </vt:variant>
      <vt:variant>
        <vt:lpwstr/>
      </vt:variant>
      <vt:variant>
        <vt:lpwstr>_ENREF_79</vt:lpwstr>
      </vt:variant>
      <vt:variant>
        <vt:i4>4587531</vt:i4>
      </vt:variant>
      <vt:variant>
        <vt:i4>4609</vt:i4>
      </vt:variant>
      <vt:variant>
        <vt:i4>0</vt:i4>
      </vt:variant>
      <vt:variant>
        <vt:i4>5</vt:i4>
      </vt:variant>
      <vt:variant>
        <vt:lpwstr/>
      </vt:variant>
      <vt:variant>
        <vt:lpwstr>_ENREF_79</vt:lpwstr>
      </vt:variant>
      <vt:variant>
        <vt:i4>7798844</vt:i4>
      </vt:variant>
      <vt:variant>
        <vt:i4>4573</vt:i4>
      </vt:variant>
      <vt:variant>
        <vt:i4>0</vt:i4>
      </vt:variant>
      <vt:variant>
        <vt:i4>5</vt:i4>
      </vt:variant>
      <vt:variant>
        <vt:lpwstr/>
      </vt:variant>
      <vt:variant>
        <vt:lpwstr>_ENREF_177</vt:lpwstr>
      </vt:variant>
      <vt:variant>
        <vt:i4>7667762</vt:i4>
      </vt:variant>
      <vt:variant>
        <vt:i4>4558</vt:i4>
      </vt:variant>
      <vt:variant>
        <vt:i4>0</vt:i4>
      </vt:variant>
      <vt:variant>
        <vt:i4>5</vt:i4>
      </vt:variant>
      <vt:variant>
        <vt:lpwstr/>
      </vt:variant>
      <vt:variant>
        <vt:lpwstr>_ENREF_195</vt:lpwstr>
      </vt:variant>
      <vt:variant>
        <vt:i4>7340090</vt:i4>
      </vt:variant>
      <vt:variant>
        <vt:i4>4552</vt:i4>
      </vt:variant>
      <vt:variant>
        <vt:i4>0</vt:i4>
      </vt:variant>
      <vt:variant>
        <vt:i4>5</vt:i4>
      </vt:variant>
      <vt:variant>
        <vt:lpwstr/>
      </vt:variant>
      <vt:variant>
        <vt:lpwstr>_ENREF_110</vt:lpwstr>
      </vt:variant>
      <vt:variant>
        <vt:i4>7798840</vt:i4>
      </vt:variant>
      <vt:variant>
        <vt:i4>4546</vt:i4>
      </vt:variant>
      <vt:variant>
        <vt:i4>0</vt:i4>
      </vt:variant>
      <vt:variant>
        <vt:i4>5</vt:i4>
      </vt:variant>
      <vt:variant>
        <vt:lpwstr/>
      </vt:variant>
      <vt:variant>
        <vt:lpwstr>_ENREF_234</vt:lpwstr>
      </vt:variant>
      <vt:variant>
        <vt:i4>7602232</vt:i4>
      </vt:variant>
      <vt:variant>
        <vt:i4>4534</vt:i4>
      </vt:variant>
      <vt:variant>
        <vt:i4>0</vt:i4>
      </vt:variant>
      <vt:variant>
        <vt:i4>5</vt:i4>
      </vt:variant>
      <vt:variant>
        <vt:lpwstr/>
      </vt:variant>
      <vt:variant>
        <vt:lpwstr>_ENREF_237</vt:lpwstr>
      </vt:variant>
      <vt:variant>
        <vt:i4>7602233</vt:i4>
      </vt:variant>
      <vt:variant>
        <vt:i4>4525</vt:i4>
      </vt:variant>
      <vt:variant>
        <vt:i4>0</vt:i4>
      </vt:variant>
      <vt:variant>
        <vt:i4>5</vt:i4>
      </vt:variant>
      <vt:variant>
        <vt:lpwstr/>
      </vt:variant>
      <vt:variant>
        <vt:lpwstr>_ENREF_124</vt:lpwstr>
      </vt:variant>
      <vt:variant>
        <vt:i4>8060985</vt:i4>
      </vt:variant>
      <vt:variant>
        <vt:i4>4519</vt:i4>
      </vt:variant>
      <vt:variant>
        <vt:i4>0</vt:i4>
      </vt:variant>
      <vt:variant>
        <vt:i4>5</vt:i4>
      </vt:variant>
      <vt:variant>
        <vt:lpwstr/>
      </vt:variant>
      <vt:variant>
        <vt:lpwstr>_ENREF_228</vt:lpwstr>
      </vt:variant>
      <vt:variant>
        <vt:i4>4521995</vt:i4>
      </vt:variant>
      <vt:variant>
        <vt:i4>4513</vt:i4>
      </vt:variant>
      <vt:variant>
        <vt:i4>0</vt:i4>
      </vt:variant>
      <vt:variant>
        <vt:i4>5</vt:i4>
      </vt:variant>
      <vt:variant>
        <vt:lpwstr/>
      </vt:variant>
      <vt:variant>
        <vt:lpwstr>_ENREF_47</vt:lpwstr>
      </vt:variant>
      <vt:variant>
        <vt:i4>4521995</vt:i4>
      </vt:variant>
      <vt:variant>
        <vt:i4>4507</vt:i4>
      </vt:variant>
      <vt:variant>
        <vt:i4>0</vt:i4>
      </vt:variant>
      <vt:variant>
        <vt:i4>5</vt:i4>
      </vt:variant>
      <vt:variant>
        <vt:lpwstr/>
      </vt:variant>
      <vt:variant>
        <vt:lpwstr>_ENREF_46</vt:lpwstr>
      </vt:variant>
      <vt:variant>
        <vt:i4>7929919</vt:i4>
      </vt:variant>
      <vt:variant>
        <vt:i4>4501</vt:i4>
      </vt:variant>
      <vt:variant>
        <vt:i4>0</vt:i4>
      </vt:variant>
      <vt:variant>
        <vt:i4>5</vt:i4>
      </vt:variant>
      <vt:variant>
        <vt:lpwstr/>
      </vt:variant>
      <vt:variant>
        <vt:lpwstr>_ENREF_149</vt:lpwstr>
      </vt:variant>
      <vt:variant>
        <vt:i4>7733310</vt:i4>
      </vt:variant>
      <vt:variant>
        <vt:i4>4495</vt:i4>
      </vt:variant>
      <vt:variant>
        <vt:i4>0</vt:i4>
      </vt:variant>
      <vt:variant>
        <vt:i4>5</vt:i4>
      </vt:variant>
      <vt:variant>
        <vt:lpwstr/>
      </vt:variant>
      <vt:variant>
        <vt:lpwstr>_ENREF_156</vt:lpwstr>
      </vt:variant>
      <vt:variant>
        <vt:i4>4521995</vt:i4>
      </vt:variant>
      <vt:variant>
        <vt:i4>4489</vt:i4>
      </vt:variant>
      <vt:variant>
        <vt:i4>0</vt:i4>
      </vt:variant>
      <vt:variant>
        <vt:i4>5</vt:i4>
      </vt:variant>
      <vt:variant>
        <vt:lpwstr/>
      </vt:variant>
      <vt:variant>
        <vt:lpwstr>_ENREF_47</vt:lpwstr>
      </vt:variant>
      <vt:variant>
        <vt:i4>7340082</vt:i4>
      </vt:variant>
      <vt:variant>
        <vt:i4>4483</vt:i4>
      </vt:variant>
      <vt:variant>
        <vt:i4>0</vt:i4>
      </vt:variant>
      <vt:variant>
        <vt:i4>5</vt:i4>
      </vt:variant>
      <vt:variant>
        <vt:lpwstr/>
      </vt:variant>
      <vt:variant>
        <vt:lpwstr>_ENREF_190</vt:lpwstr>
      </vt:variant>
      <vt:variant>
        <vt:i4>8060985</vt:i4>
      </vt:variant>
      <vt:variant>
        <vt:i4>4474</vt:i4>
      </vt:variant>
      <vt:variant>
        <vt:i4>0</vt:i4>
      </vt:variant>
      <vt:variant>
        <vt:i4>5</vt:i4>
      </vt:variant>
      <vt:variant>
        <vt:lpwstr/>
      </vt:variant>
      <vt:variant>
        <vt:lpwstr>_ENREF_228</vt:lpwstr>
      </vt:variant>
      <vt:variant>
        <vt:i4>4653067</vt:i4>
      </vt:variant>
      <vt:variant>
        <vt:i4>4468</vt:i4>
      </vt:variant>
      <vt:variant>
        <vt:i4>0</vt:i4>
      </vt:variant>
      <vt:variant>
        <vt:i4>5</vt:i4>
      </vt:variant>
      <vt:variant>
        <vt:lpwstr/>
      </vt:variant>
      <vt:variant>
        <vt:lpwstr>_ENREF_65</vt:lpwstr>
      </vt:variant>
      <vt:variant>
        <vt:i4>4587531</vt:i4>
      </vt:variant>
      <vt:variant>
        <vt:i4>4456</vt:i4>
      </vt:variant>
      <vt:variant>
        <vt:i4>0</vt:i4>
      </vt:variant>
      <vt:variant>
        <vt:i4>5</vt:i4>
      </vt:variant>
      <vt:variant>
        <vt:lpwstr/>
      </vt:variant>
      <vt:variant>
        <vt:lpwstr>_ENREF_79</vt:lpwstr>
      </vt:variant>
      <vt:variant>
        <vt:i4>4718603</vt:i4>
      </vt:variant>
      <vt:variant>
        <vt:i4>4441</vt:i4>
      </vt:variant>
      <vt:variant>
        <vt:i4>0</vt:i4>
      </vt:variant>
      <vt:variant>
        <vt:i4>5</vt:i4>
      </vt:variant>
      <vt:variant>
        <vt:lpwstr/>
      </vt:variant>
      <vt:variant>
        <vt:lpwstr>_ENREF_92</vt:lpwstr>
      </vt:variant>
      <vt:variant>
        <vt:i4>7536698</vt:i4>
      </vt:variant>
      <vt:variant>
        <vt:i4>4435</vt:i4>
      </vt:variant>
      <vt:variant>
        <vt:i4>0</vt:i4>
      </vt:variant>
      <vt:variant>
        <vt:i4>5</vt:i4>
      </vt:variant>
      <vt:variant>
        <vt:lpwstr/>
      </vt:variant>
      <vt:variant>
        <vt:lpwstr>_ENREF_113</vt:lpwstr>
      </vt:variant>
      <vt:variant>
        <vt:i4>4325387</vt:i4>
      </vt:variant>
      <vt:variant>
        <vt:i4>4351</vt:i4>
      </vt:variant>
      <vt:variant>
        <vt:i4>0</vt:i4>
      </vt:variant>
      <vt:variant>
        <vt:i4>5</vt:i4>
      </vt:variant>
      <vt:variant>
        <vt:lpwstr/>
      </vt:variant>
      <vt:variant>
        <vt:lpwstr>_ENREF_39</vt:lpwstr>
      </vt:variant>
      <vt:variant>
        <vt:i4>4325387</vt:i4>
      </vt:variant>
      <vt:variant>
        <vt:i4>4342</vt:i4>
      </vt:variant>
      <vt:variant>
        <vt:i4>0</vt:i4>
      </vt:variant>
      <vt:variant>
        <vt:i4>5</vt:i4>
      </vt:variant>
      <vt:variant>
        <vt:lpwstr/>
      </vt:variant>
      <vt:variant>
        <vt:lpwstr>_ENREF_39</vt:lpwstr>
      </vt:variant>
      <vt:variant>
        <vt:i4>7667771</vt:i4>
      </vt:variant>
      <vt:variant>
        <vt:i4>4252</vt:i4>
      </vt:variant>
      <vt:variant>
        <vt:i4>0</vt:i4>
      </vt:variant>
      <vt:variant>
        <vt:i4>5</vt:i4>
      </vt:variant>
      <vt:variant>
        <vt:lpwstr/>
      </vt:variant>
      <vt:variant>
        <vt:lpwstr>_ENREF_105</vt:lpwstr>
      </vt:variant>
      <vt:variant>
        <vt:i4>7340090</vt:i4>
      </vt:variant>
      <vt:variant>
        <vt:i4>4248</vt:i4>
      </vt:variant>
      <vt:variant>
        <vt:i4>0</vt:i4>
      </vt:variant>
      <vt:variant>
        <vt:i4>5</vt:i4>
      </vt:variant>
      <vt:variant>
        <vt:lpwstr/>
      </vt:variant>
      <vt:variant>
        <vt:lpwstr>_ENREF_110</vt:lpwstr>
      </vt:variant>
      <vt:variant>
        <vt:i4>4718603</vt:i4>
      </vt:variant>
      <vt:variant>
        <vt:i4>4245</vt:i4>
      </vt:variant>
      <vt:variant>
        <vt:i4>0</vt:i4>
      </vt:variant>
      <vt:variant>
        <vt:i4>5</vt:i4>
      </vt:variant>
      <vt:variant>
        <vt:lpwstr/>
      </vt:variant>
      <vt:variant>
        <vt:lpwstr>_ENREF_93</vt:lpwstr>
      </vt:variant>
      <vt:variant>
        <vt:i4>4194315</vt:i4>
      </vt:variant>
      <vt:variant>
        <vt:i4>4242</vt:i4>
      </vt:variant>
      <vt:variant>
        <vt:i4>0</vt:i4>
      </vt:variant>
      <vt:variant>
        <vt:i4>5</vt:i4>
      </vt:variant>
      <vt:variant>
        <vt:lpwstr/>
      </vt:variant>
      <vt:variant>
        <vt:lpwstr>_ENREF_10</vt:lpwstr>
      </vt:variant>
      <vt:variant>
        <vt:i4>7929914</vt:i4>
      </vt:variant>
      <vt:variant>
        <vt:i4>4216</vt:i4>
      </vt:variant>
      <vt:variant>
        <vt:i4>0</vt:i4>
      </vt:variant>
      <vt:variant>
        <vt:i4>5</vt:i4>
      </vt:variant>
      <vt:variant>
        <vt:lpwstr/>
      </vt:variant>
      <vt:variant>
        <vt:lpwstr>_ENREF_119</vt:lpwstr>
      </vt:variant>
      <vt:variant>
        <vt:i4>4325387</vt:i4>
      </vt:variant>
      <vt:variant>
        <vt:i4>4213</vt:i4>
      </vt:variant>
      <vt:variant>
        <vt:i4>0</vt:i4>
      </vt:variant>
      <vt:variant>
        <vt:i4>5</vt:i4>
      </vt:variant>
      <vt:variant>
        <vt:lpwstr/>
      </vt:variant>
      <vt:variant>
        <vt:lpwstr>_ENREF_3</vt:lpwstr>
      </vt:variant>
      <vt:variant>
        <vt:i4>7733309</vt:i4>
      </vt:variant>
      <vt:variant>
        <vt:i4>4155</vt:i4>
      </vt:variant>
      <vt:variant>
        <vt:i4>0</vt:i4>
      </vt:variant>
      <vt:variant>
        <vt:i4>5</vt:i4>
      </vt:variant>
      <vt:variant>
        <vt:lpwstr/>
      </vt:variant>
      <vt:variant>
        <vt:lpwstr>_ENREF_265</vt:lpwstr>
      </vt:variant>
      <vt:variant>
        <vt:i4>7733309</vt:i4>
      </vt:variant>
      <vt:variant>
        <vt:i4>4149</vt:i4>
      </vt:variant>
      <vt:variant>
        <vt:i4>0</vt:i4>
      </vt:variant>
      <vt:variant>
        <vt:i4>5</vt:i4>
      </vt:variant>
      <vt:variant>
        <vt:lpwstr/>
      </vt:variant>
      <vt:variant>
        <vt:lpwstr>_ENREF_265</vt:lpwstr>
      </vt:variant>
      <vt:variant>
        <vt:i4>7864376</vt:i4>
      </vt:variant>
      <vt:variant>
        <vt:i4>4143</vt:i4>
      </vt:variant>
      <vt:variant>
        <vt:i4>0</vt:i4>
      </vt:variant>
      <vt:variant>
        <vt:i4>5</vt:i4>
      </vt:variant>
      <vt:variant>
        <vt:lpwstr/>
      </vt:variant>
      <vt:variant>
        <vt:lpwstr>_ENREF_138</vt:lpwstr>
      </vt:variant>
      <vt:variant>
        <vt:i4>7864376</vt:i4>
      </vt:variant>
      <vt:variant>
        <vt:i4>4137</vt:i4>
      </vt:variant>
      <vt:variant>
        <vt:i4>0</vt:i4>
      </vt:variant>
      <vt:variant>
        <vt:i4>5</vt:i4>
      </vt:variant>
      <vt:variant>
        <vt:lpwstr/>
      </vt:variant>
      <vt:variant>
        <vt:lpwstr>_ENREF_138</vt:lpwstr>
      </vt:variant>
      <vt:variant>
        <vt:i4>7733309</vt:i4>
      </vt:variant>
      <vt:variant>
        <vt:i4>4133</vt:i4>
      </vt:variant>
      <vt:variant>
        <vt:i4>0</vt:i4>
      </vt:variant>
      <vt:variant>
        <vt:i4>5</vt:i4>
      </vt:variant>
      <vt:variant>
        <vt:lpwstr/>
      </vt:variant>
      <vt:variant>
        <vt:lpwstr>_ENREF_265</vt:lpwstr>
      </vt:variant>
      <vt:variant>
        <vt:i4>7864376</vt:i4>
      </vt:variant>
      <vt:variant>
        <vt:i4>4130</vt:i4>
      </vt:variant>
      <vt:variant>
        <vt:i4>0</vt:i4>
      </vt:variant>
      <vt:variant>
        <vt:i4>5</vt:i4>
      </vt:variant>
      <vt:variant>
        <vt:lpwstr/>
      </vt:variant>
      <vt:variant>
        <vt:lpwstr>_ENREF_138</vt:lpwstr>
      </vt:variant>
      <vt:variant>
        <vt:i4>7602239</vt:i4>
      </vt:variant>
      <vt:variant>
        <vt:i4>4071</vt:i4>
      </vt:variant>
      <vt:variant>
        <vt:i4>0</vt:i4>
      </vt:variant>
      <vt:variant>
        <vt:i4>5</vt:i4>
      </vt:variant>
      <vt:variant>
        <vt:lpwstr/>
      </vt:variant>
      <vt:variant>
        <vt:lpwstr>_ENREF_247</vt:lpwstr>
      </vt:variant>
      <vt:variant>
        <vt:i4>7340091</vt:i4>
      </vt:variant>
      <vt:variant>
        <vt:i4>4067</vt:i4>
      </vt:variant>
      <vt:variant>
        <vt:i4>0</vt:i4>
      </vt:variant>
      <vt:variant>
        <vt:i4>5</vt:i4>
      </vt:variant>
      <vt:variant>
        <vt:lpwstr/>
      </vt:variant>
      <vt:variant>
        <vt:lpwstr>_ENREF_100</vt:lpwstr>
      </vt:variant>
      <vt:variant>
        <vt:i4>7929915</vt:i4>
      </vt:variant>
      <vt:variant>
        <vt:i4>4064</vt:i4>
      </vt:variant>
      <vt:variant>
        <vt:i4>0</vt:i4>
      </vt:variant>
      <vt:variant>
        <vt:i4>5</vt:i4>
      </vt:variant>
      <vt:variant>
        <vt:lpwstr/>
      </vt:variant>
      <vt:variant>
        <vt:lpwstr>_ENREF_109</vt:lpwstr>
      </vt:variant>
      <vt:variant>
        <vt:i4>7798840</vt:i4>
      </vt:variant>
      <vt:variant>
        <vt:i4>4061</vt:i4>
      </vt:variant>
      <vt:variant>
        <vt:i4>0</vt:i4>
      </vt:variant>
      <vt:variant>
        <vt:i4>5</vt:i4>
      </vt:variant>
      <vt:variant>
        <vt:lpwstr/>
      </vt:variant>
      <vt:variant>
        <vt:lpwstr>_ENREF_234</vt:lpwstr>
      </vt:variant>
      <vt:variant>
        <vt:i4>7733310</vt:i4>
      </vt:variant>
      <vt:variant>
        <vt:i4>4033</vt:i4>
      </vt:variant>
      <vt:variant>
        <vt:i4>0</vt:i4>
      </vt:variant>
      <vt:variant>
        <vt:i4>5</vt:i4>
      </vt:variant>
      <vt:variant>
        <vt:lpwstr/>
      </vt:variant>
      <vt:variant>
        <vt:lpwstr>_ENREF_156</vt:lpwstr>
      </vt:variant>
      <vt:variant>
        <vt:i4>4521995</vt:i4>
      </vt:variant>
      <vt:variant>
        <vt:i4>4027</vt:i4>
      </vt:variant>
      <vt:variant>
        <vt:i4>0</vt:i4>
      </vt:variant>
      <vt:variant>
        <vt:i4>5</vt:i4>
      </vt:variant>
      <vt:variant>
        <vt:lpwstr/>
      </vt:variant>
      <vt:variant>
        <vt:lpwstr>_ENREF_47</vt:lpwstr>
      </vt:variant>
      <vt:variant>
        <vt:i4>7340082</vt:i4>
      </vt:variant>
      <vt:variant>
        <vt:i4>4021</vt:i4>
      </vt:variant>
      <vt:variant>
        <vt:i4>0</vt:i4>
      </vt:variant>
      <vt:variant>
        <vt:i4>5</vt:i4>
      </vt:variant>
      <vt:variant>
        <vt:lpwstr/>
      </vt:variant>
      <vt:variant>
        <vt:lpwstr>_ENREF_190</vt:lpwstr>
      </vt:variant>
      <vt:variant>
        <vt:i4>4653067</vt:i4>
      </vt:variant>
      <vt:variant>
        <vt:i4>4015</vt:i4>
      </vt:variant>
      <vt:variant>
        <vt:i4>0</vt:i4>
      </vt:variant>
      <vt:variant>
        <vt:i4>5</vt:i4>
      </vt:variant>
      <vt:variant>
        <vt:lpwstr/>
      </vt:variant>
      <vt:variant>
        <vt:lpwstr>_ENREF_69</vt:lpwstr>
      </vt:variant>
      <vt:variant>
        <vt:i4>7667772</vt:i4>
      </vt:variant>
      <vt:variant>
        <vt:i4>3985</vt:i4>
      </vt:variant>
      <vt:variant>
        <vt:i4>0</vt:i4>
      </vt:variant>
      <vt:variant>
        <vt:i4>5</vt:i4>
      </vt:variant>
      <vt:variant>
        <vt:lpwstr/>
      </vt:variant>
      <vt:variant>
        <vt:lpwstr>_ENREF_175</vt:lpwstr>
      </vt:variant>
      <vt:variant>
        <vt:i4>7667772</vt:i4>
      </vt:variant>
      <vt:variant>
        <vt:i4>3979</vt:i4>
      </vt:variant>
      <vt:variant>
        <vt:i4>0</vt:i4>
      </vt:variant>
      <vt:variant>
        <vt:i4>5</vt:i4>
      </vt:variant>
      <vt:variant>
        <vt:lpwstr/>
      </vt:variant>
      <vt:variant>
        <vt:lpwstr>_ENREF_175</vt:lpwstr>
      </vt:variant>
      <vt:variant>
        <vt:i4>4325387</vt:i4>
      </vt:variant>
      <vt:variant>
        <vt:i4>3961</vt:i4>
      </vt:variant>
      <vt:variant>
        <vt:i4>0</vt:i4>
      </vt:variant>
      <vt:variant>
        <vt:i4>5</vt:i4>
      </vt:variant>
      <vt:variant>
        <vt:lpwstr/>
      </vt:variant>
      <vt:variant>
        <vt:lpwstr>_ENREF_39</vt:lpwstr>
      </vt:variant>
      <vt:variant>
        <vt:i4>7667771</vt:i4>
      </vt:variant>
      <vt:variant>
        <vt:i4>3895</vt:i4>
      </vt:variant>
      <vt:variant>
        <vt:i4>0</vt:i4>
      </vt:variant>
      <vt:variant>
        <vt:i4>5</vt:i4>
      </vt:variant>
      <vt:variant>
        <vt:lpwstr/>
      </vt:variant>
      <vt:variant>
        <vt:lpwstr>_ENREF_105</vt:lpwstr>
      </vt:variant>
      <vt:variant>
        <vt:i4>7340090</vt:i4>
      </vt:variant>
      <vt:variant>
        <vt:i4>3891</vt:i4>
      </vt:variant>
      <vt:variant>
        <vt:i4>0</vt:i4>
      </vt:variant>
      <vt:variant>
        <vt:i4>5</vt:i4>
      </vt:variant>
      <vt:variant>
        <vt:lpwstr/>
      </vt:variant>
      <vt:variant>
        <vt:lpwstr>_ENREF_110</vt:lpwstr>
      </vt:variant>
      <vt:variant>
        <vt:i4>4718603</vt:i4>
      </vt:variant>
      <vt:variant>
        <vt:i4>3888</vt:i4>
      </vt:variant>
      <vt:variant>
        <vt:i4>0</vt:i4>
      </vt:variant>
      <vt:variant>
        <vt:i4>5</vt:i4>
      </vt:variant>
      <vt:variant>
        <vt:lpwstr/>
      </vt:variant>
      <vt:variant>
        <vt:lpwstr>_ENREF_93</vt:lpwstr>
      </vt:variant>
      <vt:variant>
        <vt:i4>4194315</vt:i4>
      </vt:variant>
      <vt:variant>
        <vt:i4>3885</vt:i4>
      </vt:variant>
      <vt:variant>
        <vt:i4>0</vt:i4>
      </vt:variant>
      <vt:variant>
        <vt:i4>5</vt:i4>
      </vt:variant>
      <vt:variant>
        <vt:lpwstr/>
      </vt:variant>
      <vt:variant>
        <vt:lpwstr>_ENREF_10</vt:lpwstr>
      </vt:variant>
      <vt:variant>
        <vt:i4>4325387</vt:i4>
      </vt:variant>
      <vt:variant>
        <vt:i4>3851</vt:i4>
      </vt:variant>
      <vt:variant>
        <vt:i4>0</vt:i4>
      </vt:variant>
      <vt:variant>
        <vt:i4>5</vt:i4>
      </vt:variant>
      <vt:variant>
        <vt:lpwstr/>
      </vt:variant>
      <vt:variant>
        <vt:lpwstr>_ENREF_3</vt:lpwstr>
      </vt:variant>
      <vt:variant>
        <vt:i4>7929916</vt:i4>
      </vt:variant>
      <vt:variant>
        <vt:i4>3764</vt:i4>
      </vt:variant>
      <vt:variant>
        <vt:i4>0</vt:i4>
      </vt:variant>
      <vt:variant>
        <vt:i4>5</vt:i4>
      </vt:variant>
      <vt:variant>
        <vt:lpwstr/>
      </vt:variant>
      <vt:variant>
        <vt:lpwstr>_ENREF_179</vt:lpwstr>
      </vt:variant>
      <vt:variant>
        <vt:i4>4587531</vt:i4>
      </vt:variant>
      <vt:variant>
        <vt:i4>3746</vt:i4>
      </vt:variant>
      <vt:variant>
        <vt:i4>0</vt:i4>
      </vt:variant>
      <vt:variant>
        <vt:i4>5</vt:i4>
      </vt:variant>
      <vt:variant>
        <vt:lpwstr/>
      </vt:variant>
      <vt:variant>
        <vt:lpwstr>_ENREF_77</vt:lpwstr>
      </vt:variant>
      <vt:variant>
        <vt:i4>7536697</vt:i4>
      </vt:variant>
      <vt:variant>
        <vt:i4>3740</vt:i4>
      </vt:variant>
      <vt:variant>
        <vt:i4>0</vt:i4>
      </vt:variant>
      <vt:variant>
        <vt:i4>5</vt:i4>
      </vt:variant>
      <vt:variant>
        <vt:lpwstr/>
      </vt:variant>
      <vt:variant>
        <vt:lpwstr>_ENREF_220</vt:lpwstr>
      </vt:variant>
      <vt:variant>
        <vt:i4>7536697</vt:i4>
      </vt:variant>
      <vt:variant>
        <vt:i4>3734</vt:i4>
      </vt:variant>
      <vt:variant>
        <vt:i4>0</vt:i4>
      </vt:variant>
      <vt:variant>
        <vt:i4>5</vt:i4>
      </vt:variant>
      <vt:variant>
        <vt:lpwstr/>
      </vt:variant>
      <vt:variant>
        <vt:lpwstr>_ENREF_220</vt:lpwstr>
      </vt:variant>
      <vt:variant>
        <vt:i4>7405624</vt:i4>
      </vt:variant>
      <vt:variant>
        <vt:i4>3716</vt:i4>
      </vt:variant>
      <vt:variant>
        <vt:i4>0</vt:i4>
      </vt:variant>
      <vt:variant>
        <vt:i4>5</vt:i4>
      </vt:variant>
      <vt:variant>
        <vt:lpwstr/>
      </vt:variant>
      <vt:variant>
        <vt:lpwstr>_ENREF_131</vt:lpwstr>
      </vt:variant>
      <vt:variant>
        <vt:i4>4521995</vt:i4>
      </vt:variant>
      <vt:variant>
        <vt:i4>3698</vt:i4>
      </vt:variant>
      <vt:variant>
        <vt:i4>0</vt:i4>
      </vt:variant>
      <vt:variant>
        <vt:i4>5</vt:i4>
      </vt:variant>
      <vt:variant>
        <vt:lpwstr/>
      </vt:variant>
      <vt:variant>
        <vt:lpwstr>_ENREF_47</vt:lpwstr>
      </vt:variant>
      <vt:variant>
        <vt:i4>7733306</vt:i4>
      </vt:variant>
      <vt:variant>
        <vt:i4>3694</vt:i4>
      </vt:variant>
      <vt:variant>
        <vt:i4>0</vt:i4>
      </vt:variant>
      <vt:variant>
        <vt:i4>5</vt:i4>
      </vt:variant>
      <vt:variant>
        <vt:lpwstr/>
      </vt:variant>
      <vt:variant>
        <vt:lpwstr>_ENREF_215</vt:lpwstr>
      </vt:variant>
      <vt:variant>
        <vt:i4>7733310</vt:i4>
      </vt:variant>
      <vt:variant>
        <vt:i4>3691</vt:i4>
      </vt:variant>
      <vt:variant>
        <vt:i4>0</vt:i4>
      </vt:variant>
      <vt:variant>
        <vt:i4>5</vt:i4>
      </vt:variant>
      <vt:variant>
        <vt:lpwstr/>
      </vt:variant>
      <vt:variant>
        <vt:lpwstr>_ENREF_156</vt:lpwstr>
      </vt:variant>
      <vt:variant>
        <vt:i4>4456459</vt:i4>
      </vt:variant>
      <vt:variant>
        <vt:i4>3688</vt:i4>
      </vt:variant>
      <vt:variant>
        <vt:i4>0</vt:i4>
      </vt:variant>
      <vt:variant>
        <vt:i4>5</vt:i4>
      </vt:variant>
      <vt:variant>
        <vt:lpwstr/>
      </vt:variant>
      <vt:variant>
        <vt:lpwstr>_ENREF_51</vt:lpwstr>
      </vt:variant>
      <vt:variant>
        <vt:i4>4521995</vt:i4>
      </vt:variant>
      <vt:variant>
        <vt:i4>3678</vt:i4>
      </vt:variant>
      <vt:variant>
        <vt:i4>0</vt:i4>
      </vt:variant>
      <vt:variant>
        <vt:i4>5</vt:i4>
      </vt:variant>
      <vt:variant>
        <vt:lpwstr/>
      </vt:variant>
      <vt:variant>
        <vt:lpwstr>_ENREF_47</vt:lpwstr>
      </vt:variant>
      <vt:variant>
        <vt:i4>7340082</vt:i4>
      </vt:variant>
      <vt:variant>
        <vt:i4>3672</vt:i4>
      </vt:variant>
      <vt:variant>
        <vt:i4>0</vt:i4>
      </vt:variant>
      <vt:variant>
        <vt:i4>5</vt:i4>
      </vt:variant>
      <vt:variant>
        <vt:lpwstr/>
      </vt:variant>
      <vt:variant>
        <vt:lpwstr>_ENREF_190</vt:lpwstr>
      </vt:variant>
      <vt:variant>
        <vt:i4>4718603</vt:i4>
      </vt:variant>
      <vt:variant>
        <vt:i4>3666</vt:i4>
      </vt:variant>
      <vt:variant>
        <vt:i4>0</vt:i4>
      </vt:variant>
      <vt:variant>
        <vt:i4>5</vt:i4>
      </vt:variant>
      <vt:variant>
        <vt:lpwstr/>
      </vt:variant>
      <vt:variant>
        <vt:lpwstr>_ENREF_94</vt:lpwstr>
      </vt:variant>
      <vt:variant>
        <vt:i4>4521995</vt:i4>
      </vt:variant>
      <vt:variant>
        <vt:i4>3639</vt:i4>
      </vt:variant>
      <vt:variant>
        <vt:i4>0</vt:i4>
      </vt:variant>
      <vt:variant>
        <vt:i4>5</vt:i4>
      </vt:variant>
      <vt:variant>
        <vt:lpwstr/>
      </vt:variant>
      <vt:variant>
        <vt:lpwstr>_ENREF_43</vt:lpwstr>
      </vt:variant>
      <vt:variant>
        <vt:i4>4653067</vt:i4>
      </vt:variant>
      <vt:variant>
        <vt:i4>3633</vt:i4>
      </vt:variant>
      <vt:variant>
        <vt:i4>0</vt:i4>
      </vt:variant>
      <vt:variant>
        <vt:i4>5</vt:i4>
      </vt:variant>
      <vt:variant>
        <vt:lpwstr/>
      </vt:variant>
      <vt:variant>
        <vt:lpwstr>_ENREF_64</vt:lpwstr>
      </vt:variant>
      <vt:variant>
        <vt:i4>7471163</vt:i4>
      </vt:variant>
      <vt:variant>
        <vt:i4>3620</vt:i4>
      </vt:variant>
      <vt:variant>
        <vt:i4>0</vt:i4>
      </vt:variant>
      <vt:variant>
        <vt:i4>5</vt:i4>
      </vt:variant>
      <vt:variant>
        <vt:lpwstr/>
      </vt:variant>
      <vt:variant>
        <vt:lpwstr>_ENREF_102</vt:lpwstr>
      </vt:variant>
      <vt:variant>
        <vt:i4>4456459</vt:i4>
      </vt:variant>
      <vt:variant>
        <vt:i4>3617</vt:i4>
      </vt:variant>
      <vt:variant>
        <vt:i4>0</vt:i4>
      </vt:variant>
      <vt:variant>
        <vt:i4>5</vt:i4>
      </vt:variant>
      <vt:variant>
        <vt:lpwstr/>
      </vt:variant>
      <vt:variant>
        <vt:lpwstr>_ENREF_5</vt:lpwstr>
      </vt:variant>
      <vt:variant>
        <vt:i4>4194315</vt:i4>
      </vt:variant>
      <vt:variant>
        <vt:i4>3606</vt:i4>
      </vt:variant>
      <vt:variant>
        <vt:i4>0</vt:i4>
      </vt:variant>
      <vt:variant>
        <vt:i4>5</vt:i4>
      </vt:variant>
      <vt:variant>
        <vt:lpwstr/>
      </vt:variant>
      <vt:variant>
        <vt:lpwstr>_ENREF_13</vt:lpwstr>
      </vt:variant>
      <vt:variant>
        <vt:i4>4653067</vt:i4>
      </vt:variant>
      <vt:variant>
        <vt:i4>3602</vt:i4>
      </vt:variant>
      <vt:variant>
        <vt:i4>0</vt:i4>
      </vt:variant>
      <vt:variant>
        <vt:i4>5</vt:i4>
      </vt:variant>
      <vt:variant>
        <vt:lpwstr/>
      </vt:variant>
      <vt:variant>
        <vt:lpwstr>_ENREF_64</vt:lpwstr>
      </vt:variant>
      <vt:variant>
        <vt:i4>4325387</vt:i4>
      </vt:variant>
      <vt:variant>
        <vt:i4>3599</vt:i4>
      </vt:variant>
      <vt:variant>
        <vt:i4>0</vt:i4>
      </vt:variant>
      <vt:variant>
        <vt:i4>5</vt:i4>
      </vt:variant>
      <vt:variant>
        <vt:lpwstr/>
      </vt:variant>
      <vt:variant>
        <vt:lpwstr>_ENREF_39</vt:lpwstr>
      </vt:variant>
      <vt:variant>
        <vt:i4>4194315</vt:i4>
      </vt:variant>
      <vt:variant>
        <vt:i4>3580</vt:i4>
      </vt:variant>
      <vt:variant>
        <vt:i4>0</vt:i4>
      </vt:variant>
      <vt:variant>
        <vt:i4>5</vt:i4>
      </vt:variant>
      <vt:variant>
        <vt:lpwstr/>
      </vt:variant>
      <vt:variant>
        <vt:lpwstr>_ENREF_13</vt:lpwstr>
      </vt:variant>
      <vt:variant>
        <vt:i4>4653067</vt:i4>
      </vt:variant>
      <vt:variant>
        <vt:i4>3576</vt:i4>
      </vt:variant>
      <vt:variant>
        <vt:i4>0</vt:i4>
      </vt:variant>
      <vt:variant>
        <vt:i4>5</vt:i4>
      </vt:variant>
      <vt:variant>
        <vt:lpwstr/>
      </vt:variant>
      <vt:variant>
        <vt:lpwstr>_ENREF_64</vt:lpwstr>
      </vt:variant>
      <vt:variant>
        <vt:i4>4325387</vt:i4>
      </vt:variant>
      <vt:variant>
        <vt:i4>3573</vt:i4>
      </vt:variant>
      <vt:variant>
        <vt:i4>0</vt:i4>
      </vt:variant>
      <vt:variant>
        <vt:i4>5</vt:i4>
      </vt:variant>
      <vt:variant>
        <vt:lpwstr/>
      </vt:variant>
      <vt:variant>
        <vt:lpwstr>_ENREF_39</vt:lpwstr>
      </vt:variant>
      <vt:variant>
        <vt:i4>7667771</vt:i4>
      </vt:variant>
      <vt:variant>
        <vt:i4>3539</vt:i4>
      </vt:variant>
      <vt:variant>
        <vt:i4>0</vt:i4>
      </vt:variant>
      <vt:variant>
        <vt:i4>5</vt:i4>
      </vt:variant>
      <vt:variant>
        <vt:lpwstr/>
      </vt:variant>
      <vt:variant>
        <vt:lpwstr>_ENREF_105</vt:lpwstr>
      </vt:variant>
      <vt:variant>
        <vt:i4>7340090</vt:i4>
      </vt:variant>
      <vt:variant>
        <vt:i4>3535</vt:i4>
      </vt:variant>
      <vt:variant>
        <vt:i4>0</vt:i4>
      </vt:variant>
      <vt:variant>
        <vt:i4>5</vt:i4>
      </vt:variant>
      <vt:variant>
        <vt:lpwstr/>
      </vt:variant>
      <vt:variant>
        <vt:lpwstr>_ENREF_110</vt:lpwstr>
      </vt:variant>
      <vt:variant>
        <vt:i4>4718603</vt:i4>
      </vt:variant>
      <vt:variant>
        <vt:i4>3532</vt:i4>
      </vt:variant>
      <vt:variant>
        <vt:i4>0</vt:i4>
      </vt:variant>
      <vt:variant>
        <vt:i4>5</vt:i4>
      </vt:variant>
      <vt:variant>
        <vt:lpwstr/>
      </vt:variant>
      <vt:variant>
        <vt:lpwstr>_ENREF_93</vt:lpwstr>
      </vt:variant>
      <vt:variant>
        <vt:i4>4194315</vt:i4>
      </vt:variant>
      <vt:variant>
        <vt:i4>3529</vt:i4>
      </vt:variant>
      <vt:variant>
        <vt:i4>0</vt:i4>
      </vt:variant>
      <vt:variant>
        <vt:i4>5</vt:i4>
      </vt:variant>
      <vt:variant>
        <vt:lpwstr/>
      </vt:variant>
      <vt:variant>
        <vt:lpwstr>_ENREF_10</vt:lpwstr>
      </vt:variant>
      <vt:variant>
        <vt:i4>7929914</vt:i4>
      </vt:variant>
      <vt:variant>
        <vt:i4>3494</vt:i4>
      </vt:variant>
      <vt:variant>
        <vt:i4>0</vt:i4>
      </vt:variant>
      <vt:variant>
        <vt:i4>5</vt:i4>
      </vt:variant>
      <vt:variant>
        <vt:lpwstr/>
      </vt:variant>
      <vt:variant>
        <vt:lpwstr>_ENREF_119</vt:lpwstr>
      </vt:variant>
      <vt:variant>
        <vt:i4>4325387</vt:i4>
      </vt:variant>
      <vt:variant>
        <vt:i4>3491</vt:i4>
      </vt:variant>
      <vt:variant>
        <vt:i4>0</vt:i4>
      </vt:variant>
      <vt:variant>
        <vt:i4>5</vt:i4>
      </vt:variant>
      <vt:variant>
        <vt:lpwstr/>
      </vt:variant>
      <vt:variant>
        <vt:lpwstr>_ENREF_3</vt:lpwstr>
      </vt:variant>
      <vt:variant>
        <vt:i4>7340090</vt:i4>
      </vt:variant>
      <vt:variant>
        <vt:i4>3471</vt:i4>
      </vt:variant>
      <vt:variant>
        <vt:i4>0</vt:i4>
      </vt:variant>
      <vt:variant>
        <vt:i4>5</vt:i4>
      </vt:variant>
      <vt:variant>
        <vt:lpwstr/>
      </vt:variant>
      <vt:variant>
        <vt:lpwstr>_ENREF_110</vt:lpwstr>
      </vt:variant>
      <vt:variant>
        <vt:i4>4194315</vt:i4>
      </vt:variant>
      <vt:variant>
        <vt:i4>3468</vt:i4>
      </vt:variant>
      <vt:variant>
        <vt:i4>0</vt:i4>
      </vt:variant>
      <vt:variant>
        <vt:i4>5</vt:i4>
      </vt:variant>
      <vt:variant>
        <vt:lpwstr/>
      </vt:variant>
      <vt:variant>
        <vt:lpwstr>_ENREF_10</vt:lpwstr>
      </vt:variant>
      <vt:variant>
        <vt:i4>7929914</vt:i4>
      </vt:variant>
      <vt:variant>
        <vt:i4>3462</vt:i4>
      </vt:variant>
      <vt:variant>
        <vt:i4>0</vt:i4>
      </vt:variant>
      <vt:variant>
        <vt:i4>5</vt:i4>
      </vt:variant>
      <vt:variant>
        <vt:lpwstr/>
      </vt:variant>
      <vt:variant>
        <vt:lpwstr>_ENREF_119</vt:lpwstr>
      </vt:variant>
      <vt:variant>
        <vt:i4>4325387</vt:i4>
      </vt:variant>
      <vt:variant>
        <vt:i4>3459</vt:i4>
      </vt:variant>
      <vt:variant>
        <vt:i4>0</vt:i4>
      </vt:variant>
      <vt:variant>
        <vt:i4>5</vt:i4>
      </vt:variant>
      <vt:variant>
        <vt:lpwstr/>
      </vt:variant>
      <vt:variant>
        <vt:lpwstr>_ENREF_3</vt:lpwstr>
      </vt:variant>
      <vt:variant>
        <vt:i4>4325387</vt:i4>
      </vt:variant>
      <vt:variant>
        <vt:i4>3449</vt:i4>
      </vt:variant>
      <vt:variant>
        <vt:i4>0</vt:i4>
      </vt:variant>
      <vt:variant>
        <vt:i4>5</vt:i4>
      </vt:variant>
      <vt:variant>
        <vt:lpwstr/>
      </vt:variant>
      <vt:variant>
        <vt:lpwstr>_ENREF_30</vt:lpwstr>
      </vt:variant>
      <vt:variant>
        <vt:i4>7602233</vt:i4>
      </vt:variant>
      <vt:variant>
        <vt:i4>3443</vt:i4>
      </vt:variant>
      <vt:variant>
        <vt:i4>0</vt:i4>
      </vt:variant>
      <vt:variant>
        <vt:i4>5</vt:i4>
      </vt:variant>
      <vt:variant>
        <vt:lpwstr/>
      </vt:variant>
      <vt:variant>
        <vt:lpwstr>_ENREF_227</vt:lpwstr>
      </vt:variant>
      <vt:variant>
        <vt:i4>7602233</vt:i4>
      </vt:variant>
      <vt:variant>
        <vt:i4>3434</vt:i4>
      </vt:variant>
      <vt:variant>
        <vt:i4>0</vt:i4>
      </vt:variant>
      <vt:variant>
        <vt:i4>5</vt:i4>
      </vt:variant>
      <vt:variant>
        <vt:lpwstr/>
      </vt:variant>
      <vt:variant>
        <vt:lpwstr>_ENREF_227</vt:lpwstr>
      </vt:variant>
      <vt:variant>
        <vt:i4>4718603</vt:i4>
      </vt:variant>
      <vt:variant>
        <vt:i4>3428</vt:i4>
      </vt:variant>
      <vt:variant>
        <vt:i4>0</vt:i4>
      </vt:variant>
      <vt:variant>
        <vt:i4>5</vt:i4>
      </vt:variant>
      <vt:variant>
        <vt:lpwstr/>
      </vt:variant>
      <vt:variant>
        <vt:lpwstr>_ENREF_93</vt:lpwstr>
      </vt:variant>
      <vt:variant>
        <vt:i4>7602233</vt:i4>
      </vt:variant>
      <vt:variant>
        <vt:i4>3419</vt:i4>
      </vt:variant>
      <vt:variant>
        <vt:i4>0</vt:i4>
      </vt:variant>
      <vt:variant>
        <vt:i4>5</vt:i4>
      </vt:variant>
      <vt:variant>
        <vt:lpwstr/>
      </vt:variant>
      <vt:variant>
        <vt:lpwstr>_ENREF_227</vt:lpwstr>
      </vt:variant>
      <vt:variant>
        <vt:i4>4718603</vt:i4>
      </vt:variant>
      <vt:variant>
        <vt:i4>3413</vt:i4>
      </vt:variant>
      <vt:variant>
        <vt:i4>0</vt:i4>
      </vt:variant>
      <vt:variant>
        <vt:i4>5</vt:i4>
      </vt:variant>
      <vt:variant>
        <vt:lpwstr/>
      </vt:variant>
      <vt:variant>
        <vt:lpwstr>_ENREF_93</vt:lpwstr>
      </vt:variant>
      <vt:variant>
        <vt:i4>4718603</vt:i4>
      </vt:variant>
      <vt:variant>
        <vt:i4>3407</vt:i4>
      </vt:variant>
      <vt:variant>
        <vt:i4>0</vt:i4>
      </vt:variant>
      <vt:variant>
        <vt:i4>5</vt:i4>
      </vt:variant>
      <vt:variant>
        <vt:lpwstr/>
      </vt:variant>
      <vt:variant>
        <vt:lpwstr>_ENREF_93</vt:lpwstr>
      </vt:variant>
      <vt:variant>
        <vt:i4>7405625</vt:i4>
      </vt:variant>
      <vt:variant>
        <vt:i4>3398</vt:i4>
      </vt:variant>
      <vt:variant>
        <vt:i4>0</vt:i4>
      </vt:variant>
      <vt:variant>
        <vt:i4>5</vt:i4>
      </vt:variant>
      <vt:variant>
        <vt:lpwstr/>
      </vt:variant>
      <vt:variant>
        <vt:lpwstr>_ENREF_222</vt:lpwstr>
      </vt:variant>
      <vt:variant>
        <vt:i4>7405625</vt:i4>
      </vt:variant>
      <vt:variant>
        <vt:i4>3392</vt:i4>
      </vt:variant>
      <vt:variant>
        <vt:i4>0</vt:i4>
      </vt:variant>
      <vt:variant>
        <vt:i4>5</vt:i4>
      </vt:variant>
      <vt:variant>
        <vt:lpwstr/>
      </vt:variant>
      <vt:variant>
        <vt:lpwstr>_ENREF_222</vt:lpwstr>
      </vt:variant>
      <vt:variant>
        <vt:i4>7405625</vt:i4>
      </vt:variant>
      <vt:variant>
        <vt:i4>3383</vt:i4>
      </vt:variant>
      <vt:variant>
        <vt:i4>0</vt:i4>
      </vt:variant>
      <vt:variant>
        <vt:i4>5</vt:i4>
      </vt:variant>
      <vt:variant>
        <vt:lpwstr/>
      </vt:variant>
      <vt:variant>
        <vt:lpwstr>_ENREF_222</vt:lpwstr>
      </vt:variant>
      <vt:variant>
        <vt:i4>7864380</vt:i4>
      </vt:variant>
      <vt:variant>
        <vt:i4>3377</vt:i4>
      </vt:variant>
      <vt:variant>
        <vt:i4>0</vt:i4>
      </vt:variant>
      <vt:variant>
        <vt:i4>5</vt:i4>
      </vt:variant>
      <vt:variant>
        <vt:lpwstr/>
      </vt:variant>
      <vt:variant>
        <vt:lpwstr>_ENREF_178</vt:lpwstr>
      </vt:variant>
      <vt:variant>
        <vt:i4>7929916</vt:i4>
      </vt:variant>
      <vt:variant>
        <vt:i4>3302</vt:i4>
      </vt:variant>
      <vt:variant>
        <vt:i4>0</vt:i4>
      </vt:variant>
      <vt:variant>
        <vt:i4>5</vt:i4>
      </vt:variant>
      <vt:variant>
        <vt:lpwstr/>
      </vt:variant>
      <vt:variant>
        <vt:lpwstr>_ENREF_179</vt:lpwstr>
      </vt:variant>
      <vt:variant>
        <vt:i4>4456459</vt:i4>
      </vt:variant>
      <vt:variant>
        <vt:i4>3281</vt:i4>
      </vt:variant>
      <vt:variant>
        <vt:i4>0</vt:i4>
      </vt:variant>
      <vt:variant>
        <vt:i4>5</vt:i4>
      </vt:variant>
      <vt:variant>
        <vt:lpwstr/>
      </vt:variant>
      <vt:variant>
        <vt:lpwstr>_ENREF_56</vt:lpwstr>
      </vt:variant>
      <vt:variant>
        <vt:i4>4456459</vt:i4>
      </vt:variant>
      <vt:variant>
        <vt:i4>3275</vt:i4>
      </vt:variant>
      <vt:variant>
        <vt:i4>0</vt:i4>
      </vt:variant>
      <vt:variant>
        <vt:i4>5</vt:i4>
      </vt:variant>
      <vt:variant>
        <vt:lpwstr/>
      </vt:variant>
      <vt:variant>
        <vt:lpwstr>_ENREF_54</vt:lpwstr>
      </vt:variant>
      <vt:variant>
        <vt:i4>4456459</vt:i4>
      </vt:variant>
      <vt:variant>
        <vt:i4>3269</vt:i4>
      </vt:variant>
      <vt:variant>
        <vt:i4>0</vt:i4>
      </vt:variant>
      <vt:variant>
        <vt:i4>5</vt:i4>
      </vt:variant>
      <vt:variant>
        <vt:lpwstr/>
      </vt:variant>
      <vt:variant>
        <vt:lpwstr>_ENREF_53</vt:lpwstr>
      </vt:variant>
      <vt:variant>
        <vt:i4>4456459</vt:i4>
      </vt:variant>
      <vt:variant>
        <vt:i4>3263</vt:i4>
      </vt:variant>
      <vt:variant>
        <vt:i4>0</vt:i4>
      </vt:variant>
      <vt:variant>
        <vt:i4>5</vt:i4>
      </vt:variant>
      <vt:variant>
        <vt:lpwstr/>
      </vt:variant>
      <vt:variant>
        <vt:lpwstr>_ENREF_55</vt:lpwstr>
      </vt:variant>
      <vt:variant>
        <vt:i4>7864380</vt:i4>
      </vt:variant>
      <vt:variant>
        <vt:i4>3257</vt:i4>
      </vt:variant>
      <vt:variant>
        <vt:i4>0</vt:i4>
      </vt:variant>
      <vt:variant>
        <vt:i4>5</vt:i4>
      </vt:variant>
      <vt:variant>
        <vt:lpwstr/>
      </vt:variant>
      <vt:variant>
        <vt:lpwstr>_ENREF_178</vt:lpwstr>
      </vt:variant>
      <vt:variant>
        <vt:i4>7864380</vt:i4>
      </vt:variant>
      <vt:variant>
        <vt:i4>3251</vt:i4>
      </vt:variant>
      <vt:variant>
        <vt:i4>0</vt:i4>
      </vt:variant>
      <vt:variant>
        <vt:i4>5</vt:i4>
      </vt:variant>
      <vt:variant>
        <vt:lpwstr/>
      </vt:variant>
      <vt:variant>
        <vt:lpwstr>_ENREF_178</vt:lpwstr>
      </vt:variant>
      <vt:variant>
        <vt:i4>7864380</vt:i4>
      </vt:variant>
      <vt:variant>
        <vt:i4>3245</vt:i4>
      </vt:variant>
      <vt:variant>
        <vt:i4>0</vt:i4>
      </vt:variant>
      <vt:variant>
        <vt:i4>5</vt:i4>
      </vt:variant>
      <vt:variant>
        <vt:lpwstr/>
      </vt:variant>
      <vt:variant>
        <vt:lpwstr>_ENREF_178</vt:lpwstr>
      </vt:variant>
      <vt:variant>
        <vt:i4>7864380</vt:i4>
      </vt:variant>
      <vt:variant>
        <vt:i4>3239</vt:i4>
      </vt:variant>
      <vt:variant>
        <vt:i4>0</vt:i4>
      </vt:variant>
      <vt:variant>
        <vt:i4>5</vt:i4>
      </vt:variant>
      <vt:variant>
        <vt:lpwstr/>
      </vt:variant>
      <vt:variant>
        <vt:lpwstr>_ENREF_178</vt:lpwstr>
      </vt:variant>
      <vt:variant>
        <vt:i4>7733310</vt:i4>
      </vt:variant>
      <vt:variant>
        <vt:i4>3230</vt:i4>
      </vt:variant>
      <vt:variant>
        <vt:i4>0</vt:i4>
      </vt:variant>
      <vt:variant>
        <vt:i4>5</vt:i4>
      </vt:variant>
      <vt:variant>
        <vt:lpwstr/>
      </vt:variant>
      <vt:variant>
        <vt:lpwstr>_ENREF_156</vt:lpwstr>
      </vt:variant>
      <vt:variant>
        <vt:i4>4653067</vt:i4>
      </vt:variant>
      <vt:variant>
        <vt:i4>3166</vt:i4>
      </vt:variant>
      <vt:variant>
        <vt:i4>0</vt:i4>
      </vt:variant>
      <vt:variant>
        <vt:i4>5</vt:i4>
      </vt:variant>
      <vt:variant>
        <vt:lpwstr/>
      </vt:variant>
      <vt:variant>
        <vt:lpwstr>_ENREF_60</vt:lpwstr>
      </vt:variant>
      <vt:variant>
        <vt:i4>4325387</vt:i4>
      </vt:variant>
      <vt:variant>
        <vt:i4>3163</vt:i4>
      </vt:variant>
      <vt:variant>
        <vt:i4>0</vt:i4>
      </vt:variant>
      <vt:variant>
        <vt:i4>5</vt:i4>
      </vt:variant>
      <vt:variant>
        <vt:lpwstr/>
      </vt:variant>
      <vt:variant>
        <vt:lpwstr>_ENREF_39</vt:lpwstr>
      </vt:variant>
      <vt:variant>
        <vt:i4>4653067</vt:i4>
      </vt:variant>
      <vt:variant>
        <vt:i4>3157</vt:i4>
      </vt:variant>
      <vt:variant>
        <vt:i4>0</vt:i4>
      </vt:variant>
      <vt:variant>
        <vt:i4>5</vt:i4>
      </vt:variant>
      <vt:variant>
        <vt:lpwstr/>
      </vt:variant>
      <vt:variant>
        <vt:lpwstr>_ENREF_62</vt:lpwstr>
      </vt:variant>
      <vt:variant>
        <vt:i4>4325387</vt:i4>
      </vt:variant>
      <vt:variant>
        <vt:i4>3154</vt:i4>
      </vt:variant>
      <vt:variant>
        <vt:i4>0</vt:i4>
      </vt:variant>
      <vt:variant>
        <vt:i4>5</vt:i4>
      </vt:variant>
      <vt:variant>
        <vt:lpwstr/>
      </vt:variant>
      <vt:variant>
        <vt:lpwstr>_ENREF_39</vt:lpwstr>
      </vt:variant>
      <vt:variant>
        <vt:i4>7929916</vt:i4>
      </vt:variant>
      <vt:variant>
        <vt:i4>3135</vt:i4>
      </vt:variant>
      <vt:variant>
        <vt:i4>0</vt:i4>
      </vt:variant>
      <vt:variant>
        <vt:i4>5</vt:i4>
      </vt:variant>
      <vt:variant>
        <vt:lpwstr/>
      </vt:variant>
      <vt:variant>
        <vt:lpwstr>_ENREF_179</vt:lpwstr>
      </vt:variant>
      <vt:variant>
        <vt:i4>7798847</vt:i4>
      </vt:variant>
      <vt:variant>
        <vt:i4>3131</vt:i4>
      </vt:variant>
      <vt:variant>
        <vt:i4>0</vt:i4>
      </vt:variant>
      <vt:variant>
        <vt:i4>5</vt:i4>
      </vt:variant>
      <vt:variant>
        <vt:lpwstr/>
      </vt:variant>
      <vt:variant>
        <vt:lpwstr>_ENREF_147</vt:lpwstr>
      </vt:variant>
      <vt:variant>
        <vt:i4>7340082</vt:i4>
      </vt:variant>
      <vt:variant>
        <vt:i4>3128</vt:i4>
      </vt:variant>
      <vt:variant>
        <vt:i4>0</vt:i4>
      </vt:variant>
      <vt:variant>
        <vt:i4>5</vt:i4>
      </vt:variant>
      <vt:variant>
        <vt:lpwstr/>
      </vt:variant>
      <vt:variant>
        <vt:lpwstr>_ENREF_190</vt:lpwstr>
      </vt:variant>
      <vt:variant>
        <vt:i4>7667775</vt:i4>
      </vt:variant>
      <vt:variant>
        <vt:i4>3125</vt:i4>
      </vt:variant>
      <vt:variant>
        <vt:i4>0</vt:i4>
      </vt:variant>
      <vt:variant>
        <vt:i4>5</vt:i4>
      </vt:variant>
      <vt:variant>
        <vt:lpwstr/>
      </vt:variant>
      <vt:variant>
        <vt:lpwstr>_ENREF_145</vt:lpwstr>
      </vt:variant>
      <vt:variant>
        <vt:i4>7471160</vt:i4>
      </vt:variant>
      <vt:variant>
        <vt:i4>3115</vt:i4>
      </vt:variant>
      <vt:variant>
        <vt:i4>0</vt:i4>
      </vt:variant>
      <vt:variant>
        <vt:i4>5</vt:i4>
      </vt:variant>
      <vt:variant>
        <vt:lpwstr/>
      </vt:variant>
      <vt:variant>
        <vt:lpwstr>_ENREF_231</vt:lpwstr>
      </vt:variant>
      <vt:variant>
        <vt:i4>7667774</vt:i4>
      </vt:variant>
      <vt:variant>
        <vt:i4>3109</vt:i4>
      </vt:variant>
      <vt:variant>
        <vt:i4>0</vt:i4>
      </vt:variant>
      <vt:variant>
        <vt:i4>5</vt:i4>
      </vt:variant>
      <vt:variant>
        <vt:lpwstr/>
      </vt:variant>
      <vt:variant>
        <vt:lpwstr>_ENREF_256</vt:lpwstr>
      </vt:variant>
      <vt:variant>
        <vt:i4>4718603</vt:i4>
      </vt:variant>
      <vt:variant>
        <vt:i4>3103</vt:i4>
      </vt:variant>
      <vt:variant>
        <vt:i4>0</vt:i4>
      </vt:variant>
      <vt:variant>
        <vt:i4>5</vt:i4>
      </vt:variant>
      <vt:variant>
        <vt:lpwstr/>
      </vt:variant>
      <vt:variant>
        <vt:lpwstr>_ENREF_90</vt:lpwstr>
      </vt:variant>
      <vt:variant>
        <vt:i4>4521995</vt:i4>
      </vt:variant>
      <vt:variant>
        <vt:i4>3097</vt:i4>
      </vt:variant>
      <vt:variant>
        <vt:i4>0</vt:i4>
      </vt:variant>
      <vt:variant>
        <vt:i4>5</vt:i4>
      </vt:variant>
      <vt:variant>
        <vt:lpwstr/>
      </vt:variant>
      <vt:variant>
        <vt:lpwstr>_ENREF_46</vt:lpwstr>
      </vt:variant>
      <vt:variant>
        <vt:i4>7340082</vt:i4>
      </vt:variant>
      <vt:variant>
        <vt:i4>3091</vt:i4>
      </vt:variant>
      <vt:variant>
        <vt:i4>0</vt:i4>
      </vt:variant>
      <vt:variant>
        <vt:i4>5</vt:i4>
      </vt:variant>
      <vt:variant>
        <vt:lpwstr/>
      </vt:variant>
      <vt:variant>
        <vt:lpwstr>_ENREF_190</vt:lpwstr>
      </vt:variant>
      <vt:variant>
        <vt:i4>7733299</vt:i4>
      </vt:variant>
      <vt:variant>
        <vt:i4>3064</vt:i4>
      </vt:variant>
      <vt:variant>
        <vt:i4>0</vt:i4>
      </vt:variant>
      <vt:variant>
        <vt:i4>5</vt:i4>
      </vt:variant>
      <vt:variant>
        <vt:lpwstr/>
      </vt:variant>
      <vt:variant>
        <vt:lpwstr>_ENREF_186</vt:lpwstr>
      </vt:variant>
      <vt:variant>
        <vt:i4>7340090</vt:i4>
      </vt:variant>
      <vt:variant>
        <vt:i4>3060</vt:i4>
      </vt:variant>
      <vt:variant>
        <vt:i4>0</vt:i4>
      </vt:variant>
      <vt:variant>
        <vt:i4>5</vt:i4>
      </vt:variant>
      <vt:variant>
        <vt:lpwstr/>
      </vt:variant>
      <vt:variant>
        <vt:lpwstr>_ENREF_110</vt:lpwstr>
      </vt:variant>
      <vt:variant>
        <vt:i4>4194315</vt:i4>
      </vt:variant>
      <vt:variant>
        <vt:i4>3057</vt:i4>
      </vt:variant>
      <vt:variant>
        <vt:i4>0</vt:i4>
      </vt:variant>
      <vt:variant>
        <vt:i4>5</vt:i4>
      </vt:variant>
      <vt:variant>
        <vt:lpwstr/>
      </vt:variant>
      <vt:variant>
        <vt:lpwstr>_ENREF_10</vt:lpwstr>
      </vt:variant>
      <vt:variant>
        <vt:i4>7405627</vt:i4>
      </vt:variant>
      <vt:variant>
        <vt:i4>3052</vt:i4>
      </vt:variant>
      <vt:variant>
        <vt:i4>0</vt:i4>
      </vt:variant>
      <vt:variant>
        <vt:i4>5</vt:i4>
      </vt:variant>
      <vt:variant>
        <vt:lpwstr/>
      </vt:variant>
      <vt:variant>
        <vt:lpwstr>_ENREF_101</vt:lpwstr>
      </vt:variant>
      <vt:variant>
        <vt:i4>4325387</vt:i4>
      </vt:variant>
      <vt:variant>
        <vt:i4>3046</vt:i4>
      </vt:variant>
      <vt:variant>
        <vt:i4>0</vt:i4>
      </vt:variant>
      <vt:variant>
        <vt:i4>5</vt:i4>
      </vt:variant>
      <vt:variant>
        <vt:lpwstr/>
      </vt:variant>
      <vt:variant>
        <vt:lpwstr>_ENREF_3</vt:lpwstr>
      </vt:variant>
      <vt:variant>
        <vt:i4>4456459</vt:i4>
      </vt:variant>
      <vt:variant>
        <vt:i4>3042</vt:i4>
      </vt:variant>
      <vt:variant>
        <vt:i4>0</vt:i4>
      </vt:variant>
      <vt:variant>
        <vt:i4>5</vt:i4>
      </vt:variant>
      <vt:variant>
        <vt:lpwstr/>
      </vt:variant>
      <vt:variant>
        <vt:lpwstr>_ENREF_59</vt:lpwstr>
      </vt:variant>
      <vt:variant>
        <vt:i4>4325387</vt:i4>
      </vt:variant>
      <vt:variant>
        <vt:i4>3039</vt:i4>
      </vt:variant>
      <vt:variant>
        <vt:i4>0</vt:i4>
      </vt:variant>
      <vt:variant>
        <vt:i4>5</vt:i4>
      </vt:variant>
      <vt:variant>
        <vt:lpwstr/>
      </vt:variant>
      <vt:variant>
        <vt:lpwstr>_ENREF_34</vt:lpwstr>
      </vt:variant>
      <vt:variant>
        <vt:i4>7929914</vt:i4>
      </vt:variant>
      <vt:variant>
        <vt:i4>3036</vt:i4>
      </vt:variant>
      <vt:variant>
        <vt:i4>0</vt:i4>
      </vt:variant>
      <vt:variant>
        <vt:i4>5</vt:i4>
      </vt:variant>
      <vt:variant>
        <vt:lpwstr/>
      </vt:variant>
      <vt:variant>
        <vt:lpwstr>_ENREF_119</vt:lpwstr>
      </vt:variant>
      <vt:variant>
        <vt:i4>4325387</vt:i4>
      </vt:variant>
      <vt:variant>
        <vt:i4>3033</vt:i4>
      </vt:variant>
      <vt:variant>
        <vt:i4>0</vt:i4>
      </vt:variant>
      <vt:variant>
        <vt:i4>5</vt:i4>
      </vt:variant>
      <vt:variant>
        <vt:lpwstr/>
      </vt:variant>
      <vt:variant>
        <vt:lpwstr>_ENREF_3</vt:lpwstr>
      </vt:variant>
      <vt:variant>
        <vt:i4>4456459</vt:i4>
      </vt:variant>
      <vt:variant>
        <vt:i4>3017</vt:i4>
      </vt:variant>
      <vt:variant>
        <vt:i4>0</vt:i4>
      </vt:variant>
      <vt:variant>
        <vt:i4>5</vt:i4>
      </vt:variant>
      <vt:variant>
        <vt:lpwstr/>
      </vt:variant>
      <vt:variant>
        <vt:lpwstr>_ENREF_58</vt:lpwstr>
      </vt:variant>
      <vt:variant>
        <vt:i4>4456459</vt:i4>
      </vt:variant>
      <vt:variant>
        <vt:i4>3011</vt:i4>
      </vt:variant>
      <vt:variant>
        <vt:i4>0</vt:i4>
      </vt:variant>
      <vt:variant>
        <vt:i4>5</vt:i4>
      </vt:variant>
      <vt:variant>
        <vt:lpwstr/>
      </vt:variant>
      <vt:variant>
        <vt:lpwstr>_ENREF_58</vt:lpwstr>
      </vt:variant>
      <vt:variant>
        <vt:i4>7798843</vt:i4>
      </vt:variant>
      <vt:variant>
        <vt:i4>3005</vt:i4>
      </vt:variant>
      <vt:variant>
        <vt:i4>0</vt:i4>
      </vt:variant>
      <vt:variant>
        <vt:i4>5</vt:i4>
      </vt:variant>
      <vt:variant>
        <vt:lpwstr/>
      </vt:variant>
      <vt:variant>
        <vt:lpwstr>_ENREF_204</vt:lpwstr>
      </vt:variant>
      <vt:variant>
        <vt:i4>7602238</vt:i4>
      </vt:variant>
      <vt:variant>
        <vt:i4>2999</vt:i4>
      </vt:variant>
      <vt:variant>
        <vt:i4>0</vt:i4>
      </vt:variant>
      <vt:variant>
        <vt:i4>5</vt:i4>
      </vt:variant>
      <vt:variant>
        <vt:lpwstr/>
      </vt:variant>
      <vt:variant>
        <vt:lpwstr>_ENREF_257</vt:lpwstr>
      </vt:variant>
      <vt:variant>
        <vt:i4>4456459</vt:i4>
      </vt:variant>
      <vt:variant>
        <vt:i4>2993</vt:i4>
      </vt:variant>
      <vt:variant>
        <vt:i4>0</vt:i4>
      </vt:variant>
      <vt:variant>
        <vt:i4>5</vt:i4>
      </vt:variant>
      <vt:variant>
        <vt:lpwstr/>
      </vt:variant>
      <vt:variant>
        <vt:lpwstr>_ENREF_58</vt:lpwstr>
      </vt:variant>
      <vt:variant>
        <vt:i4>4784139</vt:i4>
      </vt:variant>
      <vt:variant>
        <vt:i4>2978</vt:i4>
      </vt:variant>
      <vt:variant>
        <vt:i4>0</vt:i4>
      </vt:variant>
      <vt:variant>
        <vt:i4>5</vt:i4>
      </vt:variant>
      <vt:variant>
        <vt:lpwstr/>
      </vt:variant>
      <vt:variant>
        <vt:lpwstr>_ENREF_89</vt:lpwstr>
      </vt:variant>
      <vt:variant>
        <vt:i4>7536700</vt:i4>
      </vt:variant>
      <vt:variant>
        <vt:i4>2972</vt:i4>
      </vt:variant>
      <vt:variant>
        <vt:i4>0</vt:i4>
      </vt:variant>
      <vt:variant>
        <vt:i4>5</vt:i4>
      </vt:variant>
      <vt:variant>
        <vt:lpwstr/>
      </vt:variant>
      <vt:variant>
        <vt:lpwstr>_ENREF_173</vt:lpwstr>
      </vt:variant>
      <vt:variant>
        <vt:i4>4784139</vt:i4>
      </vt:variant>
      <vt:variant>
        <vt:i4>2966</vt:i4>
      </vt:variant>
      <vt:variant>
        <vt:i4>0</vt:i4>
      </vt:variant>
      <vt:variant>
        <vt:i4>5</vt:i4>
      </vt:variant>
      <vt:variant>
        <vt:lpwstr/>
      </vt:variant>
      <vt:variant>
        <vt:lpwstr>_ENREF_89</vt:lpwstr>
      </vt:variant>
      <vt:variant>
        <vt:i4>7798845</vt:i4>
      </vt:variant>
      <vt:variant>
        <vt:i4>2957</vt:i4>
      </vt:variant>
      <vt:variant>
        <vt:i4>0</vt:i4>
      </vt:variant>
      <vt:variant>
        <vt:i4>5</vt:i4>
      </vt:variant>
      <vt:variant>
        <vt:lpwstr/>
      </vt:variant>
      <vt:variant>
        <vt:lpwstr>_ENREF_264</vt:lpwstr>
      </vt:variant>
      <vt:variant>
        <vt:i4>7798845</vt:i4>
      </vt:variant>
      <vt:variant>
        <vt:i4>2951</vt:i4>
      </vt:variant>
      <vt:variant>
        <vt:i4>0</vt:i4>
      </vt:variant>
      <vt:variant>
        <vt:i4>5</vt:i4>
      </vt:variant>
      <vt:variant>
        <vt:lpwstr/>
      </vt:variant>
      <vt:variant>
        <vt:lpwstr>_ENREF_264</vt:lpwstr>
      </vt:variant>
      <vt:variant>
        <vt:i4>7536698</vt:i4>
      </vt:variant>
      <vt:variant>
        <vt:i4>2945</vt:i4>
      </vt:variant>
      <vt:variant>
        <vt:i4>0</vt:i4>
      </vt:variant>
      <vt:variant>
        <vt:i4>5</vt:i4>
      </vt:variant>
      <vt:variant>
        <vt:lpwstr/>
      </vt:variant>
      <vt:variant>
        <vt:lpwstr>_ENREF_210</vt:lpwstr>
      </vt:variant>
      <vt:variant>
        <vt:i4>7340093</vt:i4>
      </vt:variant>
      <vt:variant>
        <vt:i4>2939</vt:i4>
      </vt:variant>
      <vt:variant>
        <vt:i4>0</vt:i4>
      </vt:variant>
      <vt:variant>
        <vt:i4>5</vt:i4>
      </vt:variant>
      <vt:variant>
        <vt:lpwstr/>
      </vt:variant>
      <vt:variant>
        <vt:lpwstr>_ENREF_263</vt:lpwstr>
      </vt:variant>
      <vt:variant>
        <vt:i4>7798845</vt:i4>
      </vt:variant>
      <vt:variant>
        <vt:i4>2933</vt:i4>
      </vt:variant>
      <vt:variant>
        <vt:i4>0</vt:i4>
      </vt:variant>
      <vt:variant>
        <vt:i4>5</vt:i4>
      </vt:variant>
      <vt:variant>
        <vt:lpwstr/>
      </vt:variant>
      <vt:variant>
        <vt:lpwstr>_ENREF_264</vt:lpwstr>
      </vt:variant>
      <vt:variant>
        <vt:i4>4456459</vt:i4>
      </vt:variant>
      <vt:variant>
        <vt:i4>2927</vt:i4>
      </vt:variant>
      <vt:variant>
        <vt:i4>0</vt:i4>
      </vt:variant>
      <vt:variant>
        <vt:i4>5</vt:i4>
      </vt:variant>
      <vt:variant>
        <vt:lpwstr/>
      </vt:variant>
      <vt:variant>
        <vt:lpwstr>_ENREF_57</vt:lpwstr>
      </vt:variant>
      <vt:variant>
        <vt:i4>7471167</vt:i4>
      </vt:variant>
      <vt:variant>
        <vt:i4>2921</vt:i4>
      </vt:variant>
      <vt:variant>
        <vt:i4>0</vt:i4>
      </vt:variant>
      <vt:variant>
        <vt:i4>5</vt:i4>
      </vt:variant>
      <vt:variant>
        <vt:lpwstr/>
      </vt:variant>
      <vt:variant>
        <vt:lpwstr>_ENREF_142</vt:lpwstr>
      </vt:variant>
      <vt:variant>
        <vt:i4>4390923</vt:i4>
      </vt:variant>
      <vt:variant>
        <vt:i4>2915</vt:i4>
      </vt:variant>
      <vt:variant>
        <vt:i4>0</vt:i4>
      </vt:variant>
      <vt:variant>
        <vt:i4>5</vt:i4>
      </vt:variant>
      <vt:variant>
        <vt:lpwstr/>
      </vt:variant>
      <vt:variant>
        <vt:lpwstr>_ENREF_28</vt:lpwstr>
      </vt:variant>
      <vt:variant>
        <vt:i4>7340091</vt:i4>
      </vt:variant>
      <vt:variant>
        <vt:i4>2909</vt:i4>
      </vt:variant>
      <vt:variant>
        <vt:i4>0</vt:i4>
      </vt:variant>
      <vt:variant>
        <vt:i4>5</vt:i4>
      </vt:variant>
      <vt:variant>
        <vt:lpwstr/>
      </vt:variant>
      <vt:variant>
        <vt:lpwstr>_ENREF_203</vt:lpwstr>
      </vt:variant>
      <vt:variant>
        <vt:i4>4390923</vt:i4>
      </vt:variant>
      <vt:variant>
        <vt:i4>2903</vt:i4>
      </vt:variant>
      <vt:variant>
        <vt:i4>0</vt:i4>
      </vt:variant>
      <vt:variant>
        <vt:i4>5</vt:i4>
      </vt:variant>
      <vt:variant>
        <vt:lpwstr/>
      </vt:variant>
      <vt:variant>
        <vt:lpwstr>_ENREF_28</vt:lpwstr>
      </vt:variant>
      <vt:variant>
        <vt:i4>7405629</vt:i4>
      </vt:variant>
      <vt:variant>
        <vt:i4>2897</vt:i4>
      </vt:variant>
      <vt:variant>
        <vt:i4>0</vt:i4>
      </vt:variant>
      <vt:variant>
        <vt:i4>5</vt:i4>
      </vt:variant>
      <vt:variant>
        <vt:lpwstr/>
      </vt:variant>
      <vt:variant>
        <vt:lpwstr>_ENREF_262</vt:lpwstr>
      </vt:variant>
      <vt:variant>
        <vt:i4>7733311</vt:i4>
      </vt:variant>
      <vt:variant>
        <vt:i4>2891</vt:i4>
      </vt:variant>
      <vt:variant>
        <vt:i4>0</vt:i4>
      </vt:variant>
      <vt:variant>
        <vt:i4>5</vt:i4>
      </vt:variant>
      <vt:variant>
        <vt:lpwstr/>
      </vt:variant>
      <vt:variant>
        <vt:lpwstr>_ENREF_146</vt:lpwstr>
      </vt:variant>
      <vt:variant>
        <vt:i4>7405629</vt:i4>
      </vt:variant>
      <vt:variant>
        <vt:i4>2887</vt:i4>
      </vt:variant>
      <vt:variant>
        <vt:i4>0</vt:i4>
      </vt:variant>
      <vt:variant>
        <vt:i4>5</vt:i4>
      </vt:variant>
      <vt:variant>
        <vt:lpwstr/>
      </vt:variant>
      <vt:variant>
        <vt:lpwstr>_ENREF_262</vt:lpwstr>
      </vt:variant>
      <vt:variant>
        <vt:i4>4587531</vt:i4>
      </vt:variant>
      <vt:variant>
        <vt:i4>2884</vt:i4>
      </vt:variant>
      <vt:variant>
        <vt:i4>0</vt:i4>
      </vt:variant>
      <vt:variant>
        <vt:i4>5</vt:i4>
      </vt:variant>
      <vt:variant>
        <vt:lpwstr/>
      </vt:variant>
      <vt:variant>
        <vt:lpwstr>_ENREF_71</vt:lpwstr>
      </vt:variant>
      <vt:variant>
        <vt:i4>7471166</vt:i4>
      </vt:variant>
      <vt:variant>
        <vt:i4>2873</vt:i4>
      </vt:variant>
      <vt:variant>
        <vt:i4>0</vt:i4>
      </vt:variant>
      <vt:variant>
        <vt:i4>5</vt:i4>
      </vt:variant>
      <vt:variant>
        <vt:lpwstr/>
      </vt:variant>
      <vt:variant>
        <vt:lpwstr>_ENREF_251</vt:lpwstr>
      </vt:variant>
      <vt:variant>
        <vt:i4>4325387</vt:i4>
      </vt:variant>
      <vt:variant>
        <vt:i4>2869</vt:i4>
      </vt:variant>
      <vt:variant>
        <vt:i4>0</vt:i4>
      </vt:variant>
      <vt:variant>
        <vt:i4>5</vt:i4>
      </vt:variant>
      <vt:variant>
        <vt:lpwstr/>
      </vt:variant>
      <vt:variant>
        <vt:lpwstr>_ENREF_39</vt:lpwstr>
      </vt:variant>
      <vt:variant>
        <vt:i4>4390923</vt:i4>
      </vt:variant>
      <vt:variant>
        <vt:i4>2866</vt:i4>
      </vt:variant>
      <vt:variant>
        <vt:i4>0</vt:i4>
      </vt:variant>
      <vt:variant>
        <vt:i4>5</vt:i4>
      </vt:variant>
      <vt:variant>
        <vt:lpwstr/>
      </vt:variant>
      <vt:variant>
        <vt:lpwstr>_ENREF_20</vt:lpwstr>
      </vt:variant>
      <vt:variant>
        <vt:i4>7667768</vt:i4>
      </vt:variant>
      <vt:variant>
        <vt:i4>2863</vt:i4>
      </vt:variant>
      <vt:variant>
        <vt:i4>0</vt:i4>
      </vt:variant>
      <vt:variant>
        <vt:i4>5</vt:i4>
      </vt:variant>
      <vt:variant>
        <vt:lpwstr/>
      </vt:variant>
      <vt:variant>
        <vt:lpwstr>_ENREF_236</vt:lpwstr>
      </vt:variant>
      <vt:variant>
        <vt:i4>4718603</vt:i4>
      </vt:variant>
      <vt:variant>
        <vt:i4>2860</vt:i4>
      </vt:variant>
      <vt:variant>
        <vt:i4>0</vt:i4>
      </vt:variant>
      <vt:variant>
        <vt:i4>5</vt:i4>
      </vt:variant>
      <vt:variant>
        <vt:lpwstr/>
      </vt:variant>
      <vt:variant>
        <vt:lpwstr>_ENREF_98</vt:lpwstr>
      </vt:variant>
      <vt:variant>
        <vt:i4>7667771</vt:i4>
      </vt:variant>
      <vt:variant>
        <vt:i4>2850</vt:i4>
      </vt:variant>
      <vt:variant>
        <vt:i4>0</vt:i4>
      </vt:variant>
      <vt:variant>
        <vt:i4>5</vt:i4>
      </vt:variant>
      <vt:variant>
        <vt:lpwstr/>
      </vt:variant>
      <vt:variant>
        <vt:lpwstr>_ENREF_206</vt:lpwstr>
      </vt:variant>
      <vt:variant>
        <vt:i4>7471166</vt:i4>
      </vt:variant>
      <vt:variant>
        <vt:i4>2844</vt:i4>
      </vt:variant>
      <vt:variant>
        <vt:i4>0</vt:i4>
      </vt:variant>
      <vt:variant>
        <vt:i4>5</vt:i4>
      </vt:variant>
      <vt:variant>
        <vt:lpwstr/>
      </vt:variant>
      <vt:variant>
        <vt:lpwstr>_ENREF_251</vt:lpwstr>
      </vt:variant>
      <vt:variant>
        <vt:i4>7602227</vt:i4>
      </vt:variant>
      <vt:variant>
        <vt:i4>2838</vt:i4>
      </vt:variant>
      <vt:variant>
        <vt:i4>0</vt:i4>
      </vt:variant>
      <vt:variant>
        <vt:i4>5</vt:i4>
      </vt:variant>
      <vt:variant>
        <vt:lpwstr/>
      </vt:variant>
      <vt:variant>
        <vt:lpwstr>_ENREF_184</vt:lpwstr>
      </vt:variant>
      <vt:variant>
        <vt:i4>7340093</vt:i4>
      </vt:variant>
      <vt:variant>
        <vt:i4>2826</vt:i4>
      </vt:variant>
      <vt:variant>
        <vt:i4>0</vt:i4>
      </vt:variant>
      <vt:variant>
        <vt:i4>5</vt:i4>
      </vt:variant>
      <vt:variant>
        <vt:lpwstr/>
      </vt:variant>
      <vt:variant>
        <vt:lpwstr>_ENREF_160</vt:lpwstr>
      </vt:variant>
      <vt:variant>
        <vt:i4>7864383</vt:i4>
      </vt:variant>
      <vt:variant>
        <vt:i4>2820</vt:i4>
      </vt:variant>
      <vt:variant>
        <vt:i4>0</vt:i4>
      </vt:variant>
      <vt:variant>
        <vt:i4>5</vt:i4>
      </vt:variant>
      <vt:variant>
        <vt:lpwstr/>
      </vt:variant>
      <vt:variant>
        <vt:lpwstr>_ENREF_148</vt:lpwstr>
      </vt:variant>
      <vt:variant>
        <vt:i4>7864383</vt:i4>
      </vt:variant>
      <vt:variant>
        <vt:i4>2814</vt:i4>
      </vt:variant>
      <vt:variant>
        <vt:i4>0</vt:i4>
      </vt:variant>
      <vt:variant>
        <vt:i4>5</vt:i4>
      </vt:variant>
      <vt:variant>
        <vt:lpwstr/>
      </vt:variant>
      <vt:variant>
        <vt:lpwstr>_ENREF_148</vt:lpwstr>
      </vt:variant>
      <vt:variant>
        <vt:i4>4784139</vt:i4>
      </vt:variant>
      <vt:variant>
        <vt:i4>2808</vt:i4>
      </vt:variant>
      <vt:variant>
        <vt:i4>0</vt:i4>
      </vt:variant>
      <vt:variant>
        <vt:i4>5</vt:i4>
      </vt:variant>
      <vt:variant>
        <vt:lpwstr/>
      </vt:variant>
      <vt:variant>
        <vt:lpwstr>_ENREF_84</vt:lpwstr>
      </vt:variant>
      <vt:variant>
        <vt:i4>4521995</vt:i4>
      </vt:variant>
      <vt:variant>
        <vt:i4>2802</vt:i4>
      </vt:variant>
      <vt:variant>
        <vt:i4>0</vt:i4>
      </vt:variant>
      <vt:variant>
        <vt:i4>5</vt:i4>
      </vt:variant>
      <vt:variant>
        <vt:lpwstr/>
      </vt:variant>
      <vt:variant>
        <vt:lpwstr>_ENREF_43</vt:lpwstr>
      </vt:variant>
      <vt:variant>
        <vt:i4>4653067</vt:i4>
      </vt:variant>
      <vt:variant>
        <vt:i4>2796</vt:i4>
      </vt:variant>
      <vt:variant>
        <vt:i4>0</vt:i4>
      </vt:variant>
      <vt:variant>
        <vt:i4>5</vt:i4>
      </vt:variant>
      <vt:variant>
        <vt:lpwstr/>
      </vt:variant>
      <vt:variant>
        <vt:lpwstr>_ENREF_64</vt:lpwstr>
      </vt:variant>
      <vt:variant>
        <vt:i4>4653067</vt:i4>
      </vt:variant>
      <vt:variant>
        <vt:i4>2790</vt:i4>
      </vt:variant>
      <vt:variant>
        <vt:i4>0</vt:i4>
      </vt:variant>
      <vt:variant>
        <vt:i4>5</vt:i4>
      </vt:variant>
      <vt:variant>
        <vt:lpwstr/>
      </vt:variant>
      <vt:variant>
        <vt:lpwstr>_ENREF_63</vt:lpwstr>
      </vt:variant>
      <vt:variant>
        <vt:i4>4456459</vt:i4>
      </vt:variant>
      <vt:variant>
        <vt:i4>2784</vt:i4>
      </vt:variant>
      <vt:variant>
        <vt:i4>0</vt:i4>
      </vt:variant>
      <vt:variant>
        <vt:i4>5</vt:i4>
      </vt:variant>
      <vt:variant>
        <vt:lpwstr/>
      </vt:variant>
      <vt:variant>
        <vt:lpwstr>_ENREF_5</vt:lpwstr>
      </vt:variant>
      <vt:variant>
        <vt:i4>7471164</vt:i4>
      </vt:variant>
      <vt:variant>
        <vt:i4>2769</vt:i4>
      </vt:variant>
      <vt:variant>
        <vt:i4>0</vt:i4>
      </vt:variant>
      <vt:variant>
        <vt:i4>5</vt:i4>
      </vt:variant>
      <vt:variant>
        <vt:lpwstr/>
      </vt:variant>
      <vt:variant>
        <vt:lpwstr>_ENREF_172</vt:lpwstr>
      </vt:variant>
      <vt:variant>
        <vt:i4>4325387</vt:i4>
      </vt:variant>
      <vt:variant>
        <vt:i4>2765</vt:i4>
      </vt:variant>
      <vt:variant>
        <vt:i4>0</vt:i4>
      </vt:variant>
      <vt:variant>
        <vt:i4>5</vt:i4>
      </vt:variant>
      <vt:variant>
        <vt:lpwstr/>
      </vt:variant>
      <vt:variant>
        <vt:lpwstr>_ENREF_35</vt:lpwstr>
      </vt:variant>
      <vt:variant>
        <vt:i4>7733307</vt:i4>
      </vt:variant>
      <vt:variant>
        <vt:i4>2762</vt:i4>
      </vt:variant>
      <vt:variant>
        <vt:i4>0</vt:i4>
      </vt:variant>
      <vt:variant>
        <vt:i4>5</vt:i4>
      </vt:variant>
      <vt:variant>
        <vt:lpwstr/>
      </vt:variant>
      <vt:variant>
        <vt:lpwstr>_ENREF_205</vt:lpwstr>
      </vt:variant>
      <vt:variant>
        <vt:i4>4194315</vt:i4>
      </vt:variant>
      <vt:variant>
        <vt:i4>2756</vt:i4>
      </vt:variant>
      <vt:variant>
        <vt:i4>0</vt:i4>
      </vt:variant>
      <vt:variant>
        <vt:i4>5</vt:i4>
      </vt:variant>
      <vt:variant>
        <vt:lpwstr/>
      </vt:variant>
      <vt:variant>
        <vt:lpwstr>_ENREF_14</vt:lpwstr>
      </vt:variant>
      <vt:variant>
        <vt:i4>7471163</vt:i4>
      </vt:variant>
      <vt:variant>
        <vt:i4>2753</vt:i4>
      </vt:variant>
      <vt:variant>
        <vt:i4>0</vt:i4>
      </vt:variant>
      <vt:variant>
        <vt:i4>5</vt:i4>
      </vt:variant>
      <vt:variant>
        <vt:lpwstr/>
      </vt:variant>
      <vt:variant>
        <vt:lpwstr>_ENREF_201</vt:lpwstr>
      </vt:variant>
      <vt:variant>
        <vt:i4>7733304</vt:i4>
      </vt:variant>
      <vt:variant>
        <vt:i4>2750</vt:i4>
      </vt:variant>
      <vt:variant>
        <vt:i4>0</vt:i4>
      </vt:variant>
      <vt:variant>
        <vt:i4>5</vt:i4>
      </vt:variant>
      <vt:variant>
        <vt:lpwstr/>
      </vt:variant>
      <vt:variant>
        <vt:lpwstr>_ENREF_235</vt:lpwstr>
      </vt:variant>
      <vt:variant>
        <vt:i4>4390923</vt:i4>
      </vt:variant>
      <vt:variant>
        <vt:i4>2747</vt:i4>
      </vt:variant>
      <vt:variant>
        <vt:i4>0</vt:i4>
      </vt:variant>
      <vt:variant>
        <vt:i4>5</vt:i4>
      </vt:variant>
      <vt:variant>
        <vt:lpwstr/>
      </vt:variant>
      <vt:variant>
        <vt:lpwstr>_ENREF_22</vt:lpwstr>
      </vt:variant>
      <vt:variant>
        <vt:i4>7340095</vt:i4>
      </vt:variant>
      <vt:variant>
        <vt:i4>2739</vt:i4>
      </vt:variant>
      <vt:variant>
        <vt:i4>0</vt:i4>
      </vt:variant>
      <vt:variant>
        <vt:i4>5</vt:i4>
      </vt:variant>
      <vt:variant>
        <vt:lpwstr/>
      </vt:variant>
      <vt:variant>
        <vt:lpwstr>_ENREF_243</vt:lpwstr>
      </vt:variant>
      <vt:variant>
        <vt:i4>7798842</vt:i4>
      </vt:variant>
      <vt:variant>
        <vt:i4>2736</vt:i4>
      </vt:variant>
      <vt:variant>
        <vt:i4>0</vt:i4>
      </vt:variant>
      <vt:variant>
        <vt:i4>5</vt:i4>
      </vt:variant>
      <vt:variant>
        <vt:lpwstr/>
      </vt:variant>
      <vt:variant>
        <vt:lpwstr>_ENREF_214</vt:lpwstr>
      </vt:variant>
      <vt:variant>
        <vt:i4>7405626</vt:i4>
      </vt:variant>
      <vt:variant>
        <vt:i4>2733</vt:i4>
      </vt:variant>
      <vt:variant>
        <vt:i4>0</vt:i4>
      </vt:variant>
      <vt:variant>
        <vt:i4>5</vt:i4>
      </vt:variant>
      <vt:variant>
        <vt:lpwstr/>
      </vt:variant>
      <vt:variant>
        <vt:lpwstr>_ENREF_111</vt:lpwstr>
      </vt:variant>
      <vt:variant>
        <vt:i4>7471167</vt:i4>
      </vt:variant>
      <vt:variant>
        <vt:i4>2730</vt:i4>
      </vt:variant>
      <vt:variant>
        <vt:i4>0</vt:i4>
      </vt:variant>
      <vt:variant>
        <vt:i4>5</vt:i4>
      </vt:variant>
      <vt:variant>
        <vt:lpwstr/>
      </vt:variant>
      <vt:variant>
        <vt:lpwstr>_ENREF_241</vt:lpwstr>
      </vt:variant>
      <vt:variant>
        <vt:i4>7798846</vt:i4>
      </vt:variant>
      <vt:variant>
        <vt:i4>2727</vt:i4>
      </vt:variant>
      <vt:variant>
        <vt:i4>0</vt:i4>
      </vt:variant>
      <vt:variant>
        <vt:i4>5</vt:i4>
      </vt:variant>
      <vt:variant>
        <vt:lpwstr/>
      </vt:variant>
      <vt:variant>
        <vt:lpwstr>_ENREF_254</vt:lpwstr>
      </vt:variant>
      <vt:variant>
        <vt:i4>7405631</vt:i4>
      </vt:variant>
      <vt:variant>
        <vt:i4>2724</vt:i4>
      </vt:variant>
      <vt:variant>
        <vt:i4>0</vt:i4>
      </vt:variant>
      <vt:variant>
        <vt:i4>5</vt:i4>
      </vt:variant>
      <vt:variant>
        <vt:lpwstr/>
      </vt:variant>
      <vt:variant>
        <vt:lpwstr>_ENREF_242</vt:lpwstr>
      </vt:variant>
      <vt:variant>
        <vt:i4>7798841</vt:i4>
      </vt:variant>
      <vt:variant>
        <vt:i4>2721</vt:i4>
      </vt:variant>
      <vt:variant>
        <vt:i4>0</vt:i4>
      </vt:variant>
      <vt:variant>
        <vt:i4>5</vt:i4>
      </vt:variant>
      <vt:variant>
        <vt:lpwstr/>
      </vt:variant>
      <vt:variant>
        <vt:lpwstr>_ENREF_224</vt:lpwstr>
      </vt:variant>
      <vt:variant>
        <vt:i4>4390923</vt:i4>
      </vt:variant>
      <vt:variant>
        <vt:i4>2711</vt:i4>
      </vt:variant>
      <vt:variant>
        <vt:i4>0</vt:i4>
      </vt:variant>
      <vt:variant>
        <vt:i4>5</vt:i4>
      </vt:variant>
      <vt:variant>
        <vt:lpwstr/>
      </vt:variant>
      <vt:variant>
        <vt:lpwstr>_ENREF_21</vt:lpwstr>
      </vt:variant>
      <vt:variant>
        <vt:i4>7602227</vt:i4>
      </vt:variant>
      <vt:variant>
        <vt:i4>2705</vt:i4>
      </vt:variant>
      <vt:variant>
        <vt:i4>0</vt:i4>
      </vt:variant>
      <vt:variant>
        <vt:i4>5</vt:i4>
      </vt:variant>
      <vt:variant>
        <vt:lpwstr/>
      </vt:variant>
      <vt:variant>
        <vt:lpwstr>_ENREF_184</vt:lpwstr>
      </vt:variant>
      <vt:variant>
        <vt:i4>7798843</vt:i4>
      </vt:variant>
      <vt:variant>
        <vt:i4>2701</vt:i4>
      </vt:variant>
      <vt:variant>
        <vt:i4>0</vt:i4>
      </vt:variant>
      <vt:variant>
        <vt:i4>5</vt:i4>
      </vt:variant>
      <vt:variant>
        <vt:lpwstr/>
      </vt:variant>
      <vt:variant>
        <vt:lpwstr>_ENREF_107</vt:lpwstr>
      </vt:variant>
      <vt:variant>
        <vt:i4>7929914</vt:i4>
      </vt:variant>
      <vt:variant>
        <vt:i4>2698</vt:i4>
      </vt:variant>
      <vt:variant>
        <vt:i4>0</vt:i4>
      </vt:variant>
      <vt:variant>
        <vt:i4>5</vt:i4>
      </vt:variant>
      <vt:variant>
        <vt:lpwstr/>
      </vt:variant>
      <vt:variant>
        <vt:lpwstr>_ENREF_119</vt:lpwstr>
      </vt:variant>
      <vt:variant>
        <vt:i4>4259873</vt:i4>
      </vt:variant>
      <vt:variant>
        <vt:i4>2688</vt:i4>
      </vt:variant>
      <vt:variant>
        <vt:i4>0</vt:i4>
      </vt:variant>
      <vt:variant>
        <vt:i4>5</vt:i4>
      </vt:variant>
      <vt:variant>
        <vt:lpwstr>http://en.wikipedia.org/wiki/Isotopic_signature</vt:lpwstr>
      </vt:variant>
      <vt:variant>
        <vt:lpwstr/>
      </vt:variant>
      <vt:variant>
        <vt:i4>4784175</vt:i4>
      </vt:variant>
      <vt:variant>
        <vt:i4>2685</vt:i4>
      </vt:variant>
      <vt:variant>
        <vt:i4>0</vt:i4>
      </vt:variant>
      <vt:variant>
        <vt:i4>5</vt:i4>
      </vt:variant>
      <vt:variant>
        <vt:lpwstr>http://en.wikipedia.org/wiki/Stable_isotope</vt:lpwstr>
      </vt:variant>
      <vt:variant>
        <vt:lpwstr/>
      </vt:variant>
      <vt:variant>
        <vt:i4>7340095</vt:i4>
      </vt:variant>
      <vt:variant>
        <vt:i4>2679</vt:i4>
      </vt:variant>
      <vt:variant>
        <vt:i4>0</vt:i4>
      </vt:variant>
      <vt:variant>
        <vt:i4>5</vt:i4>
      </vt:variant>
      <vt:variant>
        <vt:lpwstr/>
      </vt:variant>
      <vt:variant>
        <vt:lpwstr>_ENREF_140</vt:lpwstr>
      </vt:variant>
      <vt:variant>
        <vt:i4>4587531</vt:i4>
      </vt:variant>
      <vt:variant>
        <vt:i4>2675</vt:i4>
      </vt:variant>
      <vt:variant>
        <vt:i4>0</vt:i4>
      </vt:variant>
      <vt:variant>
        <vt:i4>5</vt:i4>
      </vt:variant>
      <vt:variant>
        <vt:lpwstr/>
      </vt:variant>
      <vt:variant>
        <vt:lpwstr>_ENREF_75</vt:lpwstr>
      </vt:variant>
      <vt:variant>
        <vt:i4>4390923</vt:i4>
      </vt:variant>
      <vt:variant>
        <vt:i4>2672</vt:i4>
      </vt:variant>
      <vt:variant>
        <vt:i4>0</vt:i4>
      </vt:variant>
      <vt:variant>
        <vt:i4>5</vt:i4>
      </vt:variant>
      <vt:variant>
        <vt:lpwstr/>
      </vt:variant>
      <vt:variant>
        <vt:lpwstr>_ENREF_2</vt:lpwstr>
      </vt:variant>
      <vt:variant>
        <vt:i4>4784139</vt:i4>
      </vt:variant>
      <vt:variant>
        <vt:i4>2669</vt:i4>
      </vt:variant>
      <vt:variant>
        <vt:i4>0</vt:i4>
      </vt:variant>
      <vt:variant>
        <vt:i4>5</vt:i4>
      </vt:variant>
      <vt:variant>
        <vt:lpwstr/>
      </vt:variant>
      <vt:variant>
        <vt:lpwstr>_ENREF_85</vt:lpwstr>
      </vt:variant>
      <vt:variant>
        <vt:i4>7667775</vt:i4>
      </vt:variant>
      <vt:variant>
        <vt:i4>2666</vt:i4>
      </vt:variant>
      <vt:variant>
        <vt:i4>0</vt:i4>
      </vt:variant>
      <vt:variant>
        <vt:i4>5</vt:i4>
      </vt:variant>
      <vt:variant>
        <vt:lpwstr/>
      </vt:variant>
      <vt:variant>
        <vt:lpwstr>_ENREF_246</vt:lpwstr>
      </vt:variant>
      <vt:variant>
        <vt:i4>7602239</vt:i4>
      </vt:variant>
      <vt:variant>
        <vt:i4>2663</vt:i4>
      </vt:variant>
      <vt:variant>
        <vt:i4>0</vt:i4>
      </vt:variant>
      <vt:variant>
        <vt:i4>5</vt:i4>
      </vt:variant>
      <vt:variant>
        <vt:lpwstr/>
      </vt:variant>
      <vt:variant>
        <vt:lpwstr>_ENREF_144</vt:lpwstr>
      </vt:variant>
      <vt:variant>
        <vt:i4>7733311</vt:i4>
      </vt:variant>
      <vt:variant>
        <vt:i4>2653</vt:i4>
      </vt:variant>
      <vt:variant>
        <vt:i4>0</vt:i4>
      </vt:variant>
      <vt:variant>
        <vt:i4>5</vt:i4>
      </vt:variant>
      <vt:variant>
        <vt:lpwstr/>
      </vt:variant>
      <vt:variant>
        <vt:lpwstr>_ENREF_245</vt:lpwstr>
      </vt:variant>
      <vt:variant>
        <vt:i4>4587531</vt:i4>
      </vt:variant>
      <vt:variant>
        <vt:i4>2647</vt:i4>
      </vt:variant>
      <vt:variant>
        <vt:i4>0</vt:i4>
      </vt:variant>
      <vt:variant>
        <vt:i4>5</vt:i4>
      </vt:variant>
      <vt:variant>
        <vt:lpwstr/>
      </vt:variant>
      <vt:variant>
        <vt:lpwstr>_ENREF_73</vt:lpwstr>
      </vt:variant>
      <vt:variant>
        <vt:i4>7798841</vt:i4>
      </vt:variant>
      <vt:variant>
        <vt:i4>2641</vt:i4>
      </vt:variant>
      <vt:variant>
        <vt:i4>0</vt:i4>
      </vt:variant>
      <vt:variant>
        <vt:i4>5</vt:i4>
      </vt:variant>
      <vt:variant>
        <vt:lpwstr/>
      </vt:variant>
      <vt:variant>
        <vt:lpwstr>_ENREF_127</vt:lpwstr>
      </vt:variant>
      <vt:variant>
        <vt:i4>7733299</vt:i4>
      </vt:variant>
      <vt:variant>
        <vt:i4>2632</vt:i4>
      </vt:variant>
      <vt:variant>
        <vt:i4>0</vt:i4>
      </vt:variant>
      <vt:variant>
        <vt:i4>5</vt:i4>
      </vt:variant>
      <vt:variant>
        <vt:lpwstr/>
      </vt:variant>
      <vt:variant>
        <vt:lpwstr>_ENREF_186</vt:lpwstr>
      </vt:variant>
      <vt:variant>
        <vt:i4>7733299</vt:i4>
      </vt:variant>
      <vt:variant>
        <vt:i4>2626</vt:i4>
      </vt:variant>
      <vt:variant>
        <vt:i4>0</vt:i4>
      </vt:variant>
      <vt:variant>
        <vt:i4>5</vt:i4>
      </vt:variant>
      <vt:variant>
        <vt:lpwstr/>
      </vt:variant>
      <vt:variant>
        <vt:lpwstr>_ENREF_186</vt:lpwstr>
      </vt:variant>
      <vt:variant>
        <vt:i4>4194315</vt:i4>
      </vt:variant>
      <vt:variant>
        <vt:i4>2620</vt:i4>
      </vt:variant>
      <vt:variant>
        <vt:i4>0</vt:i4>
      </vt:variant>
      <vt:variant>
        <vt:i4>5</vt:i4>
      </vt:variant>
      <vt:variant>
        <vt:lpwstr/>
      </vt:variant>
      <vt:variant>
        <vt:lpwstr>_ENREF_10</vt:lpwstr>
      </vt:variant>
      <vt:variant>
        <vt:i4>7667771</vt:i4>
      </vt:variant>
      <vt:variant>
        <vt:i4>2614</vt:i4>
      </vt:variant>
      <vt:variant>
        <vt:i4>0</vt:i4>
      </vt:variant>
      <vt:variant>
        <vt:i4>5</vt:i4>
      </vt:variant>
      <vt:variant>
        <vt:lpwstr/>
      </vt:variant>
      <vt:variant>
        <vt:lpwstr>_ENREF_105</vt:lpwstr>
      </vt:variant>
      <vt:variant>
        <vt:i4>7340090</vt:i4>
      </vt:variant>
      <vt:variant>
        <vt:i4>2608</vt:i4>
      </vt:variant>
      <vt:variant>
        <vt:i4>0</vt:i4>
      </vt:variant>
      <vt:variant>
        <vt:i4>5</vt:i4>
      </vt:variant>
      <vt:variant>
        <vt:lpwstr/>
      </vt:variant>
      <vt:variant>
        <vt:lpwstr>_ENREF_110</vt:lpwstr>
      </vt:variant>
      <vt:variant>
        <vt:i4>4718603</vt:i4>
      </vt:variant>
      <vt:variant>
        <vt:i4>2602</vt:i4>
      </vt:variant>
      <vt:variant>
        <vt:i4>0</vt:i4>
      </vt:variant>
      <vt:variant>
        <vt:i4>5</vt:i4>
      </vt:variant>
      <vt:variant>
        <vt:lpwstr/>
      </vt:variant>
      <vt:variant>
        <vt:lpwstr>_ENREF_93</vt:lpwstr>
      </vt:variant>
      <vt:variant>
        <vt:i4>4194315</vt:i4>
      </vt:variant>
      <vt:variant>
        <vt:i4>2596</vt:i4>
      </vt:variant>
      <vt:variant>
        <vt:i4>0</vt:i4>
      </vt:variant>
      <vt:variant>
        <vt:i4>5</vt:i4>
      </vt:variant>
      <vt:variant>
        <vt:lpwstr/>
      </vt:variant>
      <vt:variant>
        <vt:lpwstr>_ENREF_10</vt:lpwstr>
      </vt:variant>
      <vt:variant>
        <vt:i4>7667771</vt:i4>
      </vt:variant>
      <vt:variant>
        <vt:i4>2590</vt:i4>
      </vt:variant>
      <vt:variant>
        <vt:i4>0</vt:i4>
      </vt:variant>
      <vt:variant>
        <vt:i4>5</vt:i4>
      </vt:variant>
      <vt:variant>
        <vt:lpwstr/>
      </vt:variant>
      <vt:variant>
        <vt:lpwstr>_ENREF_105</vt:lpwstr>
      </vt:variant>
      <vt:variant>
        <vt:i4>7864379</vt:i4>
      </vt:variant>
      <vt:variant>
        <vt:i4>2584</vt:i4>
      </vt:variant>
      <vt:variant>
        <vt:i4>0</vt:i4>
      </vt:variant>
      <vt:variant>
        <vt:i4>5</vt:i4>
      </vt:variant>
      <vt:variant>
        <vt:lpwstr/>
      </vt:variant>
      <vt:variant>
        <vt:lpwstr>_ENREF_108</vt:lpwstr>
      </vt:variant>
      <vt:variant>
        <vt:i4>4194315</vt:i4>
      </vt:variant>
      <vt:variant>
        <vt:i4>2578</vt:i4>
      </vt:variant>
      <vt:variant>
        <vt:i4>0</vt:i4>
      </vt:variant>
      <vt:variant>
        <vt:i4>5</vt:i4>
      </vt:variant>
      <vt:variant>
        <vt:lpwstr/>
      </vt:variant>
      <vt:variant>
        <vt:lpwstr>_ENREF_10</vt:lpwstr>
      </vt:variant>
      <vt:variant>
        <vt:i4>7995450</vt:i4>
      </vt:variant>
      <vt:variant>
        <vt:i4>2572</vt:i4>
      </vt:variant>
      <vt:variant>
        <vt:i4>0</vt:i4>
      </vt:variant>
      <vt:variant>
        <vt:i4>5</vt:i4>
      </vt:variant>
      <vt:variant>
        <vt:lpwstr/>
      </vt:variant>
      <vt:variant>
        <vt:lpwstr>_ENREF_219</vt:lpwstr>
      </vt:variant>
      <vt:variant>
        <vt:i4>4456459</vt:i4>
      </vt:variant>
      <vt:variant>
        <vt:i4>2566</vt:i4>
      </vt:variant>
      <vt:variant>
        <vt:i4>0</vt:i4>
      </vt:variant>
      <vt:variant>
        <vt:i4>5</vt:i4>
      </vt:variant>
      <vt:variant>
        <vt:lpwstr/>
      </vt:variant>
      <vt:variant>
        <vt:lpwstr>_ENREF_59</vt:lpwstr>
      </vt:variant>
      <vt:variant>
        <vt:i4>4325387</vt:i4>
      </vt:variant>
      <vt:variant>
        <vt:i4>2560</vt:i4>
      </vt:variant>
      <vt:variant>
        <vt:i4>0</vt:i4>
      </vt:variant>
      <vt:variant>
        <vt:i4>5</vt:i4>
      </vt:variant>
      <vt:variant>
        <vt:lpwstr/>
      </vt:variant>
      <vt:variant>
        <vt:lpwstr>_ENREF_34</vt:lpwstr>
      </vt:variant>
      <vt:variant>
        <vt:i4>7340091</vt:i4>
      </vt:variant>
      <vt:variant>
        <vt:i4>2557</vt:i4>
      </vt:variant>
      <vt:variant>
        <vt:i4>0</vt:i4>
      </vt:variant>
      <vt:variant>
        <vt:i4>5</vt:i4>
      </vt:variant>
      <vt:variant>
        <vt:lpwstr/>
      </vt:variant>
      <vt:variant>
        <vt:lpwstr>_ENREF_100</vt:lpwstr>
      </vt:variant>
      <vt:variant>
        <vt:i4>7929914</vt:i4>
      </vt:variant>
      <vt:variant>
        <vt:i4>2553</vt:i4>
      </vt:variant>
      <vt:variant>
        <vt:i4>0</vt:i4>
      </vt:variant>
      <vt:variant>
        <vt:i4>5</vt:i4>
      </vt:variant>
      <vt:variant>
        <vt:lpwstr/>
      </vt:variant>
      <vt:variant>
        <vt:lpwstr>_ENREF_119</vt:lpwstr>
      </vt:variant>
      <vt:variant>
        <vt:i4>4325387</vt:i4>
      </vt:variant>
      <vt:variant>
        <vt:i4>2550</vt:i4>
      </vt:variant>
      <vt:variant>
        <vt:i4>0</vt:i4>
      </vt:variant>
      <vt:variant>
        <vt:i4>5</vt:i4>
      </vt:variant>
      <vt:variant>
        <vt:lpwstr/>
      </vt:variant>
      <vt:variant>
        <vt:lpwstr>_ENREF_3</vt:lpwstr>
      </vt:variant>
      <vt:variant>
        <vt:i4>4718603</vt:i4>
      </vt:variant>
      <vt:variant>
        <vt:i4>2540</vt:i4>
      </vt:variant>
      <vt:variant>
        <vt:i4>0</vt:i4>
      </vt:variant>
      <vt:variant>
        <vt:i4>5</vt:i4>
      </vt:variant>
      <vt:variant>
        <vt:lpwstr/>
      </vt:variant>
      <vt:variant>
        <vt:lpwstr>_ENREF_93</vt:lpwstr>
      </vt:variant>
      <vt:variant>
        <vt:i4>4194315</vt:i4>
      </vt:variant>
      <vt:variant>
        <vt:i4>2534</vt:i4>
      </vt:variant>
      <vt:variant>
        <vt:i4>0</vt:i4>
      </vt:variant>
      <vt:variant>
        <vt:i4>5</vt:i4>
      </vt:variant>
      <vt:variant>
        <vt:lpwstr/>
      </vt:variant>
      <vt:variant>
        <vt:lpwstr>_ENREF_10</vt:lpwstr>
      </vt:variant>
      <vt:variant>
        <vt:i4>4718603</vt:i4>
      </vt:variant>
      <vt:variant>
        <vt:i4>2528</vt:i4>
      </vt:variant>
      <vt:variant>
        <vt:i4>0</vt:i4>
      </vt:variant>
      <vt:variant>
        <vt:i4>5</vt:i4>
      </vt:variant>
      <vt:variant>
        <vt:lpwstr/>
      </vt:variant>
      <vt:variant>
        <vt:lpwstr>_ENREF_93</vt:lpwstr>
      </vt:variant>
      <vt:variant>
        <vt:i4>4718603</vt:i4>
      </vt:variant>
      <vt:variant>
        <vt:i4>2522</vt:i4>
      </vt:variant>
      <vt:variant>
        <vt:i4>0</vt:i4>
      </vt:variant>
      <vt:variant>
        <vt:i4>5</vt:i4>
      </vt:variant>
      <vt:variant>
        <vt:lpwstr/>
      </vt:variant>
      <vt:variant>
        <vt:lpwstr>_ENREF_93</vt:lpwstr>
      </vt:variant>
      <vt:variant>
        <vt:i4>4194315</vt:i4>
      </vt:variant>
      <vt:variant>
        <vt:i4>2516</vt:i4>
      </vt:variant>
      <vt:variant>
        <vt:i4>0</vt:i4>
      </vt:variant>
      <vt:variant>
        <vt:i4>5</vt:i4>
      </vt:variant>
      <vt:variant>
        <vt:lpwstr/>
      </vt:variant>
      <vt:variant>
        <vt:lpwstr>_ENREF_10</vt:lpwstr>
      </vt:variant>
      <vt:variant>
        <vt:i4>7995450</vt:i4>
      </vt:variant>
      <vt:variant>
        <vt:i4>2510</vt:i4>
      </vt:variant>
      <vt:variant>
        <vt:i4>0</vt:i4>
      </vt:variant>
      <vt:variant>
        <vt:i4>5</vt:i4>
      </vt:variant>
      <vt:variant>
        <vt:lpwstr/>
      </vt:variant>
      <vt:variant>
        <vt:lpwstr>_ENREF_219</vt:lpwstr>
      </vt:variant>
      <vt:variant>
        <vt:i4>7602227</vt:i4>
      </vt:variant>
      <vt:variant>
        <vt:i4>2504</vt:i4>
      </vt:variant>
      <vt:variant>
        <vt:i4>0</vt:i4>
      </vt:variant>
      <vt:variant>
        <vt:i4>5</vt:i4>
      </vt:variant>
      <vt:variant>
        <vt:lpwstr/>
      </vt:variant>
      <vt:variant>
        <vt:lpwstr>_ENREF_184</vt:lpwstr>
      </vt:variant>
      <vt:variant>
        <vt:i4>4390923</vt:i4>
      </vt:variant>
      <vt:variant>
        <vt:i4>2498</vt:i4>
      </vt:variant>
      <vt:variant>
        <vt:i4>0</vt:i4>
      </vt:variant>
      <vt:variant>
        <vt:i4>5</vt:i4>
      </vt:variant>
      <vt:variant>
        <vt:lpwstr/>
      </vt:variant>
      <vt:variant>
        <vt:lpwstr>_ENREF_23</vt:lpwstr>
      </vt:variant>
      <vt:variant>
        <vt:i4>7602226</vt:i4>
      </vt:variant>
      <vt:variant>
        <vt:i4>2492</vt:i4>
      </vt:variant>
      <vt:variant>
        <vt:i4>0</vt:i4>
      </vt:variant>
      <vt:variant>
        <vt:i4>5</vt:i4>
      </vt:variant>
      <vt:variant>
        <vt:lpwstr/>
      </vt:variant>
      <vt:variant>
        <vt:lpwstr>_ENREF_194</vt:lpwstr>
      </vt:variant>
      <vt:variant>
        <vt:i4>7602227</vt:i4>
      </vt:variant>
      <vt:variant>
        <vt:i4>2480</vt:i4>
      </vt:variant>
      <vt:variant>
        <vt:i4>0</vt:i4>
      </vt:variant>
      <vt:variant>
        <vt:i4>5</vt:i4>
      </vt:variant>
      <vt:variant>
        <vt:lpwstr/>
      </vt:variant>
      <vt:variant>
        <vt:lpwstr>_ENREF_184</vt:lpwstr>
      </vt:variant>
      <vt:variant>
        <vt:i4>7798840</vt:i4>
      </vt:variant>
      <vt:variant>
        <vt:i4>2471</vt:i4>
      </vt:variant>
      <vt:variant>
        <vt:i4>0</vt:i4>
      </vt:variant>
      <vt:variant>
        <vt:i4>5</vt:i4>
      </vt:variant>
      <vt:variant>
        <vt:lpwstr/>
      </vt:variant>
      <vt:variant>
        <vt:lpwstr>_ENREF_137</vt:lpwstr>
      </vt:variant>
      <vt:variant>
        <vt:i4>4521995</vt:i4>
      </vt:variant>
      <vt:variant>
        <vt:i4>2465</vt:i4>
      </vt:variant>
      <vt:variant>
        <vt:i4>0</vt:i4>
      </vt:variant>
      <vt:variant>
        <vt:i4>5</vt:i4>
      </vt:variant>
      <vt:variant>
        <vt:lpwstr/>
      </vt:variant>
      <vt:variant>
        <vt:lpwstr>_ENREF_41</vt:lpwstr>
      </vt:variant>
      <vt:variant>
        <vt:i4>4194315</vt:i4>
      </vt:variant>
      <vt:variant>
        <vt:i4>2444</vt:i4>
      </vt:variant>
      <vt:variant>
        <vt:i4>0</vt:i4>
      </vt:variant>
      <vt:variant>
        <vt:i4>5</vt:i4>
      </vt:variant>
      <vt:variant>
        <vt:lpwstr/>
      </vt:variant>
      <vt:variant>
        <vt:lpwstr>_ENREF_18</vt:lpwstr>
      </vt:variant>
      <vt:variant>
        <vt:i4>7798835</vt:i4>
      </vt:variant>
      <vt:variant>
        <vt:i4>2438</vt:i4>
      </vt:variant>
      <vt:variant>
        <vt:i4>0</vt:i4>
      </vt:variant>
      <vt:variant>
        <vt:i4>5</vt:i4>
      </vt:variant>
      <vt:variant>
        <vt:lpwstr/>
      </vt:variant>
      <vt:variant>
        <vt:lpwstr>_ENREF_187</vt:lpwstr>
      </vt:variant>
      <vt:variant>
        <vt:i4>4325387</vt:i4>
      </vt:variant>
      <vt:variant>
        <vt:i4>2432</vt:i4>
      </vt:variant>
      <vt:variant>
        <vt:i4>0</vt:i4>
      </vt:variant>
      <vt:variant>
        <vt:i4>5</vt:i4>
      </vt:variant>
      <vt:variant>
        <vt:lpwstr/>
      </vt:variant>
      <vt:variant>
        <vt:lpwstr>_ENREF_36</vt:lpwstr>
      </vt:variant>
      <vt:variant>
        <vt:i4>7471161</vt:i4>
      </vt:variant>
      <vt:variant>
        <vt:i4>2423</vt:i4>
      </vt:variant>
      <vt:variant>
        <vt:i4>0</vt:i4>
      </vt:variant>
      <vt:variant>
        <vt:i4>5</vt:i4>
      </vt:variant>
      <vt:variant>
        <vt:lpwstr/>
      </vt:variant>
      <vt:variant>
        <vt:lpwstr>_ENREF_122</vt:lpwstr>
      </vt:variant>
      <vt:variant>
        <vt:i4>7667770</vt:i4>
      </vt:variant>
      <vt:variant>
        <vt:i4>2417</vt:i4>
      </vt:variant>
      <vt:variant>
        <vt:i4>0</vt:i4>
      </vt:variant>
      <vt:variant>
        <vt:i4>5</vt:i4>
      </vt:variant>
      <vt:variant>
        <vt:lpwstr/>
      </vt:variant>
      <vt:variant>
        <vt:lpwstr>_ENREF_216</vt:lpwstr>
      </vt:variant>
      <vt:variant>
        <vt:i4>4784139</vt:i4>
      </vt:variant>
      <vt:variant>
        <vt:i4>2411</vt:i4>
      </vt:variant>
      <vt:variant>
        <vt:i4>0</vt:i4>
      </vt:variant>
      <vt:variant>
        <vt:i4>5</vt:i4>
      </vt:variant>
      <vt:variant>
        <vt:lpwstr/>
      </vt:variant>
      <vt:variant>
        <vt:lpwstr>_ENREF_80</vt:lpwstr>
      </vt:variant>
      <vt:variant>
        <vt:i4>4521995</vt:i4>
      </vt:variant>
      <vt:variant>
        <vt:i4>2405</vt:i4>
      </vt:variant>
      <vt:variant>
        <vt:i4>0</vt:i4>
      </vt:variant>
      <vt:variant>
        <vt:i4>5</vt:i4>
      </vt:variant>
      <vt:variant>
        <vt:lpwstr/>
      </vt:variant>
      <vt:variant>
        <vt:lpwstr>_ENREF_41</vt:lpwstr>
      </vt:variant>
      <vt:variant>
        <vt:i4>4587531</vt:i4>
      </vt:variant>
      <vt:variant>
        <vt:i4>2399</vt:i4>
      </vt:variant>
      <vt:variant>
        <vt:i4>0</vt:i4>
      </vt:variant>
      <vt:variant>
        <vt:i4>5</vt:i4>
      </vt:variant>
      <vt:variant>
        <vt:lpwstr/>
      </vt:variant>
      <vt:variant>
        <vt:lpwstr>_ENREF_72</vt:lpwstr>
      </vt:variant>
      <vt:variant>
        <vt:i4>7340089</vt:i4>
      </vt:variant>
      <vt:variant>
        <vt:i4>2395</vt:i4>
      </vt:variant>
      <vt:variant>
        <vt:i4>0</vt:i4>
      </vt:variant>
      <vt:variant>
        <vt:i4>5</vt:i4>
      </vt:variant>
      <vt:variant>
        <vt:lpwstr/>
      </vt:variant>
      <vt:variant>
        <vt:lpwstr>_ENREF_120</vt:lpwstr>
      </vt:variant>
      <vt:variant>
        <vt:i4>7405629</vt:i4>
      </vt:variant>
      <vt:variant>
        <vt:i4>2392</vt:i4>
      </vt:variant>
      <vt:variant>
        <vt:i4>0</vt:i4>
      </vt:variant>
      <vt:variant>
        <vt:i4>5</vt:i4>
      </vt:variant>
      <vt:variant>
        <vt:lpwstr/>
      </vt:variant>
      <vt:variant>
        <vt:lpwstr>_ENREF_161</vt:lpwstr>
      </vt:variant>
      <vt:variant>
        <vt:i4>7405629</vt:i4>
      </vt:variant>
      <vt:variant>
        <vt:i4>2384</vt:i4>
      </vt:variant>
      <vt:variant>
        <vt:i4>0</vt:i4>
      </vt:variant>
      <vt:variant>
        <vt:i4>5</vt:i4>
      </vt:variant>
      <vt:variant>
        <vt:lpwstr/>
      </vt:variant>
      <vt:variant>
        <vt:lpwstr>_ENREF_161</vt:lpwstr>
      </vt:variant>
      <vt:variant>
        <vt:i4>7602234</vt:i4>
      </vt:variant>
      <vt:variant>
        <vt:i4>2378</vt:i4>
      </vt:variant>
      <vt:variant>
        <vt:i4>0</vt:i4>
      </vt:variant>
      <vt:variant>
        <vt:i4>5</vt:i4>
      </vt:variant>
      <vt:variant>
        <vt:lpwstr/>
      </vt:variant>
      <vt:variant>
        <vt:lpwstr>_ENREF_114</vt:lpwstr>
      </vt:variant>
      <vt:variant>
        <vt:i4>7536701</vt:i4>
      </vt:variant>
      <vt:variant>
        <vt:i4>2372</vt:i4>
      </vt:variant>
      <vt:variant>
        <vt:i4>0</vt:i4>
      </vt:variant>
      <vt:variant>
        <vt:i4>5</vt:i4>
      </vt:variant>
      <vt:variant>
        <vt:lpwstr/>
      </vt:variant>
      <vt:variant>
        <vt:lpwstr>_ENREF_260</vt:lpwstr>
      </vt:variant>
      <vt:variant>
        <vt:i4>7536703</vt:i4>
      </vt:variant>
      <vt:variant>
        <vt:i4>2366</vt:i4>
      </vt:variant>
      <vt:variant>
        <vt:i4>0</vt:i4>
      </vt:variant>
      <vt:variant>
        <vt:i4>5</vt:i4>
      </vt:variant>
      <vt:variant>
        <vt:lpwstr/>
      </vt:variant>
      <vt:variant>
        <vt:lpwstr>_ENREF_143</vt:lpwstr>
      </vt:variant>
      <vt:variant>
        <vt:i4>7405628</vt:i4>
      </vt:variant>
      <vt:variant>
        <vt:i4>2360</vt:i4>
      </vt:variant>
      <vt:variant>
        <vt:i4>0</vt:i4>
      </vt:variant>
      <vt:variant>
        <vt:i4>5</vt:i4>
      </vt:variant>
      <vt:variant>
        <vt:lpwstr/>
      </vt:variant>
      <vt:variant>
        <vt:lpwstr>_ENREF_171</vt:lpwstr>
      </vt:variant>
      <vt:variant>
        <vt:i4>7602236</vt:i4>
      </vt:variant>
      <vt:variant>
        <vt:i4>2354</vt:i4>
      </vt:variant>
      <vt:variant>
        <vt:i4>0</vt:i4>
      </vt:variant>
      <vt:variant>
        <vt:i4>5</vt:i4>
      </vt:variant>
      <vt:variant>
        <vt:lpwstr/>
      </vt:variant>
      <vt:variant>
        <vt:lpwstr>_ENREF_174</vt:lpwstr>
      </vt:variant>
      <vt:variant>
        <vt:i4>7405631</vt:i4>
      </vt:variant>
      <vt:variant>
        <vt:i4>2333</vt:i4>
      </vt:variant>
      <vt:variant>
        <vt:i4>0</vt:i4>
      </vt:variant>
      <vt:variant>
        <vt:i4>5</vt:i4>
      </vt:variant>
      <vt:variant>
        <vt:lpwstr/>
      </vt:variant>
      <vt:variant>
        <vt:lpwstr>_ENREF_141</vt:lpwstr>
      </vt:variant>
      <vt:variant>
        <vt:i4>4521995</vt:i4>
      </vt:variant>
      <vt:variant>
        <vt:i4>2321</vt:i4>
      </vt:variant>
      <vt:variant>
        <vt:i4>0</vt:i4>
      </vt:variant>
      <vt:variant>
        <vt:i4>5</vt:i4>
      </vt:variant>
      <vt:variant>
        <vt:lpwstr/>
      </vt:variant>
      <vt:variant>
        <vt:lpwstr>_ENREF_4</vt:lpwstr>
      </vt:variant>
      <vt:variant>
        <vt:i4>7536691</vt:i4>
      </vt:variant>
      <vt:variant>
        <vt:i4>2315</vt:i4>
      </vt:variant>
      <vt:variant>
        <vt:i4>0</vt:i4>
      </vt:variant>
      <vt:variant>
        <vt:i4>5</vt:i4>
      </vt:variant>
      <vt:variant>
        <vt:lpwstr/>
      </vt:variant>
      <vt:variant>
        <vt:lpwstr>_ENREF_183</vt:lpwstr>
      </vt:variant>
      <vt:variant>
        <vt:i4>7340094</vt:i4>
      </vt:variant>
      <vt:variant>
        <vt:i4>2309</vt:i4>
      </vt:variant>
      <vt:variant>
        <vt:i4>0</vt:i4>
      </vt:variant>
      <vt:variant>
        <vt:i4>5</vt:i4>
      </vt:variant>
      <vt:variant>
        <vt:lpwstr/>
      </vt:variant>
      <vt:variant>
        <vt:lpwstr>_ENREF_150</vt:lpwstr>
      </vt:variant>
      <vt:variant>
        <vt:i4>7667773</vt:i4>
      </vt:variant>
      <vt:variant>
        <vt:i4>2303</vt:i4>
      </vt:variant>
      <vt:variant>
        <vt:i4>0</vt:i4>
      </vt:variant>
      <vt:variant>
        <vt:i4>5</vt:i4>
      </vt:variant>
      <vt:variant>
        <vt:lpwstr/>
      </vt:variant>
      <vt:variant>
        <vt:lpwstr>_ENREF_165</vt:lpwstr>
      </vt:variant>
      <vt:variant>
        <vt:i4>4521995</vt:i4>
      </vt:variant>
      <vt:variant>
        <vt:i4>2297</vt:i4>
      </vt:variant>
      <vt:variant>
        <vt:i4>0</vt:i4>
      </vt:variant>
      <vt:variant>
        <vt:i4>5</vt:i4>
      </vt:variant>
      <vt:variant>
        <vt:lpwstr/>
      </vt:variant>
      <vt:variant>
        <vt:lpwstr>_ENREF_41</vt:lpwstr>
      </vt:variant>
      <vt:variant>
        <vt:i4>4718603</vt:i4>
      </vt:variant>
      <vt:variant>
        <vt:i4>2291</vt:i4>
      </vt:variant>
      <vt:variant>
        <vt:i4>0</vt:i4>
      </vt:variant>
      <vt:variant>
        <vt:i4>5</vt:i4>
      </vt:variant>
      <vt:variant>
        <vt:lpwstr/>
      </vt:variant>
      <vt:variant>
        <vt:lpwstr>_ENREF_95</vt:lpwstr>
      </vt:variant>
      <vt:variant>
        <vt:i4>4456459</vt:i4>
      </vt:variant>
      <vt:variant>
        <vt:i4>2284</vt:i4>
      </vt:variant>
      <vt:variant>
        <vt:i4>0</vt:i4>
      </vt:variant>
      <vt:variant>
        <vt:i4>5</vt:i4>
      </vt:variant>
      <vt:variant>
        <vt:lpwstr/>
      </vt:variant>
      <vt:variant>
        <vt:lpwstr>_ENREF_56</vt:lpwstr>
      </vt:variant>
      <vt:variant>
        <vt:i4>4456459</vt:i4>
      </vt:variant>
      <vt:variant>
        <vt:i4>2281</vt:i4>
      </vt:variant>
      <vt:variant>
        <vt:i4>0</vt:i4>
      </vt:variant>
      <vt:variant>
        <vt:i4>5</vt:i4>
      </vt:variant>
      <vt:variant>
        <vt:lpwstr/>
      </vt:variant>
      <vt:variant>
        <vt:lpwstr>_ENREF_54</vt:lpwstr>
      </vt:variant>
      <vt:variant>
        <vt:i4>4456459</vt:i4>
      </vt:variant>
      <vt:variant>
        <vt:i4>2278</vt:i4>
      </vt:variant>
      <vt:variant>
        <vt:i4>0</vt:i4>
      </vt:variant>
      <vt:variant>
        <vt:i4>5</vt:i4>
      </vt:variant>
      <vt:variant>
        <vt:lpwstr/>
      </vt:variant>
      <vt:variant>
        <vt:lpwstr>_ENREF_55</vt:lpwstr>
      </vt:variant>
      <vt:variant>
        <vt:i4>4456459</vt:i4>
      </vt:variant>
      <vt:variant>
        <vt:i4>2275</vt:i4>
      </vt:variant>
      <vt:variant>
        <vt:i4>0</vt:i4>
      </vt:variant>
      <vt:variant>
        <vt:i4>5</vt:i4>
      </vt:variant>
      <vt:variant>
        <vt:lpwstr/>
      </vt:variant>
      <vt:variant>
        <vt:lpwstr>_ENREF_53</vt:lpwstr>
      </vt:variant>
      <vt:variant>
        <vt:i4>4390923</vt:i4>
      </vt:variant>
      <vt:variant>
        <vt:i4>2265</vt:i4>
      </vt:variant>
      <vt:variant>
        <vt:i4>0</vt:i4>
      </vt:variant>
      <vt:variant>
        <vt:i4>5</vt:i4>
      </vt:variant>
      <vt:variant>
        <vt:lpwstr/>
      </vt:variant>
      <vt:variant>
        <vt:lpwstr>_ENREF_27</vt:lpwstr>
      </vt:variant>
      <vt:variant>
        <vt:i4>7929918</vt:i4>
      </vt:variant>
      <vt:variant>
        <vt:i4>2261</vt:i4>
      </vt:variant>
      <vt:variant>
        <vt:i4>0</vt:i4>
      </vt:variant>
      <vt:variant>
        <vt:i4>5</vt:i4>
      </vt:variant>
      <vt:variant>
        <vt:lpwstr/>
      </vt:variant>
      <vt:variant>
        <vt:lpwstr>_ENREF_159</vt:lpwstr>
      </vt:variant>
      <vt:variant>
        <vt:i4>7602226</vt:i4>
      </vt:variant>
      <vt:variant>
        <vt:i4>2258</vt:i4>
      </vt:variant>
      <vt:variant>
        <vt:i4>0</vt:i4>
      </vt:variant>
      <vt:variant>
        <vt:i4>5</vt:i4>
      </vt:variant>
      <vt:variant>
        <vt:lpwstr/>
      </vt:variant>
      <vt:variant>
        <vt:lpwstr>_ENREF_194</vt:lpwstr>
      </vt:variant>
      <vt:variant>
        <vt:i4>7405618</vt:i4>
      </vt:variant>
      <vt:variant>
        <vt:i4>2255</vt:i4>
      </vt:variant>
      <vt:variant>
        <vt:i4>0</vt:i4>
      </vt:variant>
      <vt:variant>
        <vt:i4>5</vt:i4>
      </vt:variant>
      <vt:variant>
        <vt:lpwstr/>
      </vt:variant>
      <vt:variant>
        <vt:lpwstr>_ENREF_191</vt:lpwstr>
      </vt:variant>
      <vt:variant>
        <vt:i4>7864382</vt:i4>
      </vt:variant>
      <vt:variant>
        <vt:i4>2252</vt:i4>
      </vt:variant>
      <vt:variant>
        <vt:i4>0</vt:i4>
      </vt:variant>
      <vt:variant>
        <vt:i4>5</vt:i4>
      </vt:variant>
      <vt:variant>
        <vt:lpwstr/>
      </vt:variant>
      <vt:variant>
        <vt:lpwstr>_ENREF_158</vt:lpwstr>
      </vt:variant>
      <vt:variant>
        <vt:i4>7733298</vt:i4>
      </vt:variant>
      <vt:variant>
        <vt:i4>2249</vt:i4>
      </vt:variant>
      <vt:variant>
        <vt:i4>0</vt:i4>
      </vt:variant>
      <vt:variant>
        <vt:i4>5</vt:i4>
      </vt:variant>
      <vt:variant>
        <vt:lpwstr/>
      </vt:variant>
      <vt:variant>
        <vt:lpwstr>_ENREF_196</vt:lpwstr>
      </vt:variant>
      <vt:variant>
        <vt:i4>4325387</vt:i4>
      </vt:variant>
      <vt:variant>
        <vt:i4>2246</vt:i4>
      </vt:variant>
      <vt:variant>
        <vt:i4>0</vt:i4>
      </vt:variant>
      <vt:variant>
        <vt:i4>5</vt:i4>
      </vt:variant>
      <vt:variant>
        <vt:lpwstr/>
      </vt:variant>
      <vt:variant>
        <vt:lpwstr>_ENREF_38</vt:lpwstr>
      </vt:variant>
      <vt:variant>
        <vt:i4>7667762</vt:i4>
      </vt:variant>
      <vt:variant>
        <vt:i4>2243</vt:i4>
      </vt:variant>
      <vt:variant>
        <vt:i4>0</vt:i4>
      </vt:variant>
      <vt:variant>
        <vt:i4>5</vt:i4>
      </vt:variant>
      <vt:variant>
        <vt:lpwstr/>
      </vt:variant>
      <vt:variant>
        <vt:lpwstr>_ENREF_195</vt:lpwstr>
      </vt:variant>
      <vt:variant>
        <vt:i4>4325387</vt:i4>
      </vt:variant>
      <vt:variant>
        <vt:i4>2240</vt:i4>
      </vt:variant>
      <vt:variant>
        <vt:i4>0</vt:i4>
      </vt:variant>
      <vt:variant>
        <vt:i4>5</vt:i4>
      </vt:variant>
      <vt:variant>
        <vt:lpwstr/>
      </vt:variant>
      <vt:variant>
        <vt:lpwstr>_ENREF_37</vt:lpwstr>
      </vt:variant>
      <vt:variant>
        <vt:i4>7602232</vt:i4>
      </vt:variant>
      <vt:variant>
        <vt:i4>2237</vt:i4>
      </vt:variant>
      <vt:variant>
        <vt:i4>0</vt:i4>
      </vt:variant>
      <vt:variant>
        <vt:i4>5</vt:i4>
      </vt:variant>
      <vt:variant>
        <vt:lpwstr/>
      </vt:variant>
      <vt:variant>
        <vt:lpwstr>_ENREF_134</vt:lpwstr>
      </vt:variant>
      <vt:variant>
        <vt:i4>7667769</vt:i4>
      </vt:variant>
      <vt:variant>
        <vt:i4>2234</vt:i4>
      </vt:variant>
      <vt:variant>
        <vt:i4>0</vt:i4>
      </vt:variant>
      <vt:variant>
        <vt:i4>5</vt:i4>
      </vt:variant>
      <vt:variant>
        <vt:lpwstr/>
      </vt:variant>
      <vt:variant>
        <vt:lpwstr>_ENREF_125</vt:lpwstr>
      </vt:variant>
      <vt:variant>
        <vt:i4>7602239</vt:i4>
      </vt:variant>
      <vt:variant>
        <vt:i4>2231</vt:i4>
      </vt:variant>
      <vt:variant>
        <vt:i4>0</vt:i4>
      </vt:variant>
      <vt:variant>
        <vt:i4>5</vt:i4>
      </vt:variant>
      <vt:variant>
        <vt:lpwstr/>
      </vt:variant>
      <vt:variant>
        <vt:lpwstr>_ENREF_247</vt:lpwstr>
      </vt:variant>
      <vt:variant>
        <vt:i4>7536703</vt:i4>
      </vt:variant>
      <vt:variant>
        <vt:i4>2228</vt:i4>
      </vt:variant>
      <vt:variant>
        <vt:i4>0</vt:i4>
      </vt:variant>
      <vt:variant>
        <vt:i4>5</vt:i4>
      </vt:variant>
      <vt:variant>
        <vt:lpwstr/>
      </vt:variant>
      <vt:variant>
        <vt:lpwstr>_ENREF_240</vt:lpwstr>
      </vt:variant>
      <vt:variant>
        <vt:i4>4784139</vt:i4>
      </vt:variant>
      <vt:variant>
        <vt:i4>2225</vt:i4>
      </vt:variant>
      <vt:variant>
        <vt:i4>0</vt:i4>
      </vt:variant>
      <vt:variant>
        <vt:i4>5</vt:i4>
      </vt:variant>
      <vt:variant>
        <vt:lpwstr/>
      </vt:variant>
      <vt:variant>
        <vt:lpwstr>_ENREF_87</vt:lpwstr>
      </vt:variant>
      <vt:variant>
        <vt:i4>7798842</vt:i4>
      </vt:variant>
      <vt:variant>
        <vt:i4>2215</vt:i4>
      </vt:variant>
      <vt:variant>
        <vt:i4>0</vt:i4>
      </vt:variant>
      <vt:variant>
        <vt:i4>5</vt:i4>
      </vt:variant>
      <vt:variant>
        <vt:lpwstr/>
      </vt:variant>
      <vt:variant>
        <vt:lpwstr>_ENREF_117</vt:lpwstr>
      </vt:variant>
      <vt:variant>
        <vt:i4>4521995</vt:i4>
      </vt:variant>
      <vt:variant>
        <vt:i4>2209</vt:i4>
      </vt:variant>
      <vt:variant>
        <vt:i4>0</vt:i4>
      </vt:variant>
      <vt:variant>
        <vt:i4>5</vt:i4>
      </vt:variant>
      <vt:variant>
        <vt:lpwstr/>
      </vt:variant>
      <vt:variant>
        <vt:lpwstr>_ENREF_40</vt:lpwstr>
      </vt:variant>
      <vt:variant>
        <vt:i4>7602234</vt:i4>
      </vt:variant>
      <vt:variant>
        <vt:i4>2203</vt:i4>
      </vt:variant>
      <vt:variant>
        <vt:i4>0</vt:i4>
      </vt:variant>
      <vt:variant>
        <vt:i4>5</vt:i4>
      </vt:variant>
      <vt:variant>
        <vt:lpwstr/>
      </vt:variant>
      <vt:variant>
        <vt:lpwstr>_ENREF_217</vt:lpwstr>
      </vt:variant>
      <vt:variant>
        <vt:i4>7405619</vt:i4>
      </vt:variant>
      <vt:variant>
        <vt:i4>2197</vt:i4>
      </vt:variant>
      <vt:variant>
        <vt:i4>0</vt:i4>
      </vt:variant>
      <vt:variant>
        <vt:i4>5</vt:i4>
      </vt:variant>
      <vt:variant>
        <vt:lpwstr/>
      </vt:variant>
      <vt:variant>
        <vt:lpwstr>_ENREF_181</vt:lpwstr>
      </vt:variant>
      <vt:variant>
        <vt:i4>7667774</vt:i4>
      </vt:variant>
      <vt:variant>
        <vt:i4>2191</vt:i4>
      </vt:variant>
      <vt:variant>
        <vt:i4>0</vt:i4>
      </vt:variant>
      <vt:variant>
        <vt:i4>5</vt:i4>
      </vt:variant>
      <vt:variant>
        <vt:lpwstr/>
      </vt:variant>
      <vt:variant>
        <vt:lpwstr>_ENREF_155</vt:lpwstr>
      </vt:variant>
      <vt:variant>
        <vt:i4>7536702</vt:i4>
      </vt:variant>
      <vt:variant>
        <vt:i4>2185</vt:i4>
      </vt:variant>
      <vt:variant>
        <vt:i4>0</vt:i4>
      </vt:variant>
      <vt:variant>
        <vt:i4>5</vt:i4>
      </vt:variant>
      <vt:variant>
        <vt:lpwstr/>
      </vt:variant>
      <vt:variant>
        <vt:lpwstr>_ENREF_153</vt:lpwstr>
      </vt:variant>
      <vt:variant>
        <vt:i4>7733310</vt:i4>
      </vt:variant>
      <vt:variant>
        <vt:i4>2179</vt:i4>
      </vt:variant>
      <vt:variant>
        <vt:i4>0</vt:i4>
      </vt:variant>
      <vt:variant>
        <vt:i4>5</vt:i4>
      </vt:variant>
      <vt:variant>
        <vt:lpwstr/>
      </vt:variant>
      <vt:variant>
        <vt:lpwstr>_ENREF_156</vt:lpwstr>
      </vt:variant>
      <vt:variant>
        <vt:i4>4784139</vt:i4>
      </vt:variant>
      <vt:variant>
        <vt:i4>2173</vt:i4>
      </vt:variant>
      <vt:variant>
        <vt:i4>0</vt:i4>
      </vt:variant>
      <vt:variant>
        <vt:i4>5</vt:i4>
      </vt:variant>
      <vt:variant>
        <vt:lpwstr/>
      </vt:variant>
      <vt:variant>
        <vt:lpwstr>_ENREF_82</vt:lpwstr>
      </vt:variant>
      <vt:variant>
        <vt:i4>7471154</vt:i4>
      </vt:variant>
      <vt:variant>
        <vt:i4>2167</vt:i4>
      </vt:variant>
      <vt:variant>
        <vt:i4>0</vt:i4>
      </vt:variant>
      <vt:variant>
        <vt:i4>5</vt:i4>
      </vt:variant>
      <vt:variant>
        <vt:lpwstr/>
      </vt:variant>
      <vt:variant>
        <vt:lpwstr>_ENREF_192</vt:lpwstr>
      </vt:variant>
      <vt:variant>
        <vt:i4>7471154</vt:i4>
      </vt:variant>
      <vt:variant>
        <vt:i4>2161</vt:i4>
      </vt:variant>
      <vt:variant>
        <vt:i4>0</vt:i4>
      </vt:variant>
      <vt:variant>
        <vt:i4>5</vt:i4>
      </vt:variant>
      <vt:variant>
        <vt:lpwstr/>
      </vt:variant>
      <vt:variant>
        <vt:lpwstr>_ENREF_192</vt:lpwstr>
      </vt:variant>
      <vt:variant>
        <vt:i4>8060990</vt:i4>
      </vt:variant>
      <vt:variant>
        <vt:i4>2146</vt:i4>
      </vt:variant>
      <vt:variant>
        <vt:i4>0</vt:i4>
      </vt:variant>
      <vt:variant>
        <vt:i4>5</vt:i4>
      </vt:variant>
      <vt:variant>
        <vt:lpwstr/>
      </vt:variant>
      <vt:variant>
        <vt:lpwstr>_ENREF_258</vt:lpwstr>
      </vt:variant>
      <vt:variant>
        <vt:i4>8060990</vt:i4>
      </vt:variant>
      <vt:variant>
        <vt:i4>2142</vt:i4>
      </vt:variant>
      <vt:variant>
        <vt:i4>0</vt:i4>
      </vt:variant>
      <vt:variant>
        <vt:i4>5</vt:i4>
      </vt:variant>
      <vt:variant>
        <vt:lpwstr/>
      </vt:variant>
      <vt:variant>
        <vt:lpwstr>_ENREF_258</vt:lpwstr>
      </vt:variant>
      <vt:variant>
        <vt:i4>7929912</vt:i4>
      </vt:variant>
      <vt:variant>
        <vt:i4>2139</vt:i4>
      </vt:variant>
      <vt:variant>
        <vt:i4>0</vt:i4>
      </vt:variant>
      <vt:variant>
        <vt:i4>5</vt:i4>
      </vt:variant>
      <vt:variant>
        <vt:lpwstr/>
      </vt:variant>
      <vt:variant>
        <vt:lpwstr>_ENREF_139</vt:lpwstr>
      </vt:variant>
      <vt:variant>
        <vt:i4>7929912</vt:i4>
      </vt:variant>
      <vt:variant>
        <vt:i4>2129</vt:i4>
      </vt:variant>
      <vt:variant>
        <vt:i4>0</vt:i4>
      </vt:variant>
      <vt:variant>
        <vt:i4>5</vt:i4>
      </vt:variant>
      <vt:variant>
        <vt:lpwstr/>
      </vt:variant>
      <vt:variant>
        <vt:lpwstr>_ENREF_139</vt:lpwstr>
      </vt:variant>
      <vt:variant>
        <vt:i4>4784139</vt:i4>
      </vt:variant>
      <vt:variant>
        <vt:i4>2123</vt:i4>
      </vt:variant>
      <vt:variant>
        <vt:i4>0</vt:i4>
      </vt:variant>
      <vt:variant>
        <vt:i4>5</vt:i4>
      </vt:variant>
      <vt:variant>
        <vt:lpwstr/>
      </vt:variant>
      <vt:variant>
        <vt:lpwstr>_ENREF_86</vt:lpwstr>
      </vt:variant>
      <vt:variant>
        <vt:i4>4653067</vt:i4>
      </vt:variant>
      <vt:variant>
        <vt:i4>2119</vt:i4>
      </vt:variant>
      <vt:variant>
        <vt:i4>0</vt:i4>
      </vt:variant>
      <vt:variant>
        <vt:i4>5</vt:i4>
      </vt:variant>
      <vt:variant>
        <vt:lpwstr/>
      </vt:variant>
      <vt:variant>
        <vt:lpwstr>_ENREF_61</vt:lpwstr>
      </vt:variant>
      <vt:variant>
        <vt:i4>8060990</vt:i4>
      </vt:variant>
      <vt:variant>
        <vt:i4>2116</vt:i4>
      </vt:variant>
      <vt:variant>
        <vt:i4>0</vt:i4>
      </vt:variant>
      <vt:variant>
        <vt:i4>5</vt:i4>
      </vt:variant>
      <vt:variant>
        <vt:lpwstr/>
      </vt:variant>
      <vt:variant>
        <vt:lpwstr>_ENREF_258</vt:lpwstr>
      </vt:variant>
      <vt:variant>
        <vt:i4>7667769</vt:i4>
      </vt:variant>
      <vt:variant>
        <vt:i4>2102</vt:i4>
      </vt:variant>
      <vt:variant>
        <vt:i4>0</vt:i4>
      </vt:variant>
      <vt:variant>
        <vt:i4>5</vt:i4>
      </vt:variant>
      <vt:variant>
        <vt:lpwstr/>
      </vt:variant>
      <vt:variant>
        <vt:lpwstr>_ENREF_226</vt:lpwstr>
      </vt:variant>
      <vt:variant>
        <vt:i4>4390923</vt:i4>
      </vt:variant>
      <vt:variant>
        <vt:i4>2096</vt:i4>
      </vt:variant>
      <vt:variant>
        <vt:i4>0</vt:i4>
      </vt:variant>
      <vt:variant>
        <vt:i4>5</vt:i4>
      </vt:variant>
      <vt:variant>
        <vt:lpwstr/>
      </vt:variant>
      <vt:variant>
        <vt:lpwstr>_ENREF_25</vt:lpwstr>
      </vt:variant>
      <vt:variant>
        <vt:i4>7471161</vt:i4>
      </vt:variant>
      <vt:variant>
        <vt:i4>2092</vt:i4>
      </vt:variant>
      <vt:variant>
        <vt:i4>0</vt:i4>
      </vt:variant>
      <vt:variant>
        <vt:i4>5</vt:i4>
      </vt:variant>
      <vt:variant>
        <vt:lpwstr/>
      </vt:variant>
      <vt:variant>
        <vt:lpwstr>_ENREF_221</vt:lpwstr>
      </vt:variant>
      <vt:variant>
        <vt:i4>4784139</vt:i4>
      </vt:variant>
      <vt:variant>
        <vt:i4>2089</vt:i4>
      </vt:variant>
      <vt:variant>
        <vt:i4>0</vt:i4>
      </vt:variant>
      <vt:variant>
        <vt:i4>5</vt:i4>
      </vt:variant>
      <vt:variant>
        <vt:lpwstr/>
      </vt:variant>
      <vt:variant>
        <vt:lpwstr>_ENREF_81</vt:lpwstr>
      </vt:variant>
      <vt:variant>
        <vt:i4>7864377</vt:i4>
      </vt:variant>
      <vt:variant>
        <vt:i4>2077</vt:i4>
      </vt:variant>
      <vt:variant>
        <vt:i4>0</vt:i4>
      </vt:variant>
      <vt:variant>
        <vt:i4>5</vt:i4>
      </vt:variant>
      <vt:variant>
        <vt:lpwstr/>
      </vt:variant>
      <vt:variant>
        <vt:lpwstr>_ENREF_128</vt:lpwstr>
      </vt:variant>
      <vt:variant>
        <vt:i4>7995455</vt:i4>
      </vt:variant>
      <vt:variant>
        <vt:i4>2073</vt:i4>
      </vt:variant>
      <vt:variant>
        <vt:i4>0</vt:i4>
      </vt:variant>
      <vt:variant>
        <vt:i4>5</vt:i4>
      </vt:variant>
      <vt:variant>
        <vt:lpwstr/>
      </vt:variant>
      <vt:variant>
        <vt:lpwstr>_ENREF_249</vt:lpwstr>
      </vt:variant>
      <vt:variant>
        <vt:i4>7733307</vt:i4>
      </vt:variant>
      <vt:variant>
        <vt:i4>2070</vt:i4>
      </vt:variant>
      <vt:variant>
        <vt:i4>0</vt:i4>
      </vt:variant>
      <vt:variant>
        <vt:i4>5</vt:i4>
      </vt:variant>
      <vt:variant>
        <vt:lpwstr/>
      </vt:variant>
      <vt:variant>
        <vt:lpwstr>_ENREF_106</vt:lpwstr>
      </vt:variant>
      <vt:variant>
        <vt:i4>8060991</vt:i4>
      </vt:variant>
      <vt:variant>
        <vt:i4>2060</vt:i4>
      </vt:variant>
      <vt:variant>
        <vt:i4>0</vt:i4>
      </vt:variant>
      <vt:variant>
        <vt:i4>5</vt:i4>
      </vt:variant>
      <vt:variant>
        <vt:lpwstr/>
      </vt:variant>
      <vt:variant>
        <vt:lpwstr>_ENREF_248</vt:lpwstr>
      </vt:variant>
      <vt:variant>
        <vt:i4>7995454</vt:i4>
      </vt:variant>
      <vt:variant>
        <vt:i4>2054</vt:i4>
      </vt:variant>
      <vt:variant>
        <vt:i4>0</vt:i4>
      </vt:variant>
      <vt:variant>
        <vt:i4>5</vt:i4>
      </vt:variant>
      <vt:variant>
        <vt:lpwstr/>
      </vt:variant>
      <vt:variant>
        <vt:lpwstr>_ENREF_259</vt:lpwstr>
      </vt:variant>
      <vt:variant>
        <vt:i4>7995455</vt:i4>
      </vt:variant>
      <vt:variant>
        <vt:i4>2050</vt:i4>
      </vt:variant>
      <vt:variant>
        <vt:i4>0</vt:i4>
      </vt:variant>
      <vt:variant>
        <vt:i4>5</vt:i4>
      </vt:variant>
      <vt:variant>
        <vt:lpwstr/>
      </vt:variant>
      <vt:variant>
        <vt:lpwstr>_ENREF_249</vt:lpwstr>
      </vt:variant>
      <vt:variant>
        <vt:i4>7733307</vt:i4>
      </vt:variant>
      <vt:variant>
        <vt:i4>2047</vt:i4>
      </vt:variant>
      <vt:variant>
        <vt:i4>0</vt:i4>
      </vt:variant>
      <vt:variant>
        <vt:i4>5</vt:i4>
      </vt:variant>
      <vt:variant>
        <vt:lpwstr/>
      </vt:variant>
      <vt:variant>
        <vt:lpwstr>_ENREF_106</vt:lpwstr>
      </vt:variant>
      <vt:variant>
        <vt:i4>4587531</vt:i4>
      </vt:variant>
      <vt:variant>
        <vt:i4>2037</vt:i4>
      </vt:variant>
      <vt:variant>
        <vt:i4>0</vt:i4>
      </vt:variant>
      <vt:variant>
        <vt:i4>5</vt:i4>
      </vt:variant>
      <vt:variant>
        <vt:lpwstr/>
      </vt:variant>
      <vt:variant>
        <vt:lpwstr>_ENREF_72</vt:lpwstr>
      </vt:variant>
      <vt:variant>
        <vt:i4>4587531</vt:i4>
      </vt:variant>
      <vt:variant>
        <vt:i4>2033</vt:i4>
      </vt:variant>
      <vt:variant>
        <vt:i4>0</vt:i4>
      </vt:variant>
      <vt:variant>
        <vt:i4>5</vt:i4>
      </vt:variant>
      <vt:variant>
        <vt:lpwstr/>
      </vt:variant>
      <vt:variant>
        <vt:lpwstr>_ENREF_78</vt:lpwstr>
      </vt:variant>
      <vt:variant>
        <vt:i4>4456459</vt:i4>
      </vt:variant>
      <vt:variant>
        <vt:i4>2030</vt:i4>
      </vt:variant>
      <vt:variant>
        <vt:i4>0</vt:i4>
      </vt:variant>
      <vt:variant>
        <vt:i4>5</vt:i4>
      </vt:variant>
      <vt:variant>
        <vt:lpwstr/>
      </vt:variant>
      <vt:variant>
        <vt:lpwstr>_ENREF_52</vt:lpwstr>
      </vt:variant>
      <vt:variant>
        <vt:i4>4521995</vt:i4>
      </vt:variant>
      <vt:variant>
        <vt:i4>2020</vt:i4>
      </vt:variant>
      <vt:variant>
        <vt:i4>0</vt:i4>
      </vt:variant>
      <vt:variant>
        <vt:i4>5</vt:i4>
      </vt:variant>
      <vt:variant>
        <vt:lpwstr/>
      </vt:variant>
      <vt:variant>
        <vt:lpwstr>_ENREF_41</vt:lpwstr>
      </vt:variant>
      <vt:variant>
        <vt:i4>7602237</vt:i4>
      </vt:variant>
      <vt:variant>
        <vt:i4>2016</vt:i4>
      </vt:variant>
      <vt:variant>
        <vt:i4>0</vt:i4>
      </vt:variant>
      <vt:variant>
        <vt:i4>5</vt:i4>
      </vt:variant>
      <vt:variant>
        <vt:lpwstr/>
      </vt:variant>
      <vt:variant>
        <vt:lpwstr>_ENREF_164</vt:lpwstr>
      </vt:variant>
      <vt:variant>
        <vt:i4>4718603</vt:i4>
      </vt:variant>
      <vt:variant>
        <vt:i4>2013</vt:i4>
      </vt:variant>
      <vt:variant>
        <vt:i4>0</vt:i4>
      </vt:variant>
      <vt:variant>
        <vt:i4>5</vt:i4>
      </vt:variant>
      <vt:variant>
        <vt:lpwstr/>
      </vt:variant>
      <vt:variant>
        <vt:lpwstr>_ENREF_9</vt:lpwstr>
      </vt:variant>
      <vt:variant>
        <vt:i4>8060986</vt:i4>
      </vt:variant>
      <vt:variant>
        <vt:i4>2010</vt:i4>
      </vt:variant>
      <vt:variant>
        <vt:i4>0</vt:i4>
      </vt:variant>
      <vt:variant>
        <vt:i4>5</vt:i4>
      </vt:variant>
      <vt:variant>
        <vt:lpwstr/>
      </vt:variant>
      <vt:variant>
        <vt:lpwstr>_ENREF_218</vt:lpwstr>
      </vt:variant>
      <vt:variant>
        <vt:i4>4587531</vt:i4>
      </vt:variant>
      <vt:variant>
        <vt:i4>2000</vt:i4>
      </vt:variant>
      <vt:variant>
        <vt:i4>0</vt:i4>
      </vt:variant>
      <vt:variant>
        <vt:i4>5</vt:i4>
      </vt:variant>
      <vt:variant>
        <vt:lpwstr/>
      </vt:variant>
      <vt:variant>
        <vt:lpwstr>_ENREF_78</vt:lpwstr>
      </vt:variant>
      <vt:variant>
        <vt:i4>4325387</vt:i4>
      </vt:variant>
      <vt:variant>
        <vt:i4>1993</vt:i4>
      </vt:variant>
      <vt:variant>
        <vt:i4>0</vt:i4>
      </vt:variant>
      <vt:variant>
        <vt:i4>5</vt:i4>
      </vt:variant>
      <vt:variant>
        <vt:lpwstr/>
      </vt:variant>
      <vt:variant>
        <vt:lpwstr>_ENREF_38</vt:lpwstr>
      </vt:variant>
      <vt:variant>
        <vt:i4>4194315</vt:i4>
      </vt:variant>
      <vt:variant>
        <vt:i4>1990</vt:i4>
      </vt:variant>
      <vt:variant>
        <vt:i4>0</vt:i4>
      </vt:variant>
      <vt:variant>
        <vt:i4>5</vt:i4>
      </vt:variant>
      <vt:variant>
        <vt:lpwstr/>
      </vt:variant>
      <vt:variant>
        <vt:lpwstr>_ENREF_18</vt:lpwstr>
      </vt:variant>
      <vt:variant>
        <vt:i4>7536702</vt:i4>
      </vt:variant>
      <vt:variant>
        <vt:i4>1982</vt:i4>
      </vt:variant>
      <vt:variant>
        <vt:i4>0</vt:i4>
      </vt:variant>
      <vt:variant>
        <vt:i4>5</vt:i4>
      </vt:variant>
      <vt:variant>
        <vt:lpwstr/>
      </vt:variant>
      <vt:variant>
        <vt:lpwstr>_ENREF_250</vt:lpwstr>
      </vt:variant>
      <vt:variant>
        <vt:i4>4194315</vt:i4>
      </vt:variant>
      <vt:variant>
        <vt:i4>1979</vt:i4>
      </vt:variant>
      <vt:variant>
        <vt:i4>0</vt:i4>
      </vt:variant>
      <vt:variant>
        <vt:i4>5</vt:i4>
      </vt:variant>
      <vt:variant>
        <vt:lpwstr/>
      </vt:variant>
      <vt:variant>
        <vt:lpwstr>_ENREF_16</vt:lpwstr>
      </vt:variant>
      <vt:variant>
        <vt:i4>7536702</vt:i4>
      </vt:variant>
      <vt:variant>
        <vt:i4>1975</vt:i4>
      </vt:variant>
      <vt:variant>
        <vt:i4>0</vt:i4>
      </vt:variant>
      <vt:variant>
        <vt:i4>5</vt:i4>
      </vt:variant>
      <vt:variant>
        <vt:lpwstr/>
      </vt:variant>
      <vt:variant>
        <vt:lpwstr>_ENREF_250</vt:lpwstr>
      </vt:variant>
      <vt:variant>
        <vt:i4>4194315</vt:i4>
      </vt:variant>
      <vt:variant>
        <vt:i4>1972</vt:i4>
      </vt:variant>
      <vt:variant>
        <vt:i4>0</vt:i4>
      </vt:variant>
      <vt:variant>
        <vt:i4>5</vt:i4>
      </vt:variant>
      <vt:variant>
        <vt:lpwstr/>
      </vt:variant>
      <vt:variant>
        <vt:lpwstr>_ENREF_17</vt:lpwstr>
      </vt:variant>
      <vt:variant>
        <vt:i4>7536699</vt:i4>
      </vt:variant>
      <vt:variant>
        <vt:i4>1969</vt:i4>
      </vt:variant>
      <vt:variant>
        <vt:i4>0</vt:i4>
      </vt:variant>
      <vt:variant>
        <vt:i4>5</vt:i4>
      </vt:variant>
      <vt:variant>
        <vt:lpwstr/>
      </vt:variant>
      <vt:variant>
        <vt:lpwstr>_ENREF_103</vt:lpwstr>
      </vt:variant>
      <vt:variant>
        <vt:i4>7536690</vt:i4>
      </vt:variant>
      <vt:variant>
        <vt:i4>1959</vt:i4>
      </vt:variant>
      <vt:variant>
        <vt:i4>0</vt:i4>
      </vt:variant>
      <vt:variant>
        <vt:i4>5</vt:i4>
      </vt:variant>
      <vt:variant>
        <vt:lpwstr/>
      </vt:variant>
      <vt:variant>
        <vt:lpwstr>_ENREF_193</vt:lpwstr>
      </vt:variant>
      <vt:variant>
        <vt:i4>1114172</vt:i4>
      </vt:variant>
      <vt:variant>
        <vt:i4>1952</vt:i4>
      </vt:variant>
      <vt:variant>
        <vt:i4>0</vt:i4>
      </vt:variant>
      <vt:variant>
        <vt:i4>5</vt:i4>
      </vt:variant>
      <vt:variant>
        <vt:lpwstr/>
      </vt:variant>
      <vt:variant>
        <vt:lpwstr>_Toc431494054</vt:lpwstr>
      </vt:variant>
      <vt:variant>
        <vt:i4>1114172</vt:i4>
      </vt:variant>
      <vt:variant>
        <vt:i4>1946</vt:i4>
      </vt:variant>
      <vt:variant>
        <vt:i4>0</vt:i4>
      </vt:variant>
      <vt:variant>
        <vt:i4>5</vt:i4>
      </vt:variant>
      <vt:variant>
        <vt:lpwstr/>
      </vt:variant>
      <vt:variant>
        <vt:lpwstr>_Toc431494053</vt:lpwstr>
      </vt:variant>
      <vt:variant>
        <vt:i4>1114172</vt:i4>
      </vt:variant>
      <vt:variant>
        <vt:i4>1940</vt:i4>
      </vt:variant>
      <vt:variant>
        <vt:i4>0</vt:i4>
      </vt:variant>
      <vt:variant>
        <vt:i4>5</vt:i4>
      </vt:variant>
      <vt:variant>
        <vt:lpwstr/>
      </vt:variant>
      <vt:variant>
        <vt:lpwstr>_Toc431494052</vt:lpwstr>
      </vt:variant>
      <vt:variant>
        <vt:i4>1114172</vt:i4>
      </vt:variant>
      <vt:variant>
        <vt:i4>1934</vt:i4>
      </vt:variant>
      <vt:variant>
        <vt:i4>0</vt:i4>
      </vt:variant>
      <vt:variant>
        <vt:i4>5</vt:i4>
      </vt:variant>
      <vt:variant>
        <vt:lpwstr/>
      </vt:variant>
      <vt:variant>
        <vt:lpwstr>_Toc431494051</vt:lpwstr>
      </vt:variant>
      <vt:variant>
        <vt:i4>1114172</vt:i4>
      </vt:variant>
      <vt:variant>
        <vt:i4>1928</vt:i4>
      </vt:variant>
      <vt:variant>
        <vt:i4>0</vt:i4>
      </vt:variant>
      <vt:variant>
        <vt:i4>5</vt:i4>
      </vt:variant>
      <vt:variant>
        <vt:lpwstr/>
      </vt:variant>
      <vt:variant>
        <vt:lpwstr>_Toc431494050</vt:lpwstr>
      </vt:variant>
      <vt:variant>
        <vt:i4>1048636</vt:i4>
      </vt:variant>
      <vt:variant>
        <vt:i4>1922</vt:i4>
      </vt:variant>
      <vt:variant>
        <vt:i4>0</vt:i4>
      </vt:variant>
      <vt:variant>
        <vt:i4>5</vt:i4>
      </vt:variant>
      <vt:variant>
        <vt:lpwstr/>
      </vt:variant>
      <vt:variant>
        <vt:lpwstr>_Toc431494049</vt:lpwstr>
      </vt:variant>
      <vt:variant>
        <vt:i4>1048636</vt:i4>
      </vt:variant>
      <vt:variant>
        <vt:i4>1916</vt:i4>
      </vt:variant>
      <vt:variant>
        <vt:i4>0</vt:i4>
      </vt:variant>
      <vt:variant>
        <vt:i4>5</vt:i4>
      </vt:variant>
      <vt:variant>
        <vt:lpwstr/>
      </vt:variant>
      <vt:variant>
        <vt:lpwstr>_Toc431494048</vt:lpwstr>
      </vt:variant>
      <vt:variant>
        <vt:i4>1048636</vt:i4>
      </vt:variant>
      <vt:variant>
        <vt:i4>1910</vt:i4>
      </vt:variant>
      <vt:variant>
        <vt:i4>0</vt:i4>
      </vt:variant>
      <vt:variant>
        <vt:i4>5</vt:i4>
      </vt:variant>
      <vt:variant>
        <vt:lpwstr/>
      </vt:variant>
      <vt:variant>
        <vt:lpwstr>_Toc431494047</vt:lpwstr>
      </vt:variant>
      <vt:variant>
        <vt:i4>1048636</vt:i4>
      </vt:variant>
      <vt:variant>
        <vt:i4>1904</vt:i4>
      </vt:variant>
      <vt:variant>
        <vt:i4>0</vt:i4>
      </vt:variant>
      <vt:variant>
        <vt:i4>5</vt:i4>
      </vt:variant>
      <vt:variant>
        <vt:lpwstr/>
      </vt:variant>
      <vt:variant>
        <vt:lpwstr>_Toc431494046</vt:lpwstr>
      </vt:variant>
      <vt:variant>
        <vt:i4>1048636</vt:i4>
      </vt:variant>
      <vt:variant>
        <vt:i4>1898</vt:i4>
      </vt:variant>
      <vt:variant>
        <vt:i4>0</vt:i4>
      </vt:variant>
      <vt:variant>
        <vt:i4>5</vt:i4>
      </vt:variant>
      <vt:variant>
        <vt:lpwstr/>
      </vt:variant>
      <vt:variant>
        <vt:lpwstr>_Toc431494045</vt:lpwstr>
      </vt:variant>
      <vt:variant>
        <vt:i4>1048636</vt:i4>
      </vt:variant>
      <vt:variant>
        <vt:i4>1892</vt:i4>
      </vt:variant>
      <vt:variant>
        <vt:i4>0</vt:i4>
      </vt:variant>
      <vt:variant>
        <vt:i4>5</vt:i4>
      </vt:variant>
      <vt:variant>
        <vt:lpwstr/>
      </vt:variant>
      <vt:variant>
        <vt:lpwstr>_Toc431494044</vt:lpwstr>
      </vt:variant>
      <vt:variant>
        <vt:i4>1048636</vt:i4>
      </vt:variant>
      <vt:variant>
        <vt:i4>1886</vt:i4>
      </vt:variant>
      <vt:variant>
        <vt:i4>0</vt:i4>
      </vt:variant>
      <vt:variant>
        <vt:i4>5</vt:i4>
      </vt:variant>
      <vt:variant>
        <vt:lpwstr/>
      </vt:variant>
      <vt:variant>
        <vt:lpwstr>_Toc431494043</vt:lpwstr>
      </vt:variant>
      <vt:variant>
        <vt:i4>1048636</vt:i4>
      </vt:variant>
      <vt:variant>
        <vt:i4>1880</vt:i4>
      </vt:variant>
      <vt:variant>
        <vt:i4>0</vt:i4>
      </vt:variant>
      <vt:variant>
        <vt:i4>5</vt:i4>
      </vt:variant>
      <vt:variant>
        <vt:lpwstr/>
      </vt:variant>
      <vt:variant>
        <vt:lpwstr>_Toc431494042</vt:lpwstr>
      </vt:variant>
      <vt:variant>
        <vt:i4>1048636</vt:i4>
      </vt:variant>
      <vt:variant>
        <vt:i4>1874</vt:i4>
      </vt:variant>
      <vt:variant>
        <vt:i4>0</vt:i4>
      </vt:variant>
      <vt:variant>
        <vt:i4>5</vt:i4>
      </vt:variant>
      <vt:variant>
        <vt:lpwstr/>
      </vt:variant>
      <vt:variant>
        <vt:lpwstr>_Toc431494041</vt:lpwstr>
      </vt:variant>
      <vt:variant>
        <vt:i4>1048636</vt:i4>
      </vt:variant>
      <vt:variant>
        <vt:i4>1868</vt:i4>
      </vt:variant>
      <vt:variant>
        <vt:i4>0</vt:i4>
      </vt:variant>
      <vt:variant>
        <vt:i4>5</vt:i4>
      </vt:variant>
      <vt:variant>
        <vt:lpwstr/>
      </vt:variant>
      <vt:variant>
        <vt:lpwstr>_Toc431494040</vt:lpwstr>
      </vt:variant>
      <vt:variant>
        <vt:i4>1507388</vt:i4>
      </vt:variant>
      <vt:variant>
        <vt:i4>1862</vt:i4>
      </vt:variant>
      <vt:variant>
        <vt:i4>0</vt:i4>
      </vt:variant>
      <vt:variant>
        <vt:i4>5</vt:i4>
      </vt:variant>
      <vt:variant>
        <vt:lpwstr/>
      </vt:variant>
      <vt:variant>
        <vt:lpwstr>_Toc431494039</vt:lpwstr>
      </vt:variant>
      <vt:variant>
        <vt:i4>1507388</vt:i4>
      </vt:variant>
      <vt:variant>
        <vt:i4>1856</vt:i4>
      </vt:variant>
      <vt:variant>
        <vt:i4>0</vt:i4>
      </vt:variant>
      <vt:variant>
        <vt:i4>5</vt:i4>
      </vt:variant>
      <vt:variant>
        <vt:lpwstr/>
      </vt:variant>
      <vt:variant>
        <vt:lpwstr>_Toc431494038</vt:lpwstr>
      </vt:variant>
      <vt:variant>
        <vt:i4>1507388</vt:i4>
      </vt:variant>
      <vt:variant>
        <vt:i4>1850</vt:i4>
      </vt:variant>
      <vt:variant>
        <vt:i4>0</vt:i4>
      </vt:variant>
      <vt:variant>
        <vt:i4>5</vt:i4>
      </vt:variant>
      <vt:variant>
        <vt:lpwstr/>
      </vt:variant>
      <vt:variant>
        <vt:lpwstr>_Toc431494037</vt:lpwstr>
      </vt:variant>
      <vt:variant>
        <vt:i4>1507388</vt:i4>
      </vt:variant>
      <vt:variant>
        <vt:i4>1844</vt:i4>
      </vt:variant>
      <vt:variant>
        <vt:i4>0</vt:i4>
      </vt:variant>
      <vt:variant>
        <vt:i4>5</vt:i4>
      </vt:variant>
      <vt:variant>
        <vt:lpwstr/>
      </vt:variant>
      <vt:variant>
        <vt:lpwstr>_Toc431494036</vt:lpwstr>
      </vt:variant>
      <vt:variant>
        <vt:i4>1507388</vt:i4>
      </vt:variant>
      <vt:variant>
        <vt:i4>1838</vt:i4>
      </vt:variant>
      <vt:variant>
        <vt:i4>0</vt:i4>
      </vt:variant>
      <vt:variant>
        <vt:i4>5</vt:i4>
      </vt:variant>
      <vt:variant>
        <vt:lpwstr/>
      </vt:variant>
      <vt:variant>
        <vt:lpwstr>_Toc431494035</vt:lpwstr>
      </vt:variant>
      <vt:variant>
        <vt:i4>1507388</vt:i4>
      </vt:variant>
      <vt:variant>
        <vt:i4>1832</vt:i4>
      </vt:variant>
      <vt:variant>
        <vt:i4>0</vt:i4>
      </vt:variant>
      <vt:variant>
        <vt:i4>5</vt:i4>
      </vt:variant>
      <vt:variant>
        <vt:lpwstr/>
      </vt:variant>
      <vt:variant>
        <vt:lpwstr>_Toc431494034</vt:lpwstr>
      </vt:variant>
      <vt:variant>
        <vt:i4>1507388</vt:i4>
      </vt:variant>
      <vt:variant>
        <vt:i4>1826</vt:i4>
      </vt:variant>
      <vt:variant>
        <vt:i4>0</vt:i4>
      </vt:variant>
      <vt:variant>
        <vt:i4>5</vt:i4>
      </vt:variant>
      <vt:variant>
        <vt:lpwstr/>
      </vt:variant>
      <vt:variant>
        <vt:lpwstr>_Toc431494033</vt:lpwstr>
      </vt:variant>
      <vt:variant>
        <vt:i4>1507388</vt:i4>
      </vt:variant>
      <vt:variant>
        <vt:i4>1820</vt:i4>
      </vt:variant>
      <vt:variant>
        <vt:i4>0</vt:i4>
      </vt:variant>
      <vt:variant>
        <vt:i4>5</vt:i4>
      </vt:variant>
      <vt:variant>
        <vt:lpwstr/>
      </vt:variant>
      <vt:variant>
        <vt:lpwstr>_Toc431494032</vt:lpwstr>
      </vt:variant>
      <vt:variant>
        <vt:i4>1507388</vt:i4>
      </vt:variant>
      <vt:variant>
        <vt:i4>1814</vt:i4>
      </vt:variant>
      <vt:variant>
        <vt:i4>0</vt:i4>
      </vt:variant>
      <vt:variant>
        <vt:i4>5</vt:i4>
      </vt:variant>
      <vt:variant>
        <vt:lpwstr/>
      </vt:variant>
      <vt:variant>
        <vt:lpwstr>_Toc431494031</vt:lpwstr>
      </vt:variant>
      <vt:variant>
        <vt:i4>1507388</vt:i4>
      </vt:variant>
      <vt:variant>
        <vt:i4>1808</vt:i4>
      </vt:variant>
      <vt:variant>
        <vt:i4>0</vt:i4>
      </vt:variant>
      <vt:variant>
        <vt:i4>5</vt:i4>
      </vt:variant>
      <vt:variant>
        <vt:lpwstr/>
      </vt:variant>
      <vt:variant>
        <vt:lpwstr>_Toc431494030</vt:lpwstr>
      </vt:variant>
      <vt:variant>
        <vt:i4>1441852</vt:i4>
      </vt:variant>
      <vt:variant>
        <vt:i4>1802</vt:i4>
      </vt:variant>
      <vt:variant>
        <vt:i4>0</vt:i4>
      </vt:variant>
      <vt:variant>
        <vt:i4>5</vt:i4>
      </vt:variant>
      <vt:variant>
        <vt:lpwstr/>
      </vt:variant>
      <vt:variant>
        <vt:lpwstr>_Toc431494029</vt:lpwstr>
      </vt:variant>
      <vt:variant>
        <vt:i4>1441852</vt:i4>
      </vt:variant>
      <vt:variant>
        <vt:i4>1796</vt:i4>
      </vt:variant>
      <vt:variant>
        <vt:i4>0</vt:i4>
      </vt:variant>
      <vt:variant>
        <vt:i4>5</vt:i4>
      </vt:variant>
      <vt:variant>
        <vt:lpwstr/>
      </vt:variant>
      <vt:variant>
        <vt:lpwstr>_Toc431494028</vt:lpwstr>
      </vt:variant>
      <vt:variant>
        <vt:i4>1441852</vt:i4>
      </vt:variant>
      <vt:variant>
        <vt:i4>1790</vt:i4>
      </vt:variant>
      <vt:variant>
        <vt:i4>0</vt:i4>
      </vt:variant>
      <vt:variant>
        <vt:i4>5</vt:i4>
      </vt:variant>
      <vt:variant>
        <vt:lpwstr/>
      </vt:variant>
      <vt:variant>
        <vt:lpwstr>_Toc431494027</vt:lpwstr>
      </vt:variant>
      <vt:variant>
        <vt:i4>1441852</vt:i4>
      </vt:variant>
      <vt:variant>
        <vt:i4>1784</vt:i4>
      </vt:variant>
      <vt:variant>
        <vt:i4>0</vt:i4>
      </vt:variant>
      <vt:variant>
        <vt:i4>5</vt:i4>
      </vt:variant>
      <vt:variant>
        <vt:lpwstr/>
      </vt:variant>
      <vt:variant>
        <vt:lpwstr>_Toc431494026</vt:lpwstr>
      </vt:variant>
      <vt:variant>
        <vt:i4>1441852</vt:i4>
      </vt:variant>
      <vt:variant>
        <vt:i4>1778</vt:i4>
      </vt:variant>
      <vt:variant>
        <vt:i4>0</vt:i4>
      </vt:variant>
      <vt:variant>
        <vt:i4>5</vt:i4>
      </vt:variant>
      <vt:variant>
        <vt:lpwstr/>
      </vt:variant>
      <vt:variant>
        <vt:lpwstr>_Toc431494025</vt:lpwstr>
      </vt:variant>
      <vt:variant>
        <vt:i4>1441852</vt:i4>
      </vt:variant>
      <vt:variant>
        <vt:i4>1772</vt:i4>
      </vt:variant>
      <vt:variant>
        <vt:i4>0</vt:i4>
      </vt:variant>
      <vt:variant>
        <vt:i4>5</vt:i4>
      </vt:variant>
      <vt:variant>
        <vt:lpwstr/>
      </vt:variant>
      <vt:variant>
        <vt:lpwstr>_Toc431494024</vt:lpwstr>
      </vt:variant>
      <vt:variant>
        <vt:i4>1441852</vt:i4>
      </vt:variant>
      <vt:variant>
        <vt:i4>1766</vt:i4>
      </vt:variant>
      <vt:variant>
        <vt:i4>0</vt:i4>
      </vt:variant>
      <vt:variant>
        <vt:i4>5</vt:i4>
      </vt:variant>
      <vt:variant>
        <vt:lpwstr/>
      </vt:variant>
      <vt:variant>
        <vt:lpwstr>_Toc431494023</vt:lpwstr>
      </vt:variant>
      <vt:variant>
        <vt:i4>1441852</vt:i4>
      </vt:variant>
      <vt:variant>
        <vt:i4>1760</vt:i4>
      </vt:variant>
      <vt:variant>
        <vt:i4>0</vt:i4>
      </vt:variant>
      <vt:variant>
        <vt:i4>5</vt:i4>
      </vt:variant>
      <vt:variant>
        <vt:lpwstr/>
      </vt:variant>
      <vt:variant>
        <vt:lpwstr>_Toc431494022</vt:lpwstr>
      </vt:variant>
      <vt:variant>
        <vt:i4>1441852</vt:i4>
      </vt:variant>
      <vt:variant>
        <vt:i4>1754</vt:i4>
      </vt:variant>
      <vt:variant>
        <vt:i4>0</vt:i4>
      </vt:variant>
      <vt:variant>
        <vt:i4>5</vt:i4>
      </vt:variant>
      <vt:variant>
        <vt:lpwstr/>
      </vt:variant>
      <vt:variant>
        <vt:lpwstr>_Toc431494021</vt:lpwstr>
      </vt:variant>
      <vt:variant>
        <vt:i4>1441852</vt:i4>
      </vt:variant>
      <vt:variant>
        <vt:i4>1748</vt:i4>
      </vt:variant>
      <vt:variant>
        <vt:i4>0</vt:i4>
      </vt:variant>
      <vt:variant>
        <vt:i4>5</vt:i4>
      </vt:variant>
      <vt:variant>
        <vt:lpwstr/>
      </vt:variant>
      <vt:variant>
        <vt:lpwstr>_Toc431494020</vt:lpwstr>
      </vt:variant>
      <vt:variant>
        <vt:i4>1376316</vt:i4>
      </vt:variant>
      <vt:variant>
        <vt:i4>1742</vt:i4>
      </vt:variant>
      <vt:variant>
        <vt:i4>0</vt:i4>
      </vt:variant>
      <vt:variant>
        <vt:i4>5</vt:i4>
      </vt:variant>
      <vt:variant>
        <vt:lpwstr/>
      </vt:variant>
      <vt:variant>
        <vt:lpwstr>_Toc431494019</vt:lpwstr>
      </vt:variant>
      <vt:variant>
        <vt:i4>1376316</vt:i4>
      </vt:variant>
      <vt:variant>
        <vt:i4>1736</vt:i4>
      </vt:variant>
      <vt:variant>
        <vt:i4>0</vt:i4>
      </vt:variant>
      <vt:variant>
        <vt:i4>5</vt:i4>
      </vt:variant>
      <vt:variant>
        <vt:lpwstr/>
      </vt:variant>
      <vt:variant>
        <vt:lpwstr>_Toc431494018</vt:lpwstr>
      </vt:variant>
      <vt:variant>
        <vt:i4>1376316</vt:i4>
      </vt:variant>
      <vt:variant>
        <vt:i4>1730</vt:i4>
      </vt:variant>
      <vt:variant>
        <vt:i4>0</vt:i4>
      </vt:variant>
      <vt:variant>
        <vt:i4>5</vt:i4>
      </vt:variant>
      <vt:variant>
        <vt:lpwstr/>
      </vt:variant>
      <vt:variant>
        <vt:lpwstr>_Toc431494017</vt:lpwstr>
      </vt:variant>
      <vt:variant>
        <vt:i4>1376316</vt:i4>
      </vt:variant>
      <vt:variant>
        <vt:i4>1724</vt:i4>
      </vt:variant>
      <vt:variant>
        <vt:i4>0</vt:i4>
      </vt:variant>
      <vt:variant>
        <vt:i4>5</vt:i4>
      </vt:variant>
      <vt:variant>
        <vt:lpwstr/>
      </vt:variant>
      <vt:variant>
        <vt:lpwstr>_Toc431494016</vt:lpwstr>
      </vt:variant>
      <vt:variant>
        <vt:i4>1376316</vt:i4>
      </vt:variant>
      <vt:variant>
        <vt:i4>1718</vt:i4>
      </vt:variant>
      <vt:variant>
        <vt:i4>0</vt:i4>
      </vt:variant>
      <vt:variant>
        <vt:i4>5</vt:i4>
      </vt:variant>
      <vt:variant>
        <vt:lpwstr/>
      </vt:variant>
      <vt:variant>
        <vt:lpwstr>_Toc431494015</vt:lpwstr>
      </vt:variant>
      <vt:variant>
        <vt:i4>1376316</vt:i4>
      </vt:variant>
      <vt:variant>
        <vt:i4>1712</vt:i4>
      </vt:variant>
      <vt:variant>
        <vt:i4>0</vt:i4>
      </vt:variant>
      <vt:variant>
        <vt:i4>5</vt:i4>
      </vt:variant>
      <vt:variant>
        <vt:lpwstr/>
      </vt:variant>
      <vt:variant>
        <vt:lpwstr>_Toc431494014</vt:lpwstr>
      </vt:variant>
      <vt:variant>
        <vt:i4>1376316</vt:i4>
      </vt:variant>
      <vt:variant>
        <vt:i4>1703</vt:i4>
      </vt:variant>
      <vt:variant>
        <vt:i4>0</vt:i4>
      </vt:variant>
      <vt:variant>
        <vt:i4>5</vt:i4>
      </vt:variant>
      <vt:variant>
        <vt:lpwstr/>
      </vt:variant>
      <vt:variant>
        <vt:lpwstr>_Toc431494013</vt:lpwstr>
      </vt:variant>
      <vt:variant>
        <vt:i4>1376316</vt:i4>
      </vt:variant>
      <vt:variant>
        <vt:i4>1697</vt:i4>
      </vt:variant>
      <vt:variant>
        <vt:i4>0</vt:i4>
      </vt:variant>
      <vt:variant>
        <vt:i4>5</vt:i4>
      </vt:variant>
      <vt:variant>
        <vt:lpwstr/>
      </vt:variant>
      <vt:variant>
        <vt:lpwstr>_Toc431494012</vt:lpwstr>
      </vt:variant>
      <vt:variant>
        <vt:i4>1376316</vt:i4>
      </vt:variant>
      <vt:variant>
        <vt:i4>1691</vt:i4>
      </vt:variant>
      <vt:variant>
        <vt:i4>0</vt:i4>
      </vt:variant>
      <vt:variant>
        <vt:i4>5</vt:i4>
      </vt:variant>
      <vt:variant>
        <vt:lpwstr/>
      </vt:variant>
      <vt:variant>
        <vt:lpwstr>_Toc431494011</vt:lpwstr>
      </vt:variant>
      <vt:variant>
        <vt:i4>1376316</vt:i4>
      </vt:variant>
      <vt:variant>
        <vt:i4>1685</vt:i4>
      </vt:variant>
      <vt:variant>
        <vt:i4>0</vt:i4>
      </vt:variant>
      <vt:variant>
        <vt:i4>5</vt:i4>
      </vt:variant>
      <vt:variant>
        <vt:lpwstr/>
      </vt:variant>
      <vt:variant>
        <vt:lpwstr>_Toc431494010</vt:lpwstr>
      </vt:variant>
      <vt:variant>
        <vt:i4>1310780</vt:i4>
      </vt:variant>
      <vt:variant>
        <vt:i4>1679</vt:i4>
      </vt:variant>
      <vt:variant>
        <vt:i4>0</vt:i4>
      </vt:variant>
      <vt:variant>
        <vt:i4>5</vt:i4>
      </vt:variant>
      <vt:variant>
        <vt:lpwstr/>
      </vt:variant>
      <vt:variant>
        <vt:lpwstr>_Toc431494009</vt:lpwstr>
      </vt:variant>
      <vt:variant>
        <vt:i4>1310780</vt:i4>
      </vt:variant>
      <vt:variant>
        <vt:i4>1673</vt:i4>
      </vt:variant>
      <vt:variant>
        <vt:i4>0</vt:i4>
      </vt:variant>
      <vt:variant>
        <vt:i4>5</vt:i4>
      </vt:variant>
      <vt:variant>
        <vt:lpwstr/>
      </vt:variant>
      <vt:variant>
        <vt:lpwstr>_Toc431494008</vt:lpwstr>
      </vt:variant>
      <vt:variant>
        <vt:i4>1310780</vt:i4>
      </vt:variant>
      <vt:variant>
        <vt:i4>1667</vt:i4>
      </vt:variant>
      <vt:variant>
        <vt:i4>0</vt:i4>
      </vt:variant>
      <vt:variant>
        <vt:i4>5</vt:i4>
      </vt:variant>
      <vt:variant>
        <vt:lpwstr/>
      </vt:variant>
      <vt:variant>
        <vt:lpwstr>_Toc431494007</vt:lpwstr>
      </vt:variant>
      <vt:variant>
        <vt:i4>1310780</vt:i4>
      </vt:variant>
      <vt:variant>
        <vt:i4>1661</vt:i4>
      </vt:variant>
      <vt:variant>
        <vt:i4>0</vt:i4>
      </vt:variant>
      <vt:variant>
        <vt:i4>5</vt:i4>
      </vt:variant>
      <vt:variant>
        <vt:lpwstr/>
      </vt:variant>
      <vt:variant>
        <vt:lpwstr>_Toc431494006</vt:lpwstr>
      </vt:variant>
      <vt:variant>
        <vt:i4>1310780</vt:i4>
      </vt:variant>
      <vt:variant>
        <vt:i4>1655</vt:i4>
      </vt:variant>
      <vt:variant>
        <vt:i4>0</vt:i4>
      </vt:variant>
      <vt:variant>
        <vt:i4>5</vt:i4>
      </vt:variant>
      <vt:variant>
        <vt:lpwstr/>
      </vt:variant>
      <vt:variant>
        <vt:lpwstr>_Toc431494005</vt:lpwstr>
      </vt:variant>
      <vt:variant>
        <vt:i4>1310780</vt:i4>
      </vt:variant>
      <vt:variant>
        <vt:i4>1649</vt:i4>
      </vt:variant>
      <vt:variant>
        <vt:i4>0</vt:i4>
      </vt:variant>
      <vt:variant>
        <vt:i4>5</vt:i4>
      </vt:variant>
      <vt:variant>
        <vt:lpwstr/>
      </vt:variant>
      <vt:variant>
        <vt:lpwstr>_Toc431494004</vt:lpwstr>
      </vt:variant>
      <vt:variant>
        <vt:i4>1310780</vt:i4>
      </vt:variant>
      <vt:variant>
        <vt:i4>1643</vt:i4>
      </vt:variant>
      <vt:variant>
        <vt:i4>0</vt:i4>
      </vt:variant>
      <vt:variant>
        <vt:i4>5</vt:i4>
      </vt:variant>
      <vt:variant>
        <vt:lpwstr/>
      </vt:variant>
      <vt:variant>
        <vt:lpwstr>_Toc431494003</vt:lpwstr>
      </vt:variant>
      <vt:variant>
        <vt:i4>1310780</vt:i4>
      </vt:variant>
      <vt:variant>
        <vt:i4>1637</vt:i4>
      </vt:variant>
      <vt:variant>
        <vt:i4>0</vt:i4>
      </vt:variant>
      <vt:variant>
        <vt:i4>5</vt:i4>
      </vt:variant>
      <vt:variant>
        <vt:lpwstr/>
      </vt:variant>
      <vt:variant>
        <vt:lpwstr>_Toc431494002</vt:lpwstr>
      </vt:variant>
      <vt:variant>
        <vt:i4>1310780</vt:i4>
      </vt:variant>
      <vt:variant>
        <vt:i4>1631</vt:i4>
      </vt:variant>
      <vt:variant>
        <vt:i4>0</vt:i4>
      </vt:variant>
      <vt:variant>
        <vt:i4>5</vt:i4>
      </vt:variant>
      <vt:variant>
        <vt:lpwstr/>
      </vt:variant>
      <vt:variant>
        <vt:lpwstr>_Toc431494001</vt:lpwstr>
      </vt:variant>
      <vt:variant>
        <vt:i4>1310780</vt:i4>
      </vt:variant>
      <vt:variant>
        <vt:i4>1625</vt:i4>
      </vt:variant>
      <vt:variant>
        <vt:i4>0</vt:i4>
      </vt:variant>
      <vt:variant>
        <vt:i4>5</vt:i4>
      </vt:variant>
      <vt:variant>
        <vt:lpwstr/>
      </vt:variant>
      <vt:variant>
        <vt:lpwstr>_Toc431494000</vt:lpwstr>
      </vt:variant>
      <vt:variant>
        <vt:i4>1703989</vt:i4>
      </vt:variant>
      <vt:variant>
        <vt:i4>1619</vt:i4>
      </vt:variant>
      <vt:variant>
        <vt:i4>0</vt:i4>
      </vt:variant>
      <vt:variant>
        <vt:i4>5</vt:i4>
      </vt:variant>
      <vt:variant>
        <vt:lpwstr/>
      </vt:variant>
      <vt:variant>
        <vt:lpwstr>_Toc431493999</vt:lpwstr>
      </vt:variant>
      <vt:variant>
        <vt:i4>1703989</vt:i4>
      </vt:variant>
      <vt:variant>
        <vt:i4>1613</vt:i4>
      </vt:variant>
      <vt:variant>
        <vt:i4>0</vt:i4>
      </vt:variant>
      <vt:variant>
        <vt:i4>5</vt:i4>
      </vt:variant>
      <vt:variant>
        <vt:lpwstr/>
      </vt:variant>
      <vt:variant>
        <vt:lpwstr>_Toc431493998</vt:lpwstr>
      </vt:variant>
      <vt:variant>
        <vt:i4>1703989</vt:i4>
      </vt:variant>
      <vt:variant>
        <vt:i4>1607</vt:i4>
      </vt:variant>
      <vt:variant>
        <vt:i4>0</vt:i4>
      </vt:variant>
      <vt:variant>
        <vt:i4>5</vt:i4>
      </vt:variant>
      <vt:variant>
        <vt:lpwstr/>
      </vt:variant>
      <vt:variant>
        <vt:lpwstr>_Toc431493997</vt:lpwstr>
      </vt:variant>
      <vt:variant>
        <vt:i4>1703989</vt:i4>
      </vt:variant>
      <vt:variant>
        <vt:i4>1601</vt:i4>
      </vt:variant>
      <vt:variant>
        <vt:i4>0</vt:i4>
      </vt:variant>
      <vt:variant>
        <vt:i4>5</vt:i4>
      </vt:variant>
      <vt:variant>
        <vt:lpwstr/>
      </vt:variant>
      <vt:variant>
        <vt:lpwstr>_Toc431493996</vt:lpwstr>
      </vt:variant>
      <vt:variant>
        <vt:i4>1703989</vt:i4>
      </vt:variant>
      <vt:variant>
        <vt:i4>1595</vt:i4>
      </vt:variant>
      <vt:variant>
        <vt:i4>0</vt:i4>
      </vt:variant>
      <vt:variant>
        <vt:i4>5</vt:i4>
      </vt:variant>
      <vt:variant>
        <vt:lpwstr/>
      </vt:variant>
      <vt:variant>
        <vt:lpwstr>_Toc431493995</vt:lpwstr>
      </vt:variant>
      <vt:variant>
        <vt:i4>1703989</vt:i4>
      </vt:variant>
      <vt:variant>
        <vt:i4>1589</vt:i4>
      </vt:variant>
      <vt:variant>
        <vt:i4>0</vt:i4>
      </vt:variant>
      <vt:variant>
        <vt:i4>5</vt:i4>
      </vt:variant>
      <vt:variant>
        <vt:lpwstr/>
      </vt:variant>
      <vt:variant>
        <vt:lpwstr>_Toc431493994</vt:lpwstr>
      </vt:variant>
      <vt:variant>
        <vt:i4>1703989</vt:i4>
      </vt:variant>
      <vt:variant>
        <vt:i4>1583</vt:i4>
      </vt:variant>
      <vt:variant>
        <vt:i4>0</vt:i4>
      </vt:variant>
      <vt:variant>
        <vt:i4>5</vt:i4>
      </vt:variant>
      <vt:variant>
        <vt:lpwstr/>
      </vt:variant>
      <vt:variant>
        <vt:lpwstr>_Toc431493993</vt:lpwstr>
      </vt:variant>
      <vt:variant>
        <vt:i4>1703989</vt:i4>
      </vt:variant>
      <vt:variant>
        <vt:i4>1577</vt:i4>
      </vt:variant>
      <vt:variant>
        <vt:i4>0</vt:i4>
      </vt:variant>
      <vt:variant>
        <vt:i4>5</vt:i4>
      </vt:variant>
      <vt:variant>
        <vt:lpwstr/>
      </vt:variant>
      <vt:variant>
        <vt:lpwstr>_Toc431493992</vt:lpwstr>
      </vt:variant>
      <vt:variant>
        <vt:i4>1703989</vt:i4>
      </vt:variant>
      <vt:variant>
        <vt:i4>1571</vt:i4>
      </vt:variant>
      <vt:variant>
        <vt:i4>0</vt:i4>
      </vt:variant>
      <vt:variant>
        <vt:i4>5</vt:i4>
      </vt:variant>
      <vt:variant>
        <vt:lpwstr/>
      </vt:variant>
      <vt:variant>
        <vt:lpwstr>_Toc431493991</vt:lpwstr>
      </vt:variant>
      <vt:variant>
        <vt:i4>1703989</vt:i4>
      </vt:variant>
      <vt:variant>
        <vt:i4>1565</vt:i4>
      </vt:variant>
      <vt:variant>
        <vt:i4>0</vt:i4>
      </vt:variant>
      <vt:variant>
        <vt:i4>5</vt:i4>
      </vt:variant>
      <vt:variant>
        <vt:lpwstr/>
      </vt:variant>
      <vt:variant>
        <vt:lpwstr>_Toc431493990</vt:lpwstr>
      </vt:variant>
      <vt:variant>
        <vt:i4>1769525</vt:i4>
      </vt:variant>
      <vt:variant>
        <vt:i4>1559</vt:i4>
      </vt:variant>
      <vt:variant>
        <vt:i4>0</vt:i4>
      </vt:variant>
      <vt:variant>
        <vt:i4>5</vt:i4>
      </vt:variant>
      <vt:variant>
        <vt:lpwstr/>
      </vt:variant>
      <vt:variant>
        <vt:lpwstr>_Toc431493989</vt:lpwstr>
      </vt:variant>
      <vt:variant>
        <vt:i4>1769525</vt:i4>
      </vt:variant>
      <vt:variant>
        <vt:i4>1553</vt:i4>
      </vt:variant>
      <vt:variant>
        <vt:i4>0</vt:i4>
      </vt:variant>
      <vt:variant>
        <vt:i4>5</vt:i4>
      </vt:variant>
      <vt:variant>
        <vt:lpwstr/>
      </vt:variant>
      <vt:variant>
        <vt:lpwstr>_Toc431493988</vt:lpwstr>
      </vt:variant>
      <vt:variant>
        <vt:i4>1769525</vt:i4>
      </vt:variant>
      <vt:variant>
        <vt:i4>1547</vt:i4>
      </vt:variant>
      <vt:variant>
        <vt:i4>0</vt:i4>
      </vt:variant>
      <vt:variant>
        <vt:i4>5</vt:i4>
      </vt:variant>
      <vt:variant>
        <vt:lpwstr/>
      </vt:variant>
      <vt:variant>
        <vt:lpwstr>_Toc431493987</vt:lpwstr>
      </vt:variant>
      <vt:variant>
        <vt:i4>1769525</vt:i4>
      </vt:variant>
      <vt:variant>
        <vt:i4>1541</vt:i4>
      </vt:variant>
      <vt:variant>
        <vt:i4>0</vt:i4>
      </vt:variant>
      <vt:variant>
        <vt:i4>5</vt:i4>
      </vt:variant>
      <vt:variant>
        <vt:lpwstr/>
      </vt:variant>
      <vt:variant>
        <vt:lpwstr>_Toc431493986</vt:lpwstr>
      </vt:variant>
      <vt:variant>
        <vt:i4>1769525</vt:i4>
      </vt:variant>
      <vt:variant>
        <vt:i4>1535</vt:i4>
      </vt:variant>
      <vt:variant>
        <vt:i4>0</vt:i4>
      </vt:variant>
      <vt:variant>
        <vt:i4>5</vt:i4>
      </vt:variant>
      <vt:variant>
        <vt:lpwstr/>
      </vt:variant>
      <vt:variant>
        <vt:lpwstr>_Toc431493985</vt:lpwstr>
      </vt:variant>
      <vt:variant>
        <vt:i4>1769525</vt:i4>
      </vt:variant>
      <vt:variant>
        <vt:i4>1529</vt:i4>
      </vt:variant>
      <vt:variant>
        <vt:i4>0</vt:i4>
      </vt:variant>
      <vt:variant>
        <vt:i4>5</vt:i4>
      </vt:variant>
      <vt:variant>
        <vt:lpwstr/>
      </vt:variant>
      <vt:variant>
        <vt:lpwstr>_Toc431493984</vt:lpwstr>
      </vt:variant>
      <vt:variant>
        <vt:i4>1769525</vt:i4>
      </vt:variant>
      <vt:variant>
        <vt:i4>1523</vt:i4>
      </vt:variant>
      <vt:variant>
        <vt:i4>0</vt:i4>
      </vt:variant>
      <vt:variant>
        <vt:i4>5</vt:i4>
      </vt:variant>
      <vt:variant>
        <vt:lpwstr/>
      </vt:variant>
      <vt:variant>
        <vt:lpwstr>_Toc431493983</vt:lpwstr>
      </vt:variant>
      <vt:variant>
        <vt:i4>1769525</vt:i4>
      </vt:variant>
      <vt:variant>
        <vt:i4>1517</vt:i4>
      </vt:variant>
      <vt:variant>
        <vt:i4>0</vt:i4>
      </vt:variant>
      <vt:variant>
        <vt:i4>5</vt:i4>
      </vt:variant>
      <vt:variant>
        <vt:lpwstr/>
      </vt:variant>
      <vt:variant>
        <vt:lpwstr>_Toc431493982</vt:lpwstr>
      </vt:variant>
      <vt:variant>
        <vt:i4>1769525</vt:i4>
      </vt:variant>
      <vt:variant>
        <vt:i4>1511</vt:i4>
      </vt:variant>
      <vt:variant>
        <vt:i4>0</vt:i4>
      </vt:variant>
      <vt:variant>
        <vt:i4>5</vt:i4>
      </vt:variant>
      <vt:variant>
        <vt:lpwstr/>
      </vt:variant>
      <vt:variant>
        <vt:lpwstr>_Toc431493981</vt:lpwstr>
      </vt:variant>
      <vt:variant>
        <vt:i4>1769525</vt:i4>
      </vt:variant>
      <vt:variant>
        <vt:i4>1505</vt:i4>
      </vt:variant>
      <vt:variant>
        <vt:i4>0</vt:i4>
      </vt:variant>
      <vt:variant>
        <vt:i4>5</vt:i4>
      </vt:variant>
      <vt:variant>
        <vt:lpwstr/>
      </vt:variant>
      <vt:variant>
        <vt:lpwstr>_Toc431493980</vt:lpwstr>
      </vt:variant>
      <vt:variant>
        <vt:i4>1310773</vt:i4>
      </vt:variant>
      <vt:variant>
        <vt:i4>1499</vt:i4>
      </vt:variant>
      <vt:variant>
        <vt:i4>0</vt:i4>
      </vt:variant>
      <vt:variant>
        <vt:i4>5</vt:i4>
      </vt:variant>
      <vt:variant>
        <vt:lpwstr/>
      </vt:variant>
      <vt:variant>
        <vt:lpwstr>_Toc431493979</vt:lpwstr>
      </vt:variant>
      <vt:variant>
        <vt:i4>1310773</vt:i4>
      </vt:variant>
      <vt:variant>
        <vt:i4>1493</vt:i4>
      </vt:variant>
      <vt:variant>
        <vt:i4>0</vt:i4>
      </vt:variant>
      <vt:variant>
        <vt:i4>5</vt:i4>
      </vt:variant>
      <vt:variant>
        <vt:lpwstr/>
      </vt:variant>
      <vt:variant>
        <vt:lpwstr>_Toc431493978</vt:lpwstr>
      </vt:variant>
      <vt:variant>
        <vt:i4>1310773</vt:i4>
      </vt:variant>
      <vt:variant>
        <vt:i4>1487</vt:i4>
      </vt:variant>
      <vt:variant>
        <vt:i4>0</vt:i4>
      </vt:variant>
      <vt:variant>
        <vt:i4>5</vt:i4>
      </vt:variant>
      <vt:variant>
        <vt:lpwstr/>
      </vt:variant>
      <vt:variant>
        <vt:lpwstr>_Toc431493977</vt:lpwstr>
      </vt:variant>
      <vt:variant>
        <vt:i4>1310773</vt:i4>
      </vt:variant>
      <vt:variant>
        <vt:i4>1481</vt:i4>
      </vt:variant>
      <vt:variant>
        <vt:i4>0</vt:i4>
      </vt:variant>
      <vt:variant>
        <vt:i4>5</vt:i4>
      </vt:variant>
      <vt:variant>
        <vt:lpwstr/>
      </vt:variant>
      <vt:variant>
        <vt:lpwstr>_Toc431493976</vt:lpwstr>
      </vt:variant>
      <vt:variant>
        <vt:i4>1310773</vt:i4>
      </vt:variant>
      <vt:variant>
        <vt:i4>1475</vt:i4>
      </vt:variant>
      <vt:variant>
        <vt:i4>0</vt:i4>
      </vt:variant>
      <vt:variant>
        <vt:i4>5</vt:i4>
      </vt:variant>
      <vt:variant>
        <vt:lpwstr/>
      </vt:variant>
      <vt:variant>
        <vt:lpwstr>_Toc431493975</vt:lpwstr>
      </vt:variant>
      <vt:variant>
        <vt:i4>1310773</vt:i4>
      </vt:variant>
      <vt:variant>
        <vt:i4>1469</vt:i4>
      </vt:variant>
      <vt:variant>
        <vt:i4>0</vt:i4>
      </vt:variant>
      <vt:variant>
        <vt:i4>5</vt:i4>
      </vt:variant>
      <vt:variant>
        <vt:lpwstr/>
      </vt:variant>
      <vt:variant>
        <vt:lpwstr>_Toc431493974</vt:lpwstr>
      </vt:variant>
      <vt:variant>
        <vt:i4>1310773</vt:i4>
      </vt:variant>
      <vt:variant>
        <vt:i4>1463</vt:i4>
      </vt:variant>
      <vt:variant>
        <vt:i4>0</vt:i4>
      </vt:variant>
      <vt:variant>
        <vt:i4>5</vt:i4>
      </vt:variant>
      <vt:variant>
        <vt:lpwstr/>
      </vt:variant>
      <vt:variant>
        <vt:lpwstr>_Toc431493973</vt:lpwstr>
      </vt:variant>
      <vt:variant>
        <vt:i4>1310773</vt:i4>
      </vt:variant>
      <vt:variant>
        <vt:i4>1457</vt:i4>
      </vt:variant>
      <vt:variant>
        <vt:i4>0</vt:i4>
      </vt:variant>
      <vt:variant>
        <vt:i4>5</vt:i4>
      </vt:variant>
      <vt:variant>
        <vt:lpwstr/>
      </vt:variant>
      <vt:variant>
        <vt:lpwstr>_Toc431493972</vt:lpwstr>
      </vt:variant>
      <vt:variant>
        <vt:i4>1310773</vt:i4>
      </vt:variant>
      <vt:variant>
        <vt:i4>1451</vt:i4>
      </vt:variant>
      <vt:variant>
        <vt:i4>0</vt:i4>
      </vt:variant>
      <vt:variant>
        <vt:i4>5</vt:i4>
      </vt:variant>
      <vt:variant>
        <vt:lpwstr/>
      </vt:variant>
      <vt:variant>
        <vt:lpwstr>_Toc431493971</vt:lpwstr>
      </vt:variant>
      <vt:variant>
        <vt:i4>1310773</vt:i4>
      </vt:variant>
      <vt:variant>
        <vt:i4>1445</vt:i4>
      </vt:variant>
      <vt:variant>
        <vt:i4>0</vt:i4>
      </vt:variant>
      <vt:variant>
        <vt:i4>5</vt:i4>
      </vt:variant>
      <vt:variant>
        <vt:lpwstr/>
      </vt:variant>
      <vt:variant>
        <vt:lpwstr>_Toc431493970</vt:lpwstr>
      </vt:variant>
      <vt:variant>
        <vt:i4>1376309</vt:i4>
      </vt:variant>
      <vt:variant>
        <vt:i4>1439</vt:i4>
      </vt:variant>
      <vt:variant>
        <vt:i4>0</vt:i4>
      </vt:variant>
      <vt:variant>
        <vt:i4>5</vt:i4>
      </vt:variant>
      <vt:variant>
        <vt:lpwstr/>
      </vt:variant>
      <vt:variant>
        <vt:lpwstr>_Toc431493969</vt:lpwstr>
      </vt:variant>
      <vt:variant>
        <vt:i4>1376309</vt:i4>
      </vt:variant>
      <vt:variant>
        <vt:i4>1433</vt:i4>
      </vt:variant>
      <vt:variant>
        <vt:i4>0</vt:i4>
      </vt:variant>
      <vt:variant>
        <vt:i4>5</vt:i4>
      </vt:variant>
      <vt:variant>
        <vt:lpwstr/>
      </vt:variant>
      <vt:variant>
        <vt:lpwstr>_Toc431493968</vt:lpwstr>
      </vt:variant>
      <vt:variant>
        <vt:i4>1376309</vt:i4>
      </vt:variant>
      <vt:variant>
        <vt:i4>1427</vt:i4>
      </vt:variant>
      <vt:variant>
        <vt:i4>0</vt:i4>
      </vt:variant>
      <vt:variant>
        <vt:i4>5</vt:i4>
      </vt:variant>
      <vt:variant>
        <vt:lpwstr/>
      </vt:variant>
      <vt:variant>
        <vt:lpwstr>_Toc431493967</vt:lpwstr>
      </vt:variant>
      <vt:variant>
        <vt:i4>1376309</vt:i4>
      </vt:variant>
      <vt:variant>
        <vt:i4>1421</vt:i4>
      </vt:variant>
      <vt:variant>
        <vt:i4>0</vt:i4>
      </vt:variant>
      <vt:variant>
        <vt:i4>5</vt:i4>
      </vt:variant>
      <vt:variant>
        <vt:lpwstr/>
      </vt:variant>
      <vt:variant>
        <vt:lpwstr>_Toc431493966</vt:lpwstr>
      </vt:variant>
      <vt:variant>
        <vt:i4>1376309</vt:i4>
      </vt:variant>
      <vt:variant>
        <vt:i4>1415</vt:i4>
      </vt:variant>
      <vt:variant>
        <vt:i4>0</vt:i4>
      </vt:variant>
      <vt:variant>
        <vt:i4>5</vt:i4>
      </vt:variant>
      <vt:variant>
        <vt:lpwstr/>
      </vt:variant>
      <vt:variant>
        <vt:lpwstr>_Toc431493965</vt:lpwstr>
      </vt:variant>
      <vt:variant>
        <vt:i4>1376309</vt:i4>
      </vt:variant>
      <vt:variant>
        <vt:i4>1409</vt:i4>
      </vt:variant>
      <vt:variant>
        <vt:i4>0</vt:i4>
      </vt:variant>
      <vt:variant>
        <vt:i4>5</vt:i4>
      </vt:variant>
      <vt:variant>
        <vt:lpwstr/>
      </vt:variant>
      <vt:variant>
        <vt:lpwstr>_Toc431493964</vt:lpwstr>
      </vt:variant>
      <vt:variant>
        <vt:i4>1376309</vt:i4>
      </vt:variant>
      <vt:variant>
        <vt:i4>1403</vt:i4>
      </vt:variant>
      <vt:variant>
        <vt:i4>0</vt:i4>
      </vt:variant>
      <vt:variant>
        <vt:i4>5</vt:i4>
      </vt:variant>
      <vt:variant>
        <vt:lpwstr/>
      </vt:variant>
      <vt:variant>
        <vt:lpwstr>_Toc431493963</vt:lpwstr>
      </vt:variant>
      <vt:variant>
        <vt:i4>1376309</vt:i4>
      </vt:variant>
      <vt:variant>
        <vt:i4>1397</vt:i4>
      </vt:variant>
      <vt:variant>
        <vt:i4>0</vt:i4>
      </vt:variant>
      <vt:variant>
        <vt:i4>5</vt:i4>
      </vt:variant>
      <vt:variant>
        <vt:lpwstr/>
      </vt:variant>
      <vt:variant>
        <vt:lpwstr>_Toc431493962</vt:lpwstr>
      </vt:variant>
      <vt:variant>
        <vt:i4>1376309</vt:i4>
      </vt:variant>
      <vt:variant>
        <vt:i4>1391</vt:i4>
      </vt:variant>
      <vt:variant>
        <vt:i4>0</vt:i4>
      </vt:variant>
      <vt:variant>
        <vt:i4>5</vt:i4>
      </vt:variant>
      <vt:variant>
        <vt:lpwstr/>
      </vt:variant>
      <vt:variant>
        <vt:lpwstr>_Toc431493961</vt:lpwstr>
      </vt:variant>
      <vt:variant>
        <vt:i4>1376309</vt:i4>
      </vt:variant>
      <vt:variant>
        <vt:i4>1385</vt:i4>
      </vt:variant>
      <vt:variant>
        <vt:i4>0</vt:i4>
      </vt:variant>
      <vt:variant>
        <vt:i4>5</vt:i4>
      </vt:variant>
      <vt:variant>
        <vt:lpwstr/>
      </vt:variant>
      <vt:variant>
        <vt:lpwstr>_Toc431493960</vt:lpwstr>
      </vt:variant>
      <vt:variant>
        <vt:i4>1441845</vt:i4>
      </vt:variant>
      <vt:variant>
        <vt:i4>1379</vt:i4>
      </vt:variant>
      <vt:variant>
        <vt:i4>0</vt:i4>
      </vt:variant>
      <vt:variant>
        <vt:i4>5</vt:i4>
      </vt:variant>
      <vt:variant>
        <vt:lpwstr/>
      </vt:variant>
      <vt:variant>
        <vt:lpwstr>_Toc431493959</vt:lpwstr>
      </vt:variant>
      <vt:variant>
        <vt:i4>1441845</vt:i4>
      </vt:variant>
      <vt:variant>
        <vt:i4>1373</vt:i4>
      </vt:variant>
      <vt:variant>
        <vt:i4>0</vt:i4>
      </vt:variant>
      <vt:variant>
        <vt:i4>5</vt:i4>
      </vt:variant>
      <vt:variant>
        <vt:lpwstr/>
      </vt:variant>
      <vt:variant>
        <vt:lpwstr>_Toc431493958</vt:lpwstr>
      </vt:variant>
      <vt:variant>
        <vt:i4>1441845</vt:i4>
      </vt:variant>
      <vt:variant>
        <vt:i4>1367</vt:i4>
      </vt:variant>
      <vt:variant>
        <vt:i4>0</vt:i4>
      </vt:variant>
      <vt:variant>
        <vt:i4>5</vt:i4>
      </vt:variant>
      <vt:variant>
        <vt:lpwstr/>
      </vt:variant>
      <vt:variant>
        <vt:lpwstr>_Toc431493957</vt:lpwstr>
      </vt:variant>
      <vt:variant>
        <vt:i4>1441845</vt:i4>
      </vt:variant>
      <vt:variant>
        <vt:i4>1361</vt:i4>
      </vt:variant>
      <vt:variant>
        <vt:i4>0</vt:i4>
      </vt:variant>
      <vt:variant>
        <vt:i4>5</vt:i4>
      </vt:variant>
      <vt:variant>
        <vt:lpwstr/>
      </vt:variant>
      <vt:variant>
        <vt:lpwstr>_Toc431493956</vt:lpwstr>
      </vt:variant>
      <vt:variant>
        <vt:i4>1441845</vt:i4>
      </vt:variant>
      <vt:variant>
        <vt:i4>1355</vt:i4>
      </vt:variant>
      <vt:variant>
        <vt:i4>0</vt:i4>
      </vt:variant>
      <vt:variant>
        <vt:i4>5</vt:i4>
      </vt:variant>
      <vt:variant>
        <vt:lpwstr/>
      </vt:variant>
      <vt:variant>
        <vt:lpwstr>_Toc431493955</vt:lpwstr>
      </vt:variant>
      <vt:variant>
        <vt:i4>1441845</vt:i4>
      </vt:variant>
      <vt:variant>
        <vt:i4>1349</vt:i4>
      </vt:variant>
      <vt:variant>
        <vt:i4>0</vt:i4>
      </vt:variant>
      <vt:variant>
        <vt:i4>5</vt:i4>
      </vt:variant>
      <vt:variant>
        <vt:lpwstr/>
      </vt:variant>
      <vt:variant>
        <vt:lpwstr>_Toc431493954</vt:lpwstr>
      </vt:variant>
      <vt:variant>
        <vt:i4>1441845</vt:i4>
      </vt:variant>
      <vt:variant>
        <vt:i4>1343</vt:i4>
      </vt:variant>
      <vt:variant>
        <vt:i4>0</vt:i4>
      </vt:variant>
      <vt:variant>
        <vt:i4>5</vt:i4>
      </vt:variant>
      <vt:variant>
        <vt:lpwstr/>
      </vt:variant>
      <vt:variant>
        <vt:lpwstr>_Toc431493953</vt:lpwstr>
      </vt:variant>
      <vt:variant>
        <vt:i4>1441845</vt:i4>
      </vt:variant>
      <vt:variant>
        <vt:i4>1337</vt:i4>
      </vt:variant>
      <vt:variant>
        <vt:i4>0</vt:i4>
      </vt:variant>
      <vt:variant>
        <vt:i4>5</vt:i4>
      </vt:variant>
      <vt:variant>
        <vt:lpwstr/>
      </vt:variant>
      <vt:variant>
        <vt:lpwstr>_Toc431493952</vt:lpwstr>
      </vt:variant>
      <vt:variant>
        <vt:i4>1441845</vt:i4>
      </vt:variant>
      <vt:variant>
        <vt:i4>1331</vt:i4>
      </vt:variant>
      <vt:variant>
        <vt:i4>0</vt:i4>
      </vt:variant>
      <vt:variant>
        <vt:i4>5</vt:i4>
      </vt:variant>
      <vt:variant>
        <vt:lpwstr/>
      </vt:variant>
      <vt:variant>
        <vt:lpwstr>_Toc431493951</vt:lpwstr>
      </vt:variant>
      <vt:variant>
        <vt:i4>1441845</vt:i4>
      </vt:variant>
      <vt:variant>
        <vt:i4>1325</vt:i4>
      </vt:variant>
      <vt:variant>
        <vt:i4>0</vt:i4>
      </vt:variant>
      <vt:variant>
        <vt:i4>5</vt:i4>
      </vt:variant>
      <vt:variant>
        <vt:lpwstr/>
      </vt:variant>
      <vt:variant>
        <vt:lpwstr>_Toc431493950</vt:lpwstr>
      </vt:variant>
      <vt:variant>
        <vt:i4>1507381</vt:i4>
      </vt:variant>
      <vt:variant>
        <vt:i4>1319</vt:i4>
      </vt:variant>
      <vt:variant>
        <vt:i4>0</vt:i4>
      </vt:variant>
      <vt:variant>
        <vt:i4>5</vt:i4>
      </vt:variant>
      <vt:variant>
        <vt:lpwstr/>
      </vt:variant>
      <vt:variant>
        <vt:lpwstr>_Toc431493949</vt:lpwstr>
      </vt:variant>
      <vt:variant>
        <vt:i4>1507381</vt:i4>
      </vt:variant>
      <vt:variant>
        <vt:i4>1313</vt:i4>
      </vt:variant>
      <vt:variant>
        <vt:i4>0</vt:i4>
      </vt:variant>
      <vt:variant>
        <vt:i4>5</vt:i4>
      </vt:variant>
      <vt:variant>
        <vt:lpwstr/>
      </vt:variant>
      <vt:variant>
        <vt:lpwstr>_Toc431493948</vt:lpwstr>
      </vt:variant>
      <vt:variant>
        <vt:i4>1507381</vt:i4>
      </vt:variant>
      <vt:variant>
        <vt:i4>1307</vt:i4>
      </vt:variant>
      <vt:variant>
        <vt:i4>0</vt:i4>
      </vt:variant>
      <vt:variant>
        <vt:i4>5</vt:i4>
      </vt:variant>
      <vt:variant>
        <vt:lpwstr/>
      </vt:variant>
      <vt:variant>
        <vt:lpwstr>_Toc431493947</vt:lpwstr>
      </vt:variant>
      <vt:variant>
        <vt:i4>1507381</vt:i4>
      </vt:variant>
      <vt:variant>
        <vt:i4>1301</vt:i4>
      </vt:variant>
      <vt:variant>
        <vt:i4>0</vt:i4>
      </vt:variant>
      <vt:variant>
        <vt:i4>5</vt:i4>
      </vt:variant>
      <vt:variant>
        <vt:lpwstr/>
      </vt:variant>
      <vt:variant>
        <vt:lpwstr>_Toc431493946</vt:lpwstr>
      </vt:variant>
      <vt:variant>
        <vt:i4>1507381</vt:i4>
      </vt:variant>
      <vt:variant>
        <vt:i4>1295</vt:i4>
      </vt:variant>
      <vt:variant>
        <vt:i4>0</vt:i4>
      </vt:variant>
      <vt:variant>
        <vt:i4>5</vt:i4>
      </vt:variant>
      <vt:variant>
        <vt:lpwstr/>
      </vt:variant>
      <vt:variant>
        <vt:lpwstr>_Toc431493945</vt:lpwstr>
      </vt:variant>
      <vt:variant>
        <vt:i4>1507381</vt:i4>
      </vt:variant>
      <vt:variant>
        <vt:i4>1289</vt:i4>
      </vt:variant>
      <vt:variant>
        <vt:i4>0</vt:i4>
      </vt:variant>
      <vt:variant>
        <vt:i4>5</vt:i4>
      </vt:variant>
      <vt:variant>
        <vt:lpwstr/>
      </vt:variant>
      <vt:variant>
        <vt:lpwstr>_Toc431493944</vt:lpwstr>
      </vt:variant>
      <vt:variant>
        <vt:i4>1507381</vt:i4>
      </vt:variant>
      <vt:variant>
        <vt:i4>1283</vt:i4>
      </vt:variant>
      <vt:variant>
        <vt:i4>0</vt:i4>
      </vt:variant>
      <vt:variant>
        <vt:i4>5</vt:i4>
      </vt:variant>
      <vt:variant>
        <vt:lpwstr/>
      </vt:variant>
      <vt:variant>
        <vt:lpwstr>_Toc431493943</vt:lpwstr>
      </vt:variant>
      <vt:variant>
        <vt:i4>1507381</vt:i4>
      </vt:variant>
      <vt:variant>
        <vt:i4>1277</vt:i4>
      </vt:variant>
      <vt:variant>
        <vt:i4>0</vt:i4>
      </vt:variant>
      <vt:variant>
        <vt:i4>5</vt:i4>
      </vt:variant>
      <vt:variant>
        <vt:lpwstr/>
      </vt:variant>
      <vt:variant>
        <vt:lpwstr>_Toc431493942</vt:lpwstr>
      </vt:variant>
      <vt:variant>
        <vt:i4>1507381</vt:i4>
      </vt:variant>
      <vt:variant>
        <vt:i4>1271</vt:i4>
      </vt:variant>
      <vt:variant>
        <vt:i4>0</vt:i4>
      </vt:variant>
      <vt:variant>
        <vt:i4>5</vt:i4>
      </vt:variant>
      <vt:variant>
        <vt:lpwstr/>
      </vt:variant>
      <vt:variant>
        <vt:lpwstr>_Toc431493941</vt:lpwstr>
      </vt:variant>
      <vt:variant>
        <vt:i4>1507381</vt:i4>
      </vt:variant>
      <vt:variant>
        <vt:i4>1265</vt:i4>
      </vt:variant>
      <vt:variant>
        <vt:i4>0</vt:i4>
      </vt:variant>
      <vt:variant>
        <vt:i4>5</vt:i4>
      </vt:variant>
      <vt:variant>
        <vt:lpwstr/>
      </vt:variant>
      <vt:variant>
        <vt:lpwstr>_Toc431493940</vt:lpwstr>
      </vt:variant>
      <vt:variant>
        <vt:i4>1048629</vt:i4>
      </vt:variant>
      <vt:variant>
        <vt:i4>1259</vt:i4>
      </vt:variant>
      <vt:variant>
        <vt:i4>0</vt:i4>
      </vt:variant>
      <vt:variant>
        <vt:i4>5</vt:i4>
      </vt:variant>
      <vt:variant>
        <vt:lpwstr/>
      </vt:variant>
      <vt:variant>
        <vt:lpwstr>_Toc431493939</vt:lpwstr>
      </vt:variant>
      <vt:variant>
        <vt:i4>1048629</vt:i4>
      </vt:variant>
      <vt:variant>
        <vt:i4>1253</vt:i4>
      </vt:variant>
      <vt:variant>
        <vt:i4>0</vt:i4>
      </vt:variant>
      <vt:variant>
        <vt:i4>5</vt:i4>
      </vt:variant>
      <vt:variant>
        <vt:lpwstr/>
      </vt:variant>
      <vt:variant>
        <vt:lpwstr>_Toc431493938</vt:lpwstr>
      </vt:variant>
      <vt:variant>
        <vt:i4>1048629</vt:i4>
      </vt:variant>
      <vt:variant>
        <vt:i4>1247</vt:i4>
      </vt:variant>
      <vt:variant>
        <vt:i4>0</vt:i4>
      </vt:variant>
      <vt:variant>
        <vt:i4>5</vt:i4>
      </vt:variant>
      <vt:variant>
        <vt:lpwstr/>
      </vt:variant>
      <vt:variant>
        <vt:lpwstr>_Toc431493937</vt:lpwstr>
      </vt:variant>
      <vt:variant>
        <vt:i4>1048629</vt:i4>
      </vt:variant>
      <vt:variant>
        <vt:i4>1241</vt:i4>
      </vt:variant>
      <vt:variant>
        <vt:i4>0</vt:i4>
      </vt:variant>
      <vt:variant>
        <vt:i4>5</vt:i4>
      </vt:variant>
      <vt:variant>
        <vt:lpwstr/>
      </vt:variant>
      <vt:variant>
        <vt:lpwstr>_Toc431493936</vt:lpwstr>
      </vt:variant>
      <vt:variant>
        <vt:i4>1048629</vt:i4>
      </vt:variant>
      <vt:variant>
        <vt:i4>1235</vt:i4>
      </vt:variant>
      <vt:variant>
        <vt:i4>0</vt:i4>
      </vt:variant>
      <vt:variant>
        <vt:i4>5</vt:i4>
      </vt:variant>
      <vt:variant>
        <vt:lpwstr/>
      </vt:variant>
      <vt:variant>
        <vt:lpwstr>_Toc431493935</vt:lpwstr>
      </vt:variant>
      <vt:variant>
        <vt:i4>1048629</vt:i4>
      </vt:variant>
      <vt:variant>
        <vt:i4>1229</vt:i4>
      </vt:variant>
      <vt:variant>
        <vt:i4>0</vt:i4>
      </vt:variant>
      <vt:variant>
        <vt:i4>5</vt:i4>
      </vt:variant>
      <vt:variant>
        <vt:lpwstr/>
      </vt:variant>
      <vt:variant>
        <vt:lpwstr>_Toc431493934</vt:lpwstr>
      </vt:variant>
      <vt:variant>
        <vt:i4>1048629</vt:i4>
      </vt:variant>
      <vt:variant>
        <vt:i4>1223</vt:i4>
      </vt:variant>
      <vt:variant>
        <vt:i4>0</vt:i4>
      </vt:variant>
      <vt:variant>
        <vt:i4>5</vt:i4>
      </vt:variant>
      <vt:variant>
        <vt:lpwstr/>
      </vt:variant>
      <vt:variant>
        <vt:lpwstr>_Toc431493933</vt:lpwstr>
      </vt:variant>
      <vt:variant>
        <vt:i4>1048629</vt:i4>
      </vt:variant>
      <vt:variant>
        <vt:i4>1217</vt:i4>
      </vt:variant>
      <vt:variant>
        <vt:i4>0</vt:i4>
      </vt:variant>
      <vt:variant>
        <vt:i4>5</vt:i4>
      </vt:variant>
      <vt:variant>
        <vt:lpwstr/>
      </vt:variant>
      <vt:variant>
        <vt:lpwstr>_Toc431493932</vt:lpwstr>
      </vt:variant>
      <vt:variant>
        <vt:i4>1048629</vt:i4>
      </vt:variant>
      <vt:variant>
        <vt:i4>1211</vt:i4>
      </vt:variant>
      <vt:variant>
        <vt:i4>0</vt:i4>
      </vt:variant>
      <vt:variant>
        <vt:i4>5</vt:i4>
      </vt:variant>
      <vt:variant>
        <vt:lpwstr/>
      </vt:variant>
      <vt:variant>
        <vt:lpwstr>_Toc431493931</vt:lpwstr>
      </vt:variant>
      <vt:variant>
        <vt:i4>1048629</vt:i4>
      </vt:variant>
      <vt:variant>
        <vt:i4>1205</vt:i4>
      </vt:variant>
      <vt:variant>
        <vt:i4>0</vt:i4>
      </vt:variant>
      <vt:variant>
        <vt:i4>5</vt:i4>
      </vt:variant>
      <vt:variant>
        <vt:lpwstr/>
      </vt:variant>
      <vt:variant>
        <vt:lpwstr>_Toc431493930</vt:lpwstr>
      </vt:variant>
      <vt:variant>
        <vt:i4>1114165</vt:i4>
      </vt:variant>
      <vt:variant>
        <vt:i4>1199</vt:i4>
      </vt:variant>
      <vt:variant>
        <vt:i4>0</vt:i4>
      </vt:variant>
      <vt:variant>
        <vt:i4>5</vt:i4>
      </vt:variant>
      <vt:variant>
        <vt:lpwstr/>
      </vt:variant>
      <vt:variant>
        <vt:lpwstr>_Toc431493929</vt:lpwstr>
      </vt:variant>
      <vt:variant>
        <vt:i4>1114165</vt:i4>
      </vt:variant>
      <vt:variant>
        <vt:i4>1193</vt:i4>
      </vt:variant>
      <vt:variant>
        <vt:i4>0</vt:i4>
      </vt:variant>
      <vt:variant>
        <vt:i4>5</vt:i4>
      </vt:variant>
      <vt:variant>
        <vt:lpwstr/>
      </vt:variant>
      <vt:variant>
        <vt:lpwstr>_Toc431493928</vt:lpwstr>
      </vt:variant>
      <vt:variant>
        <vt:i4>1114165</vt:i4>
      </vt:variant>
      <vt:variant>
        <vt:i4>1187</vt:i4>
      </vt:variant>
      <vt:variant>
        <vt:i4>0</vt:i4>
      </vt:variant>
      <vt:variant>
        <vt:i4>5</vt:i4>
      </vt:variant>
      <vt:variant>
        <vt:lpwstr/>
      </vt:variant>
      <vt:variant>
        <vt:lpwstr>_Toc431493927</vt:lpwstr>
      </vt:variant>
      <vt:variant>
        <vt:i4>1114165</vt:i4>
      </vt:variant>
      <vt:variant>
        <vt:i4>1181</vt:i4>
      </vt:variant>
      <vt:variant>
        <vt:i4>0</vt:i4>
      </vt:variant>
      <vt:variant>
        <vt:i4>5</vt:i4>
      </vt:variant>
      <vt:variant>
        <vt:lpwstr/>
      </vt:variant>
      <vt:variant>
        <vt:lpwstr>_Toc431493926</vt:lpwstr>
      </vt:variant>
      <vt:variant>
        <vt:i4>1114165</vt:i4>
      </vt:variant>
      <vt:variant>
        <vt:i4>1175</vt:i4>
      </vt:variant>
      <vt:variant>
        <vt:i4>0</vt:i4>
      </vt:variant>
      <vt:variant>
        <vt:i4>5</vt:i4>
      </vt:variant>
      <vt:variant>
        <vt:lpwstr/>
      </vt:variant>
      <vt:variant>
        <vt:lpwstr>_Toc431493925</vt:lpwstr>
      </vt:variant>
      <vt:variant>
        <vt:i4>1114165</vt:i4>
      </vt:variant>
      <vt:variant>
        <vt:i4>1169</vt:i4>
      </vt:variant>
      <vt:variant>
        <vt:i4>0</vt:i4>
      </vt:variant>
      <vt:variant>
        <vt:i4>5</vt:i4>
      </vt:variant>
      <vt:variant>
        <vt:lpwstr/>
      </vt:variant>
      <vt:variant>
        <vt:lpwstr>_Toc431493924</vt:lpwstr>
      </vt:variant>
      <vt:variant>
        <vt:i4>1114165</vt:i4>
      </vt:variant>
      <vt:variant>
        <vt:i4>1163</vt:i4>
      </vt:variant>
      <vt:variant>
        <vt:i4>0</vt:i4>
      </vt:variant>
      <vt:variant>
        <vt:i4>5</vt:i4>
      </vt:variant>
      <vt:variant>
        <vt:lpwstr/>
      </vt:variant>
      <vt:variant>
        <vt:lpwstr>_Toc431493923</vt:lpwstr>
      </vt:variant>
      <vt:variant>
        <vt:i4>1114165</vt:i4>
      </vt:variant>
      <vt:variant>
        <vt:i4>1157</vt:i4>
      </vt:variant>
      <vt:variant>
        <vt:i4>0</vt:i4>
      </vt:variant>
      <vt:variant>
        <vt:i4>5</vt:i4>
      </vt:variant>
      <vt:variant>
        <vt:lpwstr/>
      </vt:variant>
      <vt:variant>
        <vt:lpwstr>_Toc431493922</vt:lpwstr>
      </vt:variant>
      <vt:variant>
        <vt:i4>1114165</vt:i4>
      </vt:variant>
      <vt:variant>
        <vt:i4>1151</vt:i4>
      </vt:variant>
      <vt:variant>
        <vt:i4>0</vt:i4>
      </vt:variant>
      <vt:variant>
        <vt:i4>5</vt:i4>
      </vt:variant>
      <vt:variant>
        <vt:lpwstr/>
      </vt:variant>
      <vt:variant>
        <vt:lpwstr>_Toc431493921</vt:lpwstr>
      </vt:variant>
      <vt:variant>
        <vt:i4>1114165</vt:i4>
      </vt:variant>
      <vt:variant>
        <vt:i4>1145</vt:i4>
      </vt:variant>
      <vt:variant>
        <vt:i4>0</vt:i4>
      </vt:variant>
      <vt:variant>
        <vt:i4>5</vt:i4>
      </vt:variant>
      <vt:variant>
        <vt:lpwstr/>
      </vt:variant>
      <vt:variant>
        <vt:lpwstr>_Toc431493920</vt:lpwstr>
      </vt:variant>
      <vt:variant>
        <vt:i4>1179701</vt:i4>
      </vt:variant>
      <vt:variant>
        <vt:i4>1139</vt:i4>
      </vt:variant>
      <vt:variant>
        <vt:i4>0</vt:i4>
      </vt:variant>
      <vt:variant>
        <vt:i4>5</vt:i4>
      </vt:variant>
      <vt:variant>
        <vt:lpwstr/>
      </vt:variant>
      <vt:variant>
        <vt:lpwstr>_Toc431493919</vt:lpwstr>
      </vt:variant>
      <vt:variant>
        <vt:i4>1179701</vt:i4>
      </vt:variant>
      <vt:variant>
        <vt:i4>1133</vt:i4>
      </vt:variant>
      <vt:variant>
        <vt:i4>0</vt:i4>
      </vt:variant>
      <vt:variant>
        <vt:i4>5</vt:i4>
      </vt:variant>
      <vt:variant>
        <vt:lpwstr/>
      </vt:variant>
      <vt:variant>
        <vt:lpwstr>_Toc431493918</vt:lpwstr>
      </vt:variant>
      <vt:variant>
        <vt:i4>1179701</vt:i4>
      </vt:variant>
      <vt:variant>
        <vt:i4>1127</vt:i4>
      </vt:variant>
      <vt:variant>
        <vt:i4>0</vt:i4>
      </vt:variant>
      <vt:variant>
        <vt:i4>5</vt:i4>
      </vt:variant>
      <vt:variant>
        <vt:lpwstr/>
      </vt:variant>
      <vt:variant>
        <vt:lpwstr>_Toc431493917</vt:lpwstr>
      </vt:variant>
      <vt:variant>
        <vt:i4>1179701</vt:i4>
      </vt:variant>
      <vt:variant>
        <vt:i4>1121</vt:i4>
      </vt:variant>
      <vt:variant>
        <vt:i4>0</vt:i4>
      </vt:variant>
      <vt:variant>
        <vt:i4>5</vt:i4>
      </vt:variant>
      <vt:variant>
        <vt:lpwstr/>
      </vt:variant>
      <vt:variant>
        <vt:lpwstr>_Toc431493916</vt:lpwstr>
      </vt:variant>
      <vt:variant>
        <vt:i4>1179701</vt:i4>
      </vt:variant>
      <vt:variant>
        <vt:i4>1115</vt:i4>
      </vt:variant>
      <vt:variant>
        <vt:i4>0</vt:i4>
      </vt:variant>
      <vt:variant>
        <vt:i4>5</vt:i4>
      </vt:variant>
      <vt:variant>
        <vt:lpwstr/>
      </vt:variant>
      <vt:variant>
        <vt:lpwstr>_Toc431493915</vt:lpwstr>
      </vt:variant>
      <vt:variant>
        <vt:i4>1179701</vt:i4>
      </vt:variant>
      <vt:variant>
        <vt:i4>1109</vt:i4>
      </vt:variant>
      <vt:variant>
        <vt:i4>0</vt:i4>
      </vt:variant>
      <vt:variant>
        <vt:i4>5</vt:i4>
      </vt:variant>
      <vt:variant>
        <vt:lpwstr/>
      </vt:variant>
      <vt:variant>
        <vt:lpwstr>_Toc431493914</vt:lpwstr>
      </vt:variant>
      <vt:variant>
        <vt:i4>1179701</vt:i4>
      </vt:variant>
      <vt:variant>
        <vt:i4>1103</vt:i4>
      </vt:variant>
      <vt:variant>
        <vt:i4>0</vt:i4>
      </vt:variant>
      <vt:variant>
        <vt:i4>5</vt:i4>
      </vt:variant>
      <vt:variant>
        <vt:lpwstr/>
      </vt:variant>
      <vt:variant>
        <vt:lpwstr>_Toc431493913</vt:lpwstr>
      </vt:variant>
      <vt:variant>
        <vt:i4>1179701</vt:i4>
      </vt:variant>
      <vt:variant>
        <vt:i4>1097</vt:i4>
      </vt:variant>
      <vt:variant>
        <vt:i4>0</vt:i4>
      </vt:variant>
      <vt:variant>
        <vt:i4>5</vt:i4>
      </vt:variant>
      <vt:variant>
        <vt:lpwstr/>
      </vt:variant>
      <vt:variant>
        <vt:lpwstr>_Toc431493912</vt:lpwstr>
      </vt:variant>
      <vt:variant>
        <vt:i4>1179701</vt:i4>
      </vt:variant>
      <vt:variant>
        <vt:i4>1091</vt:i4>
      </vt:variant>
      <vt:variant>
        <vt:i4>0</vt:i4>
      </vt:variant>
      <vt:variant>
        <vt:i4>5</vt:i4>
      </vt:variant>
      <vt:variant>
        <vt:lpwstr/>
      </vt:variant>
      <vt:variant>
        <vt:lpwstr>_Toc431493911</vt:lpwstr>
      </vt:variant>
      <vt:variant>
        <vt:i4>1179701</vt:i4>
      </vt:variant>
      <vt:variant>
        <vt:i4>1085</vt:i4>
      </vt:variant>
      <vt:variant>
        <vt:i4>0</vt:i4>
      </vt:variant>
      <vt:variant>
        <vt:i4>5</vt:i4>
      </vt:variant>
      <vt:variant>
        <vt:lpwstr/>
      </vt:variant>
      <vt:variant>
        <vt:lpwstr>_Toc431493910</vt:lpwstr>
      </vt:variant>
      <vt:variant>
        <vt:i4>1245237</vt:i4>
      </vt:variant>
      <vt:variant>
        <vt:i4>1079</vt:i4>
      </vt:variant>
      <vt:variant>
        <vt:i4>0</vt:i4>
      </vt:variant>
      <vt:variant>
        <vt:i4>5</vt:i4>
      </vt:variant>
      <vt:variant>
        <vt:lpwstr/>
      </vt:variant>
      <vt:variant>
        <vt:lpwstr>_Toc431493909</vt:lpwstr>
      </vt:variant>
      <vt:variant>
        <vt:i4>1245237</vt:i4>
      </vt:variant>
      <vt:variant>
        <vt:i4>1073</vt:i4>
      </vt:variant>
      <vt:variant>
        <vt:i4>0</vt:i4>
      </vt:variant>
      <vt:variant>
        <vt:i4>5</vt:i4>
      </vt:variant>
      <vt:variant>
        <vt:lpwstr/>
      </vt:variant>
      <vt:variant>
        <vt:lpwstr>_Toc431493908</vt:lpwstr>
      </vt:variant>
      <vt:variant>
        <vt:i4>1245237</vt:i4>
      </vt:variant>
      <vt:variant>
        <vt:i4>1067</vt:i4>
      </vt:variant>
      <vt:variant>
        <vt:i4>0</vt:i4>
      </vt:variant>
      <vt:variant>
        <vt:i4>5</vt:i4>
      </vt:variant>
      <vt:variant>
        <vt:lpwstr/>
      </vt:variant>
      <vt:variant>
        <vt:lpwstr>_Toc431493907</vt:lpwstr>
      </vt:variant>
      <vt:variant>
        <vt:i4>1245237</vt:i4>
      </vt:variant>
      <vt:variant>
        <vt:i4>1061</vt:i4>
      </vt:variant>
      <vt:variant>
        <vt:i4>0</vt:i4>
      </vt:variant>
      <vt:variant>
        <vt:i4>5</vt:i4>
      </vt:variant>
      <vt:variant>
        <vt:lpwstr/>
      </vt:variant>
      <vt:variant>
        <vt:lpwstr>_Toc431493906</vt:lpwstr>
      </vt:variant>
      <vt:variant>
        <vt:i4>1245237</vt:i4>
      </vt:variant>
      <vt:variant>
        <vt:i4>1055</vt:i4>
      </vt:variant>
      <vt:variant>
        <vt:i4>0</vt:i4>
      </vt:variant>
      <vt:variant>
        <vt:i4>5</vt:i4>
      </vt:variant>
      <vt:variant>
        <vt:lpwstr/>
      </vt:variant>
      <vt:variant>
        <vt:lpwstr>_Toc431493905</vt:lpwstr>
      </vt:variant>
      <vt:variant>
        <vt:i4>1245237</vt:i4>
      </vt:variant>
      <vt:variant>
        <vt:i4>1049</vt:i4>
      </vt:variant>
      <vt:variant>
        <vt:i4>0</vt:i4>
      </vt:variant>
      <vt:variant>
        <vt:i4>5</vt:i4>
      </vt:variant>
      <vt:variant>
        <vt:lpwstr/>
      </vt:variant>
      <vt:variant>
        <vt:lpwstr>_Toc431493904</vt:lpwstr>
      </vt:variant>
      <vt:variant>
        <vt:i4>1245237</vt:i4>
      </vt:variant>
      <vt:variant>
        <vt:i4>1043</vt:i4>
      </vt:variant>
      <vt:variant>
        <vt:i4>0</vt:i4>
      </vt:variant>
      <vt:variant>
        <vt:i4>5</vt:i4>
      </vt:variant>
      <vt:variant>
        <vt:lpwstr/>
      </vt:variant>
      <vt:variant>
        <vt:lpwstr>_Toc431493903</vt:lpwstr>
      </vt:variant>
      <vt:variant>
        <vt:i4>1245237</vt:i4>
      </vt:variant>
      <vt:variant>
        <vt:i4>1037</vt:i4>
      </vt:variant>
      <vt:variant>
        <vt:i4>0</vt:i4>
      </vt:variant>
      <vt:variant>
        <vt:i4>5</vt:i4>
      </vt:variant>
      <vt:variant>
        <vt:lpwstr/>
      </vt:variant>
      <vt:variant>
        <vt:lpwstr>_Toc431493902</vt:lpwstr>
      </vt:variant>
      <vt:variant>
        <vt:i4>1245237</vt:i4>
      </vt:variant>
      <vt:variant>
        <vt:i4>1031</vt:i4>
      </vt:variant>
      <vt:variant>
        <vt:i4>0</vt:i4>
      </vt:variant>
      <vt:variant>
        <vt:i4>5</vt:i4>
      </vt:variant>
      <vt:variant>
        <vt:lpwstr/>
      </vt:variant>
      <vt:variant>
        <vt:lpwstr>_Toc431493901</vt:lpwstr>
      </vt:variant>
      <vt:variant>
        <vt:i4>1245237</vt:i4>
      </vt:variant>
      <vt:variant>
        <vt:i4>1025</vt:i4>
      </vt:variant>
      <vt:variant>
        <vt:i4>0</vt:i4>
      </vt:variant>
      <vt:variant>
        <vt:i4>5</vt:i4>
      </vt:variant>
      <vt:variant>
        <vt:lpwstr/>
      </vt:variant>
      <vt:variant>
        <vt:lpwstr>_Toc431493900</vt:lpwstr>
      </vt:variant>
      <vt:variant>
        <vt:i4>1703988</vt:i4>
      </vt:variant>
      <vt:variant>
        <vt:i4>1019</vt:i4>
      </vt:variant>
      <vt:variant>
        <vt:i4>0</vt:i4>
      </vt:variant>
      <vt:variant>
        <vt:i4>5</vt:i4>
      </vt:variant>
      <vt:variant>
        <vt:lpwstr/>
      </vt:variant>
      <vt:variant>
        <vt:lpwstr>_Toc431493899</vt:lpwstr>
      </vt:variant>
      <vt:variant>
        <vt:i4>1703988</vt:i4>
      </vt:variant>
      <vt:variant>
        <vt:i4>1013</vt:i4>
      </vt:variant>
      <vt:variant>
        <vt:i4>0</vt:i4>
      </vt:variant>
      <vt:variant>
        <vt:i4>5</vt:i4>
      </vt:variant>
      <vt:variant>
        <vt:lpwstr/>
      </vt:variant>
      <vt:variant>
        <vt:lpwstr>_Toc431493898</vt:lpwstr>
      </vt:variant>
      <vt:variant>
        <vt:i4>1703988</vt:i4>
      </vt:variant>
      <vt:variant>
        <vt:i4>1007</vt:i4>
      </vt:variant>
      <vt:variant>
        <vt:i4>0</vt:i4>
      </vt:variant>
      <vt:variant>
        <vt:i4>5</vt:i4>
      </vt:variant>
      <vt:variant>
        <vt:lpwstr/>
      </vt:variant>
      <vt:variant>
        <vt:lpwstr>_Toc431493897</vt:lpwstr>
      </vt:variant>
      <vt:variant>
        <vt:i4>1703988</vt:i4>
      </vt:variant>
      <vt:variant>
        <vt:i4>1001</vt:i4>
      </vt:variant>
      <vt:variant>
        <vt:i4>0</vt:i4>
      </vt:variant>
      <vt:variant>
        <vt:i4>5</vt:i4>
      </vt:variant>
      <vt:variant>
        <vt:lpwstr/>
      </vt:variant>
      <vt:variant>
        <vt:lpwstr>_Toc431493896</vt:lpwstr>
      </vt:variant>
      <vt:variant>
        <vt:i4>1703988</vt:i4>
      </vt:variant>
      <vt:variant>
        <vt:i4>995</vt:i4>
      </vt:variant>
      <vt:variant>
        <vt:i4>0</vt:i4>
      </vt:variant>
      <vt:variant>
        <vt:i4>5</vt:i4>
      </vt:variant>
      <vt:variant>
        <vt:lpwstr/>
      </vt:variant>
      <vt:variant>
        <vt:lpwstr>_Toc431493895</vt:lpwstr>
      </vt:variant>
      <vt:variant>
        <vt:i4>1703988</vt:i4>
      </vt:variant>
      <vt:variant>
        <vt:i4>989</vt:i4>
      </vt:variant>
      <vt:variant>
        <vt:i4>0</vt:i4>
      </vt:variant>
      <vt:variant>
        <vt:i4>5</vt:i4>
      </vt:variant>
      <vt:variant>
        <vt:lpwstr/>
      </vt:variant>
      <vt:variant>
        <vt:lpwstr>_Toc431493894</vt:lpwstr>
      </vt:variant>
      <vt:variant>
        <vt:i4>1703988</vt:i4>
      </vt:variant>
      <vt:variant>
        <vt:i4>983</vt:i4>
      </vt:variant>
      <vt:variant>
        <vt:i4>0</vt:i4>
      </vt:variant>
      <vt:variant>
        <vt:i4>5</vt:i4>
      </vt:variant>
      <vt:variant>
        <vt:lpwstr/>
      </vt:variant>
      <vt:variant>
        <vt:lpwstr>_Toc431493893</vt:lpwstr>
      </vt:variant>
      <vt:variant>
        <vt:i4>1703988</vt:i4>
      </vt:variant>
      <vt:variant>
        <vt:i4>977</vt:i4>
      </vt:variant>
      <vt:variant>
        <vt:i4>0</vt:i4>
      </vt:variant>
      <vt:variant>
        <vt:i4>5</vt:i4>
      </vt:variant>
      <vt:variant>
        <vt:lpwstr/>
      </vt:variant>
      <vt:variant>
        <vt:lpwstr>_Toc431493892</vt:lpwstr>
      </vt:variant>
      <vt:variant>
        <vt:i4>1703988</vt:i4>
      </vt:variant>
      <vt:variant>
        <vt:i4>971</vt:i4>
      </vt:variant>
      <vt:variant>
        <vt:i4>0</vt:i4>
      </vt:variant>
      <vt:variant>
        <vt:i4>5</vt:i4>
      </vt:variant>
      <vt:variant>
        <vt:lpwstr/>
      </vt:variant>
      <vt:variant>
        <vt:lpwstr>_Toc431493891</vt:lpwstr>
      </vt:variant>
      <vt:variant>
        <vt:i4>1703988</vt:i4>
      </vt:variant>
      <vt:variant>
        <vt:i4>965</vt:i4>
      </vt:variant>
      <vt:variant>
        <vt:i4>0</vt:i4>
      </vt:variant>
      <vt:variant>
        <vt:i4>5</vt:i4>
      </vt:variant>
      <vt:variant>
        <vt:lpwstr/>
      </vt:variant>
      <vt:variant>
        <vt:lpwstr>_Toc431493890</vt:lpwstr>
      </vt:variant>
      <vt:variant>
        <vt:i4>1769524</vt:i4>
      </vt:variant>
      <vt:variant>
        <vt:i4>959</vt:i4>
      </vt:variant>
      <vt:variant>
        <vt:i4>0</vt:i4>
      </vt:variant>
      <vt:variant>
        <vt:i4>5</vt:i4>
      </vt:variant>
      <vt:variant>
        <vt:lpwstr/>
      </vt:variant>
      <vt:variant>
        <vt:lpwstr>_Toc431493889</vt:lpwstr>
      </vt:variant>
      <vt:variant>
        <vt:i4>1769524</vt:i4>
      </vt:variant>
      <vt:variant>
        <vt:i4>953</vt:i4>
      </vt:variant>
      <vt:variant>
        <vt:i4>0</vt:i4>
      </vt:variant>
      <vt:variant>
        <vt:i4>5</vt:i4>
      </vt:variant>
      <vt:variant>
        <vt:lpwstr/>
      </vt:variant>
      <vt:variant>
        <vt:lpwstr>_Toc431493888</vt:lpwstr>
      </vt:variant>
      <vt:variant>
        <vt:i4>1769524</vt:i4>
      </vt:variant>
      <vt:variant>
        <vt:i4>947</vt:i4>
      </vt:variant>
      <vt:variant>
        <vt:i4>0</vt:i4>
      </vt:variant>
      <vt:variant>
        <vt:i4>5</vt:i4>
      </vt:variant>
      <vt:variant>
        <vt:lpwstr/>
      </vt:variant>
      <vt:variant>
        <vt:lpwstr>_Toc431493887</vt:lpwstr>
      </vt:variant>
      <vt:variant>
        <vt:i4>1769524</vt:i4>
      </vt:variant>
      <vt:variant>
        <vt:i4>941</vt:i4>
      </vt:variant>
      <vt:variant>
        <vt:i4>0</vt:i4>
      </vt:variant>
      <vt:variant>
        <vt:i4>5</vt:i4>
      </vt:variant>
      <vt:variant>
        <vt:lpwstr/>
      </vt:variant>
      <vt:variant>
        <vt:lpwstr>_Toc431493886</vt:lpwstr>
      </vt:variant>
      <vt:variant>
        <vt:i4>1769524</vt:i4>
      </vt:variant>
      <vt:variant>
        <vt:i4>935</vt:i4>
      </vt:variant>
      <vt:variant>
        <vt:i4>0</vt:i4>
      </vt:variant>
      <vt:variant>
        <vt:i4>5</vt:i4>
      </vt:variant>
      <vt:variant>
        <vt:lpwstr/>
      </vt:variant>
      <vt:variant>
        <vt:lpwstr>_Toc431493885</vt:lpwstr>
      </vt:variant>
      <vt:variant>
        <vt:i4>1769524</vt:i4>
      </vt:variant>
      <vt:variant>
        <vt:i4>929</vt:i4>
      </vt:variant>
      <vt:variant>
        <vt:i4>0</vt:i4>
      </vt:variant>
      <vt:variant>
        <vt:i4>5</vt:i4>
      </vt:variant>
      <vt:variant>
        <vt:lpwstr/>
      </vt:variant>
      <vt:variant>
        <vt:lpwstr>_Toc431493884</vt:lpwstr>
      </vt:variant>
      <vt:variant>
        <vt:i4>1769524</vt:i4>
      </vt:variant>
      <vt:variant>
        <vt:i4>923</vt:i4>
      </vt:variant>
      <vt:variant>
        <vt:i4>0</vt:i4>
      </vt:variant>
      <vt:variant>
        <vt:i4>5</vt:i4>
      </vt:variant>
      <vt:variant>
        <vt:lpwstr/>
      </vt:variant>
      <vt:variant>
        <vt:lpwstr>_Toc431493883</vt:lpwstr>
      </vt:variant>
      <vt:variant>
        <vt:i4>1769524</vt:i4>
      </vt:variant>
      <vt:variant>
        <vt:i4>917</vt:i4>
      </vt:variant>
      <vt:variant>
        <vt:i4>0</vt:i4>
      </vt:variant>
      <vt:variant>
        <vt:i4>5</vt:i4>
      </vt:variant>
      <vt:variant>
        <vt:lpwstr/>
      </vt:variant>
      <vt:variant>
        <vt:lpwstr>_Toc431493882</vt:lpwstr>
      </vt:variant>
      <vt:variant>
        <vt:i4>1769524</vt:i4>
      </vt:variant>
      <vt:variant>
        <vt:i4>911</vt:i4>
      </vt:variant>
      <vt:variant>
        <vt:i4>0</vt:i4>
      </vt:variant>
      <vt:variant>
        <vt:i4>5</vt:i4>
      </vt:variant>
      <vt:variant>
        <vt:lpwstr/>
      </vt:variant>
      <vt:variant>
        <vt:lpwstr>_Toc431493881</vt:lpwstr>
      </vt:variant>
      <vt:variant>
        <vt:i4>1769524</vt:i4>
      </vt:variant>
      <vt:variant>
        <vt:i4>905</vt:i4>
      </vt:variant>
      <vt:variant>
        <vt:i4>0</vt:i4>
      </vt:variant>
      <vt:variant>
        <vt:i4>5</vt:i4>
      </vt:variant>
      <vt:variant>
        <vt:lpwstr/>
      </vt:variant>
      <vt:variant>
        <vt:lpwstr>_Toc431493880</vt:lpwstr>
      </vt:variant>
      <vt:variant>
        <vt:i4>1310772</vt:i4>
      </vt:variant>
      <vt:variant>
        <vt:i4>899</vt:i4>
      </vt:variant>
      <vt:variant>
        <vt:i4>0</vt:i4>
      </vt:variant>
      <vt:variant>
        <vt:i4>5</vt:i4>
      </vt:variant>
      <vt:variant>
        <vt:lpwstr/>
      </vt:variant>
      <vt:variant>
        <vt:lpwstr>_Toc431493879</vt:lpwstr>
      </vt:variant>
      <vt:variant>
        <vt:i4>1310772</vt:i4>
      </vt:variant>
      <vt:variant>
        <vt:i4>893</vt:i4>
      </vt:variant>
      <vt:variant>
        <vt:i4>0</vt:i4>
      </vt:variant>
      <vt:variant>
        <vt:i4>5</vt:i4>
      </vt:variant>
      <vt:variant>
        <vt:lpwstr/>
      </vt:variant>
      <vt:variant>
        <vt:lpwstr>_Toc431493878</vt:lpwstr>
      </vt:variant>
      <vt:variant>
        <vt:i4>1310772</vt:i4>
      </vt:variant>
      <vt:variant>
        <vt:i4>887</vt:i4>
      </vt:variant>
      <vt:variant>
        <vt:i4>0</vt:i4>
      </vt:variant>
      <vt:variant>
        <vt:i4>5</vt:i4>
      </vt:variant>
      <vt:variant>
        <vt:lpwstr/>
      </vt:variant>
      <vt:variant>
        <vt:lpwstr>_Toc431493877</vt:lpwstr>
      </vt:variant>
      <vt:variant>
        <vt:i4>1310772</vt:i4>
      </vt:variant>
      <vt:variant>
        <vt:i4>881</vt:i4>
      </vt:variant>
      <vt:variant>
        <vt:i4>0</vt:i4>
      </vt:variant>
      <vt:variant>
        <vt:i4>5</vt:i4>
      </vt:variant>
      <vt:variant>
        <vt:lpwstr/>
      </vt:variant>
      <vt:variant>
        <vt:lpwstr>_Toc431493876</vt:lpwstr>
      </vt:variant>
      <vt:variant>
        <vt:i4>1310772</vt:i4>
      </vt:variant>
      <vt:variant>
        <vt:i4>875</vt:i4>
      </vt:variant>
      <vt:variant>
        <vt:i4>0</vt:i4>
      </vt:variant>
      <vt:variant>
        <vt:i4>5</vt:i4>
      </vt:variant>
      <vt:variant>
        <vt:lpwstr/>
      </vt:variant>
      <vt:variant>
        <vt:lpwstr>_Toc431493875</vt:lpwstr>
      </vt:variant>
      <vt:variant>
        <vt:i4>1310772</vt:i4>
      </vt:variant>
      <vt:variant>
        <vt:i4>869</vt:i4>
      </vt:variant>
      <vt:variant>
        <vt:i4>0</vt:i4>
      </vt:variant>
      <vt:variant>
        <vt:i4>5</vt:i4>
      </vt:variant>
      <vt:variant>
        <vt:lpwstr/>
      </vt:variant>
      <vt:variant>
        <vt:lpwstr>_Toc431493874</vt:lpwstr>
      </vt:variant>
      <vt:variant>
        <vt:i4>1310772</vt:i4>
      </vt:variant>
      <vt:variant>
        <vt:i4>863</vt:i4>
      </vt:variant>
      <vt:variant>
        <vt:i4>0</vt:i4>
      </vt:variant>
      <vt:variant>
        <vt:i4>5</vt:i4>
      </vt:variant>
      <vt:variant>
        <vt:lpwstr/>
      </vt:variant>
      <vt:variant>
        <vt:lpwstr>_Toc431493873</vt:lpwstr>
      </vt:variant>
      <vt:variant>
        <vt:i4>1310772</vt:i4>
      </vt:variant>
      <vt:variant>
        <vt:i4>857</vt:i4>
      </vt:variant>
      <vt:variant>
        <vt:i4>0</vt:i4>
      </vt:variant>
      <vt:variant>
        <vt:i4>5</vt:i4>
      </vt:variant>
      <vt:variant>
        <vt:lpwstr/>
      </vt:variant>
      <vt:variant>
        <vt:lpwstr>_Toc431493872</vt:lpwstr>
      </vt:variant>
      <vt:variant>
        <vt:i4>1310772</vt:i4>
      </vt:variant>
      <vt:variant>
        <vt:i4>851</vt:i4>
      </vt:variant>
      <vt:variant>
        <vt:i4>0</vt:i4>
      </vt:variant>
      <vt:variant>
        <vt:i4>5</vt:i4>
      </vt:variant>
      <vt:variant>
        <vt:lpwstr/>
      </vt:variant>
      <vt:variant>
        <vt:lpwstr>_Toc431493871</vt:lpwstr>
      </vt:variant>
      <vt:variant>
        <vt:i4>1310772</vt:i4>
      </vt:variant>
      <vt:variant>
        <vt:i4>845</vt:i4>
      </vt:variant>
      <vt:variant>
        <vt:i4>0</vt:i4>
      </vt:variant>
      <vt:variant>
        <vt:i4>5</vt:i4>
      </vt:variant>
      <vt:variant>
        <vt:lpwstr/>
      </vt:variant>
      <vt:variant>
        <vt:lpwstr>_Toc431493870</vt:lpwstr>
      </vt:variant>
      <vt:variant>
        <vt:i4>1376308</vt:i4>
      </vt:variant>
      <vt:variant>
        <vt:i4>839</vt:i4>
      </vt:variant>
      <vt:variant>
        <vt:i4>0</vt:i4>
      </vt:variant>
      <vt:variant>
        <vt:i4>5</vt:i4>
      </vt:variant>
      <vt:variant>
        <vt:lpwstr/>
      </vt:variant>
      <vt:variant>
        <vt:lpwstr>_Toc431493869</vt:lpwstr>
      </vt:variant>
      <vt:variant>
        <vt:i4>1376308</vt:i4>
      </vt:variant>
      <vt:variant>
        <vt:i4>833</vt:i4>
      </vt:variant>
      <vt:variant>
        <vt:i4>0</vt:i4>
      </vt:variant>
      <vt:variant>
        <vt:i4>5</vt:i4>
      </vt:variant>
      <vt:variant>
        <vt:lpwstr/>
      </vt:variant>
      <vt:variant>
        <vt:lpwstr>_Toc431493868</vt:lpwstr>
      </vt:variant>
      <vt:variant>
        <vt:i4>1376308</vt:i4>
      </vt:variant>
      <vt:variant>
        <vt:i4>827</vt:i4>
      </vt:variant>
      <vt:variant>
        <vt:i4>0</vt:i4>
      </vt:variant>
      <vt:variant>
        <vt:i4>5</vt:i4>
      </vt:variant>
      <vt:variant>
        <vt:lpwstr/>
      </vt:variant>
      <vt:variant>
        <vt:lpwstr>_Toc431493867</vt:lpwstr>
      </vt:variant>
      <vt:variant>
        <vt:i4>1376308</vt:i4>
      </vt:variant>
      <vt:variant>
        <vt:i4>821</vt:i4>
      </vt:variant>
      <vt:variant>
        <vt:i4>0</vt:i4>
      </vt:variant>
      <vt:variant>
        <vt:i4>5</vt:i4>
      </vt:variant>
      <vt:variant>
        <vt:lpwstr/>
      </vt:variant>
      <vt:variant>
        <vt:lpwstr>_Toc431493866</vt:lpwstr>
      </vt:variant>
      <vt:variant>
        <vt:i4>1376308</vt:i4>
      </vt:variant>
      <vt:variant>
        <vt:i4>815</vt:i4>
      </vt:variant>
      <vt:variant>
        <vt:i4>0</vt:i4>
      </vt:variant>
      <vt:variant>
        <vt:i4>5</vt:i4>
      </vt:variant>
      <vt:variant>
        <vt:lpwstr/>
      </vt:variant>
      <vt:variant>
        <vt:lpwstr>_Toc431493865</vt:lpwstr>
      </vt:variant>
      <vt:variant>
        <vt:i4>1376308</vt:i4>
      </vt:variant>
      <vt:variant>
        <vt:i4>809</vt:i4>
      </vt:variant>
      <vt:variant>
        <vt:i4>0</vt:i4>
      </vt:variant>
      <vt:variant>
        <vt:i4>5</vt:i4>
      </vt:variant>
      <vt:variant>
        <vt:lpwstr/>
      </vt:variant>
      <vt:variant>
        <vt:lpwstr>_Toc431493864</vt:lpwstr>
      </vt:variant>
      <vt:variant>
        <vt:i4>1376308</vt:i4>
      </vt:variant>
      <vt:variant>
        <vt:i4>803</vt:i4>
      </vt:variant>
      <vt:variant>
        <vt:i4>0</vt:i4>
      </vt:variant>
      <vt:variant>
        <vt:i4>5</vt:i4>
      </vt:variant>
      <vt:variant>
        <vt:lpwstr/>
      </vt:variant>
      <vt:variant>
        <vt:lpwstr>_Toc431493863</vt:lpwstr>
      </vt:variant>
      <vt:variant>
        <vt:i4>1376308</vt:i4>
      </vt:variant>
      <vt:variant>
        <vt:i4>797</vt:i4>
      </vt:variant>
      <vt:variant>
        <vt:i4>0</vt:i4>
      </vt:variant>
      <vt:variant>
        <vt:i4>5</vt:i4>
      </vt:variant>
      <vt:variant>
        <vt:lpwstr/>
      </vt:variant>
      <vt:variant>
        <vt:lpwstr>_Toc431493862</vt:lpwstr>
      </vt:variant>
      <vt:variant>
        <vt:i4>1376308</vt:i4>
      </vt:variant>
      <vt:variant>
        <vt:i4>791</vt:i4>
      </vt:variant>
      <vt:variant>
        <vt:i4>0</vt:i4>
      </vt:variant>
      <vt:variant>
        <vt:i4>5</vt:i4>
      </vt:variant>
      <vt:variant>
        <vt:lpwstr/>
      </vt:variant>
      <vt:variant>
        <vt:lpwstr>_Toc431493861</vt:lpwstr>
      </vt:variant>
      <vt:variant>
        <vt:i4>1376308</vt:i4>
      </vt:variant>
      <vt:variant>
        <vt:i4>785</vt:i4>
      </vt:variant>
      <vt:variant>
        <vt:i4>0</vt:i4>
      </vt:variant>
      <vt:variant>
        <vt:i4>5</vt:i4>
      </vt:variant>
      <vt:variant>
        <vt:lpwstr/>
      </vt:variant>
      <vt:variant>
        <vt:lpwstr>_Toc431493860</vt:lpwstr>
      </vt:variant>
      <vt:variant>
        <vt:i4>1441844</vt:i4>
      </vt:variant>
      <vt:variant>
        <vt:i4>779</vt:i4>
      </vt:variant>
      <vt:variant>
        <vt:i4>0</vt:i4>
      </vt:variant>
      <vt:variant>
        <vt:i4>5</vt:i4>
      </vt:variant>
      <vt:variant>
        <vt:lpwstr/>
      </vt:variant>
      <vt:variant>
        <vt:lpwstr>_Toc431493859</vt:lpwstr>
      </vt:variant>
      <vt:variant>
        <vt:i4>1441844</vt:i4>
      </vt:variant>
      <vt:variant>
        <vt:i4>773</vt:i4>
      </vt:variant>
      <vt:variant>
        <vt:i4>0</vt:i4>
      </vt:variant>
      <vt:variant>
        <vt:i4>5</vt:i4>
      </vt:variant>
      <vt:variant>
        <vt:lpwstr/>
      </vt:variant>
      <vt:variant>
        <vt:lpwstr>_Toc431493858</vt:lpwstr>
      </vt:variant>
      <vt:variant>
        <vt:i4>1441844</vt:i4>
      </vt:variant>
      <vt:variant>
        <vt:i4>767</vt:i4>
      </vt:variant>
      <vt:variant>
        <vt:i4>0</vt:i4>
      </vt:variant>
      <vt:variant>
        <vt:i4>5</vt:i4>
      </vt:variant>
      <vt:variant>
        <vt:lpwstr/>
      </vt:variant>
      <vt:variant>
        <vt:lpwstr>_Toc431493857</vt:lpwstr>
      </vt:variant>
      <vt:variant>
        <vt:i4>1441844</vt:i4>
      </vt:variant>
      <vt:variant>
        <vt:i4>761</vt:i4>
      </vt:variant>
      <vt:variant>
        <vt:i4>0</vt:i4>
      </vt:variant>
      <vt:variant>
        <vt:i4>5</vt:i4>
      </vt:variant>
      <vt:variant>
        <vt:lpwstr/>
      </vt:variant>
      <vt:variant>
        <vt:lpwstr>_Toc431493856</vt:lpwstr>
      </vt:variant>
      <vt:variant>
        <vt:i4>1441844</vt:i4>
      </vt:variant>
      <vt:variant>
        <vt:i4>755</vt:i4>
      </vt:variant>
      <vt:variant>
        <vt:i4>0</vt:i4>
      </vt:variant>
      <vt:variant>
        <vt:i4>5</vt:i4>
      </vt:variant>
      <vt:variant>
        <vt:lpwstr/>
      </vt:variant>
      <vt:variant>
        <vt:lpwstr>_Toc431493855</vt:lpwstr>
      </vt:variant>
      <vt:variant>
        <vt:i4>1441844</vt:i4>
      </vt:variant>
      <vt:variant>
        <vt:i4>749</vt:i4>
      </vt:variant>
      <vt:variant>
        <vt:i4>0</vt:i4>
      </vt:variant>
      <vt:variant>
        <vt:i4>5</vt:i4>
      </vt:variant>
      <vt:variant>
        <vt:lpwstr/>
      </vt:variant>
      <vt:variant>
        <vt:lpwstr>_Toc431493854</vt:lpwstr>
      </vt:variant>
      <vt:variant>
        <vt:i4>1441844</vt:i4>
      </vt:variant>
      <vt:variant>
        <vt:i4>743</vt:i4>
      </vt:variant>
      <vt:variant>
        <vt:i4>0</vt:i4>
      </vt:variant>
      <vt:variant>
        <vt:i4>5</vt:i4>
      </vt:variant>
      <vt:variant>
        <vt:lpwstr/>
      </vt:variant>
      <vt:variant>
        <vt:lpwstr>_Toc431493853</vt:lpwstr>
      </vt:variant>
      <vt:variant>
        <vt:i4>1441844</vt:i4>
      </vt:variant>
      <vt:variant>
        <vt:i4>737</vt:i4>
      </vt:variant>
      <vt:variant>
        <vt:i4>0</vt:i4>
      </vt:variant>
      <vt:variant>
        <vt:i4>5</vt:i4>
      </vt:variant>
      <vt:variant>
        <vt:lpwstr/>
      </vt:variant>
      <vt:variant>
        <vt:lpwstr>_Toc431493852</vt:lpwstr>
      </vt:variant>
      <vt:variant>
        <vt:i4>1441844</vt:i4>
      </vt:variant>
      <vt:variant>
        <vt:i4>731</vt:i4>
      </vt:variant>
      <vt:variant>
        <vt:i4>0</vt:i4>
      </vt:variant>
      <vt:variant>
        <vt:i4>5</vt:i4>
      </vt:variant>
      <vt:variant>
        <vt:lpwstr/>
      </vt:variant>
      <vt:variant>
        <vt:lpwstr>_Toc431493851</vt:lpwstr>
      </vt:variant>
      <vt:variant>
        <vt:i4>1441844</vt:i4>
      </vt:variant>
      <vt:variant>
        <vt:i4>725</vt:i4>
      </vt:variant>
      <vt:variant>
        <vt:i4>0</vt:i4>
      </vt:variant>
      <vt:variant>
        <vt:i4>5</vt:i4>
      </vt:variant>
      <vt:variant>
        <vt:lpwstr/>
      </vt:variant>
      <vt:variant>
        <vt:lpwstr>_Toc431493850</vt:lpwstr>
      </vt:variant>
      <vt:variant>
        <vt:i4>1507380</vt:i4>
      </vt:variant>
      <vt:variant>
        <vt:i4>719</vt:i4>
      </vt:variant>
      <vt:variant>
        <vt:i4>0</vt:i4>
      </vt:variant>
      <vt:variant>
        <vt:i4>5</vt:i4>
      </vt:variant>
      <vt:variant>
        <vt:lpwstr/>
      </vt:variant>
      <vt:variant>
        <vt:lpwstr>_Toc431493849</vt:lpwstr>
      </vt:variant>
      <vt:variant>
        <vt:i4>1507380</vt:i4>
      </vt:variant>
      <vt:variant>
        <vt:i4>713</vt:i4>
      </vt:variant>
      <vt:variant>
        <vt:i4>0</vt:i4>
      </vt:variant>
      <vt:variant>
        <vt:i4>5</vt:i4>
      </vt:variant>
      <vt:variant>
        <vt:lpwstr/>
      </vt:variant>
      <vt:variant>
        <vt:lpwstr>_Toc431493848</vt:lpwstr>
      </vt:variant>
      <vt:variant>
        <vt:i4>1507380</vt:i4>
      </vt:variant>
      <vt:variant>
        <vt:i4>707</vt:i4>
      </vt:variant>
      <vt:variant>
        <vt:i4>0</vt:i4>
      </vt:variant>
      <vt:variant>
        <vt:i4>5</vt:i4>
      </vt:variant>
      <vt:variant>
        <vt:lpwstr/>
      </vt:variant>
      <vt:variant>
        <vt:lpwstr>_Toc431493847</vt:lpwstr>
      </vt:variant>
      <vt:variant>
        <vt:i4>1507380</vt:i4>
      </vt:variant>
      <vt:variant>
        <vt:i4>701</vt:i4>
      </vt:variant>
      <vt:variant>
        <vt:i4>0</vt:i4>
      </vt:variant>
      <vt:variant>
        <vt:i4>5</vt:i4>
      </vt:variant>
      <vt:variant>
        <vt:lpwstr/>
      </vt:variant>
      <vt:variant>
        <vt:lpwstr>_Toc431493846</vt:lpwstr>
      </vt:variant>
      <vt:variant>
        <vt:i4>1507380</vt:i4>
      </vt:variant>
      <vt:variant>
        <vt:i4>695</vt:i4>
      </vt:variant>
      <vt:variant>
        <vt:i4>0</vt:i4>
      </vt:variant>
      <vt:variant>
        <vt:i4>5</vt:i4>
      </vt:variant>
      <vt:variant>
        <vt:lpwstr/>
      </vt:variant>
      <vt:variant>
        <vt:lpwstr>_Toc431493845</vt:lpwstr>
      </vt:variant>
      <vt:variant>
        <vt:i4>1507380</vt:i4>
      </vt:variant>
      <vt:variant>
        <vt:i4>689</vt:i4>
      </vt:variant>
      <vt:variant>
        <vt:i4>0</vt:i4>
      </vt:variant>
      <vt:variant>
        <vt:i4>5</vt:i4>
      </vt:variant>
      <vt:variant>
        <vt:lpwstr/>
      </vt:variant>
      <vt:variant>
        <vt:lpwstr>_Toc431493844</vt:lpwstr>
      </vt:variant>
      <vt:variant>
        <vt:i4>1507380</vt:i4>
      </vt:variant>
      <vt:variant>
        <vt:i4>683</vt:i4>
      </vt:variant>
      <vt:variant>
        <vt:i4>0</vt:i4>
      </vt:variant>
      <vt:variant>
        <vt:i4>5</vt:i4>
      </vt:variant>
      <vt:variant>
        <vt:lpwstr/>
      </vt:variant>
      <vt:variant>
        <vt:lpwstr>_Toc431493843</vt:lpwstr>
      </vt:variant>
      <vt:variant>
        <vt:i4>1507380</vt:i4>
      </vt:variant>
      <vt:variant>
        <vt:i4>677</vt:i4>
      </vt:variant>
      <vt:variant>
        <vt:i4>0</vt:i4>
      </vt:variant>
      <vt:variant>
        <vt:i4>5</vt:i4>
      </vt:variant>
      <vt:variant>
        <vt:lpwstr/>
      </vt:variant>
      <vt:variant>
        <vt:lpwstr>_Toc431493842</vt:lpwstr>
      </vt:variant>
      <vt:variant>
        <vt:i4>1507380</vt:i4>
      </vt:variant>
      <vt:variant>
        <vt:i4>671</vt:i4>
      </vt:variant>
      <vt:variant>
        <vt:i4>0</vt:i4>
      </vt:variant>
      <vt:variant>
        <vt:i4>5</vt:i4>
      </vt:variant>
      <vt:variant>
        <vt:lpwstr/>
      </vt:variant>
      <vt:variant>
        <vt:lpwstr>_Toc431493841</vt:lpwstr>
      </vt:variant>
      <vt:variant>
        <vt:i4>1507380</vt:i4>
      </vt:variant>
      <vt:variant>
        <vt:i4>665</vt:i4>
      </vt:variant>
      <vt:variant>
        <vt:i4>0</vt:i4>
      </vt:variant>
      <vt:variant>
        <vt:i4>5</vt:i4>
      </vt:variant>
      <vt:variant>
        <vt:lpwstr/>
      </vt:variant>
      <vt:variant>
        <vt:lpwstr>_Toc431493840</vt:lpwstr>
      </vt:variant>
      <vt:variant>
        <vt:i4>1048628</vt:i4>
      </vt:variant>
      <vt:variant>
        <vt:i4>659</vt:i4>
      </vt:variant>
      <vt:variant>
        <vt:i4>0</vt:i4>
      </vt:variant>
      <vt:variant>
        <vt:i4>5</vt:i4>
      </vt:variant>
      <vt:variant>
        <vt:lpwstr/>
      </vt:variant>
      <vt:variant>
        <vt:lpwstr>_Toc431493839</vt:lpwstr>
      </vt:variant>
      <vt:variant>
        <vt:i4>1048628</vt:i4>
      </vt:variant>
      <vt:variant>
        <vt:i4>653</vt:i4>
      </vt:variant>
      <vt:variant>
        <vt:i4>0</vt:i4>
      </vt:variant>
      <vt:variant>
        <vt:i4>5</vt:i4>
      </vt:variant>
      <vt:variant>
        <vt:lpwstr/>
      </vt:variant>
      <vt:variant>
        <vt:lpwstr>_Toc431493838</vt:lpwstr>
      </vt:variant>
      <vt:variant>
        <vt:i4>1048628</vt:i4>
      </vt:variant>
      <vt:variant>
        <vt:i4>647</vt:i4>
      </vt:variant>
      <vt:variant>
        <vt:i4>0</vt:i4>
      </vt:variant>
      <vt:variant>
        <vt:i4>5</vt:i4>
      </vt:variant>
      <vt:variant>
        <vt:lpwstr/>
      </vt:variant>
      <vt:variant>
        <vt:lpwstr>_Toc431493837</vt:lpwstr>
      </vt:variant>
      <vt:variant>
        <vt:i4>1048628</vt:i4>
      </vt:variant>
      <vt:variant>
        <vt:i4>641</vt:i4>
      </vt:variant>
      <vt:variant>
        <vt:i4>0</vt:i4>
      </vt:variant>
      <vt:variant>
        <vt:i4>5</vt:i4>
      </vt:variant>
      <vt:variant>
        <vt:lpwstr/>
      </vt:variant>
      <vt:variant>
        <vt:lpwstr>_Toc431493836</vt:lpwstr>
      </vt:variant>
      <vt:variant>
        <vt:i4>1048628</vt:i4>
      </vt:variant>
      <vt:variant>
        <vt:i4>635</vt:i4>
      </vt:variant>
      <vt:variant>
        <vt:i4>0</vt:i4>
      </vt:variant>
      <vt:variant>
        <vt:i4>5</vt:i4>
      </vt:variant>
      <vt:variant>
        <vt:lpwstr/>
      </vt:variant>
      <vt:variant>
        <vt:lpwstr>_Toc431493835</vt:lpwstr>
      </vt:variant>
      <vt:variant>
        <vt:i4>1048628</vt:i4>
      </vt:variant>
      <vt:variant>
        <vt:i4>629</vt:i4>
      </vt:variant>
      <vt:variant>
        <vt:i4>0</vt:i4>
      </vt:variant>
      <vt:variant>
        <vt:i4>5</vt:i4>
      </vt:variant>
      <vt:variant>
        <vt:lpwstr/>
      </vt:variant>
      <vt:variant>
        <vt:lpwstr>_Toc431493834</vt:lpwstr>
      </vt:variant>
      <vt:variant>
        <vt:i4>1048628</vt:i4>
      </vt:variant>
      <vt:variant>
        <vt:i4>623</vt:i4>
      </vt:variant>
      <vt:variant>
        <vt:i4>0</vt:i4>
      </vt:variant>
      <vt:variant>
        <vt:i4>5</vt:i4>
      </vt:variant>
      <vt:variant>
        <vt:lpwstr/>
      </vt:variant>
      <vt:variant>
        <vt:lpwstr>_Toc431493833</vt:lpwstr>
      </vt:variant>
      <vt:variant>
        <vt:i4>1048628</vt:i4>
      </vt:variant>
      <vt:variant>
        <vt:i4>617</vt:i4>
      </vt:variant>
      <vt:variant>
        <vt:i4>0</vt:i4>
      </vt:variant>
      <vt:variant>
        <vt:i4>5</vt:i4>
      </vt:variant>
      <vt:variant>
        <vt:lpwstr/>
      </vt:variant>
      <vt:variant>
        <vt:lpwstr>_Toc431493832</vt:lpwstr>
      </vt:variant>
      <vt:variant>
        <vt:i4>1048628</vt:i4>
      </vt:variant>
      <vt:variant>
        <vt:i4>611</vt:i4>
      </vt:variant>
      <vt:variant>
        <vt:i4>0</vt:i4>
      </vt:variant>
      <vt:variant>
        <vt:i4>5</vt:i4>
      </vt:variant>
      <vt:variant>
        <vt:lpwstr/>
      </vt:variant>
      <vt:variant>
        <vt:lpwstr>_Toc431493831</vt:lpwstr>
      </vt:variant>
      <vt:variant>
        <vt:i4>1048628</vt:i4>
      </vt:variant>
      <vt:variant>
        <vt:i4>605</vt:i4>
      </vt:variant>
      <vt:variant>
        <vt:i4>0</vt:i4>
      </vt:variant>
      <vt:variant>
        <vt:i4>5</vt:i4>
      </vt:variant>
      <vt:variant>
        <vt:lpwstr/>
      </vt:variant>
      <vt:variant>
        <vt:lpwstr>_Toc431493830</vt:lpwstr>
      </vt:variant>
      <vt:variant>
        <vt:i4>1114164</vt:i4>
      </vt:variant>
      <vt:variant>
        <vt:i4>599</vt:i4>
      </vt:variant>
      <vt:variant>
        <vt:i4>0</vt:i4>
      </vt:variant>
      <vt:variant>
        <vt:i4>5</vt:i4>
      </vt:variant>
      <vt:variant>
        <vt:lpwstr/>
      </vt:variant>
      <vt:variant>
        <vt:lpwstr>_Toc431493829</vt:lpwstr>
      </vt:variant>
      <vt:variant>
        <vt:i4>1114164</vt:i4>
      </vt:variant>
      <vt:variant>
        <vt:i4>593</vt:i4>
      </vt:variant>
      <vt:variant>
        <vt:i4>0</vt:i4>
      </vt:variant>
      <vt:variant>
        <vt:i4>5</vt:i4>
      </vt:variant>
      <vt:variant>
        <vt:lpwstr/>
      </vt:variant>
      <vt:variant>
        <vt:lpwstr>_Toc431493828</vt:lpwstr>
      </vt:variant>
      <vt:variant>
        <vt:i4>1114164</vt:i4>
      </vt:variant>
      <vt:variant>
        <vt:i4>587</vt:i4>
      </vt:variant>
      <vt:variant>
        <vt:i4>0</vt:i4>
      </vt:variant>
      <vt:variant>
        <vt:i4>5</vt:i4>
      </vt:variant>
      <vt:variant>
        <vt:lpwstr/>
      </vt:variant>
      <vt:variant>
        <vt:lpwstr>_Toc431493827</vt:lpwstr>
      </vt:variant>
      <vt:variant>
        <vt:i4>1114164</vt:i4>
      </vt:variant>
      <vt:variant>
        <vt:i4>581</vt:i4>
      </vt:variant>
      <vt:variant>
        <vt:i4>0</vt:i4>
      </vt:variant>
      <vt:variant>
        <vt:i4>5</vt:i4>
      </vt:variant>
      <vt:variant>
        <vt:lpwstr/>
      </vt:variant>
      <vt:variant>
        <vt:lpwstr>_Toc431493826</vt:lpwstr>
      </vt:variant>
      <vt:variant>
        <vt:i4>1114164</vt:i4>
      </vt:variant>
      <vt:variant>
        <vt:i4>575</vt:i4>
      </vt:variant>
      <vt:variant>
        <vt:i4>0</vt:i4>
      </vt:variant>
      <vt:variant>
        <vt:i4>5</vt:i4>
      </vt:variant>
      <vt:variant>
        <vt:lpwstr/>
      </vt:variant>
      <vt:variant>
        <vt:lpwstr>_Toc431493825</vt:lpwstr>
      </vt:variant>
      <vt:variant>
        <vt:i4>1114164</vt:i4>
      </vt:variant>
      <vt:variant>
        <vt:i4>569</vt:i4>
      </vt:variant>
      <vt:variant>
        <vt:i4>0</vt:i4>
      </vt:variant>
      <vt:variant>
        <vt:i4>5</vt:i4>
      </vt:variant>
      <vt:variant>
        <vt:lpwstr/>
      </vt:variant>
      <vt:variant>
        <vt:lpwstr>_Toc431493824</vt:lpwstr>
      </vt:variant>
      <vt:variant>
        <vt:i4>1114164</vt:i4>
      </vt:variant>
      <vt:variant>
        <vt:i4>563</vt:i4>
      </vt:variant>
      <vt:variant>
        <vt:i4>0</vt:i4>
      </vt:variant>
      <vt:variant>
        <vt:i4>5</vt:i4>
      </vt:variant>
      <vt:variant>
        <vt:lpwstr/>
      </vt:variant>
      <vt:variant>
        <vt:lpwstr>_Toc431493823</vt:lpwstr>
      </vt:variant>
      <vt:variant>
        <vt:i4>1114164</vt:i4>
      </vt:variant>
      <vt:variant>
        <vt:i4>557</vt:i4>
      </vt:variant>
      <vt:variant>
        <vt:i4>0</vt:i4>
      </vt:variant>
      <vt:variant>
        <vt:i4>5</vt:i4>
      </vt:variant>
      <vt:variant>
        <vt:lpwstr/>
      </vt:variant>
      <vt:variant>
        <vt:lpwstr>_Toc431493822</vt:lpwstr>
      </vt:variant>
      <vt:variant>
        <vt:i4>1114164</vt:i4>
      </vt:variant>
      <vt:variant>
        <vt:i4>551</vt:i4>
      </vt:variant>
      <vt:variant>
        <vt:i4>0</vt:i4>
      </vt:variant>
      <vt:variant>
        <vt:i4>5</vt:i4>
      </vt:variant>
      <vt:variant>
        <vt:lpwstr/>
      </vt:variant>
      <vt:variant>
        <vt:lpwstr>_Toc431493821</vt:lpwstr>
      </vt:variant>
      <vt:variant>
        <vt:i4>1114164</vt:i4>
      </vt:variant>
      <vt:variant>
        <vt:i4>545</vt:i4>
      </vt:variant>
      <vt:variant>
        <vt:i4>0</vt:i4>
      </vt:variant>
      <vt:variant>
        <vt:i4>5</vt:i4>
      </vt:variant>
      <vt:variant>
        <vt:lpwstr/>
      </vt:variant>
      <vt:variant>
        <vt:lpwstr>_Toc431493820</vt:lpwstr>
      </vt:variant>
      <vt:variant>
        <vt:i4>1179700</vt:i4>
      </vt:variant>
      <vt:variant>
        <vt:i4>539</vt:i4>
      </vt:variant>
      <vt:variant>
        <vt:i4>0</vt:i4>
      </vt:variant>
      <vt:variant>
        <vt:i4>5</vt:i4>
      </vt:variant>
      <vt:variant>
        <vt:lpwstr/>
      </vt:variant>
      <vt:variant>
        <vt:lpwstr>_Toc431493819</vt:lpwstr>
      </vt:variant>
      <vt:variant>
        <vt:i4>1179700</vt:i4>
      </vt:variant>
      <vt:variant>
        <vt:i4>533</vt:i4>
      </vt:variant>
      <vt:variant>
        <vt:i4>0</vt:i4>
      </vt:variant>
      <vt:variant>
        <vt:i4>5</vt:i4>
      </vt:variant>
      <vt:variant>
        <vt:lpwstr/>
      </vt:variant>
      <vt:variant>
        <vt:lpwstr>_Toc431493818</vt:lpwstr>
      </vt:variant>
      <vt:variant>
        <vt:i4>1179700</vt:i4>
      </vt:variant>
      <vt:variant>
        <vt:i4>527</vt:i4>
      </vt:variant>
      <vt:variant>
        <vt:i4>0</vt:i4>
      </vt:variant>
      <vt:variant>
        <vt:i4>5</vt:i4>
      </vt:variant>
      <vt:variant>
        <vt:lpwstr/>
      </vt:variant>
      <vt:variant>
        <vt:lpwstr>_Toc431493817</vt:lpwstr>
      </vt:variant>
      <vt:variant>
        <vt:i4>1179700</vt:i4>
      </vt:variant>
      <vt:variant>
        <vt:i4>521</vt:i4>
      </vt:variant>
      <vt:variant>
        <vt:i4>0</vt:i4>
      </vt:variant>
      <vt:variant>
        <vt:i4>5</vt:i4>
      </vt:variant>
      <vt:variant>
        <vt:lpwstr/>
      </vt:variant>
      <vt:variant>
        <vt:lpwstr>_Toc431493816</vt:lpwstr>
      </vt:variant>
      <vt:variant>
        <vt:i4>1179700</vt:i4>
      </vt:variant>
      <vt:variant>
        <vt:i4>515</vt:i4>
      </vt:variant>
      <vt:variant>
        <vt:i4>0</vt:i4>
      </vt:variant>
      <vt:variant>
        <vt:i4>5</vt:i4>
      </vt:variant>
      <vt:variant>
        <vt:lpwstr/>
      </vt:variant>
      <vt:variant>
        <vt:lpwstr>_Toc431493815</vt:lpwstr>
      </vt:variant>
      <vt:variant>
        <vt:i4>1179700</vt:i4>
      </vt:variant>
      <vt:variant>
        <vt:i4>509</vt:i4>
      </vt:variant>
      <vt:variant>
        <vt:i4>0</vt:i4>
      </vt:variant>
      <vt:variant>
        <vt:i4>5</vt:i4>
      </vt:variant>
      <vt:variant>
        <vt:lpwstr/>
      </vt:variant>
      <vt:variant>
        <vt:lpwstr>_Toc431493814</vt:lpwstr>
      </vt:variant>
      <vt:variant>
        <vt:i4>1179700</vt:i4>
      </vt:variant>
      <vt:variant>
        <vt:i4>503</vt:i4>
      </vt:variant>
      <vt:variant>
        <vt:i4>0</vt:i4>
      </vt:variant>
      <vt:variant>
        <vt:i4>5</vt:i4>
      </vt:variant>
      <vt:variant>
        <vt:lpwstr/>
      </vt:variant>
      <vt:variant>
        <vt:lpwstr>_Toc431493813</vt:lpwstr>
      </vt:variant>
      <vt:variant>
        <vt:i4>1179700</vt:i4>
      </vt:variant>
      <vt:variant>
        <vt:i4>497</vt:i4>
      </vt:variant>
      <vt:variant>
        <vt:i4>0</vt:i4>
      </vt:variant>
      <vt:variant>
        <vt:i4>5</vt:i4>
      </vt:variant>
      <vt:variant>
        <vt:lpwstr/>
      </vt:variant>
      <vt:variant>
        <vt:lpwstr>_Toc431493812</vt:lpwstr>
      </vt:variant>
      <vt:variant>
        <vt:i4>1179700</vt:i4>
      </vt:variant>
      <vt:variant>
        <vt:i4>491</vt:i4>
      </vt:variant>
      <vt:variant>
        <vt:i4>0</vt:i4>
      </vt:variant>
      <vt:variant>
        <vt:i4>5</vt:i4>
      </vt:variant>
      <vt:variant>
        <vt:lpwstr/>
      </vt:variant>
      <vt:variant>
        <vt:lpwstr>_Toc431493811</vt:lpwstr>
      </vt:variant>
      <vt:variant>
        <vt:i4>1179700</vt:i4>
      </vt:variant>
      <vt:variant>
        <vt:i4>485</vt:i4>
      </vt:variant>
      <vt:variant>
        <vt:i4>0</vt:i4>
      </vt:variant>
      <vt:variant>
        <vt:i4>5</vt:i4>
      </vt:variant>
      <vt:variant>
        <vt:lpwstr/>
      </vt:variant>
      <vt:variant>
        <vt:lpwstr>_Toc431493810</vt:lpwstr>
      </vt:variant>
      <vt:variant>
        <vt:i4>1245236</vt:i4>
      </vt:variant>
      <vt:variant>
        <vt:i4>479</vt:i4>
      </vt:variant>
      <vt:variant>
        <vt:i4>0</vt:i4>
      </vt:variant>
      <vt:variant>
        <vt:i4>5</vt:i4>
      </vt:variant>
      <vt:variant>
        <vt:lpwstr/>
      </vt:variant>
      <vt:variant>
        <vt:lpwstr>_Toc431493809</vt:lpwstr>
      </vt:variant>
      <vt:variant>
        <vt:i4>1245236</vt:i4>
      </vt:variant>
      <vt:variant>
        <vt:i4>473</vt:i4>
      </vt:variant>
      <vt:variant>
        <vt:i4>0</vt:i4>
      </vt:variant>
      <vt:variant>
        <vt:i4>5</vt:i4>
      </vt:variant>
      <vt:variant>
        <vt:lpwstr/>
      </vt:variant>
      <vt:variant>
        <vt:lpwstr>_Toc431493808</vt:lpwstr>
      </vt:variant>
      <vt:variant>
        <vt:i4>1245236</vt:i4>
      </vt:variant>
      <vt:variant>
        <vt:i4>467</vt:i4>
      </vt:variant>
      <vt:variant>
        <vt:i4>0</vt:i4>
      </vt:variant>
      <vt:variant>
        <vt:i4>5</vt:i4>
      </vt:variant>
      <vt:variant>
        <vt:lpwstr/>
      </vt:variant>
      <vt:variant>
        <vt:lpwstr>_Toc431493807</vt:lpwstr>
      </vt:variant>
      <vt:variant>
        <vt:i4>1245236</vt:i4>
      </vt:variant>
      <vt:variant>
        <vt:i4>461</vt:i4>
      </vt:variant>
      <vt:variant>
        <vt:i4>0</vt:i4>
      </vt:variant>
      <vt:variant>
        <vt:i4>5</vt:i4>
      </vt:variant>
      <vt:variant>
        <vt:lpwstr/>
      </vt:variant>
      <vt:variant>
        <vt:lpwstr>_Toc431493806</vt:lpwstr>
      </vt:variant>
      <vt:variant>
        <vt:i4>1245236</vt:i4>
      </vt:variant>
      <vt:variant>
        <vt:i4>455</vt:i4>
      </vt:variant>
      <vt:variant>
        <vt:i4>0</vt:i4>
      </vt:variant>
      <vt:variant>
        <vt:i4>5</vt:i4>
      </vt:variant>
      <vt:variant>
        <vt:lpwstr/>
      </vt:variant>
      <vt:variant>
        <vt:lpwstr>_Toc431493805</vt:lpwstr>
      </vt:variant>
      <vt:variant>
        <vt:i4>1245236</vt:i4>
      </vt:variant>
      <vt:variant>
        <vt:i4>449</vt:i4>
      </vt:variant>
      <vt:variant>
        <vt:i4>0</vt:i4>
      </vt:variant>
      <vt:variant>
        <vt:i4>5</vt:i4>
      </vt:variant>
      <vt:variant>
        <vt:lpwstr/>
      </vt:variant>
      <vt:variant>
        <vt:lpwstr>_Toc431493804</vt:lpwstr>
      </vt:variant>
      <vt:variant>
        <vt:i4>1245236</vt:i4>
      </vt:variant>
      <vt:variant>
        <vt:i4>443</vt:i4>
      </vt:variant>
      <vt:variant>
        <vt:i4>0</vt:i4>
      </vt:variant>
      <vt:variant>
        <vt:i4>5</vt:i4>
      </vt:variant>
      <vt:variant>
        <vt:lpwstr/>
      </vt:variant>
      <vt:variant>
        <vt:lpwstr>_Toc431493803</vt:lpwstr>
      </vt:variant>
      <vt:variant>
        <vt:i4>1245236</vt:i4>
      </vt:variant>
      <vt:variant>
        <vt:i4>437</vt:i4>
      </vt:variant>
      <vt:variant>
        <vt:i4>0</vt:i4>
      </vt:variant>
      <vt:variant>
        <vt:i4>5</vt:i4>
      </vt:variant>
      <vt:variant>
        <vt:lpwstr/>
      </vt:variant>
      <vt:variant>
        <vt:lpwstr>_Toc431493802</vt:lpwstr>
      </vt:variant>
      <vt:variant>
        <vt:i4>1245236</vt:i4>
      </vt:variant>
      <vt:variant>
        <vt:i4>431</vt:i4>
      </vt:variant>
      <vt:variant>
        <vt:i4>0</vt:i4>
      </vt:variant>
      <vt:variant>
        <vt:i4>5</vt:i4>
      </vt:variant>
      <vt:variant>
        <vt:lpwstr/>
      </vt:variant>
      <vt:variant>
        <vt:lpwstr>_Toc431493801</vt:lpwstr>
      </vt:variant>
      <vt:variant>
        <vt:i4>1245236</vt:i4>
      </vt:variant>
      <vt:variant>
        <vt:i4>425</vt:i4>
      </vt:variant>
      <vt:variant>
        <vt:i4>0</vt:i4>
      </vt:variant>
      <vt:variant>
        <vt:i4>5</vt:i4>
      </vt:variant>
      <vt:variant>
        <vt:lpwstr/>
      </vt:variant>
      <vt:variant>
        <vt:lpwstr>_Toc431493800</vt:lpwstr>
      </vt:variant>
      <vt:variant>
        <vt:i4>1703995</vt:i4>
      </vt:variant>
      <vt:variant>
        <vt:i4>419</vt:i4>
      </vt:variant>
      <vt:variant>
        <vt:i4>0</vt:i4>
      </vt:variant>
      <vt:variant>
        <vt:i4>5</vt:i4>
      </vt:variant>
      <vt:variant>
        <vt:lpwstr/>
      </vt:variant>
      <vt:variant>
        <vt:lpwstr>_Toc431493799</vt:lpwstr>
      </vt:variant>
      <vt:variant>
        <vt:i4>1703995</vt:i4>
      </vt:variant>
      <vt:variant>
        <vt:i4>413</vt:i4>
      </vt:variant>
      <vt:variant>
        <vt:i4>0</vt:i4>
      </vt:variant>
      <vt:variant>
        <vt:i4>5</vt:i4>
      </vt:variant>
      <vt:variant>
        <vt:lpwstr/>
      </vt:variant>
      <vt:variant>
        <vt:lpwstr>_Toc431493798</vt:lpwstr>
      </vt:variant>
      <vt:variant>
        <vt:i4>1703995</vt:i4>
      </vt:variant>
      <vt:variant>
        <vt:i4>407</vt:i4>
      </vt:variant>
      <vt:variant>
        <vt:i4>0</vt:i4>
      </vt:variant>
      <vt:variant>
        <vt:i4>5</vt:i4>
      </vt:variant>
      <vt:variant>
        <vt:lpwstr/>
      </vt:variant>
      <vt:variant>
        <vt:lpwstr>_Toc431493797</vt:lpwstr>
      </vt:variant>
      <vt:variant>
        <vt:i4>1703995</vt:i4>
      </vt:variant>
      <vt:variant>
        <vt:i4>401</vt:i4>
      </vt:variant>
      <vt:variant>
        <vt:i4>0</vt:i4>
      </vt:variant>
      <vt:variant>
        <vt:i4>5</vt:i4>
      </vt:variant>
      <vt:variant>
        <vt:lpwstr/>
      </vt:variant>
      <vt:variant>
        <vt:lpwstr>_Toc431493796</vt:lpwstr>
      </vt:variant>
      <vt:variant>
        <vt:i4>1703995</vt:i4>
      </vt:variant>
      <vt:variant>
        <vt:i4>395</vt:i4>
      </vt:variant>
      <vt:variant>
        <vt:i4>0</vt:i4>
      </vt:variant>
      <vt:variant>
        <vt:i4>5</vt:i4>
      </vt:variant>
      <vt:variant>
        <vt:lpwstr/>
      </vt:variant>
      <vt:variant>
        <vt:lpwstr>_Toc431493795</vt:lpwstr>
      </vt:variant>
      <vt:variant>
        <vt:i4>1703995</vt:i4>
      </vt:variant>
      <vt:variant>
        <vt:i4>389</vt:i4>
      </vt:variant>
      <vt:variant>
        <vt:i4>0</vt:i4>
      </vt:variant>
      <vt:variant>
        <vt:i4>5</vt:i4>
      </vt:variant>
      <vt:variant>
        <vt:lpwstr/>
      </vt:variant>
      <vt:variant>
        <vt:lpwstr>_Toc431493794</vt:lpwstr>
      </vt:variant>
      <vt:variant>
        <vt:i4>1703995</vt:i4>
      </vt:variant>
      <vt:variant>
        <vt:i4>383</vt:i4>
      </vt:variant>
      <vt:variant>
        <vt:i4>0</vt:i4>
      </vt:variant>
      <vt:variant>
        <vt:i4>5</vt:i4>
      </vt:variant>
      <vt:variant>
        <vt:lpwstr/>
      </vt:variant>
      <vt:variant>
        <vt:lpwstr>_Toc431493793</vt:lpwstr>
      </vt:variant>
      <vt:variant>
        <vt:i4>1703995</vt:i4>
      </vt:variant>
      <vt:variant>
        <vt:i4>374</vt:i4>
      </vt:variant>
      <vt:variant>
        <vt:i4>0</vt:i4>
      </vt:variant>
      <vt:variant>
        <vt:i4>5</vt:i4>
      </vt:variant>
      <vt:variant>
        <vt:lpwstr/>
      </vt:variant>
      <vt:variant>
        <vt:lpwstr>_Toc431493792</vt:lpwstr>
      </vt:variant>
      <vt:variant>
        <vt:i4>1703995</vt:i4>
      </vt:variant>
      <vt:variant>
        <vt:i4>368</vt:i4>
      </vt:variant>
      <vt:variant>
        <vt:i4>0</vt:i4>
      </vt:variant>
      <vt:variant>
        <vt:i4>5</vt:i4>
      </vt:variant>
      <vt:variant>
        <vt:lpwstr/>
      </vt:variant>
      <vt:variant>
        <vt:lpwstr>_Toc431493791</vt:lpwstr>
      </vt:variant>
      <vt:variant>
        <vt:i4>1703995</vt:i4>
      </vt:variant>
      <vt:variant>
        <vt:i4>362</vt:i4>
      </vt:variant>
      <vt:variant>
        <vt:i4>0</vt:i4>
      </vt:variant>
      <vt:variant>
        <vt:i4>5</vt:i4>
      </vt:variant>
      <vt:variant>
        <vt:lpwstr/>
      </vt:variant>
      <vt:variant>
        <vt:lpwstr>_Toc431493790</vt:lpwstr>
      </vt:variant>
      <vt:variant>
        <vt:i4>1769531</vt:i4>
      </vt:variant>
      <vt:variant>
        <vt:i4>356</vt:i4>
      </vt:variant>
      <vt:variant>
        <vt:i4>0</vt:i4>
      </vt:variant>
      <vt:variant>
        <vt:i4>5</vt:i4>
      </vt:variant>
      <vt:variant>
        <vt:lpwstr/>
      </vt:variant>
      <vt:variant>
        <vt:lpwstr>_Toc431493789</vt:lpwstr>
      </vt:variant>
      <vt:variant>
        <vt:i4>1769531</vt:i4>
      </vt:variant>
      <vt:variant>
        <vt:i4>350</vt:i4>
      </vt:variant>
      <vt:variant>
        <vt:i4>0</vt:i4>
      </vt:variant>
      <vt:variant>
        <vt:i4>5</vt:i4>
      </vt:variant>
      <vt:variant>
        <vt:lpwstr/>
      </vt:variant>
      <vt:variant>
        <vt:lpwstr>_Toc431493788</vt:lpwstr>
      </vt:variant>
      <vt:variant>
        <vt:i4>1769531</vt:i4>
      </vt:variant>
      <vt:variant>
        <vt:i4>344</vt:i4>
      </vt:variant>
      <vt:variant>
        <vt:i4>0</vt:i4>
      </vt:variant>
      <vt:variant>
        <vt:i4>5</vt:i4>
      </vt:variant>
      <vt:variant>
        <vt:lpwstr/>
      </vt:variant>
      <vt:variant>
        <vt:lpwstr>_Toc431493787</vt:lpwstr>
      </vt:variant>
      <vt:variant>
        <vt:i4>1769531</vt:i4>
      </vt:variant>
      <vt:variant>
        <vt:i4>338</vt:i4>
      </vt:variant>
      <vt:variant>
        <vt:i4>0</vt:i4>
      </vt:variant>
      <vt:variant>
        <vt:i4>5</vt:i4>
      </vt:variant>
      <vt:variant>
        <vt:lpwstr/>
      </vt:variant>
      <vt:variant>
        <vt:lpwstr>_Toc431493786</vt:lpwstr>
      </vt:variant>
      <vt:variant>
        <vt:i4>1769531</vt:i4>
      </vt:variant>
      <vt:variant>
        <vt:i4>332</vt:i4>
      </vt:variant>
      <vt:variant>
        <vt:i4>0</vt:i4>
      </vt:variant>
      <vt:variant>
        <vt:i4>5</vt:i4>
      </vt:variant>
      <vt:variant>
        <vt:lpwstr/>
      </vt:variant>
      <vt:variant>
        <vt:lpwstr>_Toc431493785</vt:lpwstr>
      </vt:variant>
      <vt:variant>
        <vt:i4>1769531</vt:i4>
      </vt:variant>
      <vt:variant>
        <vt:i4>326</vt:i4>
      </vt:variant>
      <vt:variant>
        <vt:i4>0</vt:i4>
      </vt:variant>
      <vt:variant>
        <vt:i4>5</vt:i4>
      </vt:variant>
      <vt:variant>
        <vt:lpwstr/>
      </vt:variant>
      <vt:variant>
        <vt:lpwstr>_Toc431493784</vt:lpwstr>
      </vt:variant>
      <vt:variant>
        <vt:i4>1769531</vt:i4>
      </vt:variant>
      <vt:variant>
        <vt:i4>320</vt:i4>
      </vt:variant>
      <vt:variant>
        <vt:i4>0</vt:i4>
      </vt:variant>
      <vt:variant>
        <vt:i4>5</vt:i4>
      </vt:variant>
      <vt:variant>
        <vt:lpwstr/>
      </vt:variant>
      <vt:variant>
        <vt:lpwstr>_Toc431493783</vt:lpwstr>
      </vt:variant>
      <vt:variant>
        <vt:i4>1769531</vt:i4>
      </vt:variant>
      <vt:variant>
        <vt:i4>314</vt:i4>
      </vt:variant>
      <vt:variant>
        <vt:i4>0</vt:i4>
      </vt:variant>
      <vt:variant>
        <vt:i4>5</vt:i4>
      </vt:variant>
      <vt:variant>
        <vt:lpwstr/>
      </vt:variant>
      <vt:variant>
        <vt:lpwstr>_Toc431493782</vt:lpwstr>
      </vt:variant>
      <vt:variant>
        <vt:i4>1769531</vt:i4>
      </vt:variant>
      <vt:variant>
        <vt:i4>308</vt:i4>
      </vt:variant>
      <vt:variant>
        <vt:i4>0</vt:i4>
      </vt:variant>
      <vt:variant>
        <vt:i4>5</vt:i4>
      </vt:variant>
      <vt:variant>
        <vt:lpwstr/>
      </vt:variant>
      <vt:variant>
        <vt:lpwstr>_Toc431493781</vt:lpwstr>
      </vt:variant>
      <vt:variant>
        <vt:i4>1769531</vt:i4>
      </vt:variant>
      <vt:variant>
        <vt:i4>302</vt:i4>
      </vt:variant>
      <vt:variant>
        <vt:i4>0</vt:i4>
      </vt:variant>
      <vt:variant>
        <vt:i4>5</vt:i4>
      </vt:variant>
      <vt:variant>
        <vt:lpwstr/>
      </vt:variant>
      <vt:variant>
        <vt:lpwstr>_Toc431493780</vt:lpwstr>
      </vt:variant>
      <vt:variant>
        <vt:i4>1310779</vt:i4>
      </vt:variant>
      <vt:variant>
        <vt:i4>296</vt:i4>
      </vt:variant>
      <vt:variant>
        <vt:i4>0</vt:i4>
      </vt:variant>
      <vt:variant>
        <vt:i4>5</vt:i4>
      </vt:variant>
      <vt:variant>
        <vt:lpwstr/>
      </vt:variant>
      <vt:variant>
        <vt:lpwstr>_Toc431493779</vt:lpwstr>
      </vt:variant>
      <vt:variant>
        <vt:i4>1310779</vt:i4>
      </vt:variant>
      <vt:variant>
        <vt:i4>290</vt:i4>
      </vt:variant>
      <vt:variant>
        <vt:i4>0</vt:i4>
      </vt:variant>
      <vt:variant>
        <vt:i4>5</vt:i4>
      </vt:variant>
      <vt:variant>
        <vt:lpwstr/>
      </vt:variant>
      <vt:variant>
        <vt:lpwstr>_Toc431493778</vt:lpwstr>
      </vt:variant>
      <vt:variant>
        <vt:i4>1310779</vt:i4>
      </vt:variant>
      <vt:variant>
        <vt:i4>284</vt:i4>
      </vt:variant>
      <vt:variant>
        <vt:i4>0</vt:i4>
      </vt:variant>
      <vt:variant>
        <vt:i4>5</vt:i4>
      </vt:variant>
      <vt:variant>
        <vt:lpwstr/>
      </vt:variant>
      <vt:variant>
        <vt:lpwstr>_Toc431493777</vt:lpwstr>
      </vt:variant>
      <vt:variant>
        <vt:i4>1310779</vt:i4>
      </vt:variant>
      <vt:variant>
        <vt:i4>278</vt:i4>
      </vt:variant>
      <vt:variant>
        <vt:i4>0</vt:i4>
      </vt:variant>
      <vt:variant>
        <vt:i4>5</vt:i4>
      </vt:variant>
      <vt:variant>
        <vt:lpwstr/>
      </vt:variant>
      <vt:variant>
        <vt:lpwstr>_Toc431493776</vt:lpwstr>
      </vt:variant>
      <vt:variant>
        <vt:i4>1310779</vt:i4>
      </vt:variant>
      <vt:variant>
        <vt:i4>272</vt:i4>
      </vt:variant>
      <vt:variant>
        <vt:i4>0</vt:i4>
      </vt:variant>
      <vt:variant>
        <vt:i4>5</vt:i4>
      </vt:variant>
      <vt:variant>
        <vt:lpwstr/>
      </vt:variant>
      <vt:variant>
        <vt:lpwstr>_Toc431493775</vt:lpwstr>
      </vt:variant>
      <vt:variant>
        <vt:i4>1310779</vt:i4>
      </vt:variant>
      <vt:variant>
        <vt:i4>266</vt:i4>
      </vt:variant>
      <vt:variant>
        <vt:i4>0</vt:i4>
      </vt:variant>
      <vt:variant>
        <vt:i4>5</vt:i4>
      </vt:variant>
      <vt:variant>
        <vt:lpwstr/>
      </vt:variant>
      <vt:variant>
        <vt:lpwstr>_Toc431493774</vt:lpwstr>
      </vt:variant>
      <vt:variant>
        <vt:i4>1310779</vt:i4>
      </vt:variant>
      <vt:variant>
        <vt:i4>260</vt:i4>
      </vt:variant>
      <vt:variant>
        <vt:i4>0</vt:i4>
      </vt:variant>
      <vt:variant>
        <vt:i4>5</vt:i4>
      </vt:variant>
      <vt:variant>
        <vt:lpwstr/>
      </vt:variant>
      <vt:variant>
        <vt:lpwstr>_Toc431493773</vt:lpwstr>
      </vt:variant>
      <vt:variant>
        <vt:i4>1310779</vt:i4>
      </vt:variant>
      <vt:variant>
        <vt:i4>254</vt:i4>
      </vt:variant>
      <vt:variant>
        <vt:i4>0</vt:i4>
      </vt:variant>
      <vt:variant>
        <vt:i4>5</vt:i4>
      </vt:variant>
      <vt:variant>
        <vt:lpwstr/>
      </vt:variant>
      <vt:variant>
        <vt:lpwstr>_Toc431493772</vt:lpwstr>
      </vt:variant>
      <vt:variant>
        <vt:i4>1310779</vt:i4>
      </vt:variant>
      <vt:variant>
        <vt:i4>248</vt:i4>
      </vt:variant>
      <vt:variant>
        <vt:i4>0</vt:i4>
      </vt:variant>
      <vt:variant>
        <vt:i4>5</vt:i4>
      </vt:variant>
      <vt:variant>
        <vt:lpwstr/>
      </vt:variant>
      <vt:variant>
        <vt:lpwstr>_Toc431493771</vt:lpwstr>
      </vt:variant>
      <vt:variant>
        <vt:i4>1310779</vt:i4>
      </vt:variant>
      <vt:variant>
        <vt:i4>242</vt:i4>
      </vt:variant>
      <vt:variant>
        <vt:i4>0</vt:i4>
      </vt:variant>
      <vt:variant>
        <vt:i4>5</vt:i4>
      </vt:variant>
      <vt:variant>
        <vt:lpwstr/>
      </vt:variant>
      <vt:variant>
        <vt:lpwstr>_Toc431493770</vt:lpwstr>
      </vt:variant>
      <vt:variant>
        <vt:i4>1376315</vt:i4>
      </vt:variant>
      <vt:variant>
        <vt:i4>236</vt:i4>
      </vt:variant>
      <vt:variant>
        <vt:i4>0</vt:i4>
      </vt:variant>
      <vt:variant>
        <vt:i4>5</vt:i4>
      </vt:variant>
      <vt:variant>
        <vt:lpwstr/>
      </vt:variant>
      <vt:variant>
        <vt:lpwstr>_Toc431493769</vt:lpwstr>
      </vt:variant>
      <vt:variant>
        <vt:i4>1376315</vt:i4>
      </vt:variant>
      <vt:variant>
        <vt:i4>230</vt:i4>
      </vt:variant>
      <vt:variant>
        <vt:i4>0</vt:i4>
      </vt:variant>
      <vt:variant>
        <vt:i4>5</vt:i4>
      </vt:variant>
      <vt:variant>
        <vt:lpwstr/>
      </vt:variant>
      <vt:variant>
        <vt:lpwstr>_Toc431493768</vt:lpwstr>
      </vt:variant>
      <vt:variant>
        <vt:i4>1376315</vt:i4>
      </vt:variant>
      <vt:variant>
        <vt:i4>224</vt:i4>
      </vt:variant>
      <vt:variant>
        <vt:i4>0</vt:i4>
      </vt:variant>
      <vt:variant>
        <vt:i4>5</vt:i4>
      </vt:variant>
      <vt:variant>
        <vt:lpwstr/>
      </vt:variant>
      <vt:variant>
        <vt:lpwstr>_Toc431493767</vt:lpwstr>
      </vt:variant>
      <vt:variant>
        <vt:i4>1376315</vt:i4>
      </vt:variant>
      <vt:variant>
        <vt:i4>218</vt:i4>
      </vt:variant>
      <vt:variant>
        <vt:i4>0</vt:i4>
      </vt:variant>
      <vt:variant>
        <vt:i4>5</vt:i4>
      </vt:variant>
      <vt:variant>
        <vt:lpwstr/>
      </vt:variant>
      <vt:variant>
        <vt:lpwstr>_Toc431493766</vt:lpwstr>
      </vt:variant>
      <vt:variant>
        <vt:i4>1376315</vt:i4>
      </vt:variant>
      <vt:variant>
        <vt:i4>212</vt:i4>
      </vt:variant>
      <vt:variant>
        <vt:i4>0</vt:i4>
      </vt:variant>
      <vt:variant>
        <vt:i4>5</vt:i4>
      </vt:variant>
      <vt:variant>
        <vt:lpwstr/>
      </vt:variant>
      <vt:variant>
        <vt:lpwstr>_Toc431493765</vt:lpwstr>
      </vt:variant>
      <vt:variant>
        <vt:i4>1376315</vt:i4>
      </vt:variant>
      <vt:variant>
        <vt:i4>206</vt:i4>
      </vt:variant>
      <vt:variant>
        <vt:i4>0</vt:i4>
      </vt:variant>
      <vt:variant>
        <vt:i4>5</vt:i4>
      </vt:variant>
      <vt:variant>
        <vt:lpwstr/>
      </vt:variant>
      <vt:variant>
        <vt:lpwstr>_Toc431493764</vt:lpwstr>
      </vt:variant>
      <vt:variant>
        <vt:i4>1376315</vt:i4>
      </vt:variant>
      <vt:variant>
        <vt:i4>200</vt:i4>
      </vt:variant>
      <vt:variant>
        <vt:i4>0</vt:i4>
      </vt:variant>
      <vt:variant>
        <vt:i4>5</vt:i4>
      </vt:variant>
      <vt:variant>
        <vt:lpwstr/>
      </vt:variant>
      <vt:variant>
        <vt:lpwstr>_Toc431493763</vt:lpwstr>
      </vt:variant>
      <vt:variant>
        <vt:i4>1376315</vt:i4>
      </vt:variant>
      <vt:variant>
        <vt:i4>194</vt:i4>
      </vt:variant>
      <vt:variant>
        <vt:i4>0</vt:i4>
      </vt:variant>
      <vt:variant>
        <vt:i4>5</vt:i4>
      </vt:variant>
      <vt:variant>
        <vt:lpwstr/>
      </vt:variant>
      <vt:variant>
        <vt:lpwstr>_Toc431493762</vt:lpwstr>
      </vt:variant>
      <vt:variant>
        <vt:i4>1376315</vt:i4>
      </vt:variant>
      <vt:variant>
        <vt:i4>188</vt:i4>
      </vt:variant>
      <vt:variant>
        <vt:i4>0</vt:i4>
      </vt:variant>
      <vt:variant>
        <vt:i4>5</vt:i4>
      </vt:variant>
      <vt:variant>
        <vt:lpwstr/>
      </vt:variant>
      <vt:variant>
        <vt:lpwstr>_Toc431493761</vt:lpwstr>
      </vt:variant>
      <vt:variant>
        <vt:i4>1376315</vt:i4>
      </vt:variant>
      <vt:variant>
        <vt:i4>182</vt:i4>
      </vt:variant>
      <vt:variant>
        <vt:i4>0</vt:i4>
      </vt:variant>
      <vt:variant>
        <vt:i4>5</vt:i4>
      </vt:variant>
      <vt:variant>
        <vt:lpwstr/>
      </vt:variant>
      <vt:variant>
        <vt:lpwstr>_Toc431493760</vt:lpwstr>
      </vt:variant>
      <vt:variant>
        <vt:i4>1441851</vt:i4>
      </vt:variant>
      <vt:variant>
        <vt:i4>176</vt:i4>
      </vt:variant>
      <vt:variant>
        <vt:i4>0</vt:i4>
      </vt:variant>
      <vt:variant>
        <vt:i4>5</vt:i4>
      </vt:variant>
      <vt:variant>
        <vt:lpwstr/>
      </vt:variant>
      <vt:variant>
        <vt:lpwstr>_Toc431493759</vt:lpwstr>
      </vt:variant>
      <vt:variant>
        <vt:i4>1441851</vt:i4>
      </vt:variant>
      <vt:variant>
        <vt:i4>170</vt:i4>
      </vt:variant>
      <vt:variant>
        <vt:i4>0</vt:i4>
      </vt:variant>
      <vt:variant>
        <vt:i4>5</vt:i4>
      </vt:variant>
      <vt:variant>
        <vt:lpwstr/>
      </vt:variant>
      <vt:variant>
        <vt:lpwstr>_Toc431493758</vt:lpwstr>
      </vt:variant>
      <vt:variant>
        <vt:i4>1441851</vt:i4>
      </vt:variant>
      <vt:variant>
        <vt:i4>164</vt:i4>
      </vt:variant>
      <vt:variant>
        <vt:i4>0</vt:i4>
      </vt:variant>
      <vt:variant>
        <vt:i4>5</vt:i4>
      </vt:variant>
      <vt:variant>
        <vt:lpwstr/>
      </vt:variant>
      <vt:variant>
        <vt:lpwstr>_Toc431493757</vt:lpwstr>
      </vt:variant>
      <vt:variant>
        <vt:i4>1441851</vt:i4>
      </vt:variant>
      <vt:variant>
        <vt:i4>158</vt:i4>
      </vt:variant>
      <vt:variant>
        <vt:i4>0</vt:i4>
      </vt:variant>
      <vt:variant>
        <vt:i4>5</vt:i4>
      </vt:variant>
      <vt:variant>
        <vt:lpwstr/>
      </vt:variant>
      <vt:variant>
        <vt:lpwstr>_Toc431493756</vt:lpwstr>
      </vt:variant>
      <vt:variant>
        <vt:i4>1441851</vt:i4>
      </vt:variant>
      <vt:variant>
        <vt:i4>152</vt:i4>
      </vt:variant>
      <vt:variant>
        <vt:i4>0</vt:i4>
      </vt:variant>
      <vt:variant>
        <vt:i4>5</vt:i4>
      </vt:variant>
      <vt:variant>
        <vt:lpwstr/>
      </vt:variant>
      <vt:variant>
        <vt:lpwstr>_Toc431493755</vt:lpwstr>
      </vt:variant>
      <vt:variant>
        <vt:i4>1441851</vt:i4>
      </vt:variant>
      <vt:variant>
        <vt:i4>146</vt:i4>
      </vt:variant>
      <vt:variant>
        <vt:i4>0</vt:i4>
      </vt:variant>
      <vt:variant>
        <vt:i4>5</vt:i4>
      </vt:variant>
      <vt:variant>
        <vt:lpwstr/>
      </vt:variant>
      <vt:variant>
        <vt:lpwstr>_Toc431493754</vt:lpwstr>
      </vt:variant>
      <vt:variant>
        <vt:i4>1441851</vt:i4>
      </vt:variant>
      <vt:variant>
        <vt:i4>140</vt:i4>
      </vt:variant>
      <vt:variant>
        <vt:i4>0</vt:i4>
      </vt:variant>
      <vt:variant>
        <vt:i4>5</vt:i4>
      </vt:variant>
      <vt:variant>
        <vt:lpwstr/>
      </vt:variant>
      <vt:variant>
        <vt:lpwstr>_Toc431493753</vt:lpwstr>
      </vt:variant>
      <vt:variant>
        <vt:i4>1441851</vt:i4>
      </vt:variant>
      <vt:variant>
        <vt:i4>134</vt:i4>
      </vt:variant>
      <vt:variant>
        <vt:i4>0</vt:i4>
      </vt:variant>
      <vt:variant>
        <vt:i4>5</vt:i4>
      </vt:variant>
      <vt:variant>
        <vt:lpwstr/>
      </vt:variant>
      <vt:variant>
        <vt:lpwstr>_Toc431493752</vt:lpwstr>
      </vt:variant>
      <vt:variant>
        <vt:i4>1441851</vt:i4>
      </vt:variant>
      <vt:variant>
        <vt:i4>128</vt:i4>
      </vt:variant>
      <vt:variant>
        <vt:i4>0</vt:i4>
      </vt:variant>
      <vt:variant>
        <vt:i4>5</vt:i4>
      </vt:variant>
      <vt:variant>
        <vt:lpwstr/>
      </vt:variant>
      <vt:variant>
        <vt:lpwstr>_Toc431493751</vt:lpwstr>
      </vt:variant>
      <vt:variant>
        <vt:i4>1441851</vt:i4>
      </vt:variant>
      <vt:variant>
        <vt:i4>122</vt:i4>
      </vt:variant>
      <vt:variant>
        <vt:i4>0</vt:i4>
      </vt:variant>
      <vt:variant>
        <vt:i4>5</vt:i4>
      </vt:variant>
      <vt:variant>
        <vt:lpwstr/>
      </vt:variant>
      <vt:variant>
        <vt:lpwstr>_Toc431493750</vt:lpwstr>
      </vt:variant>
      <vt:variant>
        <vt:i4>1507387</vt:i4>
      </vt:variant>
      <vt:variant>
        <vt:i4>116</vt:i4>
      </vt:variant>
      <vt:variant>
        <vt:i4>0</vt:i4>
      </vt:variant>
      <vt:variant>
        <vt:i4>5</vt:i4>
      </vt:variant>
      <vt:variant>
        <vt:lpwstr/>
      </vt:variant>
      <vt:variant>
        <vt:lpwstr>_Toc431493749</vt:lpwstr>
      </vt:variant>
      <vt:variant>
        <vt:i4>1507387</vt:i4>
      </vt:variant>
      <vt:variant>
        <vt:i4>110</vt:i4>
      </vt:variant>
      <vt:variant>
        <vt:i4>0</vt:i4>
      </vt:variant>
      <vt:variant>
        <vt:i4>5</vt:i4>
      </vt:variant>
      <vt:variant>
        <vt:lpwstr/>
      </vt:variant>
      <vt:variant>
        <vt:lpwstr>_Toc431493748</vt:lpwstr>
      </vt:variant>
      <vt:variant>
        <vt:i4>1507387</vt:i4>
      </vt:variant>
      <vt:variant>
        <vt:i4>104</vt:i4>
      </vt:variant>
      <vt:variant>
        <vt:i4>0</vt:i4>
      </vt:variant>
      <vt:variant>
        <vt:i4>5</vt:i4>
      </vt:variant>
      <vt:variant>
        <vt:lpwstr/>
      </vt:variant>
      <vt:variant>
        <vt:lpwstr>_Toc431493747</vt:lpwstr>
      </vt:variant>
      <vt:variant>
        <vt:i4>1507387</vt:i4>
      </vt:variant>
      <vt:variant>
        <vt:i4>98</vt:i4>
      </vt:variant>
      <vt:variant>
        <vt:i4>0</vt:i4>
      </vt:variant>
      <vt:variant>
        <vt:i4>5</vt:i4>
      </vt:variant>
      <vt:variant>
        <vt:lpwstr/>
      </vt:variant>
      <vt:variant>
        <vt:lpwstr>_Toc431493746</vt:lpwstr>
      </vt:variant>
      <vt:variant>
        <vt:i4>1507387</vt:i4>
      </vt:variant>
      <vt:variant>
        <vt:i4>92</vt:i4>
      </vt:variant>
      <vt:variant>
        <vt:i4>0</vt:i4>
      </vt:variant>
      <vt:variant>
        <vt:i4>5</vt:i4>
      </vt:variant>
      <vt:variant>
        <vt:lpwstr/>
      </vt:variant>
      <vt:variant>
        <vt:lpwstr>_Toc431493745</vt:lpwstr>
      </vt:variant>
      <vt:variant>
        <vt:i4>1507387</vt:i4>
      </vt:variant>
      <vt:variant>
        <vt:i4>86</vt:i4>
      </vt:variant>
      <vt:variant>
        <vt:i4>0</vt:i4>
      </vt:variant>
      <vt:variant>
        <vt:i4>5</vt:i4>
      </vt:variant>
      <vt:variant>
        <vt:lpwstr/>
      </vt:variant>
      <vt:variant>
        <vt:lpwstr>_Toc431493744</vt:lpwstr>
      </vt:variant>
      <vt:variant>
        <vt:i4>1507387</vt:i4>
      </vt:variant>
      <vt:variant>
        <vt:i4>80</vt:i4>
      </vt:variant>
      <vt:variant>
        <vt:i4>0</vt:i4>
      </vt:variant>
      <vt:variant>
        <vt:i4>5</vt:i4>
      </vt:variant>
      <vt:variant>
        <vt:lpwstr/>
      </vt:variant>
      <vt:variant>
        <vt:lpwstr>_Toc431493743</vt:lpwstr>
      </vt:variant>
      <vt:variant>
        <vt:i4>1507387</vt:i4>
      </vt:variant>
      <vt:variant>
        <vt:i4>74</vt:i4>
      </vt:variant>
      <vt:variant>
        <vt:i4>0</vt:i4>
      </vt:variant>
      <vt:variant>
        <vt:i4>5</vt:i4>
      </vt:variant>
      <vt:variant>
        <vt:lpwstr/>
      </vt:variant>
      <vt:variant>
        <vt:lpwstr>_Toc431493742</vt:lpwstr>
      </vt:variant>
      <vt:variant>
        <vt:i4>1507387</vt:i4>
      </vt:variant>
      <vt:variant>
        <vt:i4>68</vt:i4>
      </vt:variant>
      <vt:variant>
        <vt:i4>0</vt:i4>
      </vt:variant>
      <vt:variant>
        <vt:i4>5</vt:i4>
      </vt:variant>
      <vt:variant>
        <vt:lpwstr/>
      </vt:variant>
      <vt:variant>
        <vt:lpwstr>_Toc431493741</vt:lpwstr>
      </vt:variant>
      <vt:variant>
        <vt:i4>1507387</vt:i4>
      </vt:variant>
      <vt:variant>
        <vt:i4>62</vt:i4>
      </vt:variant>
      <vt:variant>
        <vt:i4>0</vt:i4>
      </vt:variant>
      <vt:variant>
        <vt:i4>5</vt:i4>
      </vt:variant>
      <vt:variant>
        <vt:lpwstr/>
      </vt:variant>
      <vt:variant>
        <vt:lpwstr>_Toc431493740</vt:lpwstr>
      </vt:variant>
      <vt:variant>
        <vt:i4>1048635</vt:i4>
      </vt:variant>
      <vt:variant>
        <vt:i4>56</vt:i4>
      </vt:variant>
      <vt:variant>
        <vt:i4>0</vt:i4>
      </vt:variant>
      <vt:variant>
        <vt:i4>5</vt:i4>
      </vt:variant>
      <vt:variant>
        <vt:lpwstr/>
      </vt:variant>
      <vt:variant>
        <vt:lpwstr>_Toc431493739</vt:lpwstr>
      </vt:variant>
      <vt:variant>
        <vt:i4>1048635</vt:i4>
      </vt:variant>
      <vt:variant>
        <vt:i4>50</vt:i4>
      </vt:variant>
      <vt:variant>
        <vt:i4>0</vt:i4>
      </vt:variant>
      <vt:variant>
        <vt:i4>5</vt:i4>
      </vt:variant>
      <vt:variant>
        <vt:lpwstr/>
      </vt:variant>
      <vt:variant>
        <vt:lpwstr>_Toc431493738</vt:lpwstr>
      </vt:variant>
      <vt:variant>
        <vt:i4>1048635</vt:i4>
      </vt:variant>
      <vt:variant>
        <vt:i4>44</vt:i4>
      </vt:variant>
      <vt:variant>
        <vt:i4>0</vt:i4>
      </vt:variant>
      <vt:variant>
        <vt:i4>5</vt:i4>
      </vt:variant>
      <vt:variant>
        <vt:lpwstr/>
      </vt:variant>
      <vt:variant>
        <vt:lpwstr>_Toc431493737</vt:lpwstr>
      </vt:variant>
      <vt:variant>
        <vt:i4>1048635</vt:i4>
      </vt:variant>
      <vt:variant>
        <vt:i4>38</vt:i4>
      </vt:variant>
      <vt:variant>
        <vt:i4>0</vt:i4>
      </vt:variant>
      <vt:variant>
        <vt:i4>5</vt:i4>
      </vt:variant>
      <vt:variant>
        <vt:lpwstr/>
      </vt:variant>
      <vt:variant>
        <vt:lpwstr>_Toc431493736</vt:lpwstr>
      </vt:variant>
      <vt:variant>
        <vt:i4>1048635</vt:i4>
      </vt:variant>
      <vt:variant>
        <vt:i4>32</vt:i4>
      </vt:variant>
      <vt:variant>
        <vt:i4>0</vt:i4>
      </vt:variant>
      <vt:variant>
        <vt:i4>5</vt:i4>
      </vt:variant>
      <vt:variant>
        <vt:lpwstr/>
      </vt:variant>
      <vt:variant>
        <vt:lpwstr>_Toc431493735</vt:lpwstr>
      </vt:variant>
      <vt:variant>
        <vt:i4>1048635</vt:i4>
      </vt:variant>
      <vt:variant>
        <vt:i4>26</vt:i4>
      </vt:variant>
      <vt:variant>
        <vt:i4>0</vt:i4>
      </vt:variant>
      <vt:variant>
        <vt:i4>5</vt:i4>
      </vt:variant>
      <vt:variant>
        <vt:lpwstr/>
      </vt:variant>
      <vt:variant>
        <vt:lpwstr>_Toc431493734</vt:lpwstr>
      </vt:variant>
      <vt:variant>
        <vt:i4>1048635</vt:i4>
      </vt:variant>
      <vt:variant>
        <vt:i4>20</vt:i4>
      </vt:variant>
      <vt:variant>
        <vt:i4>0</vt:i4>
      </vt:variant>
      <vt:variant>
        <vt:i4>5</vt:i4>
      </vt:variant>
      <vt:variant>
        <vt:lpwstr/>
      </vt:variant>
      <vt:variant>
        <vt:lpwstr>_Toc431493733</vt:lpwstr>
      </vt:variant>
      <vt:variant>
        <vt:i4>1048635</vt:i4>
      </vt:variant>
      <vt:variant>
        <vt:i4>14</vt:i4>
      </vt:variant>
      <vt:variant>
        <vt:i4>0</vt:i4>
      </vt:variant>
      <vt:variant>
        <vt:i4>5</vt:i4>
      </vt:variant>
      <vt:variant>
        <vt:lpwstr/>
      </vt:variant>
      <vt:variant>
        <vt:lpwstr>_Toc431493732</vt:lpwstr>
      </vt:variant>
      <vt:variant>
        <vt:i4>1048635</vt:i4>
      </vt:variant>
      <vt:variant>
        <vt:i4>8</vt:i4>
      </vt:variant>
      <vt:variant>
        <vt:i4>0</vt:i4>
      </vt:variant>
      <vt:variant>
        <vt:i4>5</vt:i4>
      </vt:variant>
      <vt:variant>
        <vt:lpwstr/>
      </vt:variant>
      <vt:variant>
        <vt:lpwstr>_Toc431493731</vt:lpwstr>
      </vt:variant>
      <vt:variant>
        <vt:i4>1048635</vt:i4>
      </vt:variant>
      <vt:variant>
        <vt:i4>2</vt:i4>
      </vt:variant>
      <vt:variant>
        <vt:i4>0</vt:i4>
      </vt:variant>
      <vt:variant>
        <vt:i4>5</vt:i4>
      </vt:variant>
      <vt:variant>
        <vt:lpwstr/>
      </vt:variant>
      <vt:variant>
        <vt:lpwstr>_Toc431493730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Marine Monitoring Program Inshore Seagrass Report 2017-2018</dc:title>
  <dc:subject/>
  <dc:creator/>
  <cp:keywords/>
  <dc:description/>
  <cp:lastModifiedBy/>
  <cp:revision>1</cp:revision>
  <dcterms:created xsi:type="dcterms:W3CDTF">2019-08-06T06:53:00Z</dcterms:created>
  <dcterms:modified xsi:type="dcterms:W3CDTF">2019-08-06T06:53:00Z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0x010100441936E5D27A4AF2935B3316DA024CF20099EC44274A21C14AB4E4B4AC8EB06ABC</vt:lpwstr>
  </property>
  <property fmtid="{D5CDD505-2E9C-101B-9397-08002B2CF9AE}" pid="3" name="_dlc_DocIdItemGuid">
    <vt:lpwstr>ac6c0894-c60a-44b8-8560-2deec480d443</vt:lpwstr>
  </property>
  <property fmtid="{D5CDD505-2E9C-101B-9397-08002B2CF9AE}" pid="4" name="ProjectPhase">
    <vt:lpwstr>1;#Implement|62d382d8-9615-4fb9-9171-542b0baa426a</vt:lpwstr>
  </property>
  <property fmtid="{D5CDD505-2E9C-101B-9397-08002B2CF9AE}" pid="5" name="RecordPoint_WorkflowType">
    <vt:lpwstr>ActiveSubmit</vt:lpwstr>
  </property>
  <property fmtid="{D5CDD505-2E9C-101B-9397-08002B2CF9AE}" pid="6" name="RecordPoint_ActiveItemUniqueId">
    <vt:lpwstr>{ac6c0894-c60a-44b8-8560-2deec480d443}</vt:lpwstr>
  </property>
  <property fmtid="{D5CDD505-2E9C-101B-9397-08002B2CF9AE}" pid="7" name="RecordPoint_RecordNumberSubmitted">
    <vt:lpwstr>R0000572748</vt:lpwstr>
  </property>
  <property fmtid="{D5CDD505-2E9C-101B-9397-08002B2CF9AE}" pid="8" name="RecordPoint_SubmissionCompleted">
    <vt:lpwstr>2019-08-13T22:14:10.5911230+10:00</vt:lpwstr>
  </property>
  <property fmtid="{D5CDD505-2E9C-101B-9397-08002B2CF9AE}" pid="9" name="DocumentSetDescription">
    <vt:lpwstr>Documents relating to the preparation and review of draft MMP Annual Technical Reports up to the stage when they are finalized.</vt:lpwstr>
  </property>
  <property fmtid="{D5CDD505-2E9C-101B-9397-08002B2CF9AE}" pid="10" name="RecordPoint_SubmissionDate">
    <vt:lpwstr/>
  </property>
  <property fmtid="{D5CDD505-2E9C-101B-9397-08002B2CF9AE}" pid="11" name="RecordPoint_ActiveItemSiteId">
    <vt:lpwstr>{8ce9eba2-d4a5-4da0-9276-1d47a92e9210}</vt:lpwstr>
  </property>
  <property fmtid="{D5CDD505-2E9C-101B-9397-08002B2CF9AE}" pid="12" name="RecordPoint_ActiveItemListId">
    <vt:lpwstr>{4002bfb1-c390-4c44-aed9-c0f467baaffd}</vt:lpwstr>
  </property>
  <property fmtid="{D5CDD505-2E9C-101B-9397-08002B2CF9AE}" pid="13" name="RecordPoint_ActiveItemMoved">
    <vt:lpwstr/>
  </property>
  <property fmtid="{D5CDD505-2E9C-101B-9397-08002B2CF9AE}" pid="14" name="RecordPoint_RecordFormat">
    <vt:lpwstr/>
  </property>
  <property fmtid="{D5CDD505-2E9C-101B-9397-08002B2CF9AE}" pid="15" name="RecordPoint_ActiveItemWebId">
    <vt:lpwstr>{e7821751-c451-45dc-b45e-82cfe574dc6e}</vt:lpwstr>
  </property>
  <property fmtid="{D5CDD505-2E9C-101B-9397-08002B2CF9AE}" pid="16" name="TitusGUID">
    <vt:lpwstr>f7642548-7c56-4b45-9dc3-1e1c57d58647</vt:lpwstr>
  </property>
  <property fmtid="{D5CDD505-2E9C-101B-9397-08002B2CF9AE}" pid="17" name="SEC">
    <vt:lpwstr>UNCLASSIFIED</vt:lpwstr>
  </property>
  <property fmtid="{D5CDD505-2E9C-101B-9397-08002B2CF9AE}" pid="18" name="DLM">
    <vt:lpwstr>No DLM</vt:lpwstr>
  </property>
</Properties>
</file>